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C620F2" w14:textId="77777777" w:rsidR="00252AC9" w:rsidRDefault="00252AC9" w:rsidP="00B27B4F">
      <w:pPr>
        <w:jc w:val="center"/>
        <w:rPr>
          <w:rFonts w:eastAsia="Calibri" w:cs="Times New Roman"/>
          <w:szCs w:val="24"/>
        </w:rPr>
      </w:pPr>
    </w:p>
    <w:p w14:paraId="5FE82376" w14:textId="4E7B4479" w:rsidR="00B27B4F" w:rsidRDefault="00B27B4F" w:rsidP="00B27B4F">
      <w:pPr>
        <w:jc w:val="center"/>
        <w:rPr>
          <w:rFonts w:eastAsia="Calibri" w:cs="Times New Roman"/>
          <w:szCs w:val="24"/>
        </w:rPr>
      </w:pPr>
      <w:r w:rsidRPr="000E05A0">
        <w:rPr>
          <w:rFonts w:eastAsia="Calibri" w:cs="Times New Roman"/>
          <w:szCs w:val="24"/>
        </w:rPr>
        <w:t>UNIVERSITY OF OKLAHOMA</w:t>
      </w:r>
    </w:p>
    <w:p w14:paraId="1744A074" w14:textId="794C0BD5" w:rsidR="00B27B4F" w:rsidRPr="000E05A0" w:rsidRDefault="00B27B4F" w:rsidP="00B27B4F">
      <w:pPr>
        <w:jc w:val="center"/>
        <w:rPr>
          <w:rFonts w:eastAsia="Calibri" w:cs="Times New Roman"/>
          <w:szCs w:val="24"/>
        </w:rPr>
      </w:pPr>
      <w:r>
        <w:rPr>
          <w:rFonts w:eastAsia="Calibri" w:cs="Times New Roman"/>
          <w:szCs w:val="24"/>
        </w:rPr>
        <w:t>GRADUATE COLLEGE</w:t>
      </w:r>
    </w:p>
    <w:p w14:paraId="67A55B47" w14:textId="77777777" w:rsidR="00B27B4F" w:rsidRPr="000E05A0" w:rsidRDefault="00B27B4F" w:rsidP="00B27B4F">
      <w:pPr>
        <w:jc w:val="center"/>
        <w:rPr>
          <w:rFonts w:eastAsia="Calibri" w:cs="Times New Roman"/>
          <w:szCs w:val="24"/>
        </w:rPr>
      </w:pPr>
    </w:p>
    <w:p w14:paraId="4DABA4D5" w14:textId="77777777" w:rsidR="00B27B4F" w:rsidRPr="000E05A0" w:rsidRDefault="00B27B4F" w:rsidP="00B27B4F">
      <w:pPr>
        <w:jc w:val="center"/>
        <w:rPr>
          <w:rFonts w:eastAsia="Calibri" w:cs="Times New Roman"/>
          <w:szCs w:val="24"/>
        </w:rPr>
      </w:pPr>
    </w:p>
    <w:p w14:paraId="4CDF6AC0" w14:textId="77777777" w:rsidR="00B27B4F" w:rsidRPr="000E05A0" w:rsidRDefault="00B27B4F" w:rsidP="00B27B4F">
      <w:pPr>
        <w:spacing w:line="360" w:lineRule="auto"/>
        <w:jc w:val="center"/>
        <w:rPr>
          <w:rFonts w:eastAsia="Calibri" w:cs="Times New Roman"/>
          <w:szCs w:val="24"/>
        </w:rPr>
      </w:pPr>
    </w:p>
    <w:p w14:paraId="320F2CC1" w14:textId="03370CCC" w:rsidR="00B27B4F" w:rsidRPr="000E05A0" w:rsidRDefault="00830372" w:rsidP="00B27B4F">
      <w:pPr>
        <w:spacing w:line="360" w:lineRule="auto"/>
        <w:jc w:val="center"/>
        <w:rPr>
          <w:rFonts w:eastAsia="Calibri" w:cs="Times New Roman"/>
          <w:szCs w:val="24"/>
        </w:rPr>
      </w:pPr>
      <w:bookmarkStart w:id="0" w:name="_Hlk28276822"/>
      <w:r>
        <w:rPr>
          <w:rFonts w:eastAsia="Calibri" w:cs="Times New Roman"/>
          <w:szCs w:val="24"/>
        </w:rPr>
        <w:t>NUMERICAL SIMULATIONS OF WELLBORE CEMENT SHEATH MICROANNULI LEAKAGE IN GULF OF MEXICO WELLS</w:t>
      </w:r>
    </w:p>
    <w:bookmarkEnd w:id="0"/>
    <w:p w14:paraId="0B34BC43" w14:textId="77777777" w:rsidR="00B27B4F" w:rsidRPr="000E05A0" w:rsidRDefault="00B27B4F" w:rsidP="00B27B4F">
      <w:pPr>
        <w:jc w:val="center"/>
        <w:rPr>
          <w:rFonts w:eastAsia="Calibri" w:cs="Times New Roman"/>
          <w:szCs w:val="24"/>
        </w:rPr>
      </w:pPr>
    </w:p>
    <w:p w14:paraId="01270925" w14:textId="77777777" w:rsidR="00B27B4F" w:rsidRPr="000E05A0" w:rsidRDefault="00B27B4F" w:rsidP="00B27B4F">
      <w:pPr>
        <w:jc w:val="center"/>
        <w:rPr>
          <w:rFonts w:eastAsia="Calibri" w:cs="Times New Roman"/>
          <w:szCs w:val="24"/>
        </w:rPr>
      </w:pPr>
    </w:p>
    <w:p w14:paraId="519689C3" w14:textId="77777777" w:rsidR="00B27B4F" w:rsidRPr="000E05A0" w:rsidRDefault="00B27B4F" w:rsidP="00B27B4F">
      <w:pPr>
        <w:jc w:val="center"/>
        <w:rPr>
          <w:rFonts w:eastAsia="Calibri" w:cs="Times New Roman"/>
          <w:szCs w:val="24"/>
        </w:rPr>
      </w:pPr>
    </w:p>
    <w:p w14:paraId="172FD5F6" w14:textId="41079224" w:rsidR="00B27B4F" w:rsidRPr="000E05A0" w:rsidRDefault="00B27B4F" w:rsidP="00B27B4F">
      <w:pPr>
        <w:jc w:val="center"/>
        <w:rPr>
          <w:rFonts w:eastAsia="Calibri" w:cs="Times New Roman"/>
          <w:szCs w:val="24"/>
        </w:rPr>
      </w:pPr>
      <w:r w:rsidRPr="000E05A0">
        <w:rPr>
          <w:rFonts w:eastAsia="Calibri" w:cs="Times New Roman"/>
          <w:szCs w:val="24"/>
        </w:rPr>
        <w:t xml:space="preserve">A </w:t>
      </w:r>
      <w:r>
        <w:rPr>
          <w:rFonts w:eastAsia="Calibri" w:cs="Times New Roman"/>
          <w:szCs w:val="24"/>
        </w:rPr>
        <w:t>DISSERTATION</w:t>
      </w:r>
    </w:p>
    <w:p w14:paraId="212FEE53" w14:textId="761DA6E9" w:rsidR="00B27B4F" w:rsidRPr="000E05A0" w:rsidRDefault="00B27B4F" w:rsidP="00B27B4F">
      <w:pPr>
        <w:jc w:val="center"/>
        <w:rPr>
          <w:rFonts w:eastAsia="Calibri" w:cs="Times New Roman"/>
          <w:szCs w:val="24"/>
        </w:rPr>
      </w:pPr>
      <w:r w:rsidRPr="000E05A0">
        <w:rPr>
          <w:rFonts w:eastAsia="Calibri" w:cs="Times New Roman"/>
          <w:szCs w:val="24"/>
        </w:rPr>
        <w:t xml:space="preserve">SUBMITTED TO THE GRADUATE </w:t>
      </w:r>
      <w:r>
        <w:rPr>
          <w:rFonts w:eastAsia="Calibri" w:cs="Times New Roman"/>
          <w:szCs w:val="24"/>
        </w:rPr>
        <w:t>FACULTY</w:t>
      </w:r>
    </w:p>
    <w:p w14:paraId="46D6A338" w14:textId="77777777" w:rsidR="00B27B4F" w:rsidRPr="006D1FD7" w:rsidRDefault="00B27B4F" w:rsidP="00B27B4F">
      <w:pPr>
        <w:jc w:val="center"/>
        <w:rPr>
          <w:rFonts w:eastAsia="Calibri" w:cs="Times New Roman"/>
          <w:noProof/>
          <w:szCs w:val="24"/>
        </w:rPr>
      </w:pPr>
      <w:r w:rsidRPr="006D1FD7">
        <w:rPr>
          <w:rFonts w:eastAsia="Calibri" w:cs="Times New Roman"/>
          <w:noProof/>
          <w:szCs w:val="24"/>
        </w:rPr>
        <w:t>in partial fulfilment of the requirements for the</w:t>
      </w:r>
    </w:p>
    <w:p w14:paraId="3340769C" w14:textId="77777777" w:rsidR="00B27B4F" w:rsidRPr="000E05A0" w:rsidRDefault="00B27B4F" w:rsidP="00B27B4F">
      <w:pPr>
        <w:jc w:val="center"/>
        <w:rPr>
          <w:rFonts w:eastAsia="Calibri" w:cs="Times New Roman"/>
          <w:szCs w:val="24"/>
        </w:rPr>
      </w:pPr>
      <w:r w:rsidRPr="006D1FD7">
        <w:rPr>
          <w:rFonts w:eastAsia="Calibri" w:cs="Times New Roman"/>
          <w:noProof/>
          <w:szCs w:val="24"/>
        </w:rPr>
        <w:t>Degree</w:t>
      </w:r>
      <w:r w:rsidRPr="000E05A0">
        <w:rPr>
          <w:rFonts w:eastAsia="Calibri" w:cs="Times New Roman"/>
          <w:szCs w:val="24"/>
        </w:rPr>
        <w:t xml:space="preserve"> of</w:t>
      </w:r>
    </w:p>
    <w:p w14:paraId="4B12FB4A" w14:textId="77777777" w:rsidR="00B27B4F" w:rsidRPr="000E05A0" w:rsidRDefault="00B27B4F" w:rsidP="00B27B4F">
      <w:pPr>
        <w:jc w:val="center"/>
        <w:rPr>
          <w:rFonts w:eastAsia="Calibri" w:cs="Times New Roman"/>
          <w:szCs w:val="24"/>
        </w:rPr>
      </w:pPr>
      <w:r w:rsidRPr="000E05A0">
        <w:rPr>
          <w:rFonts w:eastAsia="Calibri" w:cs="Times New Roman"/>
          <w:szCs w:val="24"/>
        </w:rPr>
        <w:t>DOCTOR OF PHILOSOPHY</w:t>
      </w:r>
    </w:p>
    <w:p w14:paraId="323F1DB3" w14:textId="77777777" w:rsidR="00B27B4F" w:rsidRPr="000E05A0" w:rsidRDefault="00B27B4F" w:rsidP="00B27B4F">
      <w:pPr>
        <w:jc w:val="center"/>
        <w:rPr>
          <w:rFonts w:eastAsia="Calibri" w:cs="Times New Roman"/>
          <w:szCs w:val="24"/>
        </w:rPr>
      </w:pPr>
    </w:p>
    <w:p w14:paraId="3A63315F" w14:textId="77777777" w:rsidR="00B27B4F" w:rsidRPr="000E05A0" w:rsidRDefault="00B27B4F" w:rsidP="00B27B4F">
      <w:pPr>
        <w:jc w:val="center"/>
        <w:rPr>
          <w:rFonts w:eastAsia="Calibri" w:cs="Times New Roman"/>
          <w:szCs w:val="24"/>
        </w:rPr>
      </w:pPr>
    </w:p>
    <w:p w14:paraId="0A69DF15" w14:textId="1A050C6C" w:rsidR="00B27B4F" w:rsidRDefault="00B27B4F" w:rsidP="00B27B4F">
      <w:pPr>
        <w:jc w:val="center"/>
        <w:rPr>
          <w:rFonts w:eastAsia="Calibri" w:cs="Times New Roman"/>
          <w:szCs w:val="24"/>
        </w:rPr>
      </w:pPr>
    </w:p>
    <w:p w14:paraId="4EBA521E" w14:textId="77777777" w:rsidR="000C7D59" w:rsidRPr="000E05A0" w:rsidRDefault="000C7D59" w:rsidP="00B27B4F">
      <w:pPr>
        <w:jc w:val="center"/>
        <w:rPr>
          <w:rFonts w:eastAsia="Calibri" w:cs="Times New Roman"/>
          <w:szCs w:val="24"/>
        </w:rPr>
      </w:pPr>
    </w:p>
    <w:p w14:paraId="707F1E0C" w14:textId="77777777" w:rsidR="00B27B4F" w:rsidRDefault="00B27B4F" w:rsidP="00B27B4F">
      <w:pPr>
        <w:jc w:val="center"/>
        <w:rPr>
          <w:rFonts w:eastAsia="Calibri" w:cs="Times New Roman"/>
          <w:szCs w:val="24"/>
        </w:rPr>
      </w:pPr>
    </w:p>
    <w:p w14:paraId="1A9FECBE" w14:textId="395C2E06" w:rsidR="00B27B4F" w:rsidRPr="000E05A0" w:rsidRDefault="00B27B4F" w:rsidP="00B27B4F">
      <w:pPr>
        <w:jc w:val="center"/>
        <w:rPr>
          <w:rFonts w:eastAsia="Calibri" w:cs="Times New Roman"/>
          <w:szCs w:val="24"/>
        </w:rPr>
      </w:pPr>
      <w:r w:rsidRPr="000E05A0">
        <w:rPr>
          <w:rFonts w:eastAsia="Calibri" w:cs="Times New Roman"/>
          <w:szCs w:val="24"/>
        </w:rPr>
        <w:t>By</w:t>
      </w:r>
    </w:p>
    <w:p w14:paraId="0449ECC6" w14:textId="23FF6EB5" w:rsidR="00B27B4F" w:rsidRPr="000E05A0" w:rsidRDefault="004C6C41" w:rsidP="00B27B4F">
      <w:pPr>
        <w:spacing w:line="276" w:lineRule="auto"/>
        <w:jc w:val="center"/>
        <w:rPr>
          <w:rFonts w:eastAsia="Calibri" w:cs="Times New Roman"/>
          <w:szCs w:val="24"/>
        </w:rPr>
      </w:pPr>
      <w:r>
        <w:rPr>
          <w:rFonts w:eastAsia="Calibri" w:cs="Times New Roman"/>
          <w:szCs w:val="24"/>
        </w:rPr>
        <w:t>JARRETT WISE</w:t>
      </w:r>
    </w:p>
    <w:p w14:paraId="2706933B" w14:textId="77777777" w:rsidR="00B27B4F" w:rsidRPr="000E05A0" w:rsidRDefault="00B27B4F" w:rsidP="00B27B4F">
      <w:pPr>
        <w:spacing w:line="276" w:lineRule="auto"/>
        <w:jc w:val="center"/>
        <w:rPr>
          <w:rFonts w:eastAsia="Calibri" w:cs="Times New Roman"/>
          <w:szCs w:val="24"/>
        </w:rPr>
      </w:pPr>
      <w:r w:rsidRPr="000E05A0">
        <w:rPr>
          <w:rFonts w:eastAsia="Calibri" w:cs="Times New Roman"/>
          <w:szCs w:val="24"/>
        </w:rPr>
        <w:t>Norman, Oklahoma</w:t>
      </w:r>
    </w:p>
    <w:p w14:paraId="424B192C" w14:textId="584C6774" w:rsidR="00B27B4F" w:rsidRPr="000E05A0" w:rsidRDefault="00C14BBF" w:rsidP="00B27B4F">
      <w:pPr>
        <w:spacing w:line="276" w:lineRule="auto"/>
        <w:jc w:val="center"/>
        <w:rPr>
          <w:rFonts w:eastAsia="Calibri" w:cs="Times New Roman"/>
          <w:szCs w:val="24"/>
        </w:rPr>
      </w:pPr>
      <w:r>
        <w:rPr>
          <w:rFonts w:eastAsia="Calibri" w:cs="Times New Roman"/>
          <w:szCs w:val="24"/>
        </w:rPr>
        <w:t>2021</w:t>
      </w:r>
    </w:p>
    <w:p w14:paraId="5859CC8B" w14:textId="77777777" w:rsidR="0036326E" w:rsidRDefault="0036326E" w:rsidP="0036326E"/>
    <w:p w14:paraId="02AD1161" w14:textId="77777777" w:rsidR="00B27B4F" w:rsidRDefault="00B27B4F" w:rsidP="00B27B4F">
      <w:pPr>
        <w:spacing w:line="276" w:lineRule="auto"/>
        <w:jc w:val="center"/>
        <w:rPr>
          <w:rFonts w:eastAsia="Calibri" w:cs="Times New Roman"/>
          <w:szCs w:val="24"/>
        </w:rPr>
      </w:pPr>
    </w:p>
    <w:p w14:paraId="174A4A7A" w14:textId="77777777" w:rsidR="001E1205" w:rsidRDefault="001E1205" w:rsidP="00B27B4F">
      <w:pPr>
        <w:spacing w:line="276" w:lineRule="auto"/>
        <w:jc w:val="center"/>
        <w:rPr>
          <w:rFonts w:eastAsia="Calibri" w:cs="Times New Roman"/>
          <w:szCs w:val="24"/>
        </w:rPr>
      </w:pPr>
    </w:p>
    <w:p w14:paraId="38F80D26" w14:textId="23E2F342" w:rsidR="00B27B4F" w:rsidRPr="000E05A0" w:rsidRDefault="00830372" w:rsidP="00B27B4F">
      <w:pPr>
        <w:spacing w:line="276" w:lineRule="auto"/>
        <w:jc w:val="center"/>
        <w:rPr>
          <w:rFonts w:eastAsia="Calibri" w:cs="Times New Roman"/>
          <w:szCs w:val="24"/>
        </w:rPr>
      </w:pPr>
      <w:r>
        <w:rPr>
          <w:rFonts w:eastAsia="Calibri" w:cs="Times New Roman"/>
          <w:szCs w:val="24"/>
        </w:rPr>
        <w:t>NUMERICAL SIMULATIONS OF WELLBORE CEMENT SHEATH MICROANNULI LEAKAGE IN GULF OF MEXICO WELLS</w:t>
      </w:r>
    </w:p>
    <w:p w14:paraId="0B24DAB2" w14:textId="77777777" w:rsidR="00B27B4F" w:rsidRDefault="00B27B4F" w:rsidP="00B27B4F">
      <w:pPr>
        <w:jc w:val="center"/>
        <w:rPr>
          <w:rFonts w:eastAsia="Calibri" w:cs="Times New Roman"/>
          <w:szCs w:val="24"/>
        </w:rPr>
      </w:pPr>
    </w:p>
    <w:p w14:paraId="0AC0E18D" w14:textId="77777777" w:rsidR="00B27B4F" w:rsidRDefault="00B27B4F" w:rsidP="00B27B4F">
      <w:pPr>
        <w:spacing w:line="276" w:lineRule="auto"/>
        <w:jc w:val="center"/>
        <w:rPr>
          <w:rFonts w:eastAsia="Calibri" w:cs="Times New Roman"/>
          <w:szCs w:val="24"/>
        </w:rPr>
      </w:pPr>
    </w:p>
    <w:p w14:paraId="680BFC9D" w14:textId="77777777" w:rsidR="001E1205" w:rsidRDefault="001E1205" w:rsidP="00B27B4F">
      <w:pPr>
        <w:spacing w:line="276" w:lineRule="auto"/>
        <w:jc w:val="center"/>
        <w:rPr>
          <w:rFonts w:eastAsia="Calibri" w:cs="Times New Roman"/>
          <w:szCs w:val="24"/>
        </w:rPr>
      </w:pPr>
    </w:p>
    <w:p w14:paraId="00D90208" w14:textId="1817E72A" w:rsidR="00B27B4F" w:rsidRPr="00B27B4F" w:rsidRDefault="00B27B4F" w:rsidP="00B27B4F">
      <w:pPr>
        <w:spacing w:line="276" w:lineRule="auto"/>
        <w:jc w:val="center"/>
        <w:rPr>
          <w:rFonts w:eastAsia="Calibri" w:cs="Times New Roman"/>
          <w:szCs w:val="24"/>
        </w:rPr>
      </w:pPr>
      <w:r w:rsidRPr="00B27B4F">
        <w:rPr>
          <w:rFonts w:eastAsia="Calibri" w:cs="Times New Roman"/>
          <w:szCs w:val="24"/>
        </w:rPr>
        <w:t>A DISSERTATION APPROVED FOR THE</w:t>
      </w:r>
    </w:p>
    <w:p w14:paraId="202F9897" w14:textId="77777777" w:rsidR="00B27B4F" w:rsidRPr="00B27B4F" w:rsidRDefault="00B27B4F" w:rsidP="00B27B4F">
      <w:pPr>
        <w:spacing w:line="276" w:lineRule="auto"/>
        <w:jc w:val="center"/>
        <w:rPr>
          <w:rFonts w:eastAsia="Calibri" w:cs="Times New Roman"/>
          <w:szCs w:val="24"/>
        </w:rPr>
      </w:pPr>
      <w:r w:rsidRPr="00B27B4F">
        <w:rPr>
          <w:rFonts w:eastAsia="Calibri" w:cs="Times New Roman"/>
          <w:szCs w:val="24"/>
        </w:rPr>
        <w:t>MEWBOURNE SCHOOL OF PETROLEUM AND GEOLOGICAL ENGINEERING</w:t>
      </w:r>
    </w:p>
    <w:p w14:paraId="6B90B5C3" w14:textId="77777777" w:rsidR="001E1205" w:rsidRDefault="001E1205" w:rsidP="001E1205">
      <w:pPr>
        <w:jc w:val="center"/>
        <w:rPr>
          <w:rFonts w:eastAsia="Calibri" w:cs="Times New Roman"/>
          <w:szCs w:val="24"/>
        </w:rPr>
      </w:pPr>
    </w:p>
    <w:p w14:paraId="12A18F2D" w14:textId="77777777" w:rsidR="001E1205" w:rsidRDefault="001E1205" w:rsidP="001E1205">
      <w:pPr>
        <w:jc w:val="center"/>
        <w:rPr>
          <w:rFonts w:eastAsia="Calibri" w:cs="Times New Roman"/>
          <w:szCs w:val="24"/>
        </w:rPr>
      </w:pPr>
    </w:p>
    <w:p w14:paraId="7059F730" w14:textId="2EE70261" w:rsidR="001E1205" w:rsidRDefault="001E1205" w:rsidP="001E1205">
      <w:pPr>
        <w:jc w:val="center"/>
        <w:rPr>
          <w:rFonts w:eastAsia="Calibri" w:cs="Times New Roman"/>
          <w:szCs w:val="24"/>
        </w:rPr>
      </w:pPr>
    </w:p>
    <w:p w14:paraId="6F5319EE" w14:textId="77777777" w:rsidR="001E1205" w:rsidRDefault="001E1205" w:rsidP="001E1205">
      <w:pPr>
        <w:jc w:val="center"/>
        <w:rPr>
          <w:rFonts w:eastAsia="Calibri" w:cs="Times New Roman"/>
          <w:szCs w:val="24"/>
        </w:rPr>
      </w:pPr>
    </w:p>
    <w:p w14:paraId="58DC62A3" w14:textId="77777777" w:rsidR="001E1205" w:rsidRDefault="001E1205" w:rsidP="001E1205">
      <w:pPr>
        <w:jc w:val="center"/>
        <w:rPr>
          <w:rFonts w:eastAsia="Calibri" w:cs="Times New Roman"/>
          <w:szCs w:val="24"/>
        </w:rPr>
      </w:pPr>
    </w:p>
    <w:p w14:paraId="58AC559A" w14:textId="466CD962" w:rsidR="001E1205" w:rsidRDefault="00B27B4F" w:rsidP="001E1205">
      <w:pPr>
        <w:jc w:val="center"/>
        <w:rPr>
          <w:rFonts w:eastAsia="Calibri" w:cs="Times New Roman"/>
          <w:szCs w:val="24"/>
        </w:rPr>
      </w:pPr>
      <w:r w:rsidRPr="00B27B4F">
        <w:rPr>
          <w:rFonts w:eastAsia="Calibri" w:cs="Times New Roman"/>
          <w:szCs w:val="24"/>
        </w:rPr>
        <w:t>BY THE COMMITTEE CONSISTING OF</w:t>
      </w:r>
    </w:p>
    <w:p w14:paraId="63B9D368" w14:textId="6AF02FA5" w:rsidR="001E1205" w:rsidRDefault="001E1205" w:rsidP="001E1205">
      <w:pPr>
        <w:jc w:val="center"/>
        <w:rPr>
          <w:rFonts w:eastAsia="Calibri" w:cs="Times New Roman"/>
          <w:szCs w:val="24"/>
        </w:rPr>
      </w:pPr>
    </w:p>
    <w:p w14:paraId="1B60B83E" w14:textId="62169F5E" w:rsidR="001E1205" w:rsidRDefault="001E1205" w:rsidP="001E1205">
      <w:pPr>
        <w:jc w:val="center"/>
        <w:rPr>
          <w:rFonts w:eastAsia="Calibri" w:cs="Times New Roman"/>
          <w:szCs w:val="24"/>
        </w:rPr>
      </w:pPr>
    </w:p>
    <w:p w14:paraId="18ECC62C" w14:textId="77777777" w:rsidR="001E1205" w:rsidRDefault="001E1205" w:rsidP="001E1205">
      <w:pPr>
        <w:jc w:val="center"/>
        <w:rPr>
          <w:rFonts w:eastAsia="Calibri" w:cs="Times New Roman"/>
          <w:szCs w:val="24"/>
        </w:rPr>
      </w:pPr>
    </w:p>
    <w:p w14:paraId="6527886D" w14:textId="38A9BCC0" w:rsidR="001E1205" w:rsidRDefault="001E1205" w:rsidP="001E1205">
      <w:pPr>
        <w:jc w:val="center"/>
        <w:rPr>
          <w:rFonts w:eastAsia="Calibri" w:cs="Times New Roman"/>
          <w:szCs w:val="24"/>
        </w:rPr>
      </w:pPr>
    </w:p>
    <w:p w14:paraId="62BAF4F4" w14:textId="77777777" w:rsidR="001E1205" w:rsidRDefault="001E1205" w:rsidP="001E1205">
      <w:pPr>
        <w:jc w:val="center"/>
        <w:rPr>
          <w:rFonts w:eastAsia="Calibri" w:cs="Times New Roman"/>
          <w:szCs w:val="24"/>
        </w:rPr>
      </w:pPr>
    </w:p>
    <w:p w14:paraId="64284A17" w14:textId="77777777" w:rsidR="004C6C41" w:rsidRDefault="004C6C41" w:rsidP="004C6C41">
      <w:pPr>
        <w:jc w:val="right"/>
        <w:rPr>
          <w:rFonts w:eastAsia="Calibri" w:cs="Times New Roman"/>
          <w:szCs w:val="24"/>
        </w:rPr>
      </w:pPr>
    </w:p>
    <w:p w14:paraId="1F78012A" w14:textId="1E0FBFEE" w:rsidR="00B27B4F" w:rsidRDefault="00B27B4F" w:rsidP="004C6C41">
      <w:pPr>
        <w:jc w:val="right"/>
        <w:rPr>
          <w:rFonts w:eastAsia="Calibri" w:cs="Times New Roman"/>
          <w:szCs w:val="24"/>
        </w:rPr>
      </w:pPr>
      <w:r w:rsidRPr="00B27B4F">
        <w:rPr>
          <w:rFonts w:eastAsia="Calibri" w:cs="Times New Roman"/>
          <w:szCs w:val="24"/>
        </w:rPr>
        <w:t xml:space="preserve">Dr. </w:t>
      </w:r>
      <w:r w:rsidR="004C6C41">
        <w:rPr>
          <w:rFonts w:eastAsia="Calibri" w:cs="Times New Roman"/>
          <w:szCs w:val="24"/>
        </w:rPr>
        <w:t>Runar Nygaard</w:t>
      </w:r>
      <w:r w:rsidRPr="00B27B4F">
        <w:rPr>
          <w:rFonts w:eastAsia="Calibri" w:cs="Times New Roman"/>
          <w:szCs w:val="24"/>
        </w:rPr>
        <w:t>, Chair</w:t>
      </w:r>
    </w:p>
    <w:p w14:paraId="1F53B8F0" w14:textId="3BBDADAC" w:rsidR="00B27B4F" w:rsidRPr="00FE241F" w:rsidRDefault="00B27B4F" w:rsidP="00B27B4F">
      <w:pPr>
        <w:jc w:val="right"/>
        <w:rPr>
          <w:rFonts w:eastAsia="Calibri" w:cs="Times New Roman"/>
          <w:szCs w:val="24"/>
          <w:lang w:val="nb-NO"/>
        </w:rPr>
      </w:pPr>
      <w:r w:rsidRPr="00FE241F">
        <w:rPr>
          <w:rFonts w:eastAsia="Calibri" w:cs="Times New Roman"/>
          <w:szCs w:val="24"/>
          <w:lang w:val="nb-NO"/>
        </w:rPr>
        <w:t xml:space="preserve">Dr. </w:t>
      </w:r>
      <w:r w:rsidR="004C6C41" w:rsidRPr="00FE241F">
        <w:rPr>
          <w:rFonts w:eastAsia="Calibri" w:cs="Times New Roman"/>
          <w:szCs w:val="24"/>
          <w:lang w:val="nb-NO"/>
        </w:rPr>
        <w:t>Saeed Salehi</w:t>
      </w:r>
    </w:p>
    <w:p w14:paraId="5A9001C5" w14:textId="2D4D669C" w:rsidR="00B27B4F" w:rsidRPr="00FE241F" w:rsidRDefault="00B27B4F" w:rsidP="00B27B4F">
      <w:pPr>
        <w:jc w:val="right"/>
        <w:rPr>
          <w:rFonts w:eastAsia="Calibri" w:cs="Times New Roman"/>
          <w:szCs w:val="24"/>
          <w:lang w:val="nb-NO"/>
        </w:rPr>
      </w:pPr>
      <w:r w:rsidRPr="00FE241F">
        <w:rPr>
          <w:rFonts w:eastAsia="Calibri" w:cs="Times New Roman"/>
          <w:szCs w:val="24"/>
          <w:lang w:val="nb-NO"/>
        </w:rPr>
        <w:t xml:space="preserve">Dr. </w:t>
      </w:r>
      <w:r w:rsidR="0061511D" w:rsidRPr="0061511D">
        <w:t>Hamidreza</w:t>
      </w:r>
      <w:bookmarkStart w:id="1" w:name="_GoBack"/>
      <w:bookmarkEnd w:id="1"/>
      <w:r w:rsidR="004C6C41" w:rsidRPr="00FE241F">
        <w:rPr>
          <w:rFonts w:eastAsia="Calibri" w:cs="Times New Roman"/>
          <w:szCs w:val="24"/>
          <w:lang w:val="nb-NO"/>
        </w:rPr>
        <w:t xml:space="preserve"> Karami</w:t>
      </w:r>
    </w:p>
    <w:p w14:paraId="758B06FA" w14:textId="769A9CE5" w:rsidR="00B27B4F" w:rsidRPr="00FE241F" w:rsidRDefault="00B27B4F" w:rsidP="00B27B4F">
      <w:pPr>
        <w:jc w:val="right"/>
        <w:rPr>
          <w:rFonts w:eastAsia="Calibri" w:cs="Times New Roman"/>
          <w:szCs w:val="24"/>
          <w:lang w:val="nb-NO"/>
        </w:rPr>
      </w:pPr>
      <w:r w:rsidRPr="00FE241F">
        <w:rPr>
          <w:rFonts w:eastAsia="Calibri" w:cs="Times New Roman"/>
          <w:szCs w:val="24"/>
          <w:lang w:val="nb-NO"/>
        </w:rPr>
        <w:t xml:space="preserve">Dr. </w:t>
      </w:r>
      <w:r w:rsidR="004C6C41" w:rsidRPr="00FE241F">
        <w:rPr>
          <w:rFonts w:eastAsia="Calibri" w:cs="Times New Roman"/>
          <w:szCs w:val="24"/>
          <w:lang w:val="nb-NO"/>
        </w:rPr>
        <w:t>Harold Stalford</w:t>
      </w:r>
    </w:p>
    <w:p w14:paraId="343CE820" w14:textId="77777777" w:rsidR="00B27B4F" w:rsidRPr="00FE241F" w:rsidRDefault="00B27B4F" w:rsidP="00B27B4F">
      <w:pPr>
        <w:jc w:val="center"/>
        <w:rPr>
          <w:rFonts w:eastAsia="Calibri" w:cs="Times New Roman"/>
          <w:szCs w:val="24"/>
          <w:lang w:val="nb-NO"/>
        </w:rPr>
      </w:pPr>
    </w:p>
    <w:p w14:paraId="1B7CE690" w14:textId="1FA1F196" w:rsidR="0036326E" w:rsidRPr="00FE241F" w:rsidRDefault="0036326E" w:rsidP="0036326E">
      <w:pPr>
        <w:rPr>
          <w:lang w:val="nb-NO"/>
        </w:rPr>
      </w:pPr>
    </w:p>
    <w:p w14:paraId="22BDD8CB" w14:textId="68329A4B" w:rsidR="00B27B4F" w:rsidRPr="00FE241F" w:rsidRDefault="00B27B4F" w:rsidP="0036326E">
      <w:pPr>
        <w:rPr>
          <w:lang w:val="nb-NO"/>
        </w:rPr>
      </w:pPr>
    </w:p>
    <w:p w14:paraId="78561213" w14:textId="19005326" w:rsidR="00B27B4F" w:rsidRPr="00FE241F" w:rsidRDefault="00B27B4F" w:rsidP="0036326E">
      <w:pPr>
        <w:rPr>
          <w:lang w:val="nb-NO"/>
        </w:rPr>
      </w:pPr>
    </w:p>
    <w:p w14:paraId="3C82902D" w14:textId="77E1F11A" w:rsidR="00B27B4F" w:rsidRPr="00FE241F" w:rsidRDefault="00B27B4F" w:rsidP="0036326E">
      <w:pPr>
        <w:rPr>
          <w:lang w:val="nb-NO"/>
        </w:rPr>
      </w:pPr>
    </w:p>
    <w:p w14:paraId="0843FF21" w14:textId="77777777" w:rsidR="000C7D59" w:rsidRPr="00FE241F" w:rsidRDefault="000C7D59" w:rsidP="000C7D59">
      <w:pPr>
        <w:rPr>
          <w:lang w:val="nb-NO"/>
        </w:rPr>
      </w:pPr>
    </w:p>
    <w:p w14:paraId="339F5487" w14:textId="77777777" w:rsidR="000C7D59" w:rsidRPr="00FE241F" w:rsidRDefault="000C7D59" w:rsidP="000C7D59">
      <w:pPr>
        <w:rPr>
          <w:lang w:val="nb-NO"/>
        </w:rPr>
      </w:pPr>
    </w:p>
    <w:p w14:paraId="7F665F1B" w14:textId="77777777" w:rsidR="000C7D59" w:rsidRPr="00FE241F" w:rsidRDefault="000C7D59" w:rsidP="000C7D59">
      <w:pPr>
        <w:spacing w:line="276" w:lineRule="auto"/>
        <w:jc w:val="center"/>
        <w:rPr>
          <w:lang w:val="nb-NO"/>
        </w:rPr>
      </w:pPr>
    </w:p>
    <w:p w14:paraId="7211D449" w14:textId="77777777" w:rsidR="000C7D59" w:rsidRPr="00FE241F" w:rsidRDefault="000C7D59" w:rsidP="000C7D59">
      <w:pPr>
        <w:spacing w:line="276" w:lineRule="auto"/>
        <w:jc w:val="center"/>
        <w:rPr>
          <w:lang w:val="nb-NO"/>
        </w:rPr>
      </w:pPr>
    </w:p>
    <w:p w14:paraId="027BBA85" w14:textId="77777777" w:rsidR="000C7D59" w:rsidRPr="00FE241F" w:rsidRDefault="000C7D59" w:rsidP="000C7D59">
      <w:pPr>
        <w:spacing w:line="276" w:lineRule="auto"/>
        <w:jc w:val="center"/>
        <w:rPr>
          <w:lang w:val="nb-NO"/>
        </w:rPr>
      </w:pPr>
    </w:p>
    <w:p w14:paraId="5EF2A976" w14:textId="77777777" w:rsidR="000C7D59" w:rsidRPr="00FE241F" w:rsidRDefault="000C7D59" w:rsidP="000C7D59">
      <w:pPr>
        <w:spacing w:line="276" w:lineRule="auto"/>
        <w:jc w:val="center"/>
        <w:rPr>
          <w:lang w:val="nb-NO"/>
        </w:rPr>
      </w:pPr>
    </w:p>
    <w:p w14:paraId="4C3316F4" w14:textId="77777777" w:rsidR="000C7D59" w:rsidRPr="00FE241F" w:rsidRDefault="000C7D59" w:rsidP="000C7D59">
      <w:pPr>
        <w:spacing w:line="276" w:lineRule="auto"/>
        <w:jc w:val="center"/>
        <w:rPr>
          <w:lang w:val="nb-NO"/>
        </w:rPr>
      </w:pPr>
    </w:p>
    <w:p w14:paraId="4881F8D6" w14:textId="77777777" w:rsidR="000C7D59" w:rsidRPr="00FE241F" w:rsidRDefault="000C7D59" w:rsidP="000C7D59">
      <w:pPr>
        <w:spacing w:line="276" w:lineRule="auto"/>
        <w:jc w:val="center"/>
        <w:rPr>
          <w:lang w:val="nb-NO"/>
        </w:rPr>
      </w:pPr>
    </w:p>
    <w:p w14:paraId="1009F656" w14:textId="77777777" w:rsidR="000C7D59" w:rsidRPr="00FE241F" w:rsidRDefault="000C7D59" w:rsidP="000C7D59">
      <w:pPr>
        <w:spacing w:line="276" w:lineRule="auto"/>
        <w:jc w:val="center"/>
        <w:rPr>
          <w:lang w:val="nb-NO"/>
        </w:rPr>
      </w:pPr>
    </w:p>
    <w:p w14:paraId="3FB45FA6" w14:textId="77777777" w:rsidR="000C7D59" w:rsidRPr="00FE241F" w:rsidRDefault="000C7D59" w:rsidP="000C7D59">
      <w:pPr>
        <w:spacing w:line="276" w:lineRule="auto"/>
        <w:jc w:val="center"/>
        <w:rPr>
          <w:lang w:val="nb-NO"/>
        </w:rPr>
      </w:pPr>
    </w:p>
    <w:p w14:paraId="2163C345" w14:textId="77777777" w:rsidR="000C7D59" w:rsidRPr="00FE241F" w:rsidRDefault="000C7D59" w:rsidP="000C7D59">
      <w:pPr>
        <w:spacing w:line="276" w:lineRule="auto"/>
        <w:jc w:val="center"/>
        <w:rPr>
          <w:lang w:val="nb-NO"/>
        </w:rPr>
      </w:pPr>
    </w:p>
    <w:p w14:paraId="3CDF39C9" w14:textId="77777777" w:rsidR="000C7D59" w:rsidRPr="00FE241F" w:rsidRDefault="000C7D59" w:rsidP="000C7D59">
      <w:pPr>
        <w:spacing w:line="276" w:lineRule="auto"/>
        <w:jc w:val="center"/>
        <w:rPr>
          <w:lang w:val="nb-NO"/>
        </w:rPr>
      </w:pPr>
    </w:p>
    <w:p w14:paraId="77B97C32" w14:textId="77777777" w:rsidR="000C7D59" w:rsidRPr="00FE241F" w:rsidRDefault="000C7D59" w:rsidP="000C7D59">
      <w:pPr>
        <w:spacing w:line="276" w:lineRule="auto"/>
        <w:jc w:val="center"/>
        <w:rPr>
          <w:lang w:val="nb-NO"/>
        </w:rPr>
      </w:pPr>
    </w:p>
    <w:p w14:paraId="72EA78D2" w14:textId="77777777" w:rsidR="000C7D59" w:rsidRPr="00FE241F" w:rsidRDefault="000C7D59" w:rsidP="000C7D59">
      <w:pPr>
        <w:spacing w:line="276" w:lineRule="auto"/>
        <w:jc w:val="center"/>
        <w:rPr>
          <w:lang w:val="nb-NO"/>
        </w:rPr>
      </w:pPr>
    </w:p>
    <w:p w14:paraId="70B9243D" w14:textId="77777777" w:rsidR="000C7D59" w:rsidRPr="00FE241F" w:rsidRDefault="000C7D59" w:rsidP="000C7D59">
      <w:pPr>
        <w:spacing w:line="276" w:lineRule="auto"/>
        <w:jc w:val="center"/>
        <w:rPr>
          <w:lang w:val="nb-NO"/>
        </w:rPr>
      </w:pPr>
    </w:p>
    <w:p w14:paraId="47CB40FA" w14:textId="77777777" w:rsidR="000C7D59" w:rsidRPr="00FE241F" w:rsidRDefault="000C7D59" w:rsidP="000C7D59">
      <w:pPr>
        <w:spacing w:line="276" w:lineRule="auto"/>
        <w:jc w:val="center"/>
        <w:rPr>
          <w:lang w:val="nb-NO"/>
        </w:rPr>
      </w:pPr>
    </w:p>
    <w:p w14:paraId="23DCF5A4" w14:textId="77777777" w:rsidR="000C7D59" w:rsidRPr="00FE241F" w:rsidRDefault="000C7D59" w:rsidP="000C7D59">
      <w:pPr>
        <w:spacing w:line="276" w:lineRule="auto"/>
        <w:jc w:val="center"/>
        <w:rPr>
          <w:lang w:val="nb-NO"/>
        </w:rPr>
      </w:pPr>
    </w:p>
    <w:p w14:paraId="1997382D" w14:textId="77777777" w:rsidR="000C7D59" w:rsidRPr="00FE241F" w:rsidRDefault="000C7D59" w:rsidP="000C7D59">
      <w:pPr>
        <w:spacing w:line="276" w:lineRule="auto"/>
        <w:jc w:val="center"/>
        <w:rPr>
          <w:lang w:val="nb-NO"/>
        </w:rPr>
      </w:pPr>
    </w:p>
    <w:p w14:paraId="59F85F99" w14:textId="77777777" w:rsidR="000C7D59" w:rsidRPr="00FE241F" w:rsidRDefault="000C7D59" w:rsidP="000C7D59">
      <w:pPr>
        <w:spacing w:line="276" w:lineRule="auto"/>
        <w:jc w:val="center"/>
        <w:rPr>
          <w:lang w:val="nb-NO"/>
        </w:rPr>
      </w:pPr>
    </w:p>
    <w:p w14:paraId="2975A6CA" w14:textId="77777777" w:rsidR="000C7D59" w:rsidRPr="00FE241F" w:rsidRDefault="000C7D59" w:rsidP="000C7D59">
      <w:pPr>
        <w:spacing w:line="276" w:lineRule="auto"/>
        <w:jc w:val="center"/>
        <w:rPr>
          <w:lang w:val="nb-NO"/>
        </w:rPr>
      </w:pPr>
    </w:p>
    <w:p w14:paraId="1EBDA9A1" w14:textId="77777777" w:rsidR="000C7D59" w:rsidRPr="00FE241F" w:rsidRDefault="000C7D59" w:rsidP="000C7D59">
      <w:pPr>
        <w:spacing w:line="276" w:lineRule="auto"/>
        <w:jc w:val="center"/>
        <w:rPr>
          <w:lang w:val="nb-NO"/>
        </w:rPr>
      </w:pPr>
    </w:p>
    <w:p w14:paraId="30CC53CC" w14:textId="77777777" w:rsidR="000C7D59" w:rsidRPr="00FE241F" w:rsidRDefault="000C7D59" w:rsidP="000C7D59">
      <w:pPr>
        <w:spacing w:line="276" w:lineRule="auto"/>
        <w:jc w:val="center"/>
        <w:rPr>
          <w:lang w:val="nb-NO"/>
        </w:rPr>
      </w:pPr>
    </w:p>
    <w:p w14:paraId="00EF5894" w14:textId="77777777" w:rsidR="000C7D59" w:rsidRPr="00FE241F" w:rsidRDefault="000C7D59" w:rsidP="000C7D59">
      <w:pPr>
        <w:spacing w:line="276" w:lineRule="auto"/>
        <w:jc w:val="center"/>
        <w:rPr>
          <w:lang w:val="nb-NO"/>
        </w:rPr>
      </w:pPr>
    </w:p>
    <w:p w14:paraId="38ECD526" w14:textId="77777777" w:rsidR="000C7D59" w:rsidRPr="00FE241F" w:rsidRDefault="000C7D59" w:rsidP="000C7D59">
      <w:pPr>
        <w:spacing w:line="276" w:lineRule="auto"/>
        <w:jc w:val="center"/>
        <w:rPr>
          <w:lang w:val="nb-NO"/>
        </w:rPr>
      </w:pPr>
    </w:p>
    <w:p w14:paraId="28987D87" w14:textId="77777777" w:rsidR="000C7D59" w:rsidRPr="00FE241F" w:rsidRDefault="000C7D59" w:rsidP="000C7D59">
      <w:pPr>
        <w:spacing w:line="276" w:lineRule="auto"/>
        <w:jc w:val="center"/>
        <w:rPr>
          <w:lang w:val="nb-NO"/>
        </w:rPr>
      </w:pPr>
    </w:p>
    <w:p w14:paraId="13EF32A4" w14:textId="77777777" w:rsidR="000C7D59" w:rsidRPr="00FE241F" w:rsidRDefault="000C7D59" w:rsidP="000C7D59">
      <w:pPr>
        <w:spacing w:line="276" w:lineRule="auto"/>
        <w:jc w:val="center"/>
        <w:rPr>
          <w:lang w:val="nb-NO"/>
        </w:rPr>
      </w:pPr>
    </w:p>
    <w:p w14:paraId="0F995835" w14:textId="77777777" w:rsidR="000C7D59" w:rsidRPr="00FE241F" w:rsidRDefault="000C7D59" w:rsidP="000C7D59">
      <w:pPr>
        <w:spacing w:line="276" w:lineRule="auto"/>
        <w:jc w:val="center"/>
        <w:rPr>
          <w:lang w:val="nb-NO"/>
        </w:rPr>
      </w:pPr>
    </w:p>
    <w:p w14:paraId="1E16D25A" w14:textId="77777777" w:rsidR="000C7D59" w:rsidRPr="00FE241F" w:rsidRDefault="000C7D59" w:rsidP="000C7D59">
      <w:pPr>
        <w:spacing w:line="276" w:lineRule="auto"/>
        <w:jc w:val="center"/>
        <w:rPr>
          <w:lang w:val="nb-NO"/>
        </w:rPr>
      </w:pPr>
    </w:p>
    <w:p w14:paraId="7F04AC22" w14:textId="77777777" w:rsidR="000C7D59" w:rsidRPr="00FE241F" w:rsidRDefault="000C7D59" w:rsidP="000C7D59">
      <w:pPr>
        <w:spacing w:line="276" w:lineRule="auto"/>
        <w:jc w:val="center"/>
        <w:rPr>
          <w:lang w:val="nb-NO"/>
        </w:rPr>
      </w:pPr>
    </w:p>
    <w:p w14:paraId="2281569C" w14:textId="77777777" w:rsidR="000C7D59" w:rsidRPr="00FE241F" w:rsidRDefault="000C7D59" w:rsidP="000C7D59">
      <w:pPr>
        <w:spacing w:line="276" w:lineRule="auto"/>
        <w:jc w:val="center"/>
        <w:rPr>
          <w:lang w:val="nb-NO"/>
        </w:rPr>
      </w:pPr>
    </w:p>
    <w:p w14:paraId="138EA6AF" w14:textId="77777777" w:rsidR="000C7D59" w:rsidRPr="00FE241F" w:rsidRDefault="000C7D59" w:rsidP="000C7D59">
      <w:pPr>
        <w:spacing w:line="276" w:lineRule="auto"/>
        <w:jc w:val="center"/>
        <w:rPr>
          <w:lang w:val="nb-NO"/>
        </w:rPr>
      </w:pPr>
    </w:p>
    <w:p w14:paraId="027A9A16" w14:textId="0F1E9DFD" w:rsidR="000C7D59" w:rsidRDefault="000C7D59" w:rsidP="000C7D59">
      <w:pPr>
        <w:spacing w:line="276" w:lineRule="auto"/>
        <w:jc w:val="center"/>
      </w:pPr>
      <w:r>
        <w:t xml:space="preserve">© Copyright by </w:t>
      </w:r>
      <w:r w:rsidR="004C6C41">
        <w:t>JARRETT WISE</w:t>
      </w:r>
      <w:r>
        <w:t xml:space="preserve"> 20</w:t>
      </w:r>
      <w:r w:rsidR="00C14BBF">
        <w:t>21</w:t>
      </w:r>
    </w:p>
    <w:p w14:paraId="75CBDBA7" w14:textId="7866B58B" w:rsidR="00CE1B7C" w:rsidRDefault="000C7D59" w:rsidP="00950475">
      <w:pPr>
        <w:spacing w:line="276" w:lineRule="auto"/>
        <w:jc w:val="center"/>
        <w:sectPr w:rsidR="00CE1B7C" w:rsidSect="001532AB">
          <w:footerReference w:type="default" r:id="rId11"/>
          <w:pgSz w:w="12240" w:h="15840"/>
          <w:pgMar w:top="1440" w:right="1440" w:bottom="1440" w:left="1440" w:header="720" w:footer="720" w:gutter="0"/>
          <w:pgNumType w:fmt="lowerRoman"/>
          <w:cols w:space="720"/>
          <w:docGrid w:linePitch="360"/>
        </w:sectPr>
      </w:pPr>
      <w:r>
        <w:t>All Rights Reserved.</w:t>
      </w:r>
    </w:p>
    <w:p w14:paraId="1269D1BA" w14:textId="36A104AC" w:rsidR="003177F2" w:rsidRDefault="003177F2" w:rsidP="00613415">
      <w:pPr>
        <w:pStyle w:val="Heading1"/>
        <w:numPr>
          <w:ilvl w:val="0"/>
          <w:numId w:val="0"/>
        </w:numPr>
      </w:pPr>
      <w:bookmarkStart w:id="2" w:name="_Toc67566015"/>
      <w:r>
        <w:lastRenderedPageBreak/>
        <w:t>Acknowledgement</w:t>
      </w:r>
      <w:bookmarkEnd w:id="2"/>
      <w:r>
        <w:t xml:space="preserve"> </w:t>
      </w:r>
    </w:p>
    <w:p w14:paraId="5E95C975" w14:textId="77777777" w:rsidR="007C472E" w:rsidRDefault="003423D3" w:rsidP="002A0F2B">
      <w:pPr>
        <w:ind w:firstLine="720"/>
      </w:pPr>
      <w:r>
        <w:t>First I would like to thank my advisor Dr. Runar Nygaard for accepting me as a graduate student at OSU and bringing me to OU. He has been an amazing academic advisor but also a mentor and a friend. I have enjoyed grabbing lunches and talking about life over the last four years</w:t>
      </w:r>
      <w:r w:rsidR="007C472E">
        <w:t xml:space="preserve"> all while beating him in March Madness brackets</w:t>
      </w:r>
      <w:r>
        <w:t xml:space="preserve">. </w:t>
      </w:r>
    </w:p>
    <w:p w14:paraId="6EDAE172" w14:textId="258DDA9E" w:rsidR="004F2B2C" w:rsidRDefault="003423D3" w:rsidP="002A0F2B">
      <w:pPr>
        <w:ind w:firstLine="720"/>
      </w:pPr>
      <w:r>
        <w:t>In addition, I would like to thank my committee members, Dr. Saeed Salehi for all his valuable time and the conversations we have had,</w:t>
      </w:r>
      <w:r w:rsidR="0061511D">
        <w:t xml:space="preserve"> Dr. </w:t>
      </w:r>
      <w:r w:rsidR="0061511D" w:rsidRPr="0061511D">
        <w:t>Hamidreza</w:t>
      </w:r>
      <w:r>
        <w:t xml:space="preserve"> Karami for discussing career paths and helping with fluid flow derivations, and Dr. Harold Stalford for his valuable feedback and support. I would also like to thank Nils Opedal from SINTEF for the collaborations and some of the experimental data used in this work, and the research group from NORCE for the ex</w:t>
      </w:r>
      <w:r w:rsidR="007C472E">
        <w:t>perimental data, feedback, and collaborations</w:t>
      </w:r>
      <w:r>
        <w:t xml:space="preserve"> on two publications. I would also like to thank the graduate students who have helped with feedback, editing (ACED), </w:t>
      </w:r>
      <w:r w:rsidR="007C472E">
        <w:t>good times, and technical discussions</w:t>
      </w:r>
      <w:r>
        <w:t xml:space="preserve">. </w:t>
      </w:r>
    </w:p>
    <w:p w14:paraId="7FF6A58C" w14:textId="37C19739" w:rsidR="007C472E" w:rsidRDefault="007C472E" w:rsidP="002A0F2B">
      <w:pPr>
        <w:ind w:firstLine="720"/>
      </w:pPr>
      <w:r>
        <w:t>Lastly, I would like to thank my family</w:t>
      </w:r>
      <w:r w:rsidR="00F10B07">
        <w:t xml:space="preserve"> back home and my Norman family at Paradigm</w:t>
      </w:r>
      <w:r>
        <w:t xml:space="preserve"> for their love, support, and encouragement through this process. The many years of school and numerous destinations along the way couldn’t have been done without their support. </w:t>
      </w:r>
    </w:p>
    <w:p w14:paraId="3FED8527" w14:textId="7660FED5" w:rsidR="00C43D72" w:rsidRDefault="00C43D72" w:rsidP="00C8130B"/>
    <w:p w14:paraId="08C55BA3" w14:textId="77777777" w:rsidR="00494844" w:rsidRDefault="00494844" w:rsidP="001D1756"/>
    <w:p w14:paraId="5953F2C2" w14:textId="77777777" w:rsidR="00E93E99" w:rsidRDefault="00E93E99" w:rsidP="00CE5999">
      <w:pPr>
        <w:pStyle w:val="Heading1"/>
        <w:numPr>
          <w:ilvl w:val="0"/>
          <w:numId w:val="0"/>
        </w:numPr>
      </w:pPr>
      <w:bookmarkStart w:id="3" w:name="_Toc67566016"/>
      <w:r>
        <w:lastRenderedPageBreak/>
        <w:t>Table of Contents</w:t>
      </w:r>
      <w:bookmarkEnd w:id="3"/>
    </w:p>
    <w:p w14:paraId="627AC7F9" w14:textId="792422B2" w:rsidR="00BE53A8" w:rsidRDefault="00956CF3">
      <w:pPr>
        <w:pStyle w:val="TOC1"/>
        <w:tabs>
          <w:tab w:val="right" w:leader="dot" w:pos="9350"/>
        </w:tabs>
        <w:rPr>
          <w:rFonts w:asciiTheme="minorHAnsi" w:eastAsiaTheme="minorEastAsia" w:hAnsiTheme="minorHAnsi"/>
          <w:noProof/>
          <w:sz w:val="22"/>
        </w:rPr>
      </w:pPr>
      <w:r>
        <w:fldChar w:fldCharType="begin"/>
      </w:r>
      <w:r>
        <w:instrText xml:space="preserve"> TOC \o "1-3" \h \z \u </w:instrText>
      </w:r>
      <w:r>
        <w:fldChar w:fldCharType="separate"/>
      </w:r>
      <w:hyperlink w:anchor="_Toc67566015" w:history="1">
        <w:r w:rsidR="00BE53A8" w:rsidRPr="00CF1C01">
          <w:rPr>
            <w:rStyle w:val="Hyperlink"/>
            <w:noProof/>
          </w:rPr>
          <w:t>Acknowledgement</w:t>
        </w:r>
        <w:r w:rsidR="00BE53A8">
          <w:rPr>
            <w:noProof/>
            <w:webHidden/>
          </w:rPr>
          <w:tab/>
        </w:r>
        <w:r w:rsidR="00BE53A8">
          <w:rPr>
            <w:noProof/>
            <w:webHidden/>
          </w:rPr>
          <w:fldChar w:fldCharType="begin"/>
        </w:r>
        <w:r w:rsidR="00BE53A8">
          <w:rPr>
            <w:noProof/>
            <w:webHidden/>
          </w:rPr>
          <w:instrText xml:space="preserve"> PAGEREF _Toc67566015 \h </w:instrText>
        </w:r>
        <w:r w:rsidR="00BE53A8">
          <w:rPr>
            <w:noProof/>
            <w:webHidden/>
          </w:rPr>
        </w:r>
        <w:r w:rsidR="00BE53A8">
          <w:rPr>
            <w:noProof/>
            <w:webHidden/>
          </w:rPr>
          <w:fldChar w:fldCharType="separate"/>
        </w:r>
        <w:r w:rsidR="0061511D">
          <w:rPr>
            <w:noProof/>
            <w:webHidden/>
          </w:rPr>
          <w:t>iv</w:t>
        </w:r>
        <w:r w:rsidR="00BE53A8">
          <w:rPr>
            <w:noProof/>
            <w:webHidden/>
          </w:rPr>
          <w:fldChar w:fldCharType="end"/>
        </w:r>
      </w:hyperlink>
    </w:p>
    <w:p w14:paraId="1B568DE0" w14:textId="36FCA786" w:rsidR="00BE53A8" w:rsidRDefault="00077C0B">
      <w:pPr>
        <w:pStyle w:val="TOC1"/>
        <w:tabs>
          <w:tab w:val="right" w:leader="dot" w:pos="9350"/>
        </w:tabs>
        <w:rPr>
          <w:rFonts w:asciiTheme="minorHAnsi" w:eastAsiaTheme="minorEastAsia" w:hAnsiTheme="minorHAnsi"/>
          <w:noProof/>
          <w:sz w:val="22"/>
        </w:rPr>
      </w:pPr>
      <w:hyperlink w:anchor="_Toc67566016" w:history="1">
        <w:r w:rsidR="00BE53A8" w:rsidRPr="00CF1C01">
          <w:rPr>
            <w:rStyle w:val="Hyperlink"/>
            <w:noProof/>
          </w:rPr>
          <w:t>Table of Contents</w:t>
        </w:r>
        <w:r w:rsidR="00BE53A8">
          <w:rPr>
            <w:noProof/>
            <w:webHidden/>
          </w:rPr>
          <w:tab/>
        </w:r>
        <w:r w:rsidR="00BE53A8">
          <w:rPr>
            <w:noProof/>
            <w:webHidden/>
          </w:rPr>
          <w:fldChar w:fldCharType="begin"/>
        </w:r>
        <w:r w:rsidR="00BE53A8">
          <w:rPr>
            <w:noProof/>
            <w:webHidden/>
          </w:rPr>
          <w:instrText xml:space="preserve"> PAGEREF _Toc67566016 \h </w:instrText>
        </w:r>
        <w:r w:rsidR="00BE53A8">
          <w:rPr>
            <w:noProof/>
            <w:webHidden/>
          </w:rPr>
        </w:r>
        <w:r w:rsidR="00BE53A8">
          <w:rPr>
            <w:noProof/>
            <w:webHidden/>
          </w:rPr>
          <w:fldChar w:fldCharType="separate"/>
        </w:r>
        <w:r w:rsidR="0061511D">
          <w:rPr>
            <w:noProof/>
            <w:webHidden/>
          </w:rPr>
          <w:t>v</w:t>
        </w:r>
        <w:r w:rsidR="00BE53A8">
          <w:rPr>
            <w:noProof/>
            <w:webHidden/>
          </w:rPr>
          <w:fldChar w:fldCharType="end"/>
        </w:r>
      </w:hyperlink>
    </w:p>
    <w:p w14:paraId="628D8BDC" w14:textId="09EEEB68" w:rsidR="00BE53A8" w:rsidRDefault="00077C0B">
      <w:pPr>
        <w:pStyle w:val="TOC1"/>
        <w:tabs>
          <w:tab w:val="right" w:leader="dot" w:pos="9350"/>
        </w:tabs>
        <w:rPr>
          <w:rFonts w:asciiTheme="minorHAnsi" w:eastAsiaTheme="minorEastAsia" w:hAnsiTheme="minorHAnsi"/>
          <w:noProof/>
          <w:sz w:val="22"/>
        </w:rPr>
      </w:pPr>
      <w:hyperlink w:anchor="_Toc67566017" w:history="1">
        <w:r w:rsidR="00BE53A8" w:rsidRPr="00CF1C01">
          <w:rPr>
            <w:rStyle w:val="Hyperlink"/>
            <w:noProof/>
          </w:rPr>
          <w:t>List of Tables</w:t>
        </w:r>
        <w:r w:rsidR="00BE53A8">
          <w:rPr>
            <w:noProof/>
            <w:webHidden/>
          </w:rPr>
          <w:tab/>
        </w:r>
        <w:r w:rsidR="00BE53A8">
          <w:rPr>
            <w:noProof/>
            <w:webHidden/>
          </w:rPr>
          <w:fldChar w:fldCharType="begin"/>
        </w:r>
        <w:r w:rsidR="00BE53A8">
          <w:rPr>
            <w:noProof/>
            <w:webHidden/>
          </w:rPr>
          <w:instrText xml:space="preserve"> PAGEREF _Toc67566017 \h </w:instrText>
        </w:r>
        <w:r w:rsidR="00BE53A8">
          <w:rPr>
            <w:noProof/>
            <w:webHidden/>
          </w:rPr>
        </w:r>
        <w:r w:rsidR="00BE53A8">
          <w:rPr>
            <w:noProof/>
            <w:webHidden/>
          </w:rPr>
          <w:fldChar w:fldCharType="separate"/>
        </w:r>
        <w:r w:rsidR="0061511D">
          <w:rPr>
            <w:noProof/>
            <w:webHidden/>
          </w:rPr>
          <w:t>ix</w:t>
        </w:r>
        <w:r w:rsidR="00BE53A8">
          <w:rPr>
            <w:noProof/>
            <w:webHidden/>
          </w:rPr>
          <w:fldChar w:fldCharType="end"/>
        </w:r>
      </w:hyperlink>
    </w:p>
    <w:p w14:paraId="6B3B6DAE" w14:textId="7B3D0A33" w:rsidR="00BE53A8" w:rsidRDefault="00077C0B">
      <w:pPr>
        <w:pStyle w:val="TOC1"/>
        <w:tabs>
          <w:tab w:val="right" w:leader="dot" w:pos="9350"/>
        </w:tabs>
        <w:rPr>
          <w:rFonts w:asciiTheme="minorHAnsi" w:eastAsiaTheme="minorEastAsia" w:hAnsiTheme="minorHAnsi"/>
          <w:noProof/>
          <w:sz w:val="22"/>
        </w:rPr>
      </w:pPr>
      <w:hyperlink w:anchor="_Toc67566018" w:history="1">
        <w:r w:rsidR="00BE53A8" w:rsidRPr="00CF1C01">
          <w:rPr>
            <w:rStyle w:val="Hyperlink"/>
            <w:noProof/>
          </w:rPr>
          <w:t>List of Figures</w:t>
        </w:r>
        <w:r w:rsidR="00BE53A8">
          <w:rPr>
            <w:noProof/>
            <w:webHidden/>
          </w:rPr>
          <w:tab/>
        </w:r>
        <w:r w:rsidR="00BE53A8">
          <w:rPr>
            <w:noProof/>
            <w:webHidden/>
          </w:rPr>
          <w:fldChar w:fldCharType="begin"/>
        </w:r>
        <w:r w:rsidR="00BE53A8">
          <w:rPr>
            <w:noProof/>
            <w:webHidden/>
          </w:rPr>
          <w:instrText xml:space="preserve"> PAGEREF _Toc67566018 \h </w:instrText>
        </w:r>
        <w:r w:rsidR="00BE53A8">
          <w:rPr>
            <w:noProof/>
            <w:webHidden/>
          </w:rPr>
        </w:r>
        <w:r w:rsidR="00BE53A8">
          <w:rPr>
            <w:noProof/>
            <w:webHidden/>
          </w:rPr>
          <w:fldChar w:fldCharType="separate"/>
        </w:r>
        <w:r w:rsidR="0061511D">
          <w:rPr>
            <w:noProof/>
            <w:webHidden/>
          </w:rPr>
          <w:t>xii</w:t>
        </w:r>
        <w:r w:rsidR="00BE53A8">
          <w:rPr>
            <w:noProof/>
            <w:webHidden/>
          </w:rPr>
          <w:fldChar w:fldCharType="end"/>
        </w:r>
      </w:hyperlink>
    </w:p>
    <w:p w14:paraId="61EBA897" w14:textId="50F3BD39" w:rsidR="00BE53A8" w:rsidRDefault="00077C0B">
      <w:pPr>
        <w:pStyle w:val="TOC1"/>
        <w:tabs>
          <w:tab w:val="right" w:leader="dot" w:pos="9350"/>
        </w:tabs>
        <w:rPr>
          <w:rFonts w:asciiTheme="minorHAnsi" w:eastAsiaTheme="minorEastAsia" w:hAnsiTheme="minorHAnsi"/>
          <w:noProof/>
          <w:sz w:val="22"/>
        </w:rPr>
      </w:pPr>
      <w:hyperlink w:anchor="_Toc67566019" w:history="1">
        <w:r w:rsidR="00BE53A8" w:rsidRPr="00CF1C01">
          <w:rPr>
            <w:rStyle w:val="Hyperlink"/>
            <w:noProof/>
          </w:rPr>
          <w:t>Abstract</w:t>
        </w:r>
        <w:r w:rsidR="00BE53A8">
          <w:rPr>
            <w:noProof/>
            <w:webHidden/>
          </w:rPr>
          <w:tab/>
        </w:r>
        <w:r w:rsidR="00BE53A8">
          <w:rPr>
            <w:noProof/>
            <w:webHidden/>
          </w:rPr>
          <w:fldChar w:fldCharType="begin"/>
        </w:r>
        <w:r w:rsidR="00BE53A8">
          <w:rPr>
            <w:noProof/>
            <w:webHidden/>
          </w:rPr>
          <w:instrText xml:space="preserve"> PAGEREF _Toc67566019 \h </w:instrText>
        </w:r>
        <w:r w:rsidR="00BE53A8">
          <w:rPr>
            <w:noProof/>
            <w:webHidden/>
          </w:rPr>
        </w:r>
        <w:r w:rsidR="00BE53A8">
          <w:rPr>
            <w:noProof/>
            <w:webHidden/>
          </w:rPr>
          <w:fldChar w:fldCharType="separate"/>
        </w:r>
        <w:r w:rsidR="0061511D">
          <w:rPr>
            <w:noProof/>
            <w:webHidden/>
          </w:rPr>
          <w:t>xxiii</w:t>
        </w:r>
        <w:r w:rsidR="00BE53A8">
          <w:rPr>
            <w:noProof/>
            <w:webHidden/>
          </w:rPr>
          <w:fldChar w:fldCharType="end"/>
        </w:r>
      </w:hyperlink>
    </w:p>
    <w:p w14:paraId="28AF96C7" w14:textId="315CA8DA" w:rsidR="00BE53A8" w:rsidRDefault="00077C0B">
      <w:pPr>
        <w:pStyle w:val="TOC1"/>
        <w:tabs>
          <w:tab w:val="right" w:leader="dot" w:pos="9350"/>
        </w:tabs>
        <w:rPr>
          <w:rFonts w:asciiTheme="minorHAnsi" w:eastAsiaTheme="minorEastAsia" w:hAnsiTheme="minorHAnsi"/>
          <w:noProof/>
          <w:sz w:val="22"/>
        </w:rPr>
      </w:pPr>
      <w:hyperlink w:anchor="_Toc67566020" w:history="1">
        <w:r w:rsidR="00BE53A8" w:rsidRPr="00CF1C01">
          <w:rPr>
            <w:rStyle w:val="Hyperlink"/>
            <w:noProof/>
          </w:rPr>
          <w:t>Chapter 1: Introduction</w:t>
        </w:r>
        <w:r w:rsidR="00BE53A8">
          <w:rPr>
            <w:noProof/>
            <w:webHidden/>
          </w:rPr>
          <w:tab/>
        </w:r>
        <w:r w:rsidR="00BE53A8">
          <w:rPr>
            <w:noProof/>
            <w:webHidden/>
          </w:rPr>
          <w:fldChar w:fldCharType="begin"/>
        </w:r>
        <w:r w:rsidR="00BE53A8">
          <w:rPr>
            <w:noProof/>
            <w:webHidden/>
          </w:rPr>
          <w:instrText xml:space="preserve"> PAGEREF _Toc67566020 \h </w:instrText>
        </w:r>
        <w:r w:rsidR="00BE53A8">
          <w:rPr>
            <w:noProof/>
            <w:webHidden/>
          </w:rPr>
        </w:r>
        <w:r w:rsidR="00BE53A8">
          <w:rPr>
            <w:noProof/>
            <w:webHidden/>
          </w:rPr>
          <w:fldChar w:fldCharType="separate"/>
        </w:r>
        <w:r w:rsidR="0061511D">
          <w:rPr>
            <w:noProof/>
            <w:webHidden/>
          </w:rPr>
          <w:t>1</w:t>
        </w:r>
        <w:r w:rsidR="00BE53A8">
          <w:rPr>
            <w:noProof/>
            <w:webHidden/>
          </w:rPr>
          <w:fldChar w:fldCharType="end"/>
        </w:r>
      </w:hyperlink>
    </w:p>
    <w:p w14:paraId="733815AC" w14:textId="0170D21E" w:rsidR="00BE53A8" w:rsidRDefault="00077C0B">
      <w:pPr>
        <w:pStyle w:val="TOC1"/>
        <w:tabs>
          <w:tab w:val="right" w:leader="dot" w:pos="9350"/>
        </w:tabs>
        <w:rPr>
          <w:rFonts w:asciiTheme="minorHAnsi" w:eastAsiaTheme="minorEastAsia" w:hAnsiTheme="minorHAnsi"/>
          <w:noProof/>
          <w:sz w:val="22"/>
        </w:rPr>
      </w:pPr>
      <w:hyperlink w:anchor="_Toc67566021" w:history="1">
        <w:r w:rsidR="00BE53A8" w:rsidRPr="00CF1C01">
          <w:rPr>
            <w:rStyle w:val="Hyperlink"/>
            <w:noProof/>
          </w:rPr>
          <w:t>Chapter 2: Critical Literature Review</w:t>
        </w:r>
        <w:r w:rsidR="00BE53A8">
          <w:rPr>
            <w:noProof/>
            <w:webHidden/>
          </w:rPr>
          <w:tab/>
        </w:r>
        <w:r w:rsidR="00BE53A8">
          <w:rPr>
            <w:noProof/>
            <w:webHidden/>
          </w:rPr>
          <w:fldChar w:fldCharType="begin"/>
        </w:r>
        <w:r w:rsidR="00BE53A8">
          <w:rPr>
            <w:noProof/>
            <w:webHidden/>
          </w:rPr>
          <w:instrText xml:space="preserve"> PAGEREF _Toc67566021 \h </w:instrText>
        </w:r>
        <w:r w:rsidR="00BE53A8">
          <w:rPr>
            <w:noProof/>
            <w:webHidden/>
          </w:rPr>
        </w:r>
        <w:r w:rsidR="00BE53A8">
          <w:rPr>
            <w:noProof/>
            <w:webHidden/>
          </w:rPr>
          <w:fldChar w:fldCharType="separate"/>
        </w:r>
        <w:r w:rsidR="0061511D">
          <w:rPr>
            <w:noProof/>
            <w:webHidden/>
          </w:rPr>
          <w:t>4</w:t>
        </w:r>
        <w:r w:rsidR="00BE53A8">
          <w:rPr>
            <w:noProof/>
            <w:webHidden/>
          </w:rPr>
          <w:fldChar w:fldCharType="end"/>
        </w:r>
      </w:hyperlink>
    </w:p>
    <w:p w14:paraId="49A46F54" w14:textId="4A7B9799" w:rsidR="00BE53A8" w:rsidRDefault="00077C0B">
      <w:pPr>
        <w:pStyle w:val="TOC3"/>
        <w:tabs>
          <w:tab w:val="right" w:leader="dot" w:pos="9350"/>
        </w:tabs>
        <w:rPr>
          <w:rFonts w:asciiTheme="minorHAnsi" w:eastAsiaTheme="minorEastAsia" w:hAnsiTheme="minorHAnsi"/>
          <w:noProof/>
          <w:sz w:val="22"/>
        </w:rPr>
      </w:pPr>
      <w:hyperlink w:anchor="_Toc67566022" w:history="1">
        <w:r w:rsidR="00BE53A8" w:rsidRPr="00CF1C01">
          <w:rPr>
            <w:rStyle w:val="Hyperlink"/>
            <w:noProof/>
          </w:rPr>
          <w:t>2.1 Well Construction</w:t>
        </w:r>
        <w:r w:rsidR="00BE53A8">
          <w:rPr>
            <w:noProof/>
            <w:webHidden/>
          </w:rPr>
          <w:tab/>
        </w:r>
        <w:r w:rsidR="00BE53A8">
          <w:rPr>
            <w:noProof/>
            <w:webHidden/>
          </w:rPr>
          <w:fldChar w:fldCharType="begin"/>
        </w:r>
        <w:r w:rsidR="00BE53A8">
          <w:rPr>
            <w:noProof/>
            <w:webHidden/>
          </w:rPr>
          <w:instrText xml:space="preserve"> PAGEREF _Toc67566022 \h </w:instrText>
        </w:r>
        <w:r w:rsidR="00BE53A8">
          <w:rPr>
            <w:noProof/>
            <w:webHidden/>
          </w:rPr>
        </w:r>
        <w:r w:rsidR="00BE53A8">
          <w:rPr>
            <w:noProof/>
            <w:webHidden/>
          </w:rPr>
          <w:fldChar w:fldCharType="separate"/>
        </w:r>
        <w:r w:rsidR="0061511D">
          <w:rPr>
            <w:noProof/>
            <w:webHidden/>
          </w:rPr>
          <w:t>4</w:t>
        </w:r>
        <w:r w:rsidR="00BE53A8">
          <w:rPr>
            <w:noProof/>
            <w:webHidden/>
          </w:rPr>
          <w:fldChar w:fldCharType="end"/>
        </w:r>
      </w:hyperlink>
    </w:p>
    <w:p w14:paraId="444FCF7E" w14:textId="210B57CA" w:rsidR="00BE53A8" w:rsidRDefault="00077C0B">
      <w:pPr>
        <w:pStyle w:val="TOC3"/>
        <w:tabs>
          <w:tab w:val="right" w:leader="dot" w:pos="9350"/>
        </w:tabs>
        <w:rPr>
          <w:rFonts w:asciiTheme="minorHAnsi" w:eastAsiaTheme="minorEastAsia" w:hAnsiTheme="minorHAnsi"/>
          <w:noProof/>
          <w:sz w:val="22"/>
        </w:rPr>
      </w:pPr>
      <w:hyperlink w:anchor="_Toc67566023" w:history="1">
        <w:r w:rsidR="00BE53A8" w:rsidRPr="00CF1C01">
          <w:rPr>
            <w:rStyle w:val="Hyperlink"/>
            <w:noProof/>
          </w:rPr>
          <w:t>2.2 Well Operations</w:t>
        </w:r>
        <w:r w:rsidR="00BE53A8">
          <w:rPr>
            <w:noProof/>
            <w:webHidden/>
          </w:rPr>
          <w:tab/>
        </w:r>
        <w:r w:rsidR="00BE53A8">
          <w:rPr>
            <w:noProof/>
            <w:webHidden/>
          </w:rPr>
          <w:fldChar w:fldCharType="begin"/>
        </w:r>
        <w:r w:rsidR="00BE53A8">
          <w:rPr>
            <w:noProof/>
            <w:webHidden/>
          </w:rPr>
          <w:instrText xml:space="preserve"> PAGEREF _Toc67566023 \h </w:instrText>
        </w:r>
        <w:r w:rsidR="00BE53A8">
          <w:rPr>
            <w:noProof/>
            <w:webHidden/>
          </w:rPr>
        </w:r>
        <w:r w:rsidR="00BE53A8">
          <w:rPr>
            <w:noProof/>
            <w:webHidden/>
          </w:rPr>
          <w:fldChar w:fldCharType="separate"/>
        </w:r>
        <w:r w:rsidR="0061511D">
          <w:rPr>
            <w:noProof/>
            <w:webHidden/>
          </w:rPr>
          <w:t>15</w:t>
        </w:r>
        <w:r w:rsidR="00BE53A8">
          <w:rPr>
            <w:noProof/>
            <w:webHidden/>
          </w:rPr>
          <w:fldChar w:fldCharType="end"/>
        </w:r>
      </w:hyperlink>
    </w:p>
    <w:p w14:paraId="44D7F6C8" w14:textId="0844D08B" w:rsidR="00BE53A8" w:rsidRDefault="00077C0B">
      <w:pPr>
        <w:pStyle w:val="TOC2"/>
        <w:tabs>
          <w:tab w:val="right" w:leader="dot" w:pos="9350"/>
        </w:tabs>
        <w:rPr>
          <w:rFonts w:asciiTheme="minorHAnsi" w:eastAsiaTheme="minorEastAsia" w:hAnsiTheme="minorHAnsi"/>
          <w:noProof/>
          <w:sz w:val="22"/>
        </w:rPr>
      </w:pPr>
      <w:hyperlink w:anchor="_Toc67566024" w:history="1">
        <w:r w:rsidR="00BE53A8" w:rsidRPr="00CF1C01">
          <w:rPr>
            <w:rStyle w:val="Hyperlink"/>
            <w:noProof/>
          </w:rPr>
          <w:t>Wellbore leakage</w:t>
        </w:r>
        <w:r w:rsidR="00BE53A8">
          <w:rPr>
            <w:noProof/>
            <w:webHidden/>
          </w:rPr>
          <w:tab/>
        </w:r>
        <w:r w:rsidR="00BE53A8">
          <w:rPr>
            <w:noProof/>
            <w:webHidden/>
          </w:rPr>
          <w:fldChar w:fldCharType="begin"/>
        </w:r>
        <w:r w:rsidR="00BE53A8">
          <w:rPr>
            <w:noProof/>
            <w:webHidden/>
          </w:rPr>
          <w:instrText xml:space="preserve"> PAGEREF _Toc67566024 \h </w:instrText>
        </w:r>
        <w:r w:rsidR="00BE53A8">
          <w:rPr>
            <w:noProof/>
            <w:webHidden/>
          </w:rPr>
        </w:r>
        <w:r w:rsidR="00BE53A8">
          <w:rPr>
            <w:noProof/>
            <w:webHidden/>
          </w:rPr>
          <w:fldChar w:fldCharType="separate"/>
        </w:r>
        <w:r w:rsidR="0061511D">
          <w:rPr>
            <w:noProof/>
            <w:webHidden/>
          </w:rPr>
          <w:t>17</w:t>
        </w:r>
        <w:r w:rsidR="00BE53A8">
          <w:rPr>
            <w:noProof/>
            <w:webHidden/>
          </w:rPr>
          <w:fldChar w:fldCharType="end"/>
        </w:r>
      </w:hyperlink>
    </w:p>
    <w:p w14:paraId="2C23209D" w14:textId="7E1346F2" w:rsidR="00BE53A8" w:rsidRDefault="00077C0B">
      <w:pPr>
        <w:pStyle w:val="TOC3"/>
        <w:tabs>
          <w:tab w:val="right" w:leader="dot" w:pos="9350"/>
        </w:tabs>
        <w:rPr>
          <w:rFonts w:asciiTheme="minorHAnsi" w:eastAsiaTheme="minorEastAsia" w:hAnsiTheme="minorHAnsi"/>
          <w:noProof/>
          <w:sz w:val="22"/>
        </w:rPr>
      </w:pPr>
      <w:hyperlink w:anchor="_Toc67566025" w:history="1">
        <w:r w:rsidR="00BE53A8" w:rsidRPr="00CF1C01">
          <w:rPr>
            <w:rStyle w:val="Hyperlink"/>
            <w:noProof/>
          </w:rPr>
          <w:t>2.3 Cement Secondary Failure Mechanisms</w:t>
        </w:r>
        <w:r w:rsidR="00BE53A8">
          <w:rPr>
            <w:noProof/>
            <w:webHidden/>
          </w:rPr>
          <w:tab/>
        </w:r>
        <w:r w:rsidR="00BE53A8">
          <w:rPr>
            <w:noProof/>
            <w:webHidden/>
          </w:rPr>
          <w:fldChar w:fldCharType="begin"/>
        </w:r>
        <w:r w:rsidR="00BE53A8">
          <w:rPr>
            <w:noProof/>
            <w:webHidden/>
          </w:rPr>
          <w:instrText xml:space="preserve"> PAGEREF _Toc67566025 \h </w:instrText>
        </w:r>
        <w:r w:rsidR="00BE53A8">
          <w:rPr>
            <w:noProof/>
            <w:webHidden/>
          </w:rPr>
        </w:r>
        <w:r w:rsidR="00BE53A8">
          <w:rPr>
            <w:noProof/>
            <w:webHidden/>
          </w:rPr>
          <w:fldChar w:fldCharType="separate"/>
        </w:r>
        <w:r w:rsidR="0061511D">
          <w:rPr>
            <w:noProof/>
            <w:webHidden/>
          </w:rPr>
          <w:t>18</w:t>
        </w:r>
        <w:r w:rsidR="00BE53A8">
          <w:rPr>
            <w:noProof/>
            <w:webHidden/>
          </w:rPr>
          <w:fldChar w:fldCharType="end"/>
        </w:r>
      </w:hyperlink>
    </w:p>
    <w:p w14:paraId="5AA6E539" w14:textId="63CC85F2" w:rsidR="00BE53A8" w:rsidRDefault="00077C0B">
      <w:pPr>
        <w:pStyle w:val="TOC2"/>
        <w:tabs>
          <w:tab w:val="right" w:leader="dot" w:pos="9350"/>
        </w:tabs>
        <w:rPr>
          <w:rFonts w:asciiTheme="minorHAnsi" w:eastAsiaTheme="minorEastAsia" w:hAnsiTheme="minorHAnsi"/>
          <w:noProof/>
          <w:sz w:val="22"/>
        </w:rPr>
      </w:pPr>
      <w:hyperlink w:anchor="_Toc67566026" w:history="1">
        <w:r w:rsidR="00BE53A8" w:rsidRPr="00CF1C01">
          <w:rPr>
            <w:rStyle w:val="Hyperlink"/>
            <w:noProof/>
          </w:rPr>
          <w:t>Modeling of Leakage</w:t>
        </w:r>
        <w:r w:rsidR="00BE53A8">
          <w:rPr>
            <w:noProof/>
            <w:webHidden/>
          </w:rPr>
          <w:tab/>
        </w:r>
        <w:r w:rsidR="00BE53A8">
          <w:rPr>
            <w:noProof/>
            <w:webHidden/>
          </w:rPr>
          <w:fldChar w:fldCharType="begin"/>
        </w:r>
        <w:r w:rsidR="00BE53A8">
          <w:rPr>
            <w:noProof/>
            <w:webHidden/>
          </w:rPr>
          <w:instrText xml:space="preserve"> PAGEREF _Toc67566026 \h </w:instrText>
        </w:r>
        <w:r w:rsidR="00BE53A8">
          <w:rPr>
            <w:noProof/>
            <w:webHidden/>
          </w:rPr>
        </w:r>
        <w:r w:rsidR="00BE53A8">
          <w:rPr>
            <w:noProof/>
            <w:webHidden/>
          </w:rPr>
          <w:fldChar w:fldCharType="separate"/>
        </w:r>
        <w:r w:rsidR="0061511D">
          <w:rPr>
            <w:noProof/>
            <w:webHidden/>
          </w:rPr>
          <w:t>27</w:t>
        </w:r>
        <w:r w:rsidR="00BE53A8">
          <w:rPr>
            <w:noProof/>
            <w:webHidden/>
          </w:rPr>
          <w:fldChar w:fldCharType="end"/>
        </w:r>
      </w:hyperlink>
    </w:p>
    <w:p w14:paraId="4FB4B2C4" w14:textId="00ACFAAD" w:rsidR="00BE53A8" w:rsidRDefault="00077C0B">
      <w:pPr>
        <w:pStyle w:val="TOC3"/>
        <w:tabs>
          <w:tab w:val="right" w:leader="dot" w:pos="9350"/>
        </w:tabs>
        <w:rPr>
          <w:rFonts w:asciiTheme="minorHAnsi" w:eastAsiaTheme="minorEastAsia" w:hAnsiTheme="minorHAnsi"/>
          <w:noProof/>
          <w:sz w:val="22"/>
        </w:rPr>
      </w:pPr>
      <w:hyperlink w:anchor="_Toc67566027" w:history="1">
        <w:r w:rsidR="00BE53A8" w:rsidRPr="00CF1C01">
          <w:rPr>
            <w:rStyle w:val="Hyperlink"/>
            <w:noProof/>
          </w:rPr>
          <w:t>2.4 Circular Flow</w:t>
        </w:r>
        <w:r w:rsidR="00BE53A8">
          <w:rPr>
            <w:noProof/>
            <w:webHidden/>
          </w:rPr>
          <w:tab/>
        </w:r>
        <w:r w:rsidR="00BE53A8">
          <w:rPr>
            <w:noProof/>
            <w:webHidden/>
          </w:rPr>
          <w:fldChar w:fldCharType="begin"/>
        </w:r>
        <w:r w:rsidR="00BE53A8">
          <w:rPr>
            <w:noProof/>
            <w:webHidden/>
          </w:rPr>
          <w:instrText xml:space="preserve"> PAGEREF _Toc67566027 \h </w:instrText>
        </w:r>
        <w:r w:rsidR="00BE53A8">
          <w:rPr>
            <w:noProof/>
            <w:webHidden/>
          </w:rPr>
        </w:r>
        <w:r w:rsidR="00BE53A8">
          <w:rPr>
            <w:noProof/>
            <w:webHidden/>
          </w:rPr>
          <w:fldChar w:fldCharType="separate"/>
        </w:r>
        <w:r w:rsidR="0061511D">
          <w:rPr>
            <w:noProof/>
            <w:webHidden/>
          </w:rPr>
          <w:t>27</w:t>
        </w:r>
        <w:r w:rsidR="00BE53A8">
          <w:rPr>
            <w:noProof/>
            <w:webHidden/>
          </w:rPr>
          <w:fldChar w:fldCharType="end"/>
        </w:r>
      </w:hyperlink>
    </w:p>
    <w:p w14:paraId="623AFB18" w14:textId="601D15BF" w:rsidR="00BE53A8" w:rsidRDefault="00077C0B">
      <w:pPr>
        <w:pStyle w:val="TOC3"/>
        <w:tabs>
          <w:tab w:val="right" w:leader="dot" w:pos="9350"/>
        </w:tabs>
        <w:rPr>
          <w:rFonts w:asciiTheme="minorHAnsi" w:eastAsiaTheme="minorEastAsia" w:hAnsiTheme="minorHAnsi"/>
          <w:noProof/>
          <w:sz w:val="22"/>
        </w:rPr>
      </w:pPr>
      <w:hyperlink w:anchor="_Toc67566028" w:history="1">
        <w:r w:rsidR="00BE53A8" w:rsidRPr="00CF1C01">
          <w:rPr>
            <w:rStyle w:val="Hyperlink"/>
            <w:noProof/>
          </w:rPr>
          <w:t>2.5 Annular Flow</w:t>
        </w:r>
        <w:r w:rsidR="00BE53A8">
          <w:rPr>
            <w:noProof/>
            <w:webHidden/>
          </w:rPr>
          <w:tab/>
        </w:r>
        <w:r w:rsidR="00BE53A8">
          <w:rPr>
            <w:noProof/>
            <w:webHidden/>
          </w:rPr>
          <w:fldChar w:fldCharType="begin"/>
        </w:r>
        <w:r w:rsidR="00BE53A8">
          <w:rPr>
            <w:noProof/>
            <w:webHidden/>
          </w:rPr>
          <w:instrText xml:space="preserve"> PAGEREF _Toc67566028 \h </w:instrText>
        </w:r>
        <w:r w:rsidR="00BE53A8">
          <w:rPr>
            <w:noProof/>
            <w:webHidden/>
          </w:rPr>
        </w:r>
        <w:r w:rsidR="00BE53A8">
          <w:rPr>
            <w:noProof/>
            <w:webHidden/>
          </w:rPr>
          <w:fldChar w:fldCharType="separate"/>
        </w:r>
        <w:r w:rsidR="0061511D">
          <w:rPr>
            <w:noProof/>
            <w:webHidden/>
          </w:rPr>
          <w:t>30</w:t>
        </w:r>
        <w:r w:rsidR="00BE53A8">
          <w:rPr>
            <w:noProof/>
            <w:webHidden/>
          </w:rPr>
          <w:fldChar w:fldCharType="end"/>
        </w:r>
      </w:hyperlink>
    </w:p>
    <w:p w14:paraId="0BBFA528" w14:textId="3C4A2BF2" w:rsidR="00BE53A8" w:rsidRDefault="00077C0B">
      <w:pPr>
        <w:pStyle w:val="TOC3"/>
        <w:tabs>
          <w:tab w:val="right" w:leader="dot" w:pos="9350"/>
        </w:tabs>
        <w:rPr>
          <w:rFonts w:asciiTheme="minorHAnsi" w:eastAsiaTheme="minorEastAsia" w:hAnsiTheme="minorHAnsi"/>
          <w:noProof/>
          <w:sz w:val="22"/>
        </w:rPr>
      </w:pPr>
      <w:hyperlink w:anchor="_Toc67566029" w:history="1">
        <w:r w:rsidR="00BE53A8" w:rsidRPr="00CF1C01">
          <w:rPr>
            <w:rStyle w:val="Hyperlink"/>
            <w:noProof/>
          </w:rPr>
          <w:t>2.6 Slot Flow</w:t>
        </w:r>
        <w:r w:rsidR="00BE53A8">
          <w:rPr>
            <w:noProof/>
            <w:webHidden/>
          </w:rPr>
          <w:tab/>
        </w:r>
        <w:r w:rsidR="00BE53A8">
          <w:rPr>
            <w:noProof/>
            <w:webHidden/>
          </w:rPr>
          <w:fldChar w:fldCharType="begin"/>
        </w:r>
        <w:r w:rsidR="00BE53A8">
          <w:rPr>
            <w:noProof/>
            <w:webHidden/>
          </w:rPr>
          <w:instrText xml:space="preserve"> PAGEREF _Toc67566029 \h </w:instrText>
        </w:r>
        <w:r w:rsidR="00BE53A8">
          <w:rPr>
            <w:noProof/>
            <w:webHidden/>
          </w:rPr>
        </w:r>
        <w:r w:rsidR="00BE53A8">
          <w:rPr>
            <w:noProof/>
            <w:webHidden/>
          </w:rPr>
          <w:fldChar w:fldCharType="separate"/>
        </w:r>
        <w:r w:rsidR="0061511D">
          <w:rPr>
            <w:noProof/>
            <w:webHidden/>
          </w:rPr>
          <w:t>31</w:t>
        </w:r>
        <w:r w:rsidR="00BE53A8">
          <w:rPr>
            <w:noProof/>
            <w:webHidden/>
          </w:rPr>
          <w:fldChar w:fldCharType="end"/>
        </w:r>
      </w:hyperlink>
    </w:p>
    <w:p w14:paraId="522FB66A" w14:textId="0E832C03" w:rsidR="00BE53A8" w:rsidRDefault="00077C0B">
      <w:pPr>
        <w:pStyle w:val="TOC2"/>
        <w:tabs>
          <w:tab w:val="right" w:leader="dot" w:pos="9350"/>
        </w:tabs>
        <w:rPr>
          <w:rFonts w:asciiTheme="minorHAnsi" w:eastAsiaTheme="minorEastAsia" w:hAnsiTheme="minorHAnsi"/>
          <w:noProof/>
          <w:sz w:val="22"/>
        </w:rPr>
      </w:pPr>
      <w:hyperlink w:anchor="_Toc67566030" w:history="1">
        <w:r w:rsidR="00BE53A8" w:rsidRPr="00CF1C01">
          <w:rPr>
            <w:rStyle w:val="Hyperlink"/>
            <w:noProof/>
          </w:rPr>
          <w:t>Prediction of Fluid Leakage</w:t>
        </w:r>
        <w:r w:rsidR="00BE53A8">
          <w:rPr>
            <w:noProof/>
            <w:webHidden/>
          </w:rPr>
          <w:tab/>
        </w:r>
        <w:r w:rsidR="00BE53A8">
          <w:rPr>
            <w:noProof/>
            <w:webHidden/>
          </w:rPr>
          <w:fldChar w:fldCharType="begin"/>
        </w:r>
        <w:r w:rsidR="00BE53A8">
          <w:rPr>
            <w:noProof/>
            <w:webHidden/>
          </w:rPr>
          <w:instrText xml:space="preserve"> PAGEREF _Toc67566030 \h </w:instrText>
        </w:r>
        <w:r w:rsidR="00BE53A8">
          <w:rPr>
            <w:noProof/>
            <w:webHidden/>
          </w:rPr>
        </w:r>
        <w:r w:rsidR="00BE53A8">
          <w:rPr>
            <w:noProof/>
            <w:webHidden/>
          </w:rPr>
          <w:fldChar w:fldCharType="separate"/>
        </w:r>
        <w:r w:rsidR="0061511D">
          <w:rPr>
            <w:noProof/>
            <w:webHidden/>
          </w:rPr>
          <w:t>33</w:t>
        </w:r>
        <w:r w:rsidR="00BE53A8">
          <w:rPr>
            <w:noProof/>
            <w:webHidden/>
          </w:rPr>
          <w:fldChar w:fldCharType="end"/>
        </w:r>
      </w:hyperlink>
    </w:p>
    <w:p w14:paraId="0B75D3E8" w14:textId="3129A1BC" w:rsidR="00BE53A8" w:rsidRDefault="00077C0B">
      <w:pPr>
        <w:pStyle w:val="TOC3"/>
        <w:tabs>
          <w:tab w:val="right" w:leader="dot" w:pos="9350"/>
        </w:tabs>
        <w:rPr>
          <w:rFonts w:asciiTheme="minorHAnsi" w:eastAsiaTheme="minorEastAsia" w:hAnsiTheme="minorHAnsi"/>
          <w:noProof/>
          <w:sz w:val="22"/>
        </w:rPr>
      </w:pPr>
      <w:hyperlink w:anchor="_Toc67566031" w:history="1">
        <w:r w:rsidR="00BE53A8" w:rsidRPr="00CF1C01">
          <w:rPr>
            <w:rStyle w:val="Hyperlink"/>
            <w:noProof/>
          </w:rPr>
          <w:t>2.7 Lab Leakage Prediction</w:t>
        </w:r>
        <w:r w:rsidR="00BE53A8">
          <w:rPr>
            <w:noProof/>
            <w:webHidden/>
          </w:rPr>
          <w:tab/>
        </w:r>
        <w:r w:rsidR="00BE53A8">
          <w:rPr>
            <w:noProof/>
            <w:webHidden/>
          </w:rPr>
          <w:fldChar w:fldCharType="begin"/>
        </w:r>
        <w:r w:rsidR="00BE53A8">
          <w:rPr>
            <w:noProof/>
            <w:webHidden/>
          </w:rPr>
          <w:instrText xml:space="preserve"> PAGEREF _Toc67566031 \h </w:instrText>
        </w:r>
        <w:r w:rsidR="00BE53A8">
          <w:rPr>
            <w:noProof/>
            <w:webHidden/>
          </w:rPr>
        </w:r>
        <w:r w:rsidR="00BE53A8">
          <w:rPr>
            <w:noProof/>
            <w:webHidden/>
          </w:rPr>
          <w:fldChar w:fldCharType="separate"/>
        </w:r>
        <w:r w:rsidR="0061511D">
          <w:rPr>
            <w:noProof/>
            <w:webHidden/>
          </w:rPr>
          <w:t>33</w:t>
        </w:r>
        <w:r w:rsidR="00BE53A8">
          <w:rPr>
            <w:noProof/>
            <w:webHidden/>
          </w:rPr>
          <w:fldChar w:fldCharType="end"/>
        </w:r>
      </w:hyperlink>
    </w:p>
    <w:p w14:paraId="424F2520" w14:textId="4781C32F" w:rsidR="00BE53A8" w:rsidRDefault="00077C0B">
      <w:pPr>
        <w:pStyle w:val="TOC3"/>
        <w:tabs>
          <w:tab w:val="right" w:leader="dot" w:pos="9350"/>
        </w:tabs>
        <w:rPr>
          <w:rFonts w:asciiTheme="minorHAnsi" w:eastAsiaTheme="minorEastAsia" w:hAnsiTheme="minorHAnsi"/>
          <w:noProof/>
          <w:sz w:val="22"/>
        </w:rPr>
      </w:pPr>
      <w:hyperlink w:anchor="_Toc67566032" w:history="1">
        <w:r w:rsidR="00BE53A8" w:rsidRPr="00CF1C01">
          <w:rPr>
            <w:rStyle w:val="Hyperlink"/>
            <w:noProof/>
          </w:rPr>
          <w:t>2.8 Field Leakage Prediction</w:t>
        </w:r>
        <w:r w:rsidR="00BE53A8">
          <w:rPr>
            <w:noProof/>
            <w:webHidden/>
          </w:rPr>
          <w:tab/>
        </w:r>
        <w:r w:rsidR="00BE53A8">
          <w:rPr>
            <w:noProof/>
            <w:webHidden/>
          </w:rPr>
          <w:fldChar w:fldCharType="begin"/>
        </w:r>
        <w:r w:rsidR="00BE53A8">
          <w:rPr>
            <w:noProof/>
            <w:webHidden/>
          </w:rPr>
          <w:instrText xml:space="preserve"> PAGEREF _Toc67566032 \h </w:instrText>
        </w:r>
        <w:r w:rsidR="00BE53A8">
          <w:rPr>
            <w:noProof/>
            <w:webHidden/>
          </w:rPr>
        </w:r>
        <w:r w:rsidR="00BE53A8">
          <w:rPr>
            <w:noProof/>
            <w:webHidden/>
          </w:rPr>
          <w:fldChar w:fldCharType="separate"/>
        </w:r>
        <w:r w:rsidR="0061511D">
          <w:rPr>
            <w:noProof/>
            <w:webHidden/>
          </w:rPr>
          <w:t>45</w:t>
        </w:r>
        <w:r w:rsidR="00BE53A8">
          <w:rPr>
            <w:noProof/>
            <w:webHidden/>
          </w:rPr>
          <w:fldChar w:fldCharType="end"/>
        </w:r>
      </w:hyperlink>
    </w:p>
    <w:p w14:paraId="71501F27" w14:textId="710252A7" w:rsidR="00BE53A8" w:rsidRDefault="00077C0B">
      <w:pPr>
        <w:pStyle w:val="TOC3"/>
        <w:tabs>
          <w:tab w:val="right" w:leader="dot" w:pos="9350"/>
        </w:tabs>
        <w:rPr>
          <w:rFonts w:asciiTheme="minorHAnsi" w:eastAsiaTheme="minorEastAsia" w:hAnsiTheme="minorHAnsi"/>
          <w:noProof/>
          <w:sz w:val="22"/>
        </w:rPr>
      </w:pPr>
      <w:hyperlink w:anchor="_Toc67566033" w:history="1">
        <w:r w:rsidR="00BE53A8" w:rsidRPr="00CF1C01">
          <w:rPr>
            <w:rStyle w:val="Hyperlink"/>
            <w:noProof/>
          </w:rPr>
          <w:t>2.9 Analytical Methods</w:t>
        </w:r>
        <w:r w:rsidR="00BE53A8">
          <w:rPr>
            <w:noProof/>
            <w:webHidden/>
          </w:rPr>
          <w:tab/>
        </w:r>
        <w:r w:rsidR="00BE53A8">
          <w:rPr>
            <w:noProof/>
            <w:webHidden/>
          </w:rPr>
          <w:fldChar w:fldCharType="begin"/>
        </w:r>
        <w:r w:rsidR="00BE53A8">
          <w:rPr>
            <w:noProof/>
            <w:webHidden/>
          </w:rPr>
          <w:instrText xml:space="preserve"> PAGEREF _Toc67566033 \h </w:instrText>
        </w:r>
        <w:r w:rsidR="00BE53A8">
          <w:rPr>
            <w:noProof/>
            <w:webHidden/>
          </w:rPr>
        </w:r>
        <w:r w:rsidR="00BE53A8">
          <w:rPr>
            <w:noProof/>
            <w:webHidden/>
          </w:rPr>
          <w:fldChar w:fldCharType="separate"/>
        </w:r>
        <w:r w:rsidR="0061511D">
          <w:rPr>
            <w:noProof/>
            <w:webHidden/>
          </w:rPr>
          <w:t>49</w:t>
        </w:r>
        <w:r w:rsidR="00BE53A8">
          <w:rPr>
            <w:noProof/>
            <w:webHidden/>
          </w:rPr>
          <w:fldChar w:fldCharType="end"/>
        </w:r>
      </w:hyperlink>
    </w:p>
    <w:p w14:paraId="29C815E7" w14:textId="26B9FF3C" w:rsidR="00BE53A8" w:rsidRDefault="00077C0B">
      <w:pPr>
        <w:pStyle w:val="TOC3"/>
        <w:tabs>
          <w:tab w:val="right" w:leader="dot" w:pos="9350"/>
        </w:tabs>
        <w:rPr>
          <w:rFonts w:asciiTheme="minorHAnsi" w:eastAsiaTheme="minorEastAsia" w:hAnsiTheme="minorHAnsi"/>
          <w:noProof/>
          <w:sz w:val="22"/>
        </w:rPr>
      </w:pPr>
      <w:hyperlink w:anchor="_Toc67566034" w:history="1">
        <w:r w:rsidR="00BE53A8" w:rsidRPr="00CF1C01">
          <w:rPr>
            <w:rStyle w:val="Hyperlink"/>
            <w:noProof/>
          </w:rPr>
          <w:t>2.10 Numerical Methods</w:t>
        </w:r>
        <w:r w:rsidR="00BE53A8">
          <w:rPr>
            <w:noProof/>
            <w:webHidden/>
          </w:rPr>
          <w:tab/>
        </w:r>
        <w:r w:rsidR="00BE53A8">
          <w:rPr>
            <w:noProof/>
            <w:webHidden/>
          </w:rPr>
          <w:fldChar w:fldCharType="begin"/>
        </w:r>
        <w:r w:rsidR="00BE53A8">
          <w:rPr>
            <w:noProof/>
            <w:webHidden/>
          </w:rPr>
          <w:instrText xml:space="preserve"> PAGEREF _Toc67566034 \h </w:instrText>
        </w:r>
        <w:r w:rsidR="00BE53A8">
          <w:rPr>
            <w:noProof/>
            <w:webHidden/>
          </w:rPr>
        </w:r>
        <w:r w:rsidR="00BE53A8">
          <w:rPr>
            <w:noProof/>
            <w:webHidden/>
          </w:rPr>
          <w:fldChar w:fldCharType="separate"/>
        </w:r>
        <w:r w:rsidR="0061511D">
          <w:rPr>
            <w:noProof/>
            <w:webHidden/>
          </w:rPr>
          <w:t>54</w:t>
        </w:r>
        <w:r w:rsidR="00BE53A8">
          <w:rPr>
            <w:noProof/>
            <w:webHidden/>
          </w:rPr>
          <w:fldChar w:fldCharType="end"/>
        </w:r>
      </w:hyperlink>
    </w:p>
    <w:p w14:paraId="7BFD06C5" w14:textId="50AAA366" w:rsidR="00BE53A8" w:rsidRDefault="00077C0B">
      <w:pPr>
        <w:pStyle w:val="TOC2"/>
        <w:tabs>
          <w:tab w:val="right" w:leader="dot" w:pos="9350"/>
        </w:tabs>
        <w:rPr>
          <w:rFonts w:asciiTheme="minorHAnsi" w:eastAsiaTheme="minorEastAsia" w:hAnsiTheme="minorHAnsi"/>
          <w:noProof/>
          <w:sz w:val="22"/>
        </w:rPr>
      </w:pPr>
      <w:hyperlink w:anchor="_Toc67566035" w:history="1">
        <w:r w:rsidR="00BE53A8" w:rsidRPr="00CF1C01">
          <w:rPr>
            <w:rStyle w:val="Hyperlink"/>
            <w:noProof/>
          </w:rPr>
          <w:t>Summary of Previous Work</w:t>
        </w:r>
        <w:r w:rsidR="00BE53A8">
          <w:rPr>
            <w:noProof/>
            <w:webHidden/>
          </w:rPr>
          <w:tab/>
        </w:r>
        <w:r w:rsidR="00BE53A8">
          <w:rPr>
            <w:noProof/>
            <w:webHidden/>
          </w:rPr>
          <w:fldChar w:fldCharType="begin"/>
        </w:r>
        <w:r w:rsidR="00BE53A8">
          <w:rPr>
            <w:noProof/>
            <w:webHidden/>
          </w:rPr>
          <w:instrText xml:space="preserve"> PAGEREF _Toc67566035 \h </w:instrText>
        </w:r>
        <w:r w:rsidR="00BE53A8">
          <w:rPr>
            <w:noProof/>
            <w:webHidden/>
          </w:rPr>
        </w:r>
        <w:r w:rsidR="00BE53A8">
          <w:rPr>
            <w:noProof/>
            <w:webHidden/>
          </w:rPr>
          <w:fldChar w:fldCharType="separate"/>
        </w:r>
        <w:r w:rsidR="0061511D">
          <w:rPr>
            <w:noProof/>
            <w:webHidden/>
          </w:rPr>
          <w:t>62</w:t>
        </w:r>
        <w:r w:rsidR="00BE53A8">
          <w:rPr>
            <w:noProof/>
            <w:webHidden/>
          </w:rPr>
          <w:fldChar w:fldCharType="end"/>
        </w:r>
      </w:hyperlink>
    </w:p>
    <w:p w14:paraId="34F9BB30" w14:textId="4D84295D" w:rsidR="00BE53A8" w:rsidRDefault="00077C0B">
      <w:pPr>
        <w:pStyle w:val="TOC1"/>
        <w:tabs>
          <w:tab w:val="right" w:leader="dot" w:pos="9350"/>
        </w:tabs>
        <w:rPr>
          <w:rFonts w:asciiTheme="minorHAnsi" w:eastAsiaTheme="minorEastAsia" w:hAnsiTheme="minorHAnsi"/>
          <w:noProof/>
          <w:sz w:val="22"/>
        </w:rPr>
      </w:pPr>
      <w:hyperlink w:anchor="_Toc67566036" w:history="1">
        <w:r w:rsidR="00BE53A8" w:rsidRPr="00CF1C01">
          <w:rPr>
            <w:rStyle w:val="Hyperlink"/>
            <w:noProof/>
          </w:rPr>
          <w:t>Chapter 3: Field Description</w:t>
        </w:r>
        <w:r w:rsidR="00BE53A8">
          <w:rPr>
            <w:noProof/>
            <w:webHidden/>
          </w:rPr>
          <w:tab/>
        </w:r>
        <w:r w:rsidR="00BE53A8">
          <w:rPr>
            <w:noProof/>
            <w:webHidden/>
          </w:rPr>
          <w:fldChar w:fldCharType="begin"/>
        </w:r>
        <w:r w:rsidR="00BE53A8">
          <w:rPr>
            <w:noProof/>
            <w:webHidden/>
          </w:rPr>
          <w:instrText xml:space="preserve"> PAGEREF _Toc67566036 \h </w:instrText>
        </w:r>
        <w:r w:rsidR="00BE53A8">
          <w:rPr>
            <w:noProof/>
            <w:webHidden/>
          </w:rPr>
        </w:r>
        <w:r w:rsidR="00BE53A8">
          <w:rPr>
            <w:noProof/>
            <w:webHidden/>
          </w:rPr>
          <w:fldChar w:fldCharType="separate"/>
        </w:r>
        <w:r w:rsidR="0061511D">
          <w:rPr>
            <w:noProof/>
            <w:webHidden/>
          </w:rPr>
          <w:t>64</w:t>
        </w:r>
        <w:r w:rsidR="00BE53A8">
          <w:rPr>
            <w:noProof/>
            <w:webHidden/>
          </w:rPr>
          <w:fldChar w:fldCharType="end"/>
        </w:r>
      </w:hyperlink>
    </w:p>
    <w:p w14:paraId="6B8EF195" w14:textId="15937CE4" w:rsidR="00BE53A8" w:rsidRDefault="00077C0B">
      <w:pPr>
        <w:pStyle w:val="TOC2"/>
        <w:tabs>
          <w:tab w:val="right" w:leader="dot" w:pos="9350"/>
        </w:tabs>
        <w:rPr>
          <w:rFonts w:asciiTheme="minorHAnsi" w:eastAsiaTheme="minorEastAsia" w:hAnsiTheme="minorHAnsi"/>
          <w:noProof/>
          <w:sz w:val="22"/>
        </w:rPr>
      </w:pPr>
      <w:hyperlink w:anchor="_Toc67566037" w:history="1">
        <w:r w:rsidR="00BE53A8" w:rsidRPr="00CF1C01">
          <w:rPr>
            <w:rStyle w:val="Hyperlink"/>
            <w:noProof/>
          </w:rPr>
          <w:t>Gulf of Mexico</w:t>
        </w:r>
        <w:r w:rsidR="00BE53A8">
          <w:rPr>
            <w:noProof/>
            <w:webHidden/>
          </w:rPr>
          <w:tab/>
        </w:r>
        <w:r w:rsidR="00BE53A8">
          <w:rPr>
            <w:noProof/>
            <w:webHidden/>
          </w:rPr>
          <w:fldChar w:fldCharType="begin"/>
        </w:r>
        <w:r w:rsidR="00BE53A8">
          <w:rPr>
            <w:noProof/>
            <w:webHidden/>
          </w:rPr>
          <w:instrText xml:space="preserve"> PAGEREF _Toc67566037 \h </w:instrText>
        </w:r>
        <w:r w:rsidR="00BE53A8">
          <w:rPr>
            <w:noProof/>
            <w:webHidden/>
          </w:rPr>
        </w:r>
        <w:r w:rsidR="00BE53A8">
          <w:rPr>
            <w:noProof/>
            <w:webHidden/>
          </w:rPr>
          <w:fldChar w:fldCharType="separate"/>
        </w:r>
        <w:r w:rsidR="0061511D">
          <w:rPr>
            <w:noProof/>
            <w:webHidden/>
          </w:rPr>
          <w:t>64</w:t>
        </w:r>
        <w:r w:rsidR="00BE53A8">
          <w:rPr>
            <w:noProof/>
            <w:webHidden/>
          </w:rPr>
          <w:fldChar w:fldCharType="end"/>
        </w:r>
      </w:hyperlink>
    </w:p>
    <w:p w14:paraId="65D6D677" w14:textId="0ACC1ECD" w:rsidR="00BE53A8" w:rsidRDefault="00077C0B">
      <w:pPr>
        <w:pStyle w:val="TOC2"/>
        <w:tabs>
          <w:tab w:val="right" w:leader="dot" w:pos="9350"/>
        </w:tabs>
        <w:rPr>
          <w:rFonts w:asciiTheme="minorHAnsi" w:eastAsiaTheme="minorEastAsia" w:hAnsiTheme="minorHAnsi"/>
          <w:noProof/>
          <w:sz w:val="22"/>
        </w:rPr>
      </w:pPr>
      <w:hyperlink w:anchor="_Toc67566038" w:history="1">
        <w:r w:rsidR="00BE53A8" w:rsidRPr="00CF1C01">
          <w:rPr>
            <w:rStyle w:val="Hyperlink"/>
            <w:noProof/>
          </w:rPr>
          <w:t>Eugene Island OPD</w:t>
        </w:r>
        <w:r w:rsidR="00BE53A8">
          <w:rPr>
            <w:noProof/>
            <w:webHidden/>
          </w:rPr>
          <w:tab/>
        </w:r>
        <w:r w:rsidR="00BE53A8">
          <w:rPr>
            <w:noProof/>
            <w:webHidden/>
          </w:rPr>
          <w:fldChar w:fldCharType="begin"/>
        </w:r>
        <w:r w:rsidR="00BE53A8">
          <w:rPr>
            <w:noProof/>
            <w:webHidden/>
          </w:rPr>
          <w:instrText xml:space="preserve"> PAGEREF _Toc67566038 \h </w:instrText>
        </w:r>
        <w:r w:rsidR="00BE53A8">
          <w:rPr>
            <w:noProof/>
            <w:webHidden/>
          </w:rPr>
        </w:r>
        <w:r w:rsidR="00BE53A8">
          <w:rPr>
            <w:noProof/>
            <w:webHidden/>
          </w:rPr>
          <w:fldChar w:fldCharType="separate"/>
        </w:r>
        <w:r w:rsidR="0061511D">
          <w:rPr>
            <w:noProof/>
            <w:webHidden/>
          </w:rPr>
          <w:t>66</w:t>
        </w:r>
        <w:r w:rsidR="00BE53A8">
          <w:rPr>
            <w:noProof/>
            <w:webHidden/>
          </w:rPr>
          <w:fldChar w:fldCharType="end"/>
        </w:r>
      </w:hyperlink>
    </w:p>
    <w:p w14:paraId="7DEE7E73" w14:textId="67D5D611" w:rsidR="00BE53A8" w:rsidRDefault="00077C0B">
      <w:pPr>
        <w:pStyle w:val="TOC3"/>
        <w:tabs>
          <w:tab w:val="right" w:leader="dot" w:pos="9350"/>
        </w:tabs>
        <w:rPr>
          <w:rFonts w:asciiTheme="minorHAnsi" w:eastAsiaTheme="minorEastAsia" w:hAnsiTheme="minorHAnsi"/>
          <w:noProof/>
          <w:sz w:val="22"/>
        </w:rPr>
      </w:pPr>
      <w:hyperlink w:anchor="_Toc67566039" w:history="1">
        <w:r w:rsidR="00BE53A8" w:rsidRPr="00CF1C01">
          <w:rPr>
            <w:rStyle w:val="Hyperlink"/>
            <w:noProof/>
          </w:rPr>
          <w:t>3.1 Three Representative Wells</w:t>
        </w:r>
        <w:r w:rsidR="00BE53A8">
          <w:rPr>
            <w:noProof/>
            <w:webHidden/>
          </w:rPr>
          <w:tab/>
        </w:r>
        <w:r w:rsidR="00BE53A8">
          <w:rPr>
            <w:noProof/>
            <w:webHidden/>
          </w:rPr>
          <w:fldChar w:fldCharType="begin"/>
        </w:r>
        <w:r w:rsidR="00BE53A8">
          <w:rPr>
            <w:noProof/>
            <w:webHidden/>
          </w:rPr>
          <w:instrText xml:space="preserve"> PAGEREF _Toc67566039 \h </w:instrText>
        </w:r>
        <w:r w:rsidR="00BE53A8">
          <w:rPr>
            <w:noProof/>
            <w:webHidden/>
          </w:rPr>
        </w:r>
        <w:r w:rsidR="00BE53A8">
          <w:rPr>
            <w:noProof/>
            <w:webHidden/>
          </w:rPr>
          <w:fldChar w:fldCharType="separate"/>
        </w:r>
        <w:r w:rsidR="0061511D">
          <w:rPr>
            <w:noProof/>
            <w:webHidden/>
          </w:rPr>
          <w:t>70</w:t>
        </w:r>
        <w:r w:rsidR="00BE53A8">
          <w:rPr>
            <w:noProof/>
            <w:webHidden/>
          </w:rPr>
          <w:fldChar w:fldCharType="end"/>
        </w:r>
      </w:hyperlink>
    </w:p>
    <w:p w14:paraId="4175FF35" w14:textId="0E4CA2B7" w:rsidR="00BE53A8" w:rsidRDefault="00077C0B">
      <w:pPr>
        <w:pStyle w:val="TOC3"/>
        <w:tabs>
          <w:tab w:val="right" w:leader="dot" w:pos="9350"/>
        </w:tabs>
        <w:rPr>
          <w:rFonts w:asciiTheme="minorHAnsi" w:eastAsiaTheme="minorEastAsia" w:hAnsiTheme="minorHAnsi"/>
          <w:noProof/>
          <w:sz w:val="22"/>
        </w:rPr>
      </w:pPr>
      <w:hyperlink w:anchor="_Toc67566040" w:history="1">
        <w:r w:rsidR="00BE53A8" w:rsidRPr="00CF1C01">
          <w:rPr>
            <w:rStyle w:val="Hyperlink"/>
            <w:noProof/>
          </w:rPr>
          <w:t>3.2 Formation Properties</w:t>
        </w:r>
        <w:r w:rsidR="00BE53A8">
          <w:rPr>
            <w:noProof/>
            <w:webHidden/>
          </w:rPr>
          <w:tab/>
        </w:r>
        <w:r w:rsidR="00BE53A8">
          <w:rPr>
            <w:noProof/>
            <w:webHidden/>
          </w:rPr>
          <w:fldChar w:fldCharType="begin"/>
        </w:r>
        <w:r w:rsidR="00BE53A8">
          <w:rPr>
            <w:noProof/>
            <w:webHidden/>
          </w:rPr>
          <w:instrText xml:space="preserve"> PAGEREF _Toc67566040 \h </w:instrText>
        </w:r>
        <w:r w:rsidR="00BE53A8">
          <w:rPr>
            <w:noProof/>
            <w:webHidden/>
          </w:rPr>
        </w:r>
        <w:r w:rsidR="00BE53A8">
          <w:rPr>
            <w:noProof/>
            <w:webHidden/>
          </w:rPr>
          <w:fldChar w:fldCharType="separate"/>
        </w:r>
        <w:r w:rsidR="0061511D">
          <w:rPr>
            <w:noProof/>
            <w:webHidden/>
          </w:rPr>
          <w:t>71</w:t>
        </w:r>
        <w:r w:rsidR="00BE53A8">
          <w:rPr>
            <w:noProof/>
            <w:webHidden/>
          </w:rPr>
          <w:fldChar w:fldCharType="end"/>
        </w:r>
      </w:hyperlink>
    </w:p>
    <w:p w14:paraId="66CC70CA" w14:textId="6F1047A2" w:rsidR="00BE53A8" w:rsidRDefault="00077C0B">
      <w:pPr>
        <w:pStyle w:val="TOC2"/>
        <w:tabs>
          <w:tab w:val="right" w:leader="dot" w:pos="9350"/>
        </w:tabs>
        <w:rPr>
          <w:rFonts w:asciiTheme="minorHAnsi" w:eastAsiaTheme="minorEastAsia" w:hAnsiTheme="minorHAnsi"/>
          <w:noProof/>
          <w:sz w:val="22"/>
        </w:rPr>
      </w:pPr>
      <w:hyperlink w:anchor="_Toc67566041" w:history="1">
        <w:r w:rsidR="00BE53A8" w:rsidRPr="00CF1C01">
          <w:rPr>
            <w:rStyle w:val="Hyperlink"/>
            <w:noProof/>
          </w:rPr>
          <w:t>High Island OPD</w:t>
        </w:r>
        <w:r w:rsidR="00BE53A8">
          <w:rPr>
            <w:noProof/>
            <w:webHidden/>
          </w:rPr>
          <w:tab/>
        </w:r>
        <w:r w:rsidR="00BE53A8">
          <w:rPr>
            <w:noProof/>
            <w:webHidden/>
          </w:rPr>
          <w:fldChar w:fldCharType="begin"/>
        </w:r>
        <w:r w:rsidR="00BE53A8">
          <w:rPr>
            <w:noProof/>
            <w:webHidden/>
          </w:rPr>
          <w:instrText xml:space="preserve"> PAGEREF _Toc67566041 \h </w:instrText>
        </w:r>
        <w:r w:rsidR="00BE53A8">
          <w:rPr>
            <w:noProof/>
            <w:webHidden/>
          </w:rPr>
        </w:r>
        <w:r w:rsidR="00BE53A8">
          <w:rPr>
            <w:noProof/>
            <w:webHidden/>
          </w:rPr>
          <w:fldChar w:fldCharType="separate"/>
        </w:r>
        <w:r w:rsidR="0061511D">
          <w:rPr>
            <w:noProof/>
            <w:webHidden/>
          </w:rPr>
          <w:t>73</w:t>
        </w:r>
        <w:r w:rsidR="00BE53A8">
          <w:rPr>
            <w:noProof/>
            <w:webHidden/>
          </w:rPr>
          <w:fldChar w:fldCharType="end"/>
        </w:r>
      </w:hyperlink>
    </w:p>
    <w:p w14:paraId="4C0FDBBC" w14:textId="41EE3CA1" w:rsidR="00BE53A8" w:rsidRDefault="00077C0B">
      <w:pPr>
        <w:pStyle w:val="TOC3"/>
        <w:tabs>
          <w:tab w:val="right" w:leader="dot" w:pos="9350"/>
        </w:tabs>
        <w:rPr>
          <w:rFonts w:asciiTheme="minorHAnsi" w:eastAsiaTheme="minorEastAsia" w:hAnsiTheme="minorHAnsi"/>
          <w:noProof/>
          <w:sz w:val="22"/>
        </w:rPr>
      </w:pPr>
      <w:hyperlink w:anchor="_Toc67566042" w:history="1">
        <w:r w:rsidR="00BE53A8" w:rsidRPr="00CF1C01">
          <w:rPr>
            <w:rStyle w:val="Hyperlink"/>
            <w:noProof/>
          </w:rPr>
          <w:t>3.3 Case Study Well</w:t>
        </w:r>
        <w:r w:rsidR="00BE53A8">
          <w:rPr>
            <w:noProof/>
            <w:webHidden/>
          </w:rPr>
          <w:tab/>
        </w:r>
        <w:r w:rsidR="00BE53A8">
          <w:rPr>
            <w:noProof/>
            <w:webHidden/>
          </w:rPr>
          <w:fldChar w:fldCharType="begin"/>
        </w:r>
        <w:r w:rsidR="00BE53A8">
          <w:rPr>
            <w:noProof/>
            <w:webHidden/>
          </w:rPr>
          <w:instrText xml:space="preserve"> PAGEREF _Toc67566042 \h </w:instrText>
        </w:r>
        <w:r w:rsidR="00BE53A8">
          <w:rPr>
            <w:noProof/>
            <w:webHidden/>
          </w:rPr>
        </w:r>
        <w:r w:rsidR="00BE53A8">
          <w:rPr>
            <w:noProof/>
            <w:webHidden/>
          </w:rPr>
          <w:fldChar w:fldCharType="separate"/>
        </w:r>
        <w:r w:rsidR="0061511D">
          <w:rPr>
            <w:noProof/>
            <w:webHidden/>
          </w:rPr>
          <w:t>75</w:t>
        </w:r>
        <w:r w:rsidR="00BE53A8">
          <w:rPr>
            <w:noProof/>
            <w:webHidden/>
          </w:rPr>
          <w:fldChar w:fldCharType="end"/>
        </w:r>
      </w:hyperlink>
    </w:p>
    <w:p w14:paraId="176D99C9" w14:textId="6F130C79" w:rsidR="00BE53A8" w:rsidRDefault="00077C0B">
      <w:pPr>
        <w:pStyle w:val="TOC3"/>
        <w:tabs>
          <w:tab w:val="right" w:leader="dot" w:pos="9350"/>
        </w:tabs>
        <w:rPr>
          <w:rFonts w:asciiTheme="minorHAnsi" w:eastAsiaTheme="minorEastAsia" w:hAnsiTheme="minorHAnsi"/>
          <w:noProof/>
          <w:sz w:val="22"/>
        </w:rPr>
      </w:pPr>
      <w:hyperlink w:anchor="_Toc67566043" w:history="1">
        <w:r w:rsidR="00BE53A8" w:rsidRPr="00CF1C01">
          <w:rPr>
            <w:rStyle w:val="Hyperlink"/>
            <w:noProof/>
          </w:rPr>
          <w:t>3.4 Formation Properties</w:t>
        </w:r>
        <w:r w:rsidR="00BE53A8">
          <w:rPr>
            <w:noProof/>
            <w:webHidden/>
          </w:rPr>
          <w:tab/>
        </w:r>
        <w:r w:rsidR="00BE53A8">
          <w:rPr>
            <w:noProof/>
            <w:webHidden/>
          </w:rPr>
          <w:fldChar w:fldCharType="begin"/>
        </w:r>
        <w:r w:rsidR="00BE53A8">
          <w:rPr>
            <w:noProof/>
            <w:webHidden/>
          </w:rPr>
          <w:instrText xml:space="preserve"> PAGEREF _Toc67566043 \h </w:instrText>
        </w:r>
        <w:r w:rsidR="00BE53A8">
          <w:rPr>
            <w:noProof/>
            <w:webHidden/>
          </w:rPr>
        </w:r>
        <w:r w:rsidR="00BE53A8">
          <w:rPr>
            <w:noProof/>
            <w:webHidden/>
          </w:rPr>
          <w:fldChar w:fldCharType="separate"/>
        </w:r>
        <w:r w:rsidR="0061511D">
          <w:rPr>
            <w:noProof/>
            <w:webHidden/>
          </w:rPr>
          <w:t>77</w:t>
        </w:r>
        <w:r w:rsidR="00BE53A8">
          <w:rPr>
            <w:noProof/>
            <w:webHidden/>
          </w:rPr>
          <w:fldChar w:fldCharType="end"/>
        </w:r>
      </w:hyperlink>
    </w:p>
    <w:p w14:paraId="62B1695E" w14:textId="465F43E9" w:rsidR="00BE53A8" w:rsidRDefault="00077C0B">
      <w:pPr>
        <w:pStyle w:val="TOC1"/>
        <w:tabs>
          <w:tab w:val="right" w:leader="dot" w:pos="9350"/>
        </w:tabs>
        <w:rPr>
          <w:rFonts w:asciiTheme="minorHAnsi" w:eastAsiaTheme="minorEastAsia" w:hAnsiTheme="minorHAnsi"/>
          <w:noProof/>
          <w:sz w:val="22"/>
        </w:rPr>
      </w:pPr>
      <w:hyperlink w:anchor="_Toc67566044" w:history="1">
        <w:r w:rsidR="00BE53A8" w:rsidRPr="00CF1C01">
          <w:rPr>
            <w:rStyle w:val="Hyperlink"/>
            <w:noProof/>
          </w:rPr>
          <w:t>Chapter 4: Methodology</w:t>
        </w:r>
        <w:r w:rsidR="00BE53A8">
          <w:rPr>
            <w:noProof/>
            <w:webHidden/>
          </w:rPr>
          <w:tab/>
        </w:r>
        <w:r w:rsidR="00BE53A8">
          <w:rPr>
            <w:noProof/>
            <w:webHidden/>
          </w:rPr>
          <w:fldChar w:fldCharType="begin"/>
        </w:r>
        <w:r w:rsidR="00BE53A8">
          <w:rPr>
            <w:noProof/>
            <w:webHidden/>
          </w:rPr>
          <w:instrText xml:space="preserve"> PAGEREF _Toc67566044 \h </w:instrText>
        </w:r>
        <w:r w:rsidR="00BE53A8">
          <w:rPr>
            <w:noProof/>
            <w:webHidden/>
          </w:rPr>
        </w:r>
        <w:r w:rsidR="00BE53A8">
          <w:rPr>
            <w:noProof/>
            <w:webHidden/>
          </w:rPr>
          <w:fldChar w:fldCharType="separate"/>
        </w:r>
        <w:r w:rsidR="0061511D">
          <w:rPr>
            <w:noProof/>
            <w:webHidden/>
          </w:rPr>
          <w:t>82</w:t>
        </w:r>
        <w:r w:rsidR="00BE53A8">
          <w:rPr>
            <w:noProof/>
            <w:webHidden/>
          </w:rPr>
          <w:fldChar w:fldCharType="end"/>
        </w:r>
      </w:hyperlink>
    </w:p>
    <w:p w14:paraId="4B242193" w14:textId="1778D4C6" w:rsidR="00BE53A8" w:rsidRDefault="00077C0B">
      <w:pPr>
        <w:pStyle w:val="TOC2"/>
        <w:tabs>
          <w:tab w:val="right" w:leader="dot" w:pos="9350"/>
        </w:tabs>
        <w:rPr>
          <w:rFonts w:asciiTheme="minorHAnsi" w:eastAsiaTheme="minorEastAsia" w:hAnsiTheme="minorHAnsi"/>
          <w:noProof/>
          <w:sz w:val="22"/>
        </w:rPr>
      </w:pPr>
      <w:hyperlink w:anchor="_Toc67566045" w:history="1">
        <w:r w:rsidR="00BE53A8" w:rsidRPr="00CF1C01">
          <w:rPr>
            <w:rStyle w:val="Hyperlink"/>
            <w:noProof/>
          </w:rPr>
          <w:t>Derivation of Real Gas Fluid Flow</w:t>
        </w:r>
        <w:r w:rsidR="00BE53A8">
          <w:rPr>
            <w:noProof/>
            <w:webHidden/>
          </w:rPr>
          <w:tab/>
        </w:r>
        <w:r w:rsidR="00BE53A8">
          <w:rPr>
            <w:noProof/>
            <w:webHidden/>
          </w:rPr>
          <w:fldChar w:fldCharType="begin"/>
        </w:r>
        <w:r w:rsidR="00BE53A8">
          <w:rPr>
            <w:noProof/>
            <w:webHidden/>
          </w:rPr>
          <w:instrText xml:space="preserve"> PAGEREF _Toc67566045 \h </w:instrText>
        </w:r>
        <w:r w:rsidR="00BE53A8">
          <w:rPr>
            <w:noProof/>
            <w:webHidden/>
          </w:rPr>
        </w:r>
        <w:r w:rsidR="00BE53A8">
          <w:rPr>
            <w:noProof/>
            <w:webHidden/>
          </w:rPr>
          <w:fldChar w:fldCharType="separate"/>
        </w:r>
        <w:r w:rsidR="0061511D">
          <w:rPr>
            <w:noProof/>
            <w:webHidden/>
          </w:rPr>
          <w:t>82</w:t>
        </w:r>
        <w:r w:rsidR="00BE53A8">
          <w:rPr>
            <w:noProof/>
            <w:webHidden/>
          </w:rPr>
          <w:fldChar w:fldCharType="end"/>
        </w:r>
      </w:hyperlink>
    </w:p>
    <w:p w14:paraId="4428E9DB" w14:textId="776F4222" w:rsidR="00BE53A8" w:rsidRDefault="00077C0B">
      <w:pPr>
        <w:pStyle w:val="TOC3"/>
        <w:tabs>
          <w:tab w:val="right" w:leader="dot" w:pos="9350"/>
        </w:tabs>
        <w:rPr>
          <w:rFonts w:asciiTheme="minorHAnsi" w:eastAsiaTheme="minorEastAsia" w:hAnsiTheme="minorHAnsi"/>
          <w:noProof/>
          <w:sz w:val="22"/>
        </w:rPr>
      </w:pPr>
      <w:hyperlink w:anchor="_Toc67566046" w:history="1">
        <w:r w:rsidR="00BE53A8" w:rsidRPr="00CF1C01">
          <w:rPr>
            <w:rStyle w:val="Hyperlink"/>
            <w:noProof/>
          </w:rPr>
          <w:t>4.1 Comparison of Fluid Flow Models</w:t>
        </w:r>
        <w:r w:rsidR="00BE53A8">
          <w:rPr>
            <w:noProof/>
            <w:webHidden/>
          </w:rPr>
          <w:tab/>
        </w:r>
        <w:r w:rsidR="00BE53A8">
          <w:rPr>
            <w:noProof/>
            <w:webHidden/>
          </w:rPr>
          <w:fldChar w:fldCharType="begin"/>
        </w:r>
        <w:r w:rsidR="00BE53A8">
          <w:rPr>
            <w:noProof/>
            <w:webHidden/>
          </w:rPr>
          <w:instrText xml:space="preserve"> PAGEREF _Toc67566046 \h </w:instrText>
        </w:r>
        <w:r w:rsidR="00BE53A8">
          <w:rPr>
            <w:noProof/>
            <w:webHidden/>
          </w:rPr>
        </w:r>
        <w:r w:rsidR="00BE53A8">
          <w:rPr>
            <w:noProof/>
            <w:webHidden/>
          </w:rPr>
          <w:fldChar w:fldCharType="separate"/>
        </w:r>
        <w:r w:rsidR="0061511D">
          <w:rPr>
            <w:noProof/>
            <w:webHidden/>
          </w:rPr>
          <w:t>89</w:t>
        </w:r>
        <w:r w:rsidR="00BE53A8">
          <w:rPr>
            <w:noProof/>
            <w:webHidden/>
          </w:rPr>
          <w:fldChar w:fldCharType="end"/>
        </w:r>
      </w:hyperlink>
    </w:p>
    <w:p w14:paraId="70A04E26" w14:textId="0EA6E23D" w:rsidR="00BE53A8" w:rsidRDefault="00077C0B">
      <w:pPr>
        <w:pStyle w:val="TOC2"/>
        <w:tabs>
          <w:tab w:val="right" w:leader="dot" w:pos="9350"/>
        </w:tabs>
        <w:rPr>
          <w:rFonts w:asciiTheme="minorHAnsi" w:eastAsiaTheme="minorEastAsia" w:hAnsiTheme="minorHAnsi"/>
          <w:noProof/>
          <w:sz w:val="22"/>
        </w:rPr>
      </w:pPr>
      <w:hyperlink w:anchor="_Toc67566047" w:history="1">
        <w:r w:rsidR="00BE53A8" w:rsidRPr="00CF1C01">
          <w:rPr>
            <w:rStyle w:val="Hyperlink"/>
            <w:noProof/>
          </w:rPr>
          <w:t>Staged Poro-Elastic FEA Stress Continuum Model</w:t>
        </w:r>
        <w:r w:rsidR="00BE53A8">
          <w:rPr>
            <w:noProof/>
            <w:webHidden/>
          </w:rPr>
          <w:tab/>
        </w:r>
        <w:r w:rsidR="00BE53A8">
          <w:rPr>
            <w:noProof/>
            <w:webHidden/>
          </w:rPr>
          <w:fldChar w:fldCharType="begin"/>
        </w:r>
        <w:r w:rsidR="00BE53A8">
          <w:rPr>
            <w:noProof/>
            <w:webHidden/>
          </w:rPr>
          <w:instrText xml:space="preserve"> PAGEREF _Toc67566047 \h </w:instrText>
        </w:r>
        <w:r w:rsidR="00BE53A8">
          <w:rPr>
            <w:noProof/>
            <w:webHidden/>
          </w:rPr>
        </w:r>
        <w:r w:rsidR="00BE53A8">
          <w:rPr>
            <w:noProof/>
            <w:webHidden/>
          </w:rPr>
          <w:fldChar w:fldCharType="separate"/>
        </w:r>
        <w:r w:rsidR="0061511D">
          <w:rPr>
            <w:noProof/>
            <w:webHidden/>
          </w:rPr>
          <w:t>91</w:t>
        </w:r>
        <w:r w:rsidR="00BE53A8">
          <w:rPr>
            <w:noProof/>
            <w:webHidden/>
          </w:rPr>
          <w:fldChar w:fldCharType="end"/>
        </w:r>
      </w:hyperlink>
    </w:p>
    <w:p w14:paraId="50E2EE9B" w14:textId="6116CA3E" w:rsidR="00BE53A8" w:rsidRDefault="00077C0B">
      <w:pPr>
        <w:pStyle w:val="TOC2"/>
        <w:tabs>
          <w:tab w:val="right" w:leader="dot" w:pos="9350"/>
        </w:tabs>
        <w:rPr>
          <w:rFonts w:asciiTheme="minorHAnsi" w:eastAsiaTheme="minorEastAsia" w:hAnsiTheme="minorHAnsi"/>
          <w:noProof/>
          <w:sz w:val="22"/>
        </w:rPr>
      </w:pPr>
      <w:hyperlink w:anchor="_Toc67566048" w:history="1">
        <w:r w:rsidR="00BE53A8" w:rsidRPr="00CF1C01">
          <w:rPr>
            <w:rStyle w:val="Hyperlink"/>
            <w:noProof/>
          </w:rPr>
          <w:t>Staged Poro-Elastic FEA Fracture Model</w:t>
        </w:r>
        <w:r w:rsidR="00BE53A8">
          <w:rPr>
            <w:noProof/>
            <w:webHidden/>
          </w:rPr>
          <w:tab/>
        </w:r>
        <w:r w:rsidR="00BE53A8">
          <w:rPr>
            <w:noProof/>
            <w:webHidden/>
          </w:rPr>
          <w:fldChar w:fldCharType="begin"/>
        </w:r>
        <w:r w:rsidR="00BE53A8">
          <w:rPr>
            <w:noProof/>
            <w:webHidden/>
          </w:rPr>
          <w:instrText xml:space="preserve"> PAGEREF _Toc67566048 \h </w:instrText>
        </w:r>
        <w:r w:rsidR="00BE53A8">
          <w:rPr>
            <w:noProof/>
            <w:webHidden/>
          </w:rPr>
        </w:r>
        <w:r w:rsidR="00BE53A8">
          <w:rPr>
            <w:noProof/>
            <w:webHidden/>
          </w:rPr>
          <w:fldChar w:fldCharType="separate"/>
        </w:r>
        <w:r w:rsidR="0061511D">
          <w:rPr>
            <w:noProof/>
            <w:webHidden/>
          </w:rPr>
          <w:t>94</w:t>
        </w:r>
        <w:r w:rsidR="00BE53A8">
          <w:rPr>
            <w:noProof/>
            <w:webHidden/>
          </w:rPr>
          <w:fldChar w:fldCharType="end"/>
        </w:r>
      </w:hyperlink>
    </w:p>
    <w:p w14:paraId="2CE8923E" w14:textId="1A4442CF" w:rsidR="00BE53A8" w:rsidRDefault="00077C0B">
      <w:pPr>
        <w:pStyle w:val="TOC2"/>
        <w:tabs>
          <w:tab w:val="right" w:leader="dot" w:pos="9350"/>
        </w:tabs>
        <w:rPr>
          <w:rFonts w:asciiTheme="minorHAnsi" w:eastAsiaTheme="minorEastAsia" w:hAnsiTheme="minorHAnsi"/>
          <w:noProof/>
          <w:sz w:val="22"/>
        </w:rPr>
      </w:pPr>
      <w:hyperlink w:anchor="_Toc67566049" w:history="1">
        <w:r w:rsidR="00BE53A8" w:rsidRPr="00CF1C01">
          <w:rPr>
            <w:rStyle w:val="Hyperlink"/>
            <w:noProof/>
          </w:rPr>
          <w:t>Continuous Leakage Pathway Models</w:t>
        </w:r>
        <w:r w:rsidR="00BE53A8">
          <w:rPr>
            <w:noProof/>
            <w:webHidden/>
          </w:rPr>
          <w:tab/>
        </w:r>
        <w:r w:rsidR="00BE53A8">
          <w:rPr>
            <w:noProof/>
            <w:webHidden/>
          </w:rPr>
          <w:fldChar w:fldCharType="begin"/>
        </w:r>
        <w:r w:rsidR="00BE53A8">
          <w:rPr>
            <w:noProof/>
            <w:webHidden/>
          </w:rPr>
          <w:instrText xml:space="preserve"> PAGEREF _Toc67566049 \h </w:instrText>
        </w:r>
        <w:r w:rsidR="00BE53A8">
          <w:rPr>
            <w:noProof/>
            <w:webHidden/>
          </w:rPr>
        </w:r>
        <w:r w:rsidR="00BE53A8">
          <w:rPr>
            <w:noProof/>
            <w:webHidden/>
          </w:rPr>
          <w:fldChar w:fldCharType="separate"/>
        </w:r>
        <w:r w:rsidR="0061511D">
          <w:rPr>
            <w:noProof/>
            <w:webHidden/>
          </w:rPr>
          <w:t>96</w:t>
        </w:r>
        <w:r w:rsidR="00BE53A8">
          <w:rPr>
            <w:noProof/>
            <w:webHidden/>
          </w:rPr>
          <w:fldChar w:fldCharType="end"/>
        </w:r>
      </w:hyperlink>
    </w:p>
    <w:p w14:paraId="713F1782" w14:textId="1D42E881" w:rsidR="00BE53A8" w:rsidRDefault="00077C0B">
      <w:pPr>
        <w:pStyle w:val="TOC2"/>
        <w:tabs>
          <w:tab w:val="right" w:leader="dot" w:pos="9350"/>
        </w:tabs>
        <w:rPr>
          <w:rFonts w:asciiTheme="minorHAnsi" w:eastAsiaTheme="minorEastAsia" w:hAnsiTheme="minorHAnsi"/>
          <w:noProof/>
          <w:sz w:val="22"/>
        </w:rPr>
      </w:pPr>
      <w:hyperlink w:anchor="_Toc67566050" w:history="1">
        <w:r w:rsidR="00BE53A8" w:rsidRPr="00CF1C01">
          <w:rPr>
            <w:rStyle w:val="Hyperlink"/>
            <w:noProof/>
          </w:rPr>
          <w:t>Numerical Experiments Performed</w:t>
        </w:r>
        <w:r w:rsidR="00BE53A8">
          <w:rPr>
            <w:noProof/>
            <w:webHidden/>
          </w:rPr>
          <w:tab/>
        </w:r>
        <w:r w:rsidR="00BE53A8">
          <w:rPr>
            <w:noProof/>
            <w:webHidden/>
          </w:rPr>
          <w:fldChar w:fldCharType="begin"/>
        </w:r>
        <w:r w:rsidR="00BE53A8">
          <w:rPr>
            <w:noProof/>
            <w:webHidden/>
          </w:rPr>
          <w:instrText xml:space="preserve"> PAGEREF _Toc67566050 \h </w:instrText>
        </w:r>
        <w:r w:rsidR="00BE53A8">
          <w:rPr>
            <w:noProof/>
            <w:webHidden/>
          </w:rPr>
        </w:r>
        <w:r w:rsidR="00BE53A8">
          <w:rPr>
            <w:noProof/>
            <w:webHidden/>
          </w:rPr>
          <w:fldChar w:fldCharType="separate"/>
        </w:r>
        <w:r w:rsidR="0061511D">
          <w:rPr>
            <w:noProof/>
            <w:webHidden/>
          </w:rPr>
          <w:t>100</w:t>
        </w:r>
        <w:r w:rsidR="00BE53A8">
          <w:rPr>
            <w:noProof/>
            <w:webHidden/>
          </w:rPr>
          <w:fldChar w:fldCharType="end"/>
        </w:r>
      </w:hyperlink>
    </w:p>
    <w:p w14:paraId="1C75BEE7" w14:textId="573B565B" w:rsidR="00BE53A8" w:rsidRDefault="00077C0B">
      <w:pPr>
        <w:pStyle w:val="TOC3"/>
        <w:tabs>
          <w:tab w:val="right" w:leader="dot" w:pos="9350"/>
        </w:tabs>
        <w:rPr>
          <w:rFonts w:asciiTheme="minorHAnsi" w:eastAsiaTheme="minorEastAsia" w:hAnsiTheme="minorHAnsi"/>
          <w:noProof/>
          <w:sz w:val="22"/>
        </w:rPr>
      </w:pPr>
      <w:hyperlink w:anchor="_Toc67566051" w:history="1">
        <w:r w:rsidR="00BE53A8" w:rsidRPr="00CF1C01">
          <w:rPr>
            <w:rStyle w:val="Hyperlink"/>
            <w:noProof/>
          </w:rPr>
          <w:t>4.2 Verification of Models</w:t>
        </w:r>
        <w:r w:rsidR="00BE53A8">
          <w:rPr>
            <w:noProof/>
            <w:webHidden/>
          </w:rPr>
          <w:tab/>
        </w:r>
        <w:r w:rsidR="00BE53A8">
          <w:rPr>
            <w:noProof/>
            <w:webHidden/>
          </w:rPr>
          <w:fldChar w:fldCharType="begin"/>
        </w:r>
        <w:r w:rsidR="00BE53A8">
          <w:rPr>
            <w:noProof/>
            <w:webHidden/>
          </w:rPr>
          <w:instrText xml:space="preserve"> PAGEREF _Toc67566051 \h </w:instrText>
        </w:r>
        <w:r w:rsidR="00BE53A8">
          <w:rPr>
            <w:noProof/>
            <w:webHidden/>
          </w:rPr>
        </w:r>
        <w:r w:rsidR="00BE53A8">
          <w:rPr>
            <w:noProof/>
            <w:webHidden/>
          </w:rPr>
          <w:fldChar w:fldCharType="separate"/>
        </w:r>
        <w:r w:rsidR="0061511D">
          <w:rPr>
            <w:noProof/>
            <w:webHidden/>
          </w:rPr>
          <w:t>100</w:t>
        </w:r>
        <w:r w:rsidR="00BE53A8">
          <w:rPr>
            <w:noProof/>
            <w:webHidden/>
          </w:rPr>
          <w:fldChar w:fldCharType="end"/>
        </w:r>
      </w:hyperlink>
    </w:p>
    <w:p w14:paraId="6C297450" w14:textId="68495F45" w:rsidR="00BE53A8" w:rsidRDefault="00077C0B">
      <w:pPr>
        <w:pStyle w:val="TOC3"/>
        <w:tabs>
          <w:tab w:val="right" w:leader="dot" w:pos="9350"/>
        </w:tabs>
        <w:rPr>
          <w:rFonts w:asciiTheme="minorHAnsi" w:eastAsiaTheme="minorEastAsia" w:hAnsiTheme="minorHAnsi"/>
          <w:noProof/>
          <w:sz w:val="22"/>
        </w:rPr>
      </w:pPr>
      <w:hyperlink w:anchor="_Toc67566052" w:history="1">
        <w:r w:rsidR="00BE53A8" w:rsidRPr="00CF1C01">
          <w:rPr>
            <w:rStyle w:val="Hyperlink"/>
            <w:noProof/>
          </w:rPr>
          <w:t>4.3 GoM Parametric Study</w:t>
        </w:r>
        <w:r w:rsidR="00BE53A8">
          <w:rPr>
            <w:noProof/>
            <w:webHidden/>
          </w:rPr>
          <w:tab/>
        </w:r>
        <w:r w:rsidR="00BE53A8">
          <w:rPr>
            <w:noProof/>
            <w:webHidden/>
          </w:rPr>
          <w:fldChar w:fldCharType="begin"/>
        </w:r>
        <w:r w:rsidR="00BE53A8">
          <w:rPr>
            <w:noProof/>
            <w:webHidden/>
          </w:rPr>
          <w:instrText xml:space="preserve"> PAGEREF _Toc67566052 \h </w:instrText>
        </w:r>
        <w:r w:rsidR="00BE53A8">
          <w:rPr>
            <w:noProof/>
            <w:webHidden/>
          </w:rPr>
        </w:r>
        <w:r w:rsidR="00BE53A8">
          <w:rPr>
            <w:noProof/>
            <w:webHidden/>
          </w:rPr>
          <w:fldChar w:fldCharType="separate"/>
        </w:r>
        <w:r w:rsidR="0061511D">
          <w:rPr>
            <w:noProof/>
            <w:webHidden/>
          </w:rPr>
          <w:t>109</w:t>
        </w:r>
        <w:r w:rsidR="00BE53A8">
          <w:rPr>
            <w:noProof/>
            <w:webHidden/>
          </w:rPr>
          <w:fldChar w:fldCharType="end"/>
        </w:r>
      </w:hyperlink>
    </w:p>
    <w:p w14:paraId="0D601D72" w14:textId="43971E10" w:rsidR="00BE53A8" w:rsidRDefault="00077C0B">
      <w:pPr>
        <w:pStyle w:val="TOC3"/>
        <w:tabs>
          <w:tab w:val="right" w:leader="dot" w:pos="9350"/>
        </w:tabs>
        <w:rPr>
          <w:rFonts w:asciiTheme="minorHAnsi" w:eastAsiaTheme="minorEastAsia" w:hAnsiTheme="minorHAnsi"/>
          <w:noProof/>
          <w:sz w:val="22"/>
        </w:rPr>
      </w:pPr>
      <w:hyperlink w:anchor="_Toc67566053" w:history="1">
        <w:r w:rsidR="00BE53A8" w:rsidRPr="00CF1C01">
          <w:rPr>
            <w:rStyle w:val="Hyperlink"/>
            <w:noProof/>
          </w:rPr>
          <w:t>4.4 GoM Continuous Leakage Path Model</w:t>
        </w:r>
        <w:r w:rsidR="00BE53A8">
          <w:rPr>
            <w:noProof/>
            <w:webHidden/>
          </w:rPr>
          <w:tab/>
        </w:r>
        <w:r w:rsidR="00BE53A8">
          <w:rPr>
            <w:noProof/>
            <w:webHidden/>
          </w:rPr>
          <w:fldChar w:fldCharType="begin"/>
        </w:r>
        <w:r w:rsidR="00BE53A8">
          <w:rPr>
            <w:noProof/>
            <w:webHidden/>
          </w:rPr>
          <w:instrText xml:space="preserve"> PAGEREF _Toc67566053 \h </w:instrText>
        </w:r>
        <w:r w:rsidR="00BE53A8">
          <w:rPr>
            <w:noProof/>
            <w:webHidden/>
          </w:rPr>
        </w:r>
        <w:r w:rsidR="00BE53A8">
          <w:rPr>
            <w:noProof/>
            <w:webHidden/>
          </w:rPr>
          <w:fldChar w:fldCharType="separate"/>
        </w:r>
        <w:r w:rsidR="0061511D">
          <w:rPr>
            <w:noProof/>
            <w:webHidden/>
          </w:rPr>
          <w:t>111</w:t>
        </w:r>
        <w:r w:rsidR="00BE53A8">
          <w:rPr>
            <w:noProof/>
            <w:webHidden/>
          </w:rPr>
          <w:fldChar w:fldCharType="end"/>
        </w:r>
      </w:hyperlink>
    </w:p>
    <w:p w14:paraId="3B5665F9" w14:textId="05565309" w:rsidR="00BE53A8" w:rsidRDefault="00077C0B">
      <w:pPr>
        <w:pStyle w:val="TOC3"/>
        <w:tabs>
          <w:tab w:val="right" w:leader="dot" w:pos="9350"/>
        </w:tabs>
        <w:rPr>
          <w:rFonts w:asciiTheme="minorHAnsi" w:eastAsiaTheme="minorEastAsia" w:hAnsiTheme="minorHAnsi"/>
          <w:noProof/>
          <w:sz w:val="22"/>
        </w:rPr>
      </w:pPr>
      <w:hyperlink w:anchor="_Toc67566054" w:history="1">
        <w:r w:rsidR="00BE53A8" w:rsidRPr="00CF1C01">
          <w:rPr>
            <w:rStyle w:val="Hyperlink"/>
            <w:noProof/>
          </w:rPr>
          <w:t>4.5 Case Study Well</w:t>
        </w:r>
        <w:r w:rsidR="00BE53A8">
          <w:rPr>
            <w:noProof/>
            <w:webHidden/>
          </w:rPr>
          <w:tab/>
        </w:r>
        <w:r w:rsidR="00BE53A8">
          <w:rPr>
            <w:noProof/>
            <w:webHidden/>
          </w:rPr>
          <w:fldChar w:fldCharType="begin"/>
        </w:r>
        <w:r w:rsidR="00BE53A8">
          <w:rPr>
            <w:noProof/>
            <w:webHidden/>
          </w:rPr>
          <w:instrText xml:space="preserve"> PAGEREF _Toc67566054 \h </w:instrText>
        </w:r>
        <w:r w:rsidR="00BE53A8">
          <w:rPr>
            <w:noProof/>
            <w:webHidden/>
          </w:rPr>
        </w:r>
        <w:r w:rsidR="00BE53A8">
          <w:rPr>
            <w:noProof/>
            <w:webHidden/>
          </w:rPr>
          <w:fldChar w:fldCharType="separate"/>
        </w:r>
        <w:r w:rsidR="0061511D">
          <w:rPr>
            <w:noProof/>
            <w:webHidden/>
          </w:rPr>
          <w:t>114</w:t>
        </w:r>
        <w:r w:rsidR="00BE53A8">
          <w:rPr>
            <w:noProof/>
            <w:webHidden/>
          </w:rPr>
          <w:fldChar w:fldCharType="end"/>
        </w:r>
      </w:hyperlink>
    </w:p>
    <w:p w14:paraId="7C92C6D6" w14:textId="709DE2F0" w:rsidR="00BE53A8" w:rsidRDefault="00077C0B">
      <w:pPr>
        <w:pStyle w:val="TOC1"/>
        <w:tabs>
          <w:tab w:val="right" w:leader="dot" w:pos="9350"/>
        </w:tabs>
        <w:rPr>
          <w:rFonts w:asciiTheme="minorHAnsi" w:eastAsiaTheme="minorEastAsia" w:hAnsiTheme="minorHAnsi"/>
          <w:noProof/>
          <w:sz w:val="22"/>
        </w:rPr>
      </w:pPr>
      <w:hyperlink w:anchor="_Toc67566055" w:history="1">
        <w:r w:rsidR="00BE53A8" w:rsidRPr="00CF1C01">
          <w:rPr>
            <w:rStyle w:val="Hyperlink"/>
            <w:noProof/>
          </w:rPr>
          <w:t>Chapter 5: Results</w:t>
        </w:r>
        <w:r w:rsidR="00BE53A8">
          <w:rPr>
            <w:noProof/>
            <w:webHidden/>
          </w:rPr>
          <w:tab/>
        </w:r>
        <w:r w:rsidR="00BE53A8">
          <w:rPr>
            <w:noProof/>
            <w:webHidden/>
          </w:rPr>
          <w:fldChar w:fldCharType="begin"/>
        </w:r>
        <w:r w:rsidR="00BE53A8">
          <w:rPr>
            <w:noProof/>
            <w:webHidden/>
          </w:rPr>
          <w:instrText xml:space="preserve"> PAGEREF _Toc67566055 \h </w:instrText>
        </w:r>
        <w:r w:rsidR="00BE53A8">
          <w:rPr>
            <w:noProof/>
            <w:webHidden/>
          </w:rPr>
        </w:r>
        <w:r w:rsidR="00BE53A8">
          <w:rPr>
            <w:noProof/>
            <w:webHidden/>
          </w:rPr>
          <w:fldChar w:fldCharType="separate"/>
        </w:r>
        <w:r w:rsidR="0061511D">
          <w:rPr>
            <w:noProof/>
            <w:webHidden/>
          </w:rPr>
          <w:t>121</w:t>
        </w:r>
        <w:r w:rsidR="00BE53A8">
          <w:rPr>
            <w:noProof/>
            <w:webHidden/>
          </w:rPr>
          <w:fldChar w:fldCharType="end"/>
        </w:r>
      </w:hyperlink>
    </w:p>
    <w:p w14:paraId="25E30797" w14:textId="7CC3D5D1" w:rsidR="00BE53A8" w:rsidRDefault="00077C0B">
      <w:pPr>
        <w:pStyle w:val="TOC3"/>
        <w:tabs>
          <w:tab w:val="right" w:leader="dot" w:pos="9350"/>
        </w:tabs>
        <w:rPr>
          <w:rFonts w:asciiTheme="minorHAnsi" w:eastAsiaTheme="minorEastAsia" w:hAnsiTheme="minorHAnsi"/>
          <w:noProof/>
          <w:sz w:val="22"/>
        </w:rPr>
      </w:pPr>
      <w:hyperlink w:anchor="_Toc67566056" w:history="1">
        <w:r w:rsidR="00BE53A8" w:rsidRPr="00CF1C01">
          <w:rPr>
            <w:rStyle w:val="Hyperlink"/>
            <w:noProof/>
          </w:rPr>
          <w:t>5.1 Fluid Flow Model Comparison</w:t>
        </w:r>
        <w:r w:rsidR="00BE53A8">
          <w:rPr>
            <w:noProof/>
            <w:webHidden/>
          </w:rPr>
          <w:tab/>
        </w:r>
        <w:r w:rsidR="00BE53A8">
          <w:rPr>
            <w:noProof/>
            <w:webHidden/>
          </w:rPr>
          <w:fldChar w:fldCharType="begin"/>
        </w:r>
        <w:r w:rsidR="00BE53A8">
          <w:rPr>
            <w:noProof/>
            <w:webHidden/>
          </w:rPr>
          <w:instrText xml:space="preserve"> PAGEREF _Toc67566056 \h </w:instrText>
        </w:r>
        <w:r w:rsidR="00BE53A8">
          <w:rPr>
            <w:noProof/>
            <w:webHidden/>
          </w:rPr>
        </w:r>
        <w:r w:rsidR="00BE53A8">
          <w:rPr>
            <w:noProof/>
            <w:webHidden/>
          </w:rPr>
          <w:fldChar w:fldCharType="separate"/>
        </w:r>
        <w:r w:rsidR="0061511D">
          <w:rPr>
            <w:noProof/>
            <w:webHidden/>
          </w:rPr>
          <w:t>121</w:t>
        </w:r>
        <w:r w:rsidR="00BE53A8">
          <w:rPr>
            <w:noProof/>
            <w:webHidden/>
          </w:rPr>
          <w:fldChar w:fldCharType="end"/>
        </w:r>
      </w:hyperlink>
    </w:p>
    <w:p w14:paraId="11A6EB79" w14:textId="1E27ACE5" w:rsidR="00BE53A8" w:rsidRDefault="00077C0B">
      <w:pPr>
        <w:pStyle w:val="TOC3"/>
        <w:tabs>
          <w:tab w:val="right" w:leader="dot" w:pos="9350"/>
        </w:tabs>
        <w:rPr>
          <w:rFonts w:asciiTheme="minorHAnsi" w:eastAsiaTheme="minorEastAsia" w:hAnsiTheme="minorHAnsi"/>
          <w:noProof/>
          <w:sz w:val="22"/>
        </w:rPr>
      </w:pPr>
      <w:hyperlink w:anchor="_Toc67566057" w:history="1">
        <w:r w:rsidR="00BE53A8" w:rsidRPr="00CF1C01">
          <w:rPr>
            <w:rStyle w:val="Hyperlink"/>
            <w:noProof/>
          </w:rPr>
          <w:t>5.2 Verification of Models</w:t>
        </w:r>
        <w:r w:rsidR="00BE53A8">
          <w:rPr>
            <w:noProof/>
            <w:webHidden/>
          </w:rPr>
          <w:tab/>
        </w:r>
        <w:r w:rsidR="00BE53A8">
          <w:rPr>
            <w:noProof/>
            <w:webHidden/>
          </w:rPr>
          <w:fldChar w:fldCharType="begin"/>
        </w:r>
        <w:r w:rsidR="00BE53A8">
          <w:rPr>
            <w:noProof/>
            <w:webHidden/>
          </w:rPr>
          <w:instrText xml:space="preserve"> PAGEREF _Toc67566057 \h </w:instrText>
        </w:r>
        <w:r w:rsidR="00BE53A8">
          <w:rPr>
            <w:noProof/>
            <w:webHidden/>
          </w:rPr>
        </w:r>
        <w:r w:rsidR="00BE53A8">
          <w:rPr>
            <w:noProof/>
            <w:webHidden/>
          </w:rPr>
          <w:fldChar w:fldCharType="separate"/>
        </w:r>
        <w:r w:rsidR="0061511D">
          <w:rPr>
            <w:noProof/>
            <w:webHidden/>
          </w:rPr>
          <w:t>123</w:t>
        </w:r>
        <w:r w:rsidR="00BE53A8">
          <w:rPr>
            <w:noProof/>
            <w:webHidden/>
          </w:rPr>
          <w:fldChar w:fldCharType="end"/>
        </w:r>
      </w:hyperlink>
    </w:p>
    <w:p w14:paraId="4BA43C99" w14:textId="2ACD8CBC" w:rsidR="00BE53A8" w:rsidRDefault="00077C0B">
      <w:pPr>
        <w:pStyle w:val="TOC3"/>
        <w:tabs>
          <w:tab w:val="right" w:leader="dot" w:pos="9350"/>
        </w:tabs>
        <w:rPr>
          <w:rFonts w:asciiTheme="minorHAnsi" w:eastAsiaTheme="minorEastAsia" w:hAnsiTheme="minorHAnsi"/>
          <w:noProof/>
          <w:sz w:val="22"/>
        </w:rPr>
      </w:pPr>
      <w:hyperlink w:anchor="_Toc67566058" w:history="1">
        <w:r w:rsidR="00BE53A8" w:rsidRPr="00CF1C01">
          <w:rPr>
            <w:rStyle w:val="Hyperlink"/>
            <w:noProof/>
          </w:rPr>
          <w:t>5.3 GoM Parametric Study</w:t>
        </w:r>
        <w:r w:rsidR="00BE53A8">
          <w:rPr>
            <w:noProof/>
            <w:webHidden/>
          </w:rPr>
          <w:tab/>
        </w:r>
        <w:r w:rsidR="00BE53A8">
          <w:rPr>
            <w:noProof/>
            <w:webHidden/>
          </w:rPr>
          <w:fldChar w:fldCharType="begin"/>
        </w:r>
        <w:r w:rsidR="00BE53A8">
          <w:rPr>
            <w:noProof/>
            <w:webHidden/>
          </w:rPr>
          <w:instrText xml:space="preserve"> PAGEREF _Toc67566058 \h </w:instrText>
        </w:r>
        <w:r w:rsidR="00BE53A8">
          <w:rPr>
            <w:noProof/>
            <w:webHidden/>
          </w:rPr>
        </w:r>
        <w:r w:rsidR="00BE53A8">
          <w:rPr>
            <w:noProof/>
            <w:webHidden/>
          </w:rPr>
          <w:fldChar w:fldCharType="separate"/>
        </w:r>
        <w:r w:rsidR="0061511D">
          <w:rPr>
            <w:noProof/>
            <w:webHidden/>
          </w:rPr>
          <w:t>133</w:t>
        </w:r>
        <w:r w:rsidR="00BE53A8">
          <w:rPr>
            <w:noProof/>
            <w:webHidden/>
          </w:rPr>
          <w:fldChar w:fldCharType="end"/>
        </w:r>
      </w:hyperlink>
    </w:p>
    <w:p w14:paraId="76B5A9E6" w14:textId="65CAE495" w:rsidR="00BE53A8" w:rsidRDefault="00077C0B">
      <w:pPr>
        <w:pStyle w:val="TOC3"/>
        <w:tabs>
          <w:tab w:val="right" w:leader="dot" w:pos="9350"/>
        </w:tabs>
        <w:rPr>
          <w:rFonts w:asciiTheme="minorHAnsi" w:eastAsiaTheme="minorEastAsia" w:hAnsiTheme="minorHAnsi"/>
          <w:noProof/>
          <w:sz w:val="22"/>
        </w:rPr>
      </w:pPr>
      <w:hyperlink w:anchor="_Toc67566059" w:history="1">
        <w:r w:rsidR="00BE53A8" w:rsidRPr="00CF1C01">
          <w:rPr>
            <w:rStyle w:val="Hyperlink"/>
            <w:noProof/>
          </w:rPr>
          <w:t>5.4 GoM Continuous Leakage Path</w:t>
        </w:r>
        <w:r w:rsidR="00BE53A8">
          <w:rPr>
            <w:noProof/>
            <w:webHidden/>
          </w:rPr>
          <w:tab/>
        </w:r>
        <w:r w:rsidR="00BE53A8">
          <w:rPr>
            <w:noProof/>
            <w:webHidden/>
          </w:rPr>
          <w:fldChar w:fldCharType="begin"/>
        </w:r>
        <w:r w:rsidR="00BE53A8">
          <w:rPr>
            <w:noProof/>
            <w:webHidden/>
          </w:rPr>
          <w:instrText xml:space="preserve"> PAGEREF _Toc67566059 \h </w:instrText>
        </w:r>
        <w:r w:rsidR="00BE53A8">
          <w:rPr>
            <w:noProof/>
            <w:webHidden/>
          </w:rPr>
        </w:r>
        <w:r w:rsidR="00BE53A8">
          <w:rPr>
            <w:noProof/>
            <w:webHidden/>
          </w:rPr>
          <w:fldChar w:fldCharType="separate"/>
        </w:r>
        <w:r w:rsidR="0061511D">
          <w:rPr>
            <w:noProof/>
            <w:webHidden/>
          </w:rPr>
          <w:t>147</w:t>
        </w:r>
        <w:r w:rsidR="00BE53A8">
          <w:rPr>
            <w:noProof/>
            <w:webHidden/>
          </w:rPr>
          <w:fldChar w:fldCharType="end"/>
        </w:r>
      </w:hyperlink>
    </w:p>
    <w:p w14:paraId="3243C11C" w14:textId="651F63BA" w:rsidR="00BE53A8" w:rsidRDefault="00077C0B">
      <w:pPr>
        <w:pStyle w:val="TOC3"/>
        <w:tabs>
          <w:tab w:val="right" w:leader="dot" w:pos="9350"/>
        </w:tabs>
        <w:rPr>
          <w:rFonts w:asciiTheme="minorHAnsi" w:eastAsiaTheme="minorEastAsia" w:hAnsiTheme="minorHAnsi"/>
          <w:noProof/>
          <w:sz w:val="22"/>
        </w:rPr>
      </w:pPr>
      <w:hyperlink w:anchor="_Toc67566060" w:history="1">
        <w:r w:rsidR="00BE53A8" w:rsidRPr="00CF1C01">
          <w:rPr>
            <w:rStyle w:val="Hyperlink"/>
            <w:noProof/>
          </w:rPr>
          <w:t>5.5 Case Study Well</w:t>
        </w:r>
        <w:r w:rsidR="00BE53A8">
          <w:rPr>
            <w:noProof/>
            <w:webHidden/>
          </w:rPr>
          <w:tab/>
        </w:r>
        <w:r w:rsidR="00BE53A8">
          <w:rPr>
            <w:noProof/>
            <w:webHidden/>
          </w:rPr>
          <w:fldChar w:fldCharType="begin"/>
        </w:r>
        <w:r w:rsidR="00BE53A8">
          <w:rPr>
            <w:noProof/>
            <w:webHidden/>
          </w:rPr>
          <w:instrText xml:space="preserve"> PAGEREF _Toc67566060 \h </w:instrText>
        </w:r>
        <w:r w:rsidR="00BE53A8">
          <w:rPr>
            <w:noProof/>
            <w:webHidden/>
          </w:rPr>
        </w:r>
        <w:r w:rsidR="00BE53A8">
          <w:rPr>
            <w:noProof/>
            <w:webHidden/>
          </w:rPr>
          <w:fldChar w:fldCharType="separate"/>
        </w:r>
        <w:r w:rsidR="0061511D">
          <w:rPr>
            <w:noProof/>
            <w:webHidden/>
          </w:rPr>
          <w:t>148</w:t>
        </w:r>
        <w:r w:rsidR="00BE53A8">
          <w:rPr>
            <w:noProof/>
            <w:webHidden/>
          </w:rPr>
          <w:fldChar w:fldCharType="end"/>
        </w:r>
      </w:hyperlink>
    </w:p>
    <w:p w14:paraId="6C542004" w14:textId="70C4E6E6" w:rsidR="00BE53A8" w:rsidRDefault="00077C0B">
      <w:pPr>
        <w:pStyle w:val="TOC1"/>
        <w:tabs>
          <w:tab w:val="right" w:leader="dot" w:pos="9350"/>
        </w:tabs>
        <w:rPr>
          <w:rFonts w:asciiTheme="minorHAnsi" w:eastAsiaTheme="minorEastAsia" w:hAnsiTheme="minorHAnsi"/>
          <w:noProof/>
          <w:sz w:val="22"/>
        </w:rPr>
      </w:pPr>
      <w:hyperlink w:anchor="_Toc67566061" w:history="1">
        <w:r w:rsidR="00BE53A8" w:rsidRPr="00CF1C01">
          <w:rPr>
            <w:rStyle w:val="Hyperlink"/>
            <w:noProof/>
          </w:rPr>
          <w:t>Chapter 6: Discussions</w:t>
        </w:r>
        <w:r w:rsidR="00BE53A8">
          <w:rPr>
            <w:noProof/>
            <w:webHidden/>
          </w:rPr>
          <w:tab/>
        </w:r>
        <w:r w:rsidR="00BE53A8">
          <w:rPr>
            <w:noProof/>
            <w:webHidden/>
          </w:rPr>
          <w:fldChar w:fldCharType="begin"/>
        </w:r>
        <w:r w:rsidR="00BE53A8">
          <w:rPr>
            <w:noProof/>
            <w:webHidden/>
          </w:rPr>
          <w:instrText xml:space="preserve"> PAGEREF _Toc67566061 \h </w:instrText>
        </w:r>
        <w:r w:rsidR="00BE53A8">
          <w:rPr>
            <w:noProof/>
            <w:webHidden/>
          </w:rPr>
        </w:r>
        <w:r w:rsidR="00BE53A8">
          <w:rPr>
            <w:noProof/>
            <w:webHidden/>
          </w:rPr>
          <w:fldChar w:fldCharType="separate"/>
        </w:r>
        <w:r w:rsidR="0061511D">
          <w:rPr>
            <w:noProof/>
            <w:webHidden/>
          </w:rPr>
          <w:t>170</w:t>
        </w:r>
        <w:r w:rsidR="00BE53A8">
          <w:rPr>
            <w:noProof/>
            <w:webHidden/>
          </w:rPr>
          <w:fldChar w:fldCharType="end"/>
        </w:r>
      </w:hyperlink>
    </w:p>
    <w:p w14:paraId="725D3947" w14:textId="7D3C86E5" w:rsidR="00BE53A8" w:rsidRDefault="00077C0B">
      <w:pPr>
        <w:pStyle w:val="TOC2"/>
        <w:tabs>
          <w:tab w:val="right" w:leader="dot" w:pos="9350"/>
        </w:tabs>
        <w:rPr>
          <w:rFonts w:asciiTheme="minorHAnsi" w:eastAsiaTheme="minorEastAsia" w:hAnsiTheme="minorHAnsi"/>
          <w:noProof/>
          <w:sz w:val="22"/>
        </w:rPr>
      </w:pPr>
      <w:hyperlink w:anchor="_Toc67566062" w:history="1">
        <w:r w:rsidR="00BE53A8" w:rsidRPr="00CF1C01">
          <w:rPr>
            <w:rStyle w:val="Hyperlink"/>
            <w:noProof/>
          </w:rPr>
          <w:t>Effect of Modeling Gas versus Water</w:t>
        </w:r>
        <w:r w:rsidR="00BE53A8">
          <w:rPr>
            <w:noProof/>
            <w:webHidden/>
          </w:rPr>
          <w:tab/>
        </w:r>
        <w:r w:rsidR="00BE53A8">
          <w:rPr>
            <w:noProof/>
            <w:webHidden/>
          </w:rPr>
          <w:fldChar w:fldCharType="begin"/>
        </w:r>
        <w:r w:rsidR="00BE53A8">
          <w:rPr>
            <w:noProof/>
            <w:webHidden/>
          </w:rPr>
          <w:instrText xml:space="preserve"> PAGEREF _Toc67566062 \h </w:instrText>
        </w:r>
        <w:r w:rsidR="00BE53A8">
          <w:rPr>
            <w:noProof/>
            <w:webHidden/>
          </w:rPr>
        </w:r>
        <w:r w:rsidR="00BE53A8">
          <w:rPr>
            <w:noProof/>
            <w:webHidden/>
          </w:rPr>
          <w:fldChar w:fldCharType="separate"/>
        </w:r>
        <w:r w:rsidR="0061511D">
          <w:rPr>
            <w:noProof/>
            <w:webHidden/>
          </w:rPr>
          <w:t>170</w:t>
        </w:r>
        <w:r w:rsidR="00BE53A8">
          <w:rPr>
            <w:noProof/>
            <w:webHidden/>
          </w:rPr>
          <w:fldChar w:fldCharType="end"/>
        </w:r>
      </w:hyperlink>
    </w:p>
    <w:p w14:paraId="7D6B547F" w14:textId="4E34C53B" w:rsidR="00BE53A8" w:rsidRDefault="00077C0B">
      <w:pPr>
        <w:pStyle w:val="TOC2"/>
        <w:tabs>
          <w:tab w:val="right" w:leader="dot" w:pos="9350"/>
        </w:tabs>
        <w:rPr>
          <w:rFonts w:asciiTheme="minorHAnsi" w:eastAsiaTheme="minorEastAsia" w:hAnsiTheme="minorHAnsi"/>
          <w:noProof/>
          <w:sz w:val="22"/>
        </w:rPr>
      </w:pPr>
      <w:hyperlink w:anchor="_Toc67566063" w:history="1">
        <w:r w:rsidR="00BE53A8" w:rsidRPr="00CF1C01">
          <w:rPr>
            <w:rStyle w:val="Hyperlink"/>
            <w:noProof/>
          </w:rPr>
          <w:t>Effect of Shrinkage</w:t>
        </w:r>
        <w:r w:rsidR="00BE53A8">
          <w:rPr>
            <w:noProof/>
            <w:webHidden/>
          </w:rPr>
          <w:tab/>
        </w:r>
        <w:r w:rsidR="00BE53A8">
          <w:rPr>
            <w:noProof/>
            <w:webHidden/>
          </w:rPr>
          <w:fldChar w:fldCharType="begin"/>
        </w:r>
        <w:r w:rsidR="00BE53A8">
          <w:rPr>
            <w:noProof/>
            <w:webHidden/>
          </w:rPr>
          <w:instrText xml:space="preserve"> PAGEREF _Toc67566063 \h </w:instrText>
        </w:r>
        <w:r w:rsidR="00BE53A8">
          <w:rPr>
            <w:noProof/>
            <w:webHidden/>
          </w:rPr>
        </w:r>
        <w:r w:rsidR="00BE53A8">
          <w:rPr>
            <w:noProof/>
            <w:webHidden/>
          </w:rPr>
          <w:fldChar w:fldCharType="separate"/>
        </w:r>
        <w:r w:rsidR="0061511D">
          <w:rPr>
            <w:noProof/>
            <w:webHidden/>
          </w:rPr>
          <w:t>171</w:t>
        </w:r>
        <w:r w:rsidR="00BE53A8">
          <w:rPr>
            <w:noProof/>
            <w:webHidden/>
          </w:rPr>
          <w:fldChar w:fldCharType="end"/>
        </w:r>
      </w:hyperlink>
    </w:p>
    <w:p w14:paraId="19958825" w14:textId="66FF4884" w:rsidR="00BE53A8" w:rsidRDefault="00077C0B">
      <w:pPr>
        <w:pStyle w:val="TOC2"/>
        <w:tabs>
          <w:tab w:val="right" w:leader="dot" w:pos="9350"/>
        </w:tabs>
        <w:rPr>
          <w:rFonts w:asciiTheme="minorHAnsi" w:eastAsiaTheme="minorEastAsia" w:hAnsiTheme="minorHAnsi"/>
          <w:noProof/>
          <w:sz w:val="22"/>
        </w:rPr>
      </w:pPr>
      <w:hyperlink w:anchor="_Toc67566064" w:history="1">
        <w:r w:rsidR="00BE53A8" w:rsidRPr="00CF1C01">
          <w:rPr>
            <w:rStyle w:val="Hyperlink"/>
            <w:noProof/>
          </w:rPr>
          <w:t>Effect of Confinement</w:t>
        </w:r>
        <w:r w:rsidR="00BE53A8">
          <w:rPr>
            <w:noProof/>
            <w:webHidden/>
          </w:rPr>
          <w:tab/>
        </w:r>
        <w:r w:rsidR="00BE53A8">
          <w:rPr>
            <w:noProof/>
            <w:webHidden/>
          </w:rPr>
          <w:fldChar w:fldCharType="begin"/>
        </w:r>
        <w:r w:rsidR="00BE53A8">
          <w:rPr>
            <w:noProof/>
            <w:webHidden/>
          </w:rPr>
          <w:instrText xml:space="preserve"> PAGEREF _Toc67566064 \h </w:instrText>
        </w:r>
        <w:r w:rsidR="00BE53A8">
          <w:rPr>
            <w:noProof/>
            <w:webHidden/>
          </w:rPr>
        </w:r>
        <w:r w:rsidR="00BE53A8">
          <w:rPr>
            <w:noProof/>
            <w:webHidden/>
          </w:rPr>
          <w:fldChar w:fldCharType="separate"/>
        </w:r>
        <w:r w:rsidR="0061511D">
          <w:rPr>
            <w:noProof/>
            <w:webHidden/>
          </w:rPr>
          <w:t>172</w:t>
        </w:r>
        <w:r w:rsidR="00BE53A8">
          <w:rPr>
            <w:noProof/>
            <w:webHidden/>
          </w:rPr>
          <w:fldChar w:fldCharType="end"/>
        </w:r>
      </w:hyperlink>
    </w:p>
    <w:p w14:paraId="1894BE99" w14:textId="31CD32E0" w:rsidR="00BE53A8" w:rsidRDefault="00077C0B">
      <w:pPr>
        <w:pStyle w:val="TOC2"/>
        <w:tabs>
          <w:tab w:val="right" w:leader="dot" w:pos="9350"/>
        </w:tabs>
        <w:rPr>
          <w:rFonts w:asciiTheme="minorHAnsi" w:eastAsiaTheme="minorEastAsia" w:hAnsiTheme="minorHAnsi"/>
          <w:noProof/>
          <w:sz w:val="22"/>
        </w:rPr>
      </w:pPr>
      <w:hyperlink w:anchor="_Toc67566065" w:history="1">
        <w:r w:rsidR="00BE53A8" w:rsidRPr="00CF1C01">
          <w:rPr>
            <w:rStyle w:val="Hyperlink"/>
            <w:noProof/>
          </w:rPr>
          <w:t>Effect of Traction Separation Law</w:t>
        </w:r>
        <w:r w:rsidR="00BE53A8">
          <w:rPr>
            <w:noProof/>
            <w:webHidden/>
          </w:rPr>
          <w:tab/>
        </w:r>
        <w:r w:rsidR="00BE53A8">
          <w:rPr>
            <w:noProof/>
            <w:webHidden/>
          </w:rPr>
          <w:fldChar w:fldCharType="begin"/>
        </w:r>
        <w:r w:rsidR="00BE53A8">
          <w:rPr>
            <w:noProof/>
            <w:webHidden/>
          </w:rPr>
          <w:instrText xml:space="preserve"> PAGEREF _Toc67566065 \h </w:instrText>
        </w:r>
        <w:r w:rsidR="00BE53A8">
          <w:rPr>
            <w:noProof/>
            <w:webHidden/>
          </w:rPr>
        </w:r>
        <w:r w:rsidR="00BE53A8">
          <w:rPr>
            <w:noProof/>
            <w:webHidden/>
          </w:rPr>
          <w:fldChar w:fldCharType="separate"/>
        </w:r>
        <w:r w:rsidR="0061511D">
          <w:rPr>
            <w:noProof/>
            <w:webHidden/>
          </w:rPr>
          <w:t>175</w:t>
        </w:r>
        <w:r w:rsidR="00BE53A8">
          <w:rPr>
            <w:noProof/>
            <w:webHidden/>
          </w:rPr>
          <w:fldChar w:fldCharType="end"/>
        </w:r>
      </w:hyperlink>
    </w:p>
    <w:p w14:paraId="1D60AE2E" w14:textId="075D195C" w:rsidR="00BE53A8" w:rsidRDefault="00077C0B">
      <w:pPr>
        <w:pStyle w:val="TOC2"/>
        <w:tabs>
          <w:tab w:val="right" w:leader="dot" w:pos="9350"/>
        </w:tabs>
        <w:rPr>
          <w:rFonts w:asciiTheme="minorHAnsi" w:eastAsiaTheme="minorEastAsia" w:hAnsiTheme="minorHAnsi"/>
          <w:noProof/>
          <w:sz w:val="22"/>
        </w:rPr>
      </w:pPr>
      <w:hyperlink w:anchor="_Toc67566066" w:history="1">
        <w:r w:rsidR="00BE53A8" w:rsidRPr="00CF1C01">
          <w:rPr>
            <w:rStyle w:val="Hyperlink"/>
            <w:noProof/>
          </w:rPr>
          <w:t>Implications of Wellbore Leakage in the Gulf of Mexico</w:t>
        </w:r>
        <w:r w:rsidR="00BE53A8">
          <w:rPr>
            <w:noProof/>
            <w:webHidden/>
          </w:rPr>
          <w:tab/>
        </w:r>
        <w:r w:rsidR="00BE53A8">
          <w:rPr>
            <w:noProof/>
            <w:webHidden/>
          </w:rPr>
          <w:fldChar w:fldCharType="begin"/>
        </w:r>
        <w:r w:rsidR="00BE53A8">
          <w:rPr>
            <w:noProof/>
            <w:webHidden/>
          </w:rPr>
          <w:instrText xml:space="preserve"> PAGEREF _Toc67566066 \h </w:instrText>
        </w:r>
        <w:r w:rsidR="00BE53A8">
          <w:rPr>
            <w:noProof/>
            <w:webHidden/>
          </w:rPr>
        </w:r>
        <w:r w:rsidR="00BE53A8">
          <w:rPr>
            <w:noProof/>
            <w:webHidden/>
          </w:rPr>
          <w:fldChar w:fldCharType="separate"/>
        </w:r>
        <w:r w:rsidR="0061511D">
          <w:rPr>
            <w:noProof/>
            <w:webHidden/>
          </w:rPr>
          <w:t>177</w:t>
        </w:r>
        <w:r w:rsidR="00BE53A8">
          <w:rPr>
            <w:noProof/>
            <w:webHidden/>
          </w:rPr>
          <w:fldChar w:fldCharType="end"/>
        </w:r>
      </w:hyperlink>
    </w:p>
    <w:p w14:paraId="2106CFD6" w14:textId="2D4AB9E7" w:rsidR="00BE53A8" w:rsidRDefault="00077C0B">
      <w:pPr>
        <w:pStyle w:val="TOC1"/>
        <w:tabs>
          <w:tab w:val="right" w:leader="dot" w:pos="9350"/>
        </w:tabs>
        <w:rPr>
          <w:rFonts w:asciiTheme="minorHAnsi" w:eastAsiaTheme="minorEastAsia" w:hAnsiTheme="minorHAnsi"/>
          <w:noProof/>
          <w:sz w:val="22"/>
        </w:rPr>
      </w:pPr>
      <w:hyperlink w:anchor="_Toc67566067" w:history="1">
        <w:r w:rsidR="00BE53A8" w:rsidRPr="00CF1C01">
          <w:rPr>
            <w:rStyle w:val="Hyperlink"/>
            <w:noProof/>
          </w:rPr>
          <w:t>Chapter 7: Conclusions, Recommendations, and Future Work</w:t>
        </w:r>
        <w:r w:rsidR="00BE53A8">
          <w:rPr>
            <w:noProof/>
            <w:webHidden/>
          </w:rPr>
          <w:tab/>
        </w:r>
        <w:r w:rsidR="00BE53A8">
          <w:rPr>
            <w:noProof/>
            <w:webHidden/>
          </w:rPr>
          <w:fldChar w:fldCharType="begin"/>
        </w:r>
        <w:r w:rsidR="00BE53A8">
          <w:rPr>
            <w:noProof/>
            <w:webHidden/>
          </w:rPr>
          <w:instrText xml:space="preserve"> PAGEREF _Toc67566067 \h </w:instrText>
        </w:r>
        <w:r w:rsidR="00BE53A8">
          <w:rPr>
            <w:noProof/>
            <w:webHidden/>
          </w:rPr>
        </w:r>
        <w:r w:rsidR="00BE53A8">
          <w:rPr>
            <w:noProof/>
            <w:webHidden/>
          </w:rPr>
          <w:fldChar w:fldCharType="separate"/>
        </w:r>
        <w:r w:rsidR="0061511D">
          <w:rPr>
            <w:noProof/>
            <w:webHidden/>
          </w:rPr>
          <w:t>181</w:t>
        </w:r>
        <w:r w:rsidR="00BE53A8">
          <w:rPr>
            <w:noProof/>
            <w:webHidden/>
          </w:rPr>
          <w:fldChar w:fldCharType="end"/>
        </w:r>
      </w:hyperlink>
    </w:p>
    <w:p w14:paraId="1D601644" w14:textId="044D9D53" w:rsidR="00BE53A8" w:rsidRDefault="00077C0B">
      <w:pPr>
        <w:pStyle w:val="TOC2"/>
        <w:tabs>
          <w:tab w:val="right" w:leader="dot" w:pos="9350"/>
        </w:tabs>
        <w:rPr>
          <w:rFonts w:asciiTheme="minorHAnsi" w:eastAsiaTheme="minorEastAsia" w:hAnsiTheme="minorHAnsi"/>
          <w:noProof/>
          <w:sz w:val="22"/>
        </w:rPr>
      </w:pPr>
      <w:hyperlink w:anchor="_Toc67566068" w:history="1">
        <w:r w:rsidR="00BE53A8" w:rsidRPr="00CF1C01">
          <w:rPr>
            <w:rStyle w:val="Hyperlink"/>
            <w:noProof/>
          </w:rPr>
          <w:t>Conclusions and Recommendations</w:t>
        </w:r>
        <w:r w:rsidR="00BE53A8">
          <w:rPr>
            <w:noProof/>
            <w:webHidden/>
          </w:rPr>
          <w:tab/>
        </w:r>
        <w:r w:rsidR="00BE53A8">
          <w:rPr>
            <w:noProof/>
            <w:webHidden/>
          </w:rPr>
          <w:fldChar w:fldCharType="begin"/>
        </w:r>
        <w:r w:rsidR="00BE53A8">
          <w:rPr>
            <w:noProof/>
            <w:webHidden/>
          </w:rPr>
          <w:instrText xml:space="preserve"> PAGEREF _Toc67566068 \h </w:instrText>
        </w:r>
        <w:r w:rsidR="00BE53A8">
          <w:rPr>
            <w:noProof/>
            <w:webHidden/>
          </w:rPr>
        </w:r>
        <w:r w:rsidR="00BE53A8">
          <w:rPr>
            <w:noProof/>
            <w:webHidden/>
          </w:rPr>
          <w:fldChar w:fldCharType="separate"/>
        </w:r>
        <w:r w:rsidR="0061511D">
          <w:rPr>
            <w:noProof/>
            <w:webHidden/>
          </w:rPr>
          <w:t>181</w:t>
        </w:r>
        <w:r w:rsidR="00BE53A8">
          <w:rPr>
            <w:noProof/>
            <w:webHidden/>
          </w:rPr>
          <w:fldChar w:fldCharType="end"/>
        </w:r>
      </w:hyperlink>
    </w:p>
    <w:p w14:paraId="0A42FA29" w14:textId="011E71F2" w:rsidR="00BE53A8" w:rsidRDefault="00077C0B">
      <w:pPr>
        <w:pStyle w:val="TOC2"/>
        <w:tabs>
          <w:tab w:val="right" w:leader="dot" w:pos="9350"/>
        </w:tabs>
        <w:rPr>
          <w:rFonts w:asciiTheme="minorHAnsi" w:eastAsiaTheme="minorEastAsia" w:hAnsiTheme="minorHAnsi"/>
          <w:noProof/>
          <w:sz w:val="22"/>
        </w:rPr>
      </w:pPr>
      <w:hyperlink w:anchor="_Toc67566069" w:history="1">
        <w:r w:rsidR="00BE53A8" w:rsidRPr="00CF1C01">
          <w:rPr>
            <w:rStyle w:val="Hyperlink"/>
            <w:noProof/>
          </w:rPr>
          <w:t>Future Work</w:t>
        </w:r>
        <w:r w:rsidR="00BE53A8">
          <w:rPr>
            <w:noProof/>
            <w:webHidden/>
          </w:rPr>
          <w:tab/>
        </w:r>
        <w:r w:rsidR="00BE53A8">
          <w:rPr>
            <w:noProof/>
            <w:webHidden/>
          </w:rPr>
          <w:fldChar w:fldCharType="begin"/>
        </w:r>
        <w:r w:rsidR="00BE53A8">
          <w:rPr>
            <w:noProof/>
            <w:webHidden/>
          </w:rPr>
          <w:instrText xml:space="preserve"> PAGEREF _Toc67566069 \h </w:instrText>
        </w:r>
        <w:r w:rsidR="00BE53A8">
          <w:rPr>
            <w:noProof/>
            <w:webHidden/>
          </w:rPr>
        </w:r>
        <w:r w:rsidR="00BE53A8">
          <w:rPr>
            <w:noProof/>
            <w:webHidden/>
          </w:rPr>
          <w:fldChar w:fldCharType="separate"/>
        </w:r>
        <w:r w:rsidR="0061511D">
          <w:rPr>
            <w:noProof/>
            <w:webHidden/>
          </w:rPr>
          <w:t>183</w:t>
        </w:r>
        <w:r w:rsidR="00BE53A8">
          <w:rPr>
            <w:noProof/>
            <w:webHidden/>
          </w:rPr>
          <w:fldChar w:fldCharType="end"/>
        </w:r>
      </w:hyperlink>
    </w:p>
    <w:p w14:paraId="4683A700" w14:textId="63D02005" w:rsidR="00BE53A8" w:rsidRDefault="00077C0B">
      <w:pPr>
        <w:pStyle w:val="TOC1"/>
        <w:tabs>
          <w:tab w:val="right" w:leader="dot" w:pos="9350"/>
        </w:tabs>
        <w:rPr>
          <w:rFonts w:asciiTheme="minorHAnsi" w:eastAsiaTheme="minorEastAsia" w:hAnsiTheme="minorHAnsi"/>
          <w:noProof/>
          <w:sz w:val="22"/>
        </w:rPr>
      </w:pPr>
      <w:hyperlink w:anchor="_Toc67566070" w:history="1">
        <w:r w:rsidR="00BE53A8" w:rsidRPr="00CF1C01">
          <w:rPr>
            <w:rStyle w:val="Hyperlink"/>
            <w:noProof/>
          </w:rPr>
          <w:t>Nomenclature</w:t>
        </w:r>
        <w:r w:rsidR="00BE53A8">
          <w:rPr>
            <w:noProof/>
            <w:webHidden/>
          </w:rPr>
          <w:tab/>
        </w:r>
        <w:r w:rsidR="00BE53A8">
          <w:rPr>
            <w:noProof/>
            <w:webHidden/>
          </w:rPr>
          <w:fldChar w:fldCharType="begin"/>
        </w:r>
        <w:r w:rsidR="00BE53A8">
          <w:rPr>
            <w:noProof/>
            <w:webHidden/>
          </w:rPr>
          <w:instrText xml:space="preserve"> PAGEREF _Toc67566070 \h </w:instrText>
        </w:r>
        <w:r w:rsidR="00BE53A8">
          <w:rPr>
            <w:noProof/>
            <w:webHidden/>
          </w:rPr>
        </w:r>
        <w:r w:rsidR="00BE53A8">
          <w:rPr>
            <w:noProof/>
            <w:webHidden/>
          </w:rPr>
          <w:fldChar w:fldCharType="separate"/>
        </w:r>
        <w:r w:rsidR="0061511D">
          <w:rPr>
            <w:noProof/>
            <w:webHidden/>
          </w:rPr>
          <w:t>184</w:t>
        </w:r>
        <w:r w:rsidR="00BE53A8">
          <w:rPr>
            <w:noProof/>
            <w:webHidden/>
          </w:rPr>
          <w:fldChar w:fldCharType="end"/>
        </w:r>
      </w:hyperlink>
    </w:p>
    <w:p w14:paraId="43AA7601" w14:textId="6C1EB6D1" w:rsidR="00BE53A8" w:rsidRDefault="00077C0B">
      <w:pPr>
        <w:pStyle w:val="TOC1"/>
        <w:tabs>
          <w:tab w:val="right" w:leader="dot" w:pos="9350"/>
        </w:tabs>
        <w:rPr>
          <w:rFonts w:asciiTheme="minorHAnsi" w:eastAsiaTheme="minorEastAsia" w:hAnsiTheme="minorHAnsi"/>
          <w:noProof/>
          <w:sz w:val="22"/>
        </w:rPr>
      </w:pPr>
      <w:hyperlink w:anchor="_Toc67566071" w:history="1">
        <w:r w:rsidR="00BE53A8" w:rsidRPr="00CF1C01">
          <w:rPr>
            <w:rStyle w:val="Hyperlink"/>
            <w:noProof/>
          </w:rPr>
          <w:t>References</w:t>
        </w:r>
        <w:r w:rsidR="00BE53A8">
          <w:rPr>
            <w:noProof/>
            <w:webHidden/>
          </w:rPr>
          <w:tab/>
        </w:r>
        <w:r w:rsidR="00BE53A8">
          <w:rPr>
            <w:noProof/>
            <w:webHidden/>
          </w:rPr>
          <w:fldChar w:fldCharType="begin"/>
        </w:r>
        <w:r w:rsidR="00BE53A8">
          <w:rPr>
            <w:noProof/>
            <w:webHidden/>
          </w:rPr>
          <w:instrText xml:space="preserve"> PAGEREF _Toc67566071 \h </w:instrText>
        </w:r>
        <w:r w:rsidR="00BE53A8">
          <w:rPr>
            <w:noProof/>
            <w:webHidden/>
          </w:rPr>
        </w:r>
        <w:r w:rsidR="00BE53A8">
          <w:rPr>
            <w:noProof/>
            <w:webHidden/>
          </w:rPr>
          <w:fldChar w:fldCharType="separate"/>
        </w:r>
        <w:r w:rsidR="0061511D">
          <w:rPr>
            <w:noProof/>
            <w:webHidden/>
          </w:rPr>
          <w:t>187</w:t>
        </w:r>
        <w:r w:rsidR="00BE53A8">
          <w:rPr>
            <w:noProof/>
            <w:webHidden/>
          </w:rPr>
          <w:fldChar w:fldCharType="end"/>
        </w:r>
      </w:hyperlink>
    </w:p>
    <w:p w14:paraId="7D7DD761" w14:textId="5B3657B4" w:rsidR="00BE53A8" w:rsidRDefault="00077C0B">
      <w:pPr>
        <w:pStyle w:val="TOC1"/>
        <w:tabs>
          <w:tab w:val="right" w:leader="dot" w:pos="9350"/>
        </w:tabs>
        <w:rPr>
          <w:rFonts w:asciiTheme="minorHAnsi" w:eastAsiaTheme="minorEastAsia" w:hAnsiTheme="minorHAnsi"/>
          <w:noProof/>
          <w:sz w:val="22"/>
        </w:rPr>
      </w:pPr>
      <w:hyperlink w:anchor="_Toc67566072" w:history="1">
        <w:r w:rsidR="00BE53A8" w:rsidRPr="00CF1C01">
          <w:rPr>
            <w:rStyle w:val="Hyperlink"/>
            <w:noProof/>
          </w:rPr>
          <w:t>Appendix A: Basic Rock Mechanics</w:t>
        </w:r>
        <w:r w:rsidR="00BE53A8">
          <w:rPr>
            <w:noProof/>
            <w:webHidden/>
          </w:rPr>
          <w:tab/>
        </w:r>
        <w:r w:rsidR="00BE53A8">
          <w:rPr>
            <w:noProof/>
            <w:webHidden/>
          </w:rPr>
          <w:fldChar w:fldCharType="begin"/>
        </w:r>
        <w:r w:rsidR="00BE53A8">
          <w:rPr>
            <w:noProof/>
            <w:webHidden/>
          </w:rPr>
          <w:instrText xml:space="preserve"> PAGEREF _Toc67566072 \h </w:instrText>
        </w:r>
        <w:r w:rsidR="00BE53A8">
          <w:rPr>
            <w:noProof/>
            <w:webHidden/>
          </w:rPr>
        </w:r>
        <w:r w:rsidR="00BE53A8">
          <w:rPr>
            <w:noProof/>
            <w:webHidden/>
          </w:rPr>
          <w:fldChar w:fldCharType="separate"/>
        </w:r>
        <w:r w:rsidR="0061511D">
          <w:rPr>
            <w:noProof/>
            <w:webHidden/>
          </w:rPr>
          <w:t>196</w:t>
        </w:r>
        <w:r w:rsidR="00BE53A8">
          <w:rPr>
            <w:noProof/>
            <w:webHidden/>
          </w:rPr>
          <w:fldChar w:fldCharType="end"/>
        </w:r>
      </w:hyperlink>
    </w:p>
    <w:p w14:paraId="5FBCAE54" w14:textId="6B084790" w:rsidR="00BE53A8" w:rsidRDefault="00077C0B">
      <w:pPr>
        <w:pStyle w:val="TOC1"/>
        <w:tabs>
          <w:tab w:val="right" w:leader="dot" w:pos="9350"/>
        </w:tabs>
        <w:rPr>
          <w:rFonts w:asciiTheme="minorHAnsi" w:eastAsiaTheme="minorEastAsia" w:hAnsiTheme="minorHAnsi"/>
          <w:noProof/>
          <w:sz w:val="22"/>
        </w:rPr>
      </w:pPr>
      <w:hyperlink w:anchor="_Toc67566073" w:history="1">
        <w:r w:rsidR="00BE53A8" w:rsidRPr="00CF1C01">
          <w:rPr>
            <w:rStyle w:val="Hyperlink"/>
            <w:noProof/>
          </w:rPr>
          <w:t>Appendix B: Wellbore Abandonment Requirements</w:t>
        </w:r>
        <w:r w:rsidR="00BE53A8">
          <w:rPr>
            <w:noProof/>
            <w:webHidden/>
          </w:rPr>
          <w:tab/>
        </w:r>
        <w:r w:rsidR="00BE53A8">
          <w:rPr>
            <w:noProof/>
            <w:webHidden/>
          </w:rPr>
          <w:fldChar w:fldCharType="begin"/>
        </w:r>
        <w:r w:rsidR="00BE53A8">
          <w:rPr>
            <w:noProof/>
            <w:webHidden/>
          </w:rPr>
          <w:instrText xml:space="preserve"> PAGEREF _Toc67566073 \h </w:instrText>
        </w:r>
        <w:r w:rsidR="00BE53A8">
          <w:rPr>
            <w:noProof/>
            <w:webHidden/>
          </w:rPr>
        </w:r>
        <w:r w:rsidR="00BE53A8">
          <w:rPr>
            <w:noProof/>
            <w:webHidden/>
          </w:rPr>
          <w:fldChar w:fldCharType="separate"/>
        </w:r>
        <w:r w:rsidR="0061511D">
          <w:rPr>
            <w:noProof/>
            <w:webHidden/>
          </w:rPr>
          <w:t>202</w:t>
        </w:r>
        <w:r w:rsidR="00BE53A8">
          <w:rPr>
            <w:noProof/>
            <w:webHidden/>
          </w:rPr>
          <w:fldChar w:fldCharType="end"/>
        </w:r>
      </w:hyperlink>
    </w:p>
    <w:p w14:paraId="6478C3BA" w14:textId="1A254F22" w:rsidR="00BE53A8" w:rsidRDefault="00077C0B">
      <w:pPr>
        <w:pStyle w:val="TOC1"/>
        <w:tabs>
          <w:tab w:val="right" w:leader="dot" w:pos="9350"/>
        </w:tabs>
        <w:rPr>
          <w:rFonts w:asciiTheme="minorHAnsi" w:eastAsiaTheme="minorEastAsia" w:hAnsiTheme="minorHAnsi"/>
          <w:noProof/>
          <w:sz w:val="22"/>
        </w:rPr>
      </w:pPr>
      <w:hyperlink w:anchor="_Toc67566074" w:history="1">
        <w:r w:rsidR="00BE53A8" w:rsidRPr="00CF1C01">
          <w:rPr>
            <w:rStyle w:val="Hyperlink"/>
            <w:noProof/>
          </w:rPr>
          <w:t>Appendix C: Parallel Plate Capillary Pressure</w:t>
        </w:r>
        <w:r w:rsidR="00BE53A8">
          <w:rPr>
            <w:noProof/>
            <w:webHidden/>
          </w:rPr>
          <w:tab/>
        </w:r>
        <w:r w:rsidR="00BE53A8">
          <w:rPr>
            <w:noProof/>
            <w:webHidden/>
          </w:rPr>
          <w:fldChar w:fldCharType="begin"/>
        </w:r>
        <w:r w:rsidR="00BE53A8">
          <w:rPr>
            <w:noProof/>
            <w:webHidden/>
          </w:rPr>
          <w:instrText xml:space="preserve"> PAGEREF _Toc67566074 \h </w:instrText>
        </w:r>
        <w:r w:rsidR="00BE53A8">
          <w:rPr>
            <w:noProof/>
            <w:webHidden/>
          </w:rPr>
        </w:r>
        <w:r w:rsidR="00BE53A8">
          <w:rPr>
            <w:noProof/>
            <w:webHidden/>
          </w:rPr>
          <w:fldChar w:fldCharType="separate"/>
        </w:r>
        <w:r w:rsidR="0061511D">
          <w:rPr>
            <w:noProof/>
            <w:webHidden/>
          </w:rPr>
          <w:t>204</w:t>
        </w:r>
        <w:r w:rsidR="00BE53A8">
          <w:rPr>
            <w:noProof/>
            <w:webHidden/>
          </w:rPr>
          <w:fldChar w:fldCharType="end"/>
        </w:r>
      </w:hyperlink>
    </w:p>
    <w:p w14:paraId="07F9900A" w14:textId="34C2870D" w:rsidR="00BE53A8" w:rsidRDefault="00077C0B">
      <w:pPr>
        <w:pStyle w:val="TOC1"/>
        <w:tabs>
          <w:tab w:val="right" w:leader="dot" w:pos="9350"/>
        </w:tabs>
        <w:rPr>
          <w:rFonts w:asciiTheme="minorHAnsi" w:eastAsiaTheme="minorEastAsia" w:hAnsiTheme="minorHAnsi"/>
          <w:noProof/>
          <w:sz w:val="22"/>
        </w:rPr>
      </w:pPr>
      <w:hyperlink w:anchor="_Toc67566075" w:history="1">
        <w:r w:rsidR="00BE53A8" w:rsidRPr="00CF1C01">
          <w:rPr>
            <w:rStyle w:val="Hyperlink"/>
            <w:noProof/>
          </w:rPr>
          <w:t>Appendix D: Case Well Data</w:t>
        </w:r>
        <w:r w:rsidR="00BE53A8">
          <w:rPr>
            <w:noProof/>
            <w:webHidden/>
          </w:rPr>
          <w:tab/>
        </w:r>
        <w:r w:rsidR="00BE53A8">
          <w:rPr>
            <w:noProof/>
            <w:webHidden/>
          </w:rPr>
          <w:fldChar w:fldCharType="begin"/>
        </w:r>
        <w:r w:rsidR="00BE53A8">
          <w:rPr>
            <w:noProof/>
            <w:webHidden/>
          </w:rPr>
          <w:instrText xml:space="preserve"> PAGEREF _Toc67566075 \h </w:instrText>
        </w:r>
        <w:r w:rsidR="00BE53A8">
          <w:rPr>
            <w:noProof/>
            <w:webHidden/>
          </w:rPr>
        </w:r>
        <w:r w:rsidR="00BE53A8">
          <w:rPr>
            <w:noProof/>
            <w:webHidden/>
          </w:rPr>
          <w:fldChar w:fldCharType="separate"/>
        </w:r>
        <w:r w:rsidR="0061511D">
          <w:rPr>
            <w:noProof/>
            <w:webHidden/>
          </w:rPr>
          <w:t>205</w:t>
        </w:r>
        <w:r w:rsidR="00BE53A8">
          <w:rPr>
            <w:noProof/>
            <w:webHidden/>
          </w:rPr>
          <w:fldChar w:fldCharType="end"/>
        </w:r>
      </w:hyperlink>
    </w:p>
    <w:p w14:paraId="0C177E77" w14:textId="5AFEA079" w:rsidR="00BE53A8" w:rsidRDefault="00077C0B">
      <w:pPr>
        <w:pStyle w:val="TOC1"/>
        <w:tabs>
          <w:tab w:val="right" w:leader="dot" w:pos="9350"/>
        </w:tabs>
        <w:rPr>
          <w:rFonts w:asciiTheme="minorHAnsi" w:eastAsiaTheme="minorEastAsia" w:hAnsiTheme="minorHAnsi"/>
          <w:noProof/>
          <w:sz w:val="22"/>
        </w:rPr>
      </w:pPr>
      <w:hyperlink w:anchor="_Toc67566076" w:history="1">
        <w:r w:rsidR="00BE53A8" w:rsidRPr="00CF1C01">
          <w:rPr>
            <w:rStyle w:val="Hyperlink"/>
            <w:noProof/>
          </w:rPr>
          <w:t>Appendix E: Numerical Model Details</w:t>
        </w:r>
        <w:r w:rsidR="00BE53A8">
          <w:rPr>
            <w:noProof/>
            <w:webHidden/>
          </w:rPr>
          <w:tab/>
        </w:r>
        <w:r w:rsidR="00BE53A8">
          <w:rPr>
            <w:noProof/>
            <w:webHidden/>
          </w:rPr>
          <w:fldChar w:fldCharType="begin"/>
        </w:r>
        <w:r w:rsidR="00BE53A8">
          <w:rPr>
            <w:noProof/>
            <w:webHidden/>
          </w:rPr>
          <w:instrText xml:space="preserve"> PAGEREF _Toc67566076 \h </w:instrText>
        </w:r>
        <w:r w:rsidR="00BE53A8">
          <w:rPr>
            <w:noProof/>
            <w:webHidden/>
          </w:rPr>
        </w:r>
        <w:r w:rsidR="00BE53A8">
          <w:rPr>
            <w:noProof/>
            <w:webHidden/>
          </w:rPr>
          <w:fldChar w:fldCharType="separate"/>
        </w:r>
        <w:r w:rsidR="0061511D">
          <w:rPr>
            <w:noProof/>
            <w:webHidden/>
          </w:rPr>
          <w:t>236</w:t>
        </w:r>
        <w:r w:rsidR="00BE53A8">
          <w:rPr>
            <w:noProof/>
            <w:webHidden/>
          </w:rPr>
          <w:fldChar w:fldCharType="end"/>
        </w:r>
      </w:hyperlink>
    </w:p>
    <w:p w14:paraId="7C5B62DC" w14:textId="0326C8E7" w:rsidR="00BE53A8" w:rsidRDefault="00077C0B">
      <w:pPr>
        <w:pStyle w:val="TOC1"/>
        <w:tabs>
          <w:tab w:val="right" w:leader="dot" w:pos="9350"/>
        </w:tabs>
        <w:rPr>
          <w:rFonts w:asciiTheme="minorHAnsi" w:eastAsiaTheme="minorEastAsia" w:hAnsiTheme="minorHAnsi"/>
          <w:noProof/>
          <w:sz w:val="22"/>
        </w:rPr>
      </w:pPr>
      <w:hyperlink w:anchor="_Toc67566077" w:history="1">
        <w:r w:rsidR="00BE53A8" w:rsidRPr="00CF1C01">
          <w:rPr>
            <w:rStyle w:val="Hyperlink"/>
            <w:noProof/>
          </w:rPr>
          <w:t>Appendix F: Compressibility Factor Method Verification</w:t>
        </w:r>
        <w:r w:rsidR="00BE53A8">
          <w:rPr>
            <w:noProof/>
            <w:webHidden/>
          </w:rPr>
          <w:tab/>
        </w:r>
        <w:r w:rsidR="00BE53A8">
          <w:rPr>
            <w:noProof/>
            <w:webHidden/>
          </w:rPr>
          <w:fldChar w:fldCharType="begin"/>
        </w:r>
        <w:r w:rsidR="00BE53A8">
          <w:rPr>
            <w:noProof/>
            <w:webHidden/>
          </w:rPr>
          <w:instrText xml:space="preserve"> PAGEREF _Toc67566077 \h </w:instrText>
        </w:r>
        <w:r w:rsidR="00BE53A8">
          <w:rPr>
            <w:noProof/>
            <w:webHidden/>
          </w:rPr>
        </w:r>
        <w:r w:rsidR="00BE53A8">
          <w:rPr>
            <w:noProof/>
            <w:webHidden/>
          </w:rPr>
          <w:fldChar w:fldCharType="separate"/>
        </w:r>
        <w:r w:rsidR="0061511D">
          <w:rPr>
            <w:noProof/>
            <w:webHidden/>
          </w:rPr>
          <w:t>239</w:t>
        </w:r>
        <w:r w:rsidR="00BE53A8">
          <w:rPr>
            <w:noProof/>
            <w:webHidden/>
          </w:rPr>
          <w:fldChar w:fldCharType="end"/>
        </w:r>
      </w:hyperlink>
    </w:p>
    <w:p w14:paraId="58EC84A3" w14:textId="1442B739" w:rsidR="00BE53A8" w:rsidRDefault="00077C0B">
      <w:pPr>
        <w:pStyle w:val="TOC1"/>
        <w:tabs>
          <w:tab w:val="right" w:leader="dot" w:pos="9350"/>
        </w:tabs>
        <w:rPr>
          <w:rFonts w:asciiTheme="minorHAnsi" w:eastAsiaTheme="minorEastAsia" w:hAnsiTheme="minorHAnsi"/>
          <w:noProof/>
          <w:sz w:val="22"/>
        </w:rPr>
      </w:pPr>
      <w:hyperlink w:anchor="_Toc67566078" w:history="1">
        <w:r w:rsidR="00BE53A8" w:rsidRPr="00CF1C01">
          <w:rPr>
            <w:rStyle w:val="Hyperlink"/>
            <w:noProof/>
          </w:rPr>
          <w:t>Appendix G: Riemann Sum Verification</w:t>
        </w:r>
        <w:r w:rsidR="00BE53A8">
          <w:rPr>
            <w:noProof/>
            <w:webHidden/>
          </w:rPr>
          <w:tab/>
        </w:r>
        <w:r w:rsidR="00BE53A8">
          <w:rPr>
            <w:noProof/>
            <w:webHidden/>
          </w:rPr>
          <w:fldChar w:fldCharType="begin"/>
        </w:r>
        <w:r w:rsidR="00BE53A8">
          <w:rPr>
            <w:noProof/>
            <w:webHidden/>
          </w:rPr>
          <w:instrText xml:space="preserve"> PAGEREF _Toc67566078 \h </w:instrText>
        </w:r>
        <w:r w:rsidR="00BE53A8">
          <w:rPr>
            <w:noProof/>
            <w:webHidden/>
          </w:rPr>
        </w:r>
        <w:r w:rsidR="00BE53A8">
          <w:rPr>
            <w:noProof/>
            <w:webHidden/>
          </w:rPr>
          <w:fldChar w:fldCharType="separate"/>
        </w:r>
        <w:r w:rsidR="0061511D">
          <w:rPr>
            <w:noProof/>
            <w:webHidden/>
          </w:rPr>
          <w:t>242</w:t>
        </w:r>
        <w:r w:rsidR="00BE53A8">
          <w:rPr>
            <w:noProof/>
            <w:webHidden/>
          </w:rPr>
          <w:fldChar w:fldCharType="end"/>
        </w:r>
      </w:hyperlink>
    </w:p>
    <w:p w14:paraId="04A93EA8" w14:textId="79BA8D59" w:rsidR="00BE53A8" w:rsidRDefault="00077C0B">
      <w:pPr>
        <w:pStyle w:val="TOC1"/>
        <w:tabs>
          <w:tab w:val="right" w:leader="dot" w:pos="9350"/>
        </w:tabs>
        <w:rPr>
          <w:rFonts w:asciiTheme="minorHAnsi" w:eastAsiaTheme="minorEastAsia" w:hAnsiTheme="minorHAnsi"/>
          <w:noProof/>
          <w:sz w:val="22"/>
        </w:rPr>
      </w:pPr>
      <w:hyperlink w:anchor="_Toc67566079" w:history="1">
        <w:r w:rsidR="00BE53A8" w:rsidRPr="00CF1C01">
          <w:rPr>
            <w:rStyle w:val="Hyperlink"/>
            <w:noProof/>
          </w:rPr>
          <w:t>Appendix H: Mesh Sensitivity Analysis</w:t>
        </w:r>
        <w:r w:rsidR="00BE53A8">
          <w:rPr>
            <w:noProof/>
            <w:webHidden/>
          </w:rPr>
          <w:tab/>
        </w:r>
        <w:r w:rsidR="00BE53A8">
          <w:rPr>
            <w:noProof/>
            <w:webHidden/>
          </w:rPr>
          <w:fldChar w:fldCharType="begin"/>
        </w:r>
        <w:r w:rsidR="00BE53A8">
          <w:rPr>
            <w:noProof/>
            <w:webHidden/>
          </w:rPr>
          <w:instrText xml:space="preserve"> PAGEREF _Toc67566079 \h </w:instrText>
        </w:r>
        <w:r w:rsidR="00BE53A8">
          <w:rPr>
            <w:noProof/>
            <w:webHidden/>
          </w:rPr>
        </w:r>
        <w:r w:rsidR="00BE53A8">
          <w:rPr>
            <w:noProof/>
            <w:webHidden/>
          </w:rPr>
          <w:fldChar w:fldCharType="separate"/>
        </w:r>
        <w:r w:rsidR="0061511D">
          <w:rPr>
            <w:noProof/>
            <w:webHidden/>
          </w:rPr>
          <w:t>245</w:t>
        </w:r>
        <w:r w:rsidR="00BE53A8">
          <w:rPr>
            <w:noProof/>
            <w:webHidden/>
          </w:rPr>
          <w:fldChar w:fldCharType="end"/>
        </w:r>
      </w:hyperlink>
    </w:p>
    <w:p w14:paraId="6BD5538C" w14:textId="127A7529" w:rsidR="00BE53A8" w:rsidRDefault="00077C0B">
      <w:pPr>
        <w:pStyle w:val="TOC1"/>
        <w:tabs>
          <w:tab w:val="right" w:leader="dot" w:pos="9350"/>
        </w:tabs>
        <w:rPr>
          <w:rFonts w:asciiTheme="minorHAnsi" w:eastAsiaTheme="minorEastAsia" w:hAnsiTheme="minorHAnsi"/>
          <w:noProof/>
          <w:sz w:val="22"/>
        </w:rPr>
      </w:pPr>
      <w:hyperlink w:anchor="_Toc67566080" w:history="1">
        <w:r w:rsidR="00BE53A8" w:rsidRPr="00CF1C01">
          <w:rPr>
            <w:rStyle w:val="Hyperlink"/>
            <w:noProof/>
          </w:rPr>
          <w:t>Appendix I: Staged Poro-Elastic FEA Stress Continuum Model Results</w:t>
        </w:r>
        <w:r w:rsidR="00BE53A8">
          <w:rPr>
            <w:noProof/>
            <w:webHidden/>
          </w:rPr>
          <w:tab/>
        </w:r>
        <w:r w:rsidR="00BE53A8">
          <w:rPr>
            <w:noProof/>
            <w:webHidden/>
          </w:rPr>
          <w:fldChar w:fldCharType="begin"/>
        </w:r>
        <w:r w:rsidR="00BE53A8">
          <w:rPr>
            <w:noProof/>
            <w:webHidden/>
          </w:rPr>
          <w:instrText xml:space="preserve"> PAGEREF _Toc67566080 \h </w:instrText>
        </w:r>
        <w:r w:rsidR="00BE53A8">
          <w:rPr>
            <w:noProof/>
            <w:webHidden/>
          </w:rPr>
        </w:r>
        <w:r w:rsidR="00BE53A8">
          <w:rPr>
            <w:noProof/>
            <w:webHidden/>
          </w:rPr>
          <w:fldChar w:fldCharType="separate"/>
        </w:r>
        <w:r w:rsidR="0061511D">
          <w:rPr>
            <w:noProof/>
            <w:webHidden/>
          </w:rPr>
          <w:t>248</w:t>
        </w:r>
        <w:r w:rsidR="00BE53A8">
          <w:rPr>
            <w:noProof/>
            <w:webHidden/>
          </w:rPr>
          <w:fldChar w:fldCharType="end"/>
        </w:r>
      </w:hyperlink>
    </w:p>
    <w:p w14:paraId="71F31B9D" w14:textId="7C8FF2CF" w:rsidR="00BE53A8" w:rsidRDefault="00077C0B">
      <w:pPr>
        <w:pStyle w:val="TOC1"/>
        <w:tabs>
          <w:tab w:val="right" w:leader="dot" w:pos="9350"/>
        </w:tabs>
        <w:rPr>
          <w:rFonts w:asciiTheme="minorHAnsi" w:eastAsiaTheme="minorEastAsia" w:hAnsiTheme="minorHAnsi"/>
          <w:noProof/>
          <w:sz w:val="22"/>
        </w:rPr>
      </w:pPr>
      <w:hyperlink w:anchor="_Toc67566081" w:history="1">
        <w:r w:rsidR="00BE53A8" w:rsidRPr="00CF1C01">
          <w:rPr>
            <w:rStyle w:val="Hyperlink"/>
            <w:noProof/>
          </w:rPr>
          <w:t>Appendix J: Rock Formation Failure Mechanism</w:t>
        </w:r>
        <w:r w:rsidR="00BE53A8">
          <w:rPr>
            <w:noProof/>
            <w:webHidden/>
          </w:rPr>
          <w:tab/>
        </w:r>
        <w:r w:rsidR="00BE53A8">
          <w:rPr>
            <w:noProof/>
            <w:webHidden/>
          </w:rPr>
          <w:fldChar w:fldCharType="begin"/>
        </w:r>
        <w:r w:rsidR="00BE53A8">
          <w:rPr>
            <w:noProof/>
            <w:webHidden/>
          </w:rPr>
          <w:instrText xml:space="preserve"> PAGEREF _Toc67566081 \h </w:instrText>
        </w:r>
        <w:r w:rsidR="00BE53A8">
          <w:rPr>
            <w:noProof/>
            <w:webHidden/>
          </w:rPr>
        </w:r>
        <w:r w:rsidR="00BE53A8">
          <w:rPr>
            <w:noProof/>
            <w:webHidden/>
          </w:rPr>
          <w:fldChar w:fldCharType="separate"/>
        </w:r>
        <w:r w:rsidR="0061511D">
          <w:rPr>
            <w:noProof/>
            <w:webHidden/>
          </w:rPr>
          <w:t>259</w:t>
        </w:r>
        <w:r w:rsidR="00BE53A8">
          <w:rPr>
            <w:noProof/>
            <w:webHidden/>
          </w:rPr>
          <w:fldChar w:fldCharType="end"/>
        </w:r>
      </w:hyperlink>
    </w:p>
    <w:p w14:paraId="16775CAF" w14:textId="5703C80D" w:rsidR="00BE53A8" w:rsidRDefault="00077C0B">
      <w:pPr>
        <w:pStyle w:val="TOC1"/>
        <w:tabs>
          <w:tab w:val="right" w:leader="dot" w:pos="9350"/>
        </w:tabs>
        <w:rPr>
          <w:rFonts w:asciiTheme="minorHAnsi" w:eastAsiaTheme="minorEastAsia" w:hAnsiTheme="minorHAnsi"/>
          <w:noProof/>
          <w:sz w:val="22"/>
        </w:rPr>
      </w:pPr>
      <w:hyperlink w:anchor="_Toc67566082" w:history="1">
        <w:r w:rsidR="00BE53A8" w:rsidRPr="00CF1C01">
          <w:rPr>
            <w:rStyle w:val="Hyperlink"/>
            <w:noProof/>
          </w:rPr>
          <w:t>Appendix K: Finite Element Model Theory</w:t>
        </w:r>
        <w:r w:rsidR="00BE53A8">
          <w:rPr>
            <w:noProof/>
            <w:webHidden/>
          </w:rPr>
          <w:tab/>
        </w:r>
        <w:r w:rsidR="00BE53A8">
          <w:rPr>
            <w:noProof/>
            <w:webHidden/>
          </w:rPr>
          <w:fldChar w:fldCharType="begin"/>
        </w:r>
        <w:r w:rsidR="00BE53A8">
          <w:rPr>
            <w:noProof/>
            <w:webHidden/>
          </w:rPr>
          <w:instrText xml:space="preserve"> PAGEREF _Toc67566082 \h </w:instrText>
        </w:r>
        <w:r w:rsidR="00BE53A8">
          <w:rPr>
            <w:noProof/>
            <w:webHidden/>
          </w:rPr>
        </w:r>
        <w:r w:rsidR="00BE53A8">
          <w:rPr>
            <w:noProof/>
            <w:webHidden/>
          </w:rPr>
          <w:fldChar w:fldCharType="separate"/>
        </w:r>
        <w:r w:rsidR="0061511D">
          <w:rPr>
            <w:noProof/>
            <w:webHidden/>
          </w:rPr>
          <w:t>261</w:t>
        </w:r>
        <w:r w:rsidR="00BE53A8">
          <w:rPr>
            <w:noProof/>
            <w:webHidden/>
          </w:rPr>
          <w:fldChar w:fldCharType="end"/>
        </w:r>
      </w:hyperlink>
    </w:p>
    <w:p w14:paraId="7C2B68C8" w14:textId="69CD071A" w:rsidR="00BE53A8" w:rsidRDefault="00077C0B">
      <w:pPr>
        <w:pStyle w:val="TOC1"/>
        <w:tabs>
          <w:tab w:val="right" w:leader="dot" w:pos="9350"/>
        </w:tabs>
        <w:rPr>
          <w:rFonts w:asciiTheme="minorHAnsi" w:eastAsiaTheme="minorEastAsia" w:hAnsiTheme="minorHAnsi"/>
          <w:noProof/>
          <w:sz w:val="22"/>
        </w:rPr>
      </w:pPr>
      <w:hyperlink w:anchor="_Toc67566083" w:history="1">
        <w:r w:rsidR="00BE53A8" w:rsidRPr="00CF1C01">
          <w:rPr>
            <w:rStyle w:val="Hyperlink"/>
            <w:noProof/>
          </w:rPr>
          <w:t>Appendix L: Fanning Friction Factor from Bernoulli’s Equation</w:t>
        </w:r>
        <w:r w:rsidR="00BE53A8">
          <w:rPr>
            <w:noProof/>
            <w:webHidden/>
          </w:rPr>
          <w:tab/>
        </w:r>
        <w:r w:rsidR="00BE53A8">
          <w:rPr>
            <w:noProof/>
            <w:webHidden/>
          </w:rPr>
          <w:fldChar w:fldCharType="begin"/>
        </w:r>
        <w:r w:rsidR="00BE53A8">
          <w:rPr>
            <w:noProof/>
            <w:webHidden/>
          </w:rPr>
          <w:instrText xml:space="preserve"> PAGEREF _Toc67566083 \h </w:instrText>
        </w:r>
        <w:r w:rsidR="00BE53A8">
          <w:rPr>
            <w:noProof/>
            <w:webHidden/>
          </w:rPr>
        </w:r>
        <w:r w:rsidR="00BE53A8">
          <w:rPr>
            <w:noProof/>
            <w:webHidden/>
          </w:rPr>
          <w:fldChar w:fldCharType="separate"/>
        </w:r>
        <w:r w:rsidR="0061511D">
          <w:rPr>
            <w:noProof/>
            <w:webHidden/>
          </w:rPr>
          <w:t>264</w:t>
        </w:r>
        <w:r w:rsidR="00BE53A8">
          <w:rPr>
            <w:noProof/>
            <w:webHidden/>
          </w:rPr>
          <w:fldChar w:fldCharType="end"/>
        </w:r>
      </w:hyperlink>
    </w:p>
    <w:p w14:paraId="285FBE3D" w14:textId="0AF3BBFA" w:rsidR="00BE53A8" w:rsidRDefault="00077C0B">
      <w:pPr>
        <w:pStyle w:val="TOC1"/>
        <w:tabs>
          <w:tab w:val="right" w:leader="dot" w:pos="9350"/>
        </w:tabs>
        <w:rPr>
          <w:rFonts w:asciiTheme="minorHAnsi" w:eastAsiaTheme="minorEastAsia" w:hAnsiTheme="minorHAnsi"/>
          <w:noProof/>
          <w:sz w:val="22"/>
        </w:rPr>
      </w:pPr>
      <w:hyperlink w:anchor="_Toc67566084" w:history="1">
        <w:r w:rsidR="00BE53A8" w:rsidRPr="00CF1C01">
          <w:rPr>
            <w:rStyle w:val="Hyperlink"/>
            <w:noProof/>
          </w:rPr>
          <w:t>Appendix M: Biography</w:t>
        </w:r>
        <w:r w:rsidR="00BE53A8">
          <w:rPr>
            <w:noProof/>
            <w:webHidden/>
          </w:rPr>
          <w:tab/>
        </w:r>
        <w:r w:rsidR="00BE53A8">
          <w:rPr>
            <w:noProof/>
            <w:webHidden/>
          </w:rPr>
          <w:fldChar w:fldCharType="begin"/>
        </w:r>
        <w:r w:rsidR="00BE53A8">
          <w:rPr>
            <w:noProof/>
            <w:webHidden/>
          </w:rPr>
          <w:instrText xml:space="preserve"> PAGEREF _Toc67566084 \h </w:instrText>
        </w:r>
        <w:r w:rsidR="00BE53A8">
          <w:rPr>
            <w:noProof/>
            <w:webHidden/>
          </w:rPr>
        </w:r>
        <w:r w:rsidR="00BE53A8">
          <w:rPr>
            <w:noProof/>
            <w:webHidden/>
          </w:rPr>
          <w:fldChar w:fldCharType="separate"/>
        </w:r>
        <w:r w:rsidR="0061511D">
          <w:rPr>
            <w:noProof/>
            <w:webHidden/>
          </w:rPr>
          <w:t>268</w:t>
        </w:r>
        <w:r w:rsidR="00BE53A8">
          <w:rPr>
            <w:noProof/>
            <w:webHidden/>
          </w:rPr>
          <w:fldChar w:fldCharType="end"/>
        </w:r>
      </w:hyperlink>
    </w:p>
    <w:p w14:paraId="60C2E6FF" w14:textId="740798B8" w:rsidR="00E93E99" w:rsidRDefault="00956CF3" w:rsidP="0036326E">
      <w:r>
        <w:fldChar w:fldCharType="end"/>
      </w:r>
    </w:p>
    <w:p w14:paraId="11614CCA" w14:textId="77777777" w:rsidR="0036326E" w:rsidRDefault="0036326E" w:rsidP="0036326E"/>
    <w:p w14:paraId="6075BBD0" w14:textId="47BCC822" w:rsidR="0036326E" w:rsidRDefault="0036326E" w:rsidP="0036326E"/>
    <w:p w14:paraId="450BBFD0" w14:textId="451562A2" w:rsidR="0036326E" w:rsidRDefault="0036326E" w:rsidP="00CE5999">
      <w:pPr>
        <w:pStyle w:val="Heading1"/>
        <w:numPr>
          <w:ilvl w:val="0"/>
          <w:numId w:val="0"/>
        </w:numPr>
      </w:pPr>
      <w:bookmarkStart w:id="4" w:name="_Toc67566017"/>
      <w:r>
        <w:lastRenderedPageBreak/>
        <w:t>List of Tables</w:t>
      </w:r>
      <w:bookmarkEnd w:id="4"/>
    </w:p>
    <w:p w14:paraId="60FD6B11" w14:textId="7CF729EA" w:rsidR="00BE53A8" w:rsidRDefault="0027214D">
      <w:pPr>
        <w:pStyle w:val="TableofFigures"/>
        <w:tabs>
          <w:tab w:val="right" w:leader="dot" w:pos="9350"/>
        </w:tabs>
        <w:rPr>
          <w:rFonts w:asciiTheme="minorHAnsi" w:eastAsiaTheme="minorEastAsia" w:hAnsiTheme="minorHAnsi"/>
          <w:noProof/>
          <w:sz w:val="22"/>
        </w:rPr>
      </w:pPr>
      <w:r>
        <w:fldChar w:fldCharType="begin"/>
      </w:r>
      <w:r>
        <w:instrText xml:space="preserve"> TOC \h \z \c "Table" </w:instrText>
      </w:r>
      <w:r>
        <w:fldChar w:fldCharType="separate"/>
      </w:r>
      <w:hyperlink w:anchor="_Toc67566085" w:history="1">
        <w:r w:rsidR="00BE53A8" w:rsidRPr="00796F05">
          <w:rPr>
            <w:rStyle w:val="Hyperlink"/>
            <w:noProof/>
          </w:rPr>
          <w:t>Table 2.1: Hydraulic and shear bond strengths from Carter and Evans (1964) with at different curing ages.</w:t>
        </w:r>
        <w:r w:rsidR="00BE53A8">
          <w:rPr>
            <w:noProof/>
            <w:webHidden/>
          </w:rPr>
          <w:tab/>
        </w:r>
        <w:r w:rsidR="00BE53A8">
          <w:rPr>
            <w:noProof/>
            <w:webHidden/>
          </w:rPr>
          <w:fldChar w:fldCharType="begin"/>
        </w:r>
        <w:r w:rsidR="00BE53A8">
          <w:rPr>
            <w:noProof/>
            <w:webHidden/>
          </w:rPr>
          <w:instrText xml:space="preserve"> PAGEREF _Toc67566085 \h </w:instrText>
        </w:r>
        <w:r w:rsidR="00BE53A8">
          <w:rPr>
            <w:noProof/>
            <w:webHidden/>
          </w:rPr>
        </w:r>
        <w:r w:rsidR="00BE53A8">
          <w:rPr>
            <w:noProof/>
            <w:webHidden/>
          </w:rPr>
          <w:fldChar w:fldCharType="separate"/>
        </w:r>
        <w:r w:rsidR="0006023A">
          <w:rPr>
            <w:noProof/>
            <w:webHidden/>
          </w:rPr>
          <w:t>22</w:t>
        </w:r>
        <w:r w:rsidR="00BE53A8">
          <w:rPr>
            <w:noProof/>
            <w:webHidden/>
          </w:rPr>
          <w:fldChar w:fldCharType="end"/>
        </w:r>
      </w:hyperlink>
    </w:p>
    <w:p w14:paraId="75014B9B" w14:textId="4D177F58" w:rsidR="00BE53A8" w:rsidRDefault="00077C0B">
      <w:pPr>
        <w:pStyle w:val="TableofFigures"/>
        <w:tabs>
          <w:tab w:val="right" w:leader="dot" w:pos="9350"/>
        </w:tabs>
        <w:rPr>
          <w:rFonts w:asciiTheme="minorHAnsi" w:eastAsiaTheme="minorEastAsia" w:hAnsiTheme="minorHAnsi"/>
          <w:noProof/>
          <w:sz w:val="22"/>
        </w:rPr>
      </w:pPr>
      <w:hyperlink w:anchor="_Toc67566086" w:history="1">
        <w:r w:rsidR="00BE53A8" w:rsidRPr="00796F05">
          <w:rPr>
            <w:rStyle w:val="Hyperlink"/>
            <w:noProof/>
          </w:rPr>
          <w:t>Table 2.2: Summary of the Aas et al. (2016) experiments used for the FEA model verification.</w:t>
        </w:r>
        <w:r w:rsidR="00BE53A8">
          <w:rPr>
            <w:noProof/>
            <w:webHidden/>
          </w:rPr>
          <w:tab/>
        </w:r>
        <w:r w:rsidR="00BE53A8">
          <w:rPr>
            <w:noProof/>
            <w:webHidden/>
          </w:rPr>
          <w:fldChar w:fldCharType="begin"/>
        </w:r>
        <w:r w:rsidR="00BE53A8">
          <w:rPr>
            <w:noProof/>
            <w:webHidden/>
          </w:rPr>
          <w:instrText xml:space="preserve"> PAGEREF _Toc67566086 \h </w:instrText>
        </w:r>
        <w:r w:rsidR="00BE53A8">
          <w:rPr>
            <w:noProof/>
            <w:webHidden/>
          </w:rPr>
        </w:r>
        <w:r w:rsidR="00BE53A8">
          <w:rPr>
            <w:noProof/>
            <w:webHidden/>
          </w:rPr>
          <w:fldChar w:fldCharType="separate"/>
        </w:r>
        <w:r w:rsidR="0006023A">
          <w:rPr>
            <w:noProof/>
            <w:webHidden/>
          </w:rPr>
          <w:t>36</w:t>
        </w:r>
        <w:r w:rsidR="00BE53A8">
          <w:rPr>
            <w:noProof/>
            <w:webHidden/>
          </w:rPr>
          <w:fldChar w:fldCharType="end"/>
        </w:r>
      </w:hyperlink>
    </w:p>
    <w:p w14:paraId="4DBE70BE" w14:textId="751B111D" w:rsidR="00BE53A8" w:rsidRDefault="00077C0B">
      <w:pPr>
        <w:pStyle w:val="TableofFigures"/>
        <w:tabs>
          <w:tab w:val="right" w:leader="dot" w:pos="9350"/>
        </w:tabs>
        <w:rPr>
          <w:rFonts w:asciiTheme="minorHAnsi" w:eastAsiaTheme="minorEastAsia" w:hAnsiTheme="minorHAnsi"/>
          <w:noProof/>
          <w:sz w:val="22"/>
        </w:rPr>
      </w:pPr>
      <w:hyperlink w:anchor="_Toc67566087" w:history="1">
        <w:r w:rsidR="00BE53A8" w:rsidRPr="00796F05">
          <w:rPr>
            <w:rStyle w:val="Hyperlink"/>
            <w:noProof/>
          </w:rPr>
          <w:t>Table 2.3: Experimentally measured pressure drops and equivalent microannuli gaps for both expanding and conventional cement in Aas et al. (2016) experiments.</w:t>
        </w:r>
        <w:r w:rsidR="00BE53A8">
          <w:rPr>
            <w:noProof/>
            <w:webHidden/>
          </w:rPr>
          <w:tab/>
        </w:r>
        <w:r w:rsidR="00BE53A8">
          <w:rPr>
            <w:noProof/>
            <w:webHidden/>
          </w:rPr>
          <w:fldChar w:fldCharType="begin"/>
        </w:r>
        <w:r w:rsidR="00BE53A8">
          <w:rPr>
            <w:noProof/>
            <w:webHidden/>
          </w:rPr>
          <w:instrText xml:space="preserve"> PAGEREF _Toc67566087 \h </w:instrText>
        </w:r>
        <w:r w:rsidR="00BE53A8">
          <w:rPr>
            <w:noProof/>
            <w:webHidden/>
          </w:rPr>
        </w:r>
        <w:r w:rsidR="00BE53A8">
          <w:rPr>
            <w:noProof/>
            <w:webHidden/>
          </w:rPr>
          <w:fldChar w:fldCharType="separate"/>
        </w:r>
        <w:r w:rsidR="0006023A">
          <w:rPr>
            <w:noProof/>
            <w:webHidden/>
          </w:rPr>
          <w:t>37</w:t>
        </w:r>
        <w:r w:rsidR="00BE53A8">
          <w:rPr>
            <w:noProof/>
            <w:webHidden/>
          </w:rPr>
          <w:fldChar w:fldCharType="end"/>
        </w:r>
      </w:hyperlink>
    </w:p>
    <w:p w14:paraId="1DF8178C" w14:textId="200B98B8" w:rsidR="00BE53A8" w:rsidRDefault="00077C0B">
      <w:pPr>
        <w:pStyle w:val="TableofFigures"/>
        <w:tabs>
          <w:tab w:val="right" w:leader="dot" w:pos="9350"/>
        </w:tabs>
        <w:rPr>
          <w:rFonts w:asciiTheme="minorHAnsi" w:eastAsiaTheme="minorEastAsia" w:hAnsiTheme="minorHAnsi"/>
          <w:noProof/>
          <w:sz w:val="22"/>
        </w:rPr>
      </w:pPr>
      <w:hyperlink w:anchor="_Toc67566088" w:history="1">
        <w:r w:rsidR="00BE53A8" w:rsidRPr="00796F05">
          <w:rPr>
            <w:rStyle w:val="Hyperlink"/>
            <w:noProof/>
          </w:rPr>
          <w:t>Table 3.1: Cement database for Class H and Class G cements.</w:t>
        </w:r>
        <w:r w:rsidR="00BE53A8">
          <w:rPr>
            <w:noProof/>
            <w:webHidden/>
          </w:rPr>
          <w:tab/>
        </w:r>
        <w:r w:rsidR="00BE53A8">
          <w:rPr>
            <w:noProof/>
            <w:webHidden/>
          </w:rPr>
          <w:fldChar w:fldCharType="begin"/>
        </w:r>
        <w:r w:rsidR="00BE53A8">
          <w:rPr>
            <w:noProof/>
            <w:webHidden/>
          </w:rPr>
          <w:instrText xml:space="preserve"> PAGEREF _Toc67566088 \h </w:instrText>
        </w:r>
        <w:r w:rsidR="00BE53A8">
          <w:rPr>
            <w:noProof/>
            <w:webHidden/>
          </w:rPr>
        </w:r>
        <w:r w:rsidR="00BE53A8">
          <w:rPr>
            <w:noProof/>
            <w:webHidden/>
          </w:rPr>
          <w:fldChar w:fldCharType="separate"/>
        </w:r>
        <w:r w:rsidR="0006023A">
          <w:rPr>
            <w:noProof/>
            <w:webHidden/>
          </w:rPr>
          <w:t>79</w:t>
        </w:r>
        <w:r w:rsidR="00BE53A8">
          <w:rPr>
            <w:noProof/>
            <w:webHidden/>
          </w:rPr>
          <w:fldChar w:fldCharType="end"/>
        </w:r>
      </w:hyperlink>
    </w:p>
    <w:p w14:paraId="51AC0643" w14:textId="13A77F02" w:rsidR="00BE53A8" w:rsidRDefault="00077C0B">
      <w:pPr>
        <w:pStyle w:val="TableofFigures"/>
        <w:tabs>
          <w:tab w:val="right" w:leader="dot" w:pos="9350"/>
        </w:tabs>
        <w:rPr>
          <w:rFonts w:asciiTheme="minorHAnsi" w:eastAsiaTheme="minorEastAsia" w:hAnsiTheme="minorHAnsi"/>
          <w:noProof/>
          <w:sz w:val="22"/>
        </w:rPr>
      </w:pPr>
      <w:hyperlink w:anchor="_Toc67566089" w:history="1">
        <w:r w:rsidR="00BE53A8" w:rsidRPr="00796F05">
          <w:rPr>
            <w:rStyle w:val="Hyperlink"/>
            <w:noProof/>
          </w:rPr>
          <w:t>Table 4.1: Values for the synthetic wellbore to compare the analytical equations derived in this work with the Hagen-Poiseulle flow equation.</w:t>
        </w:r>
        <w:r w:rsidR="00BE53A8">
          <w:rPr>
            <w:noProof/>
            <w:webHidden/>
          </w:rPr>
          <w:tab/>
        </w:r>
        <w:r w:rsidR="00BE53A8">
          <w:rPr>
            <w:noProof/>
            <w:webHidden/>
          </w:rPr>
          <w:fldChar w:fldCharType="begin"/>
        </w:r>
        <w:r w:rsidR="00BE53A8">
          <w:rPr>
            <w:noProof/>
            <w:webHidden/>
          </w:rPr>
          <w:instrText xml:space="preserve"> PAGEREF _Toc67566089 \h </w:instrText>
        </w:r>
        <w:r w:rsidR="00BE53A8">
          <w:rPr>
            <w:noProof/>
            <w:webHidden/>
          </w:rPr>
        </w:r>
        <w:r w:rsidR="00BE53A8">
          <w:rPr>
            <w:noProof/>
            <w:webHidden/>
          </w:rPr>
          <w:fldChar w:fldCharType="separate"/>
        </w:r>
        <w:r w:rsidR="0006023A">
          <w:rPr>
            <w:noProof/>
            <w:webHidden/>
          </w:rPr>
          <w:t>91</w:t>
        </w:r>
        <w:r w:rsidR="00BE53A8">
          <w:rPr>
            <w:noProof/>
            <w:webHidden/>
          </w:rPr>
          <w:fldChar w:fldCharType="end"/>
        </w:r>
      </w:hyperlink>
    </w:p>
    <w:p w14:paraId="4F791F37" w14:textId="34C896ED" w:rsidR="00BE53A8" w:rsidRDefault="00077C0B">
      <w:pPr>
        <w:pStyle w:val="TableofFigures"/>
        <w:tabs>
          <w:tab w:val="right" w:leader="dot" w:pos="9350"/>
        </w:tabs>
        <w:rPr>
          <w:rFonts w:asciiTheme="minorHAnsi" w:eastAsiaTheme="minorEastAsia" w:hAnsiTheme="minorHAnsi"/>
          <w:noProof/>
          <w:sz w:val="22"/>
        </w:rPr>
      </w:pPr>
      <w:hyperlink w:anchor="_Toc67566090" w:history="1">
        <w:r w:rsidR="00BE53A8" w:rsidRPr="00796F05">
          <w:rPr>
            <w:rStyle w:val="Hyperlink"/>
            <w:noProof/>
          </w:rPr>
          <w:t>Table 4.2: Dimensions and mechanical properties used in the FEA model.</w:t>
        </w:r>
        <w:r w:rsidR="00BE53A8">
          <w:rPr>
            <w:noProof/>
            <w:webHidden/>
          </w:rPr>
          <w:tab/>
        </w:r>
        <w:r w:rsidR="00BE53A8">
          <w:rPr>
            <w:noProof/>
            <w:webHidden/>
          </w:rPr>
          <w:fldChar w:fldCharType="begin"/>
        </w:r>
        <w:r w:rsidR="00BE53A8">
          <w:rPr>
            <w:noProof/>
            <w:webHidden/>
          </w:rPr>
          <w:instrText xml:space="preserve"> PAGEREF _Toc67566090 \h </w:instrText>
        </w:r>
        <w:r w:rsidR="00BE53A8">
          <w:rPr>
            <w:noProof/>
            <w:webHidden/>
          </w:rPr>
        </w:r>
        <w:r w:rsidR="00BE53A8">
          <w:rPr>
            <w:noProof/>
            <w:webHidden/>
          </w:rPr>
          <w:fldChar w:fldCharType="separate"/>
        </w:r>
        <w:r w:rsidR="0006023A">
          <w:rPr>
            <w:noProof/>
            <w:webHidden/>
          </w:rPr>
          <w:t>103</w:t>
        </w:r>
        <w:r w:rsidR="00BE53A8">
          <w:rPr>
            <w:noProof/>
            <w:webHidden/>
          </w:rPr>
          <w:fldChar w:fldCharType="end"/>
        </w:r>
      </w:hyperlink>
    </w:p>
    <w:p w14:paraId="74AF69E1" w14:textId="1A8A6659" w:rsidR="00BE53A8" w:rsidRDefault="00077C0B">
      <w:pPr>
        <w:pStyle w:val="TableofFigures"/>
        <w:tabs>
          <w:tab w:val="right" w:leader="dot" w:pos="9350"/>
        </w:tabs>
        <w:rPr>
          <w:rFonts w:asciiTheme="minorHAnsi" w:eastAsiaTheme="minorEastAsia" w:hAnsiTheme="minorHAnsi"/>
          <w:noProof/>
          <w:sz w:val="22"/>
        </w:rPr>
      </w:pPr>
      <w:hyperlink w:anchor="_Toc67566091" w:history="1">
        <w:r w:rsidR="00BE53A8" w:rsidRPr="00796F05">
          <w:rPr>
            <w:rStyle w:val="Hyperlink"/>
            <w:noProof/>
          </w:rPr>
          <w:t>Table 4.3: Linear correlations for the initial pressure versus the microannuli gap for the test cement types with respect to their eccentricity. Note the intercept is the shrinkage induced gap.</w:t>
        </w:r>
        <w:r w:rsidR="00BE53A8">
          <w:rPr>
            <w:noProof/>
            <w:webHidden/>
          </w:rPr>
          <w:tab/>
        </w:r>
        <w:r w:rsidR="00BE53A8">
          <w:rPr>
            <w:noProof/>
            <w:webHidden/>
          </w:rPr>
          <w:fldChar w:fldCharType="begin"/>
        </w:r>
        <w:r w:rsidR="00BE53A8">
          <w:rPr>
            <w:noProof/>
            <w:webHidden/>
          </w:rPr>
          <w:instrText xml:space="preserve"> PAGEREF _Toc67566091 \h </w:instrText>
        </w:r>
        <w:r w:rsidR="00BE53A8">
          <w:rPr>
            <w:noProof/>
            <w:webHidden/>
          </w:rPr>
        </w:r>
        <w:r w:rsidR="00BE53A8">
          <w:rPr>
            <w:noProof/>
            <w:webHidden/>
          </w:rPr>
          <w:fldChar w:fldCharType="separate"/>
        </w:r>
        <w:r w:rsidR="0006023A">
          <w:rPr>
            <w:noProof/>
            <w:webHidden/>
          </w:rPr>
          <w:t>108</w:t>
        </w:r>
        <w:r w:rsidR="00BE53A8">
          <w:rPr>
            <w:noProof/>
            <w:webHidden/>
          </w:rPr>
          <w:fldChar w:fldCharType="end"/>
        </w:r>
      </w:hyperlink>
    </w:p>
    <w:p w14:paraId="087DC1F8" w14:textId="6F0BF093" w:rsidR="00BE53A8" w:rsidRDefault="00077C0B">
      <w:pPr>
        <w:pStyle w:val="TableofFigures"/>
        <w:tabs>
          <w:tab w:val="right" w:leader="dot" w:pos="9350"/>
        </w:tabs>
        <w:rPr>
          <w:rFonts w:asciiTheme="minorHAnsi" w:eastAsiaTheme="minorEastAsia" w:hAnsiTheme="minorHAnsi"/>
          <w:noProof/>
          <w:sz w:val="22"/>
        </w:rPr>
      </w:pPr>
      <w:hyperlink w:anchor="_Toc67566092" w:history="1">
        <w:r w:rsidR="00BE53A8" w:rsidRPr="00796F05">
          <w:rPr>
            <w:rStyle w:val="Hyperlink"/>
            <w:noProof/>
          </w:rPr>
          <w:t>Table 4.4: Base case input parameters for the three wells in the Eugene Island OPD and the source of their values.</w:t>
        </w:r>
        <w:r w:rsidR="00BE53A8">
          <w:rPr>
            <w:noProof/>
            <w:webHidden/>
          </w:rPr>
          <w:tab/>
        </w:r>
        <w:r w:rsidR="00BE53A8">
          <w:rPr>
            <w:noProof/>
            <w:webHidden/>
          </w:rPr>
          <w:fldChar w:fldCharType="begin"/>
        </w:r>
        <w:r w:rsidR="00BE53A8">
          <w:rPr>
            <w:noProof/>
            <w:webHidden/>
          </w:rPr>
          <w:instrText xml:space="preserve"> PAGEREF _Toc67566092 \h </w:instrText>
        </w:r>
        <w:r w:rsidR="00BE53A8">
          <w:rPr>
            <w:noProof/>
            <w:webHidden/>
          </w:rPr>
        </w:r>
        <w:r w:rsidR="00BE53A8">
          <w:rPr>
            <w:noProof/>
            <w:webHidden/>
          </w:rPr>
          <w:fldChar w:fldCharType="separate"/>
        </w:r>
        <w:r w:rsidR="0006023A">
          <w:rPr>
            <w:noProof/>
            <w:webHidden/>
          </w:rPr>
          <w:t>110</w:t>
        </w:r>
        <w:r w:rsidR="00BE53A8">
          <w:rPr>
            <w:noProof/>
            <w:webHidden/>
          </w:rPr>
          <w:fldChar w:fldCharType="end"/>
        </w:r>
      </w:hyperlink>
    </w:p>
    <w:p w14:paraId="5B8709DA" w14:textId="39F88CBF" w:rsidR="00BE53A8" w:rsidRDefault="00077C0B">
      <w:pPr>
        <w:pStyle w:val="TableofFigures"/>
        <w:tabs>
          <w:tab w:val="right" w:leader="dot" w:pos="9350"/>
        </w:tabs>
        <w:rPr>
          <w:rFonts w:asciiTheme="minorHAnsi" w:eastAsiaTheme="minorEastAsia" w:hAnsiTheme="minorHAnsi"/>
          <w:noProof/>
          <w:sz w:val="22"/>
        </w:rPr>
      </w:pPr>
      <w:hyperlink w:anchor="_Toc67566093" w:history="1">
        <w:r w:rsidR="00BE53A8" w:rsidRPr="00796F05">
          <w:rPr>
            <w:rStyle w:val="Hyperlink"/>
            <w:noProof/>
          </w:rPr>
          <w:t>Table 4.5: Summary of the two High Island Well logs for the rock mechanical properties.</w:t>
        </w:r>
        <w:r w:rsidR="00BE53A8">
          <w:rPr>
            <w:noProof/>
            <w:webHidden/>
          </w:rPr>
          <w:tab/>
        </w:r>
        <w:r w:rsidR="00BE53A8">
          <w:rPr>
            <w:noProof/>
            <w:webHidden/>
          </w:rPr>
          <w:fldChar w:fldCharType="begin"/>
        </w:r>
        <w:r w:rsidR="00BE53A8">
          <w:rPr>
            <w:noProof/>
            <w:webHidden/>
          </w:rPr>
          <w:instrText xml:space="preserve"> PAGEREF _Toc67566093 \h </w:instrText>
        </w:r>
        <w:r w:rsidR="00BE53A8">
          <w:rPr>
            <w:noProof/>
            <w:webHidden/>
          </w:rPr>
        </w:r>
        <w:r w:rsidR="00BE53A8">
          <w:rPr>
            <w:noProof/>
            <w:webHidden/>
          </w:rPr>
          <w:fldChar w:fldCharType="separate"/>
        </w:r>
        <w:r w:rsidR="0006023A">
          <w:rPr>
            <w:noProof/>
            <w:webHidden/>
          </w:rPr>
          <w:t>117</w:t>
        </w:r>
        <w:r w:rsidR="00BE53A8">
          <w:rPr>
            <w:noProof/>
            <w:webHidden/>
          </w:rPr>
          <w:fldChar w:fldCharType="end"/>
        </w:r>
      </w:hyperlink>
    </w:p>
    <w:p w14:paraId="6691EA54" w14:textId="18060A99" w:rsidR="00BE53A8" w:rsidRDefault="00077C0B">
      <w:pPr>
        <w:pStyle w:val="TableofFigures"/>
        <w:tabs>
          <w:tab w:val="right" w:leader="dot" w:pos="9350"/>
        </w:tabs>
        <w:rPr>
          <w:rFonts w:asciiTheme="minorHAnsi" w:eastAsiaTheme="minorEastAsia" w:hAnsiTheme="minorHAnsi"/>
          <w:noProof/>
          <w:sz w:val="22"/>
        </w:rPr>
      </w:pPr>
      <w:hyperlink w:anchor="_Toc67566094" w:history="1">
        <w:r w:rsidR="00BE53A8" w:rsidRPr="00796F05">
          <w:rPr>
            <w:rStyle w:val="Hyperlink"/>
            <w:noProof/>
          </w:rPr>
          <w:t>Table 4.6: Parameters for the case well (API# 427094116400) in the High Island OPD and the source of their value(s).</w:t>
        </w:r>
        <w:r w:rsidR="00BE53A8">
          <w:rPr>
            <w:noProof/>
            <w:webHidden/>
          </w:rPr>
          <w:tab/>
        </w:r>
        <w:r w:rsidR="00BE53A8">
          <w:rPr>
            <w:noProof/>
            <w:webHidden/>
          </w:rPr>
          <w:fldChar w:fldCharType="begin"/>
        </w:r>
        <w:r w:rsidR="00BE53A8">
          <w:rPr>
            <w:noProof/>
            <w:webHidden/>
          </w:rPr>
          <w:instrText xml:space="preserve"> PAGEREF _Toc67566094 \h </w:instrText>
        </w:r>
        <w:r w:rsidR="00BE53A8">
          <w:rPr>
            <w:noProof/>
            <w:webHidden/>
          </w:rPr>
        </w:r>
        <w:r w:rsidR="00BE53A8">
          <w:rPr>
            <w:noProof/>
            <w:webHidden/>
          </w:rPr>
          <w:fldChar w:fldCharType="separate"/>
        </w:r>
        <w:r w:rsidR="0006023A">
          <w:rPr>
            <w:noProof/>
            <w:webHidden/>
          </w:rPr>
          <w:t>118</w:t>
        </w:r>
        <w:r w:rsidR="00BE53A8">
          <w:rPr>
            <w:noProof/>
            <w:webHidden/>
          </w:rPr>
          <w:fldChar w:fldCharType="end"/>
        </w:r>
      </w:hyperlink>
    </w:p>
    <w:p w14:paraId="06D77535" w14:textId="0CF19AFD" w:rsidR="00BE53A8" w:rsidRDefault="00077C0B">
      <w:pPr>
        <w:pStyle w:val="TableofFigures"/>
        <w:tabs>
          <w:tab w:val="right" w:leader="dot" w:pos="9350"/>
        </w:tabs>
        <w:rPr>
          <w:rFonts w:asciiTheme="minorHAnsi" w:eastAsiaTheme="minorEastAsia" w:hAnsiTheme="minorHAnsi"/>
          <w:noProof/>
          <w:sz w:val="22"/>
        </w:rPr>
      </w:pPr>
      <w:hyperlink w:anchor="_Toc67566095" w:history="1">
        <w:r w:rsidR="00BE53A8" w:rsidRPr="00796F05">
          <w:rPr>
            <w:rStyle w:val="Hyperlink"/>
            <w:noProof/>
          </w:rPr>
          <w:t>Table 4.7: High and low values for the parametric study. These values apply for all three well depth parameters.</w:t>
        </w:r>
        <w:r w:rsidR="00BE53A8">
          <w:rPr>
            <w:noProof/>
            <w:webHidden/>
          </w:rPr>
          <w:tab/>
        </w:r>
        <w:r w:rsidR="00BE53A8">
          <w:rPr>
            <w:noProof/>
            <w:webHidden/>
          </w:rPr>
          <w:fldChar w:fldCharType="begin"/>
        </w:r>
        <w:r w:rsidR="00BE53A8">
          <w:rPr>
            <w:noProof/>
            <w:webHidden/>
          </w:rPr>
          <w:instrText xml:space="preserve"> PAGEREF _Toc67566095 \h </w:instrText>
        </w:r>
        <w:r w:rsidR="00BE53A8">
          <w:rPr>
            <w:noProof/>
            <w:webHidden/>
          </w:rPr>
        </w:r>
        <w:r w:rsidR="00BE53A8">
          <w:rPr>
            <w:noProof/>
            <w:webHidden/>
          </w:rPr>
          <w:fldChar w:fldCharType="separate"/>
        </w:r>
        <w:r w:rsidR="0006023A">
          <w:rPr>
            <w:noProof/>
            <w:webHidden/>
          </w:rPr>
          <w:t>119</w:t>
        </w:r>
        <w:r w:rsidR="00BE53A8">
          <w:rPr>
            <w:noProof/>
            <w:webHidden/>
          </w:rPr>
          <w:fldChar w:fldCharType="end"/>
        </w:r>
      </w:hyperlink>
    </w:p>
    <w:p w14:paraId="12B819D2" w14:textId="710D99A8" w:rsidR="00BE53A8" w:rsidRDefault="00077C0B">
      <w:pPr>
        <w:pStyle w:val="TableofFigures"/>
        <w:tabs>
          <w:tab w:val="right" w:leader="dot" w:pos="9350"/>
        </w:tabs>
        <w:rPr>
          <w:rFonts w:asciiTheme="minorHAnsi" w:eastAsiaTheme="minorEastAsia" w:hAnsiTheme="minorHAnsi"/>
          <w:noProof/>
          <w:sz w:val="22"/>
        </w:rPr>
      </w:pPr>
      <w:hyperlink w:anchor="_Toc67566096" w:history="1">
        <w:r w:rsidR="00BE53A8" w:rsidRPr="00796F05">
          <w:rPr>
            <w:rStyle w:val="Hyperlink"/>
            <w:noProof/>
          </w:rPr>
          <w:t>Table 5.1: Comparison of the six analytical equations for the synthetic well. Note that Hagen-Poiseulle flow was determined for both water and gas. Equation 4.15 resulted in the highest flow rate while Equation 4.34 did not have a flow rate.</w:t>
        </w:r>
        <w:r w:rsidR="00BE53A8">
          <w:rPr>
            <w:noProof/>
            <w:webHidden/>
          </w:rPr>
          <w:tab/>
        </w:r>
        <w:r w:rsidR="00BE53A8">
          <w:rPr>
            <w:noProof/>
            <w:webHidden/>
          </w:rPr>
          <w:fldChar w:fldCharType="begin"/>
        </w:r>
        <w:r w:rsidR="00BE53A8">
          <w:rPr>
            <w:noProof/>
            <w:webHidden/>
          </w:rPr>
          <w:instrText xml:space="preserve"> PAGEREF _Toc67566096 \h </w:instrText>
        </w:r>
        <w:r w:rsidR="00BE53A8">
          <w:rPr>
            <w:noProof/>
            <w:webHidden/>
          </w:rPr>
        </w:r>
        <w:r w:rsidR="00BE53A8">
          <w:rPr>
            <w:noProof/>
            <w:webHidden/>
          </w:rPr>
          <w:fldChar w:fldCharType="separate"/>
        </w:r>
        <w:r w:rsidR="0006023A">
          <w:rPr>
            <w:noProof/>
            <w:webHidden/>
          </w:rPr>
          <w:t>122</w:t>
        </w:r>
        <w:r w:rsidR="00BE53A8">
          <w:rPr>
            <w:noProof/>
            <w:webHidden/>
          </w:rPr>
          <w:fldChar w:fldCharType="end"/>
        </w:r>
      </w:hyperlink>
    </w:p>
    <w:p w14:paraId="3BC33D2B" w14:textId="14F1443E" w:rsidR="00BE53A8" w:rsidRDefault="00077C0B">
      <w:pPr>
        <w:pStyle w:val="TableofFigures"/>
        <w:tabs>
          <w:tab w:val="right" w:leader="dot" w:pos="9350"/>
        </w:tabs>
        <w:rPr>
          <w:rFonts w:asciiTheme="minorHAnsi" w:eastAsiaTheme="minorEastAsia" w:hAnsiTheme="minorHAnsi"/>
          <w:noProof/>
          <w:sz w:val="22"/>
        </w:rPr>
      </w:pPr>
      <w:hyperlink w:anchor="_Toc67566097" w:history="1">
        <w:r w:rsidR="00BE53A8" w:rsidRPr="00796F05">
          <w:rPr>
            <w:rStyle w:val="Hyperlink"/>
            <w:noProof/>
          </w:rPr>
          <w:t>Table 5.2: Corresponding Reynold’s numbers (</w:t>
        </w:r>
        <m:oMath>
          <m:r>
            <m:rPr>
              <m:sty m:val="bi"/>
            </m:rPr>
            <w:rPr>
              <w:rStyle w:val="Hyperlink"/>
              <w:rFonts w:ascii="Cambria Math" w:hAnsi="Cambria Math"/>
              <w:noProof/>
            </w:rPr>
            <m:t>NRe</m:t>
          </m:r>
        </m:oMath>
        <w:r w:rsidR="00BE53A8" w:rsidRPr="00796F05">
          <w:rPr>
            <w:rStyle w:val="Hyperlink"/>
            <w:noProof/>
          </w:rPr>
          <w:t>) for the fluid flow models for the synthetic wellbore. All eight fluid flow models are in the laminar flow regime (</w:t>
        </w:r>
        <m:oMath>
          <m:r>
            <m:rPr>
              <m:sty m:val="bi"/>
            </m:rPr>
            <w:rPr>
              <w:rStyle w:val="Hyperlink"/>
              <w:rFonts w:ascii="Cambria Math" w:hAnsi="Cambria Math"/>
              <w:noProof/>
            </w:rPr>
            <m:t>NRe</m:t>
          </m:r>
          <m:r>
            <w:rPr>
              <w:rStyle w:val="Hyperlink"/>
              <w:rFonts w:ascii="Cambria Math" w:hAnsi="Cambria Math"/>
              <w:noProof/>
            </w:rPr>
            <m:t>≤</m:t>
          </m:r>
          <m:r>
            <m:rPr>
              <m:sty m:val="bi"/>
            </m:rPr>
            <w:rPr>
              <w:rStyle w:val="Hyperlink"/>
              <w:rFonts w:ascii="Cambria Math" w:hAnsi="Cambria Math"/>
              <w:noProof/>
            </w:rPr>
            <m:t>2</m:t>
          </m:r>
          <m:r>
            <w:rPr>
              <w:rStyle w:val="Hyperlink"/>
              <w:rFonts w:ascii="Cambria Math" w:hAnsi="Cambria Math"/>
              <w:noProof/>
            </w:rPr>
            <m:t>,</m:t>
          </m:r>
          <m:r>
            <m:rPr>
              <m:sty m:val="bi"/>
            </m:rPr>
            <w:rPr>
              <w:rStyle w:val="Hyperlink"/>
              <w:rFonts w:ascii="Cambria Math" w:hAnsi="Cambria Math"/>
              <w:noProof/>
            </w:rPr>
            <m:t>100</m:t>
          </m:r>
        </m:oMath>
        <w:r w:rsidR="00BE53A8" w:rsidRPr="00796F05">
          <w:rPr>
            <w:rStyle w:val="Hyperlink"/>
            <w:noProof/>
          </w:rPr>
          <w:t>).</w:t>
        </w:r>
        <w:r w:rsidR="00BE53A8">
          <w:rPr>
            <w:noProof/>
            <w:webHidden/>
          </w:rPr>
          <w:tab/>
        </w:r>
        <w:r w:rsidR="00BE53A8">
          <w:rPr>
            <w:noProof/>
            <w:webHidden/>
          </w:rPr>
          <w:fldChar w:fldCharType="begin"/>
        </w:r>
        <w:r w:rsidR="00BE53A8">
          <w:rPr>
            <w:noProof/>
            <w:webHidden/>
          </w:rPr>
          <w:instrText xml:space="preserve"> PAGEREF _Toc67566097 \h </w:instrText>
        </w:r>
        <w:r w:rsidR="00BE53A8">
          <w:rPr>
            <w:noProof/>
            <w:webHidden/>
          </w:rPr>
        </w:r>
        <w:r w:rsidR="00BE53A8">
          <w:rPr>
            <w:noProof/>
            <w:webHidden/>
          </w:rPr>
          <w:fldChar w:fldCharType="separate"/>
        </w:r>
        <w:r w:rsidR="0006023A">
          <w:rPr>
            <w:noProof/>
            <w:webHidden/>
          </w:rPr>
          <w:t>123</w:t>
        </w:r>
        <w:r w:rsidR="00BE53A8">
          <w:rPr>
            <w:noProof/>
            <w:webHidden/>
          </w:rPr>
          <w:fldChar w:fldCharType="end"/>
        </w:r>
      </w:hyperlink>
    </w:p>
    <w:p w14:paraId="4C0E7715" w14:textId="03AB0CCE" w:rsidR="00BE53A8" w:rsidRDefault="00077C0B">
      <w:pPr>
        <w:pStyle w:val="TableofFigures"/>
        <w:tabs>
          <w:tab w:val="right" w:leader="dot" w:pos="9350"/>
        </w:tabs>
        <w:rPr>
          <w:rFonts w:asciiTheme="minorHAnsi" w:eastAsiaTheme="minorEastAsia" w:hAnsiTheme="minorHAnsi"/>
          <w:noProof/>
          <w:sz w:val="22"/>
        </w:rPr>
      </w:pPr>
      <w:hyperlink w:anchor="_Toc67566098" w:history="1">
        <w:r w:rsidR="00BE53A8" w:rsidRPr="00796F05">
          <w:rPr>
            <w:rStyle w:val="Hyperlink"/>
            <w:noProof/>
          </w:rPr>
          <w:t>Table 5.3: Maximum percent difference (% Diff.) of the variation between the real and ideal gas flow.</w:t>
        </w:r>
        <w:r w:rsidR="00BE53A8">
          <w:rPr>
            <w:noProof/>
            <w:webHidden/>
          </w:rPr>
          <w:tab/>
        </w:r>
        <w:r w:rsidR="00BE53A8">
          <w:rPr>
            <w:noProof/>
            <w:webHidden/>
          </w:rPr>
          <w:fldChar w:fldCharType="begin"/>
        </w:r>
        <w:r w:rsidR="00BE53A8">
          <w:rPr>
            <w:noProof/>
            <w:webHidden/>
          </w:rPr>
          <w:instrText xml:space="preserve"> PAGEREF _Toc67566098 \h </w:instrText>
        </w:r>
        <w:r w:rsidR="00BE53A8">
          <w:rPr>
            <w:noProof/>
            <w:webHidden/>
          </w:rPr>
        </w:r>
        <w:r w:rsidR="00BE53A8">
          <w:rPr>
            <w:noProof/>
            <w:webHidden/>
          </w:rPr>
          <w:fldChar w:fldCharType="separate"/>
        </w:r>
        <w:r w:rsidR="0006023A">
          <w:rPr>
            <w:noProof/>
            <w:webHidden/>
          </w:rPr>
          <w:t>125</w:t>
        </w:r>
        <w:r w:rsidR="00BE53A8">
          <w:rPr>
            <w:noProof/>
            <w:webHidden/>
          </w:rPr>
          <w:fldChar w:fldCharType="end"/>
        </w:r>
      </w:hyperlink>
    </w:p>
    <w:p w14:paraId="61FB4003" w14:textId="0CA7BCEC" w:rsidR="00BE53A8" w:rsidRDefault="00077C0B">
      <w:pPr>
        <w:pStyle w:val="TableofFigures"/>
        <w:tabs>
          <w:tab w:val="right" w:leader="dot" w:pos="9350"/>
        </w:tabs>
        <w:rPr>
          <w:rFonts w:asciiTheme="minorHAnsi" w:eastAsiaTheme="minorEastAsia" w:hAnsiTheme="minorHAnsi"/>
          <w:noProof/>
          <w:sz w:val="22"/>
        </w:rPr>
      </w:pPr>
      <w:hyperlink w:anchor="_Toc67566099" w:history="1">
        <w:r w:rsidR="00BE53A8" w:rsidRPr="00796F05">
          <w:rPr>
            <w:rStyle w:val="Hyperlink"/>
            <w:noProof/>
          </w:rPr>
          <w:t>Table 5.4: Corresponding maximum Reynold’s numbers (</w:t>
        </w:r>
        <m:oMath>
          <m:r>
            <m:rPr>
              <m:sty m:val="bi"/>
            </m:rPr>
            <w:rPr>
              <w:rStyle w:val="Hyperlink"/>
              <w:rFonts w:ascii="Cambria Math" w:hAnsi="Cambria Math"/>
              <w:noProof/>
            </w:rPr>
            <m:t>NRe</m:t>
          </m:r>
        </m:oMath>
        <w:r w:rsidR="00BE53A8" w:rsidRPr="00796F05">
          <w:rPr>
            <w:rStyle w:val="Hyperlink"/>
            <w:noProof/>
          </w:rPr>
          <w:t>) for the cement mixtures SF120, SF66, and SF120EA. The Reynold’s numbers are all in the laminar flow regime.</w:t>
        </w:r>
        <w:r w:rsidR="00BE53A8">
          <w:rPr>
            <w:noProof/>
            <w:webHidden/>
          </w:rPr>
          <w:tab/>
        </w:r>
        <w:r w:rsidR="00BE53A8">
          <w:rPr>
            <w:noProof/>
            <w:webHidden/>
          </w:rPr>
          <w:fldChar w:fldCharType="begin"/>
        </w:r>
        <w:r w:rsidR="00BE53A8">
          <w:rPr>
            <w:noProof/>
            <w:webHidden/>
          </w:rPr>
          <w:instrText xml:space="preserve"> PAGEREF _Toc67566099 \h </w:instrText>
        </w:r>
        <w:r w:rsidR="00BE53A8">
          <w:rPr>
            <w:noProof/>
            <w:webHidden/>
          </w:rPr>
        </w:r>
        <w:r w:rsidR="00BE53A8">
          <w:rPr>
            <w:noProof/>
            <w:webHidden/>
          </w:rPr>
          <w:fldChar w:fldCharType="separate"/>
        </w:r>
        <w:r w:rsidR="0006023A">
          <w:rPr>
            <w:noProof/>
            <w:webHidden/>
          </w:rPr>
          <w:t>127</w:t>
        </w:r>
        <w:r w:rsidR="00BE53A8">
          <w:rPr>
            <w:noProof/>
            <w:webHidden/>
          </w:rPr>
          <w:fldChar w:fldCharType="end"/>
        </w:r>
      </w:hyperlink>
    </w:p>
    <w:p w14:paraId="7ED395B1" w14:textId="27FFCD3F" w:rsidR="00BE53A8" w:rsidRDefault="00077C0B">
      <w:pPr>
        <w:pStyle w:val="TableofFigures"/>
        <w:tabs>
          <w:tab w:val="right" w:leader="dot" w:pos="9350"/>
        </w:tabs>
        <w:rPr>
          <w:rFonts w:asciiTheme="minorHAnsi" w:eastAsiaTheme="minorEastAsia" w:hAnsiTheme="minorHAnsi"/>
          <w:noProof/>
          <w:sz w:val="22"/>
        </w:rPr>
      </w:pPr>
      <w:hyperlink w:anchor="_Toc67566100" w:history="1">
        <w:r w:rsidR="00BE53A8" w:rsidRPr="00796F05">
          <w:rPr>
            <w:rStyle w:val="Hyperlink"/>
            <w:noProof/>
          </w:rPr>
          <w:t>Table 5.5: Effective stress percent difference of the FEA stress continuum and fracture model from the analytical solution for the casing, cement, and rock formation.</w:t>
        </w:r>
        <w:r w:rsidR="00BE53A8">
          <w:rPr>
            <w:noProof/>
            <w:webHidden/>
          </w:rPr>
          <w:tab/>
        </w:r>
        <w:r w:rsidR="00BE53A8">
          <w:rPr>
            <w:noProof/>
            <w:webHidden/>
          </w:rPr>
          <w:fldChar w:fldCharType="begin"/>
        </w:r>
        <w:r w:rsidR="00BE53A8">
          <w:rPr>
            <w:noProof/>
            <w:webHidden/>
          </w:rPr>
          <w:instrText xml:space="preserve"> PAGEREF _Toc67566100 \h </w:instrText>
        </w:r>
        <w:r w:rsidR="00BE53A8">
          <w:rPr>
            <w:noProof/>
            <w:webHidden/>
          </w:rPr>
        </w:r>
        <w:r w:rsidR="00BE53A8">
          <w:rPr>
            <w:noProof/>
            <w:webHidden/>
          </w:rPr>
          <w:fldChar w:fldCharType="separate"/>
        </w:r>
        <w:r w:rsidR="0006023A">
          <w:rPr>
            <w:noProof/>
            <w:webHidden/>
          </w:rPr>
          <w:t>128</w:t>
        </w:r>
        <w:r w:rsidR="00BE53A8">
          <w:rPr>
            <w:noProof/>
            <w:webHidden/>
          </w:rPr>
          <w:fldChar w:fldCharType="end"/>
        </w:r>
      </w:hyperlink>
    </w:p>
    <w:p w14:paraId="1622A901" w14:textId="7546758F" w:rsidR="00BE53A8" w:rsidRDefault="00077C0B">
      <w:pPr>
        <w:pStyle w:val="TableofFigures"/>
        <w:tabs>
          <w:tab w:val="right" w:leader="dot" w:pos="9350"/>
        </w:tabs>
        <w:rPr>
          <w:rFonts w:asciiTheme="minorHAnsi" w:eastAsiaTheme="minorEastAsia" w:hAnsiTheme="minorHAnsi"/>
          <w:noProof/>
          <w:sz w:val="22"/>
        </w:rPr>
      </w:pPr>
      <w:hyperlink w:anchor="_Toc67566101" w:history="1">
        <w:r w:rsidR="00BE53A8" w:rsidRPr="00796F05">
          <w:rPr>
            <w:rStyle w:val="Hyperlink"/>
            <w:noProof/>
          </w:rPr>
          <w:t>Table 5.6: Calculated pressure drops and simulated microannuli gaps for both expanding and conventional cement in comparison to the experimentally measured pressure drops and equivalent microannuli gaps.</w:t>
        </w:r>
        <w:r w:rsidR="00BE53A8">
          <w:rPr>
            <w:noProof/>
            <w:webHidden/>
          </w:rPr>
          <w:tab/>
        </w:r>
        <w:r w:rsidR="00BE53A8">
          <w:rPr>
            <w:noProof/>
            <w:webHidden/>
          </w:rPr>
          <w:fldChar w:fldCharType="begin"/>
        </w:r>
        <w:r w:rsidR="00BE53A8">
          <w:rPr>
            <w:noProof/>
            <w:webHidden/>
          </w:rPr>
          <w:instrText xml:space="preserve"> PAGEREF _Toc67566101 \h </w:instrText>
        </w:r>
        <w:r w:rsidR="00BE53A8">
          <w:rPr>
            <w:noProof/>
            <w:webHidden/>
          </w:rPr>
        </w:r>
        <w:r w:rsidR="00BE53A8">
          <w:rPr>
            <w:noProof/>
            <w:webHidden/>
          </w:rPr>
          <w:fldChar w:fldCharType="separate"/>
        </w:r>
        <w:r w:rsidR="0006023A">
          <w:rPr>
            <w:noProof/>
            <w:webHidden/>
          </w:rPr>
          <w:t>130</w:t>
        </w:r>
        <w:r w:rsidR="00BE53A8">
          <w:rPr>
            <w:noProof/>
            <w:webHidden/>
          </w:rPr>
          <w:fldChar w:fldCharType="end"/>
        </w:r>
      </w:hyperlink>
    </w:p>
    <w:p w14:paraId="4ABA4F06" w14:textId="76E9197F" w:rsidR="00BE53A8" w:rsidRDefault="00077C0B">
      <w:pPr>
        <w:pStyle w:val="TableofFigures"/>
        <w:tabs>
          <w:tab w:val="right" w:leader="dot" w:pos="9350"/>
        </w:tabs>
        <w:rPr>
          <w:rFonts w:asciiTheme="minorHAnsi" w:eastAsiaTheme="minorEastAsia" w:hAnsiTheme="minorHAnsi"/>
          <w:noProof/>
          <w:sz w:val="22"/>
        </w:rPr>
      </w:pPr>
      <w:hyperlink w:anchor="_Toc67566102" w:history="1">
        <w:r w:rsidR="00BE53A8" w:rsidRPr="00796F05">
          <w:rPr>
            <w:rStyle w:val="Hyperlink"/>
            <w:noProof/>
          </w:rPr>
          <w:t>Table 5.7: Representation that the simulated pressure drops can mimic the experimental data by altering either the shrinkage or the fluid friction factor in the simulations.</w:t>
        </w:r>
        <w:r w:rsidR="00BE53A8">
          <w:rPr>
            <w:noProof/>
            <w:webHidden/>
          </w:rPr>
          <w:tab/>
        </w:r>
        <w:r w:rsidR="00BE53A8">
          <w:rPr>
            <w:noProof/>
            <w:webHidden/>
          </w:rPr>
          <w:fldChar w:fldCharType="begin"/>
        </w:r>
        <w:r w:rsidR="00BE53A8">
          <w:rPr>
            <w:noProof/>
            <w:webHidden/>
          </w:rPr>
          <w:instrText xml:space="preserve"> PAGEREF _Toc67566102 \h </w:instrText>
        </w:r>
        <w:r w:rsidR="00BE53A8">
          <w:rPr>
            <w:noProof/>
            <w:webHidden/>
          </w:rPr>
        </w:r>
        <w:r w:rsidR="00BE53A8">
          <w:rPr>
            <w:noProof/>
            <w:webHidden/>
          </w:rPr>
          <w:fldChar w:fldCharType="separate"/>
        </w:r>
        <w:r w:rsidR="0006023A">
          <w:rPr>
            <w:noProof/>
            <w:webHidden/>
          </w:rPr>
          <w:t>133</w:t>
        </w:r>
        <w:r w:rsidR="00BE53A8">
          <w:rPr>
            <w:noProof/>
            <w:webHidden/>
          </w:rPr>
          <w:fldChar w:fldCharType="end"/>
        </w:r>
      </w:hyperlink>
    </w:p>
    <w:p w14:paraId="687673D7" w14:textId="4F3EA8C4" w:rsidR="00BE53A8" w:rsidRDefault="00077C0B">
      <w:pPr>
        <w:pStyle w:val="TableofFigures"/>
        <w:tabs>
          <w:tab w:val="right" w:leader="dot" w:pos="9350"/>
        </w:tabs>
        <w:rPr>
          <w:rFonts w:asciiTheme="minorHAnsi" w:eastAsiaTheme="minorEastAsia" w:hAnsiTheme="minorHAnsi"/>
          <w:noProof/>
          <w:sz w:val="22"/>
        </w:rPr>
      </w:pPr>
      <w:hyperlink w:anchor="_Toc67566103" w:history="1">
        <w:r w:rsidR="00BE53A8" w:rsidRPr="00796F05">
          <w:rPr>
            <w:rStyle w:val="Hyperlink"/>
            <w:noProof/>
          </w:rPr>
          <w:t>Table 5.8: Base case wellbores comparison between the stress continuum model (stress model) and the fracture model for the shallow, medium, and deep depth wellbores. The gray shaded cells represent tensile failure in the stress continuum model whereas the orange shaded cell represents tensile failure in the fracture model resulting in a microannuli gap width of 13.6 μm.</w:t>
        </w:r>
        <w:r w:rsidR="00BE53A8">
          <w:rPr>
            <w:noProof/>
            <w:webHidden/>
          </w:rPr>
          <w:tab/>
        </w:r>
        <w:r w:rsidR="00BE53A8">
          <w:rPr>
            <w:noProof/>
            <w:webHidden/>
          </w:rPr>
          <w:fldChar w:fldCharType="begin"/>
        </w:r>
        <w:r w:rsidR="00BE53A8">
          <w:rPr>
            <w:noProof/>
            <w:webHidden/>
          </w:rPr>
          <w:instrText xml:space="preserve"> PAGEREF _Toc67566103 \h </w:instrText>
        </w:r>
        <w:r w:rsidR="00BE53A8">
          <w:rPr>
            <w:noProof/>
            <w:webHidden/>
          </w:rPr>
        </w:r>
        <w:r w:rsidR="00BE53A8">
          <w:rPr>
            <w:noProof/>
            <w:webHidden/>
          </w:rPr>
          <w:fldChar w:fldCharType="separate"/>
        </w:r>
        <w:r w:rsidR="0006023A">
          <w:rPr>
            <w:noProof/>
            <w:webHidden/>
          </w:rPr>
          <w:t>135</w:t>
        </w:r>
        <w:r w:rsidR="00BE53A8">
          <w:rPr>
            <w:noProof/>
            <w:webHidden/>
          </w:rPr>
          <w:fldChar w:fldCharType="end"/>
        </w:r>
      </w:hyperlink>
    </w:p>
    <w:p w14:paraId="2346F711" w14:textId="132B911B" w:rsidR="00BE53A8" w:rsidRDefault="00077C0B">
      <w:pPr>
        <w:pStyle w:val="TableofFigures"/>
        <w:tabs>
          <w:tab w:val="right" w:leader="dot" w:pos="9350"/>
        </w:tabs>
        <w:rPr>
          <w:rFonts w:asciiTheme="minorHAnsi" w:eastAsiaTheme="minorEastAsia" w:hAnsiTheme="minorHAnsi"/>
          <w:noProof/>
          <w:sz w:val="22"/>
        </w:rPr>
      </w:pPr>
      <w:hyperlink w:anchor="_Toc67566104" w:history="1">
        <w:r w:rsidR="00BE53A8" w:rsidRPr="00796F05">
          <w:rPr>
            <w:rStyle w:val="Hyperlink"/>
            <w:noProof/>
          </w:rPr>
          <w:t xml:space="preserve">Table 5.9: Microannuli gap initiation reduction changes for </w:t>
        </w:r>
        <m:oMath>
          <m:r>
            <m:rPr>
              <m:sty m:val="bi"/>
            </m:rPr>
            <w:rPr>
              <w:rStyle w:val="Hyperlink"/>
              <w:rFonts w:ascii="Cambria Math" w:hAnsi="Cambria Math"/>
              <w:noProof/>
            </w:rPr>
            <m:t>ΔP</m:t>
          </m:r>
        </m:oMath>
        <w:r w:rsidR="00BE53A8" w:rsidRPr="00796F05">
          <w:rPr>
            <w:rStyle w:val="Hyperlink"/>
            <w:noProof/>
          </w:rPr>
          <w:t xml:space="preserve"> and </w:t>
        </w:r>
        <m:oMath>
          <m:r>
            <m:rPr>
              <m:sty m:val="bi"/>
            </m:rPr>
            <w:rPr>
              <w:rStyle w:val="Hyperlink"/>
              <w:rFonts w:ascii="Cambria Math" w:hAnsi="Cambria Math"/>
              <w:noProof/>
            </w:rPr>
            <m:t>ΔT</m:t>
          </m:r>
        </m:oMath>
        <w:r w:rsidR="00BE53A8" w:rsidRPr="00796F05">
          <w:rPr>
            <w:rStyle w:val="Hyperlink"/>
            <w:noProof/>
          </w:rPr>
          <w:t xml:space="preserve"> including nanometer (nm) gap and micrometer (μm) gap initiation </w:t>
        </w:r>
        <m:oMath>
          <m:r>
            <m:rPr>
              <m:sty m:val="bi"/>
            </m:rPr>
            <w:rPr>
              <w:rStyle w:val="Hyperlink"/>
              <w:rFonts w:ascii="Cambria Math" w:hAnsi="Cambria Math"/>
              <w:noProof/>
            </w:rPr>
            <m:t>Δ</m:t>
          </m:r>
        </m:oMath>
        <w:r w:rsidR="00BE53A8" w:rsidRPr="00796F05">
          <w:rPr>
            <w:rStyle w:val="Hyperlink"/>
            <w:noProof/>
          </w:rPr>
          <w:t>’s.</w:t>
        </w:r>
        <w:r w:rsidR="00BE53A8">
          <w:rPr>
            <w:noProof/>
            <w:webHidden/>
          </w:rPr>
          <w:tab/>
        </w:r>
        <w:r w:rsidR="00BE53A8">
          <w:rPr>
            <w:noProof/>
            <w:webHidden/>
          </w:rPr>
          <w:fldChar w:fldCharType="begin"/>
        </w:r>
        <w:r w:rsidR="00BE53A8">
          <w:rPr>
            <w:noProof/>
            <w:webHidden/>
          </w:rPr>
          <w:instrText xml:space="preserve"> PAGEREF _Toc67566104 \h </w:instrText>
        </w:r>
        <w:r w:rsidR="00BE53A8">
          <w:rPr>
            <w:noProof/>
            <w:webHidden/>
          </w:rPr>
        </w:r>
        <w:r w:rsidR="00BE53A8">
          <w:rPr>
            <w:noProof/>
            <w:webHidden/>
          </w:rPr>
          <w:fldChar w:fldCharType="separate"/>
        </w:r>
        <w:r w:rsidR="0006023A">
          <w:rPr>
            <w:noProof/>
            <w:webHidden/>
          </w:rPr>
          <w:t>151</w:t>
        </w:r>
        <w:r w:rsidR="00BE53A8">
          <w:rPr>
            <w:noProof/>
            <w:webHidden/>
          </w:rPr>
          <w:fldChar w:fldCharType="end"/>
        </w:r>
      </w:hyperlink>
    </w:p>
    <w:p w14:paraId="74811998" w14:textId="555B4093" w:rsidR="00BE53A8" w:rsidRDefault="00077C0B">
      <w:pPr>
        <w:pStyle w:val="TableofFigures"/>
        <w:tabs>
          <w:tab w:val="right" w:leader="dot" w:pos="9350"/>
        </w:tabs>
        <w:rPr>
          <w:rFonts w:asciiTheme="minorHAnsi" w:eastAsiaTheme="minorEastAsia" w:hAnsiTheme="minorHAnsi"/>
          <w:noProof/>
          <w:sz w:val="22"/>
        </w:rPr>
      </w:pPr>
      <w:hyperlink w:anchor="_Toc67566105" w:history="1">
        <w:r w:rsidR="00BE53A8" w:rsidRPr="00796F05">
          <w:rPr>
            <w:rStyle w:val="Hyperlink"/>
            <w:noProof/>
          </w:rPr>
          <w:t xml:space="preserve">Table 5.10: Gap magnitudes created by change in wellbore parameters for a 29% </w:t>
        </w:r>
        <m:oMath>
          <m:r>
            <m:rPr>
              <m:sty m:val="bi"/>
            </m:rPr>
            <w:rPr>
              <w:rStyle w:val="Hyperlink"/>
              <w:rFonts w:ascii="Cambria Math" w:hAnsi="Cambria Math"/>
              <w:noProof/>
            </w:rPr>
            <m:t>ΔP</m:t>
          </m:r>
        </m:oMath>
        <w:r w:rsidR="00BE53A8" w:rsidRPr="00796F05">
          <w:rPr>
            <w:rStyle w:val="Hyperlink"/>
            <w:noProof/>
          </w:rPr>
          <w:t xml:space="preserve"> and </w:t>
        </w:r>
        <m:oMath>
          <m:r>
            <m:rPr>
              <m:sty m:val="bi"/>
            </m:rPr>
            <w:rPr>
              <w:rStyle w:val="Hyperlink"/>
              <w:rFonts w:ascii="Cambria Math" w:hAnsi="Cambria Math"/>
              <w:noProof/>
            </w:rPr>
            <m:t>ΔT</m:t>
          </m:r>
        </m:oMath>
        <w:r w:rsidR="00BE53A8" w:rsidRPr="00796F05">
          <w:rPr>
            <w:rStyle w:val="Hyperlink"/>
            <w:noProof/>
          </w:rPr>
          <w:t xml:space="preserve">.  These parameters cause gaps to occur when the base case wellbore did not have gaps at 29% </w:t>
        </w:r>
        <m:oMath>
          <m:r>
            <m:rPr>
              <m:sty m:val="bi"/>
            </m:rPr>
            <w:rPr>
              <w:rStyle w:val="Hyperlink"/>
              <w:rFonts w:ascii="Cambria Math" w:hAnsi="Cambria Math"/>
              <w:noProof/>
            </w:rPr>
            <m:t>ΔP</m:t>
          </m:r>
        </m:oMath>
        <w:r w:rsidR="00BE53A8" w:rsidRPr="00796F05">
          <w:rPr>
            <w:rStyle w:val="Hyperlink"/>
            <w:noProof/>
          </w:rPr>
          <w:t xml:space="preserve"> and </w:t>
        </w:r>
        <m:oMath>
          <m:r>
            <m:rPr>
              <m:sty m:val="bi"/>
            </m:rPr>
            <w:rPr>
              <w:rStyle w:val="Hyperlink"/>
              <w:rFonts w:ascii="Cambria Math" w:hAnsi="Cambria Math"/>
              <w:noProof/>
            </w:rPr>
            <m:t>ΔT</m:t>
          </m:r>
        </m:oMath>
        <w:r w:rsidR="00BE53A8" w:rsidRPr="00796F05">
          <w:rPr>
            <w:rStyle w:val="Hyperlink"/>
            <w:noProof/>
          </w:rPr>
          <w:t>.</w:t>
        </w:r>
        <w:r w:rsidR="00BE53A8">
          <w:rPr>
            <w:noProof/>
            <w:webHidden/>
          </w:rPr>
          <w:tab/>
        </w:r>
        <w:r w:rsidR="00BE53A8">
          <w:rPr>
            <w:noProof/>
            <w:webHidden/>
          </w:rPr>
          <w:fldChar w:fldCharType="begin"/>
        </w:r>
        <w:r w:rsidR="00BE53A8">
          <w:rPr>
            <w:noProof/>
            <w:webHidden/>
          </w:rPr>
          <w:instrText xml:space="preserve"> PAGEREF _Toc67566105 \h </w:instrText>
        </w:r>
        <w:r w:rsidR="00BE53A8">
          <w:rPr>
            <w:noProof/>
            <w:webHidden/>
          </w:rPr>
        </w:r>
        <w:r w:rsidR="00BE53A8">
          <w:rPr>
            <w:noProof/>
            <w:webHidden/>
          </w:rPr>
          <w:fldChar w:fldCharType="separate"/>
        </w:r>
        <w:r w:rsidR="0006023A">
          <w:rPr>
            <w:noProof/>
            <w:webHidden/>
          </w:rPr>
          <w:t>155</w:t>
        </w:r>
        <w:r w:rsidR="00BE53A8">
          <w:rPr>
            <w:noProof/>
            <w:webHidden/>
          </w:rPr>
          <w:fldChar w:fldCharType="end"/>
        </w:r>
      </w:hyperlink>
    </w:p>
    <w:p w14:paraId="17BFD4EE" w14:textId="49491F76" w:rsidR="00BE53A8" w:rsidRDefault="00077C0B">
      <w:pPr>
        <w:pStyle w:val="TableofFigures"/>
        <w:tabs>
          <w:tab w:val="right" w:leader="dot" w:pos="9350"/>
        </w:tabs>
        <w:rPr>
          <w:rFonts w:asciiTheme="minorHAnsi" w:eastAsiaTheme="minorEastAsia" w:hAnsiTheme="minorHAnsi"/>
          <w:noProof/>
          <w:sz w:val="22"/>
        </w:rPr>
      </w:pPr>
      <w:hyperlink w:anchor="_Toc67566106" w:history="1">
        <w:r w:rsidR="00BE53A8" w:rsidRPr="00796F05">
          <w:rPr>
            <w:rStyle w:val="Hyperlink"/>
            <w:noProof/>
          </w:rPr>
          <w:t xml:space="preserve">Table 5.11: Parameters that caused the microannuli gap magnitudes to be eliminated (0 μm) with a 44% </w:t>
        </w:r>
        <m:oMath>
          <m:r>
            <m:rPr>
              <m:sty m:val="bi"/>
            </m:rPr>
            <w:rPr>
              <w:rStyle w:val="Hyperlink"/>
              <w:rFonts w:ascii="Cambria Math" w:hAnsi="Cambria Math"/>
              <w:noProof/>
            </w:rPr>
            <m:t>ΔP</m:t>
          </m:r>
        </m:oMath>
        <w:r w:rsidR="00BE53A8" w:rsidRPr="00796F05">
          <w:rPr>
            <w:rStyle w:val="Hyperlink"/>
            <w:noProof/>
          </w:rPr>
          <w:t xml:space="preserve"> and </w:t>
        </w:r>
        <m:oMath>
          <m:r>
            <m:rPr>
              <m:sty m:val="bi"/>
            </m:rPr>
            <w:rPr>
              <w:rStyle w:val="Hyperlink"/>
              <w:rFonts w:ascii="Cambria Math" w:hAnsi="Cambria Math"/>
              <w:noProof/>
            </w:rPr>
            <m:t>ΔT</m:t>
          </m:r>
        </m:oMath>
        <w:r w:rsidR="00BE53A8" w:rsidRPr="00796F05">
          <w:rPr>
            <w:rStyle w:val="Hyperlink"/>
            <w:noProof/>
          </w:rPr>
          <w:t>.</w:t>
        </w:r>
        <w:r w:rsidR="00BE53A8">
          <w:rPr>
            <w:noProof/>
            <w:webHidden/>
          </w:rPr>
          <w:tab/>
        </w:r>
        <w:r w:rsidR="00BE53A8">
          <w:rPr>
            <w:noProof/>
            <w:webHidden/>
          </w:rPr>
          <w:fldChar w:fldCharType="begin"/>
        </w:r>
        <w:r w:rsidR="00BE53A8">
          <w:rPr>
            <w:noProof/>
            <w:webHidden/>
          </w:rPr>
          <w:instrText xml:space="preserve"> PAGEREF _Toc67566106 \h </w:instrText>
        </w:r>
        <w:r w:rsidR="00BE53A8">
          <w:rPr>
            <w:noProof/>
            <w:webHidden/>
          </w:rPr>
        </w:r>
        <w:r w:rsidR="00BE53A8">
          <w:rPr>
            <w:noProof/>
            <w:webHidden/>
          </w:rPr>
          <w:fldChar w:fldCharType="separate"/>
        </w:r>
        <w:r w:rsidR="0006023A">
          <w:rPr>
            <w:noProof/>
            <w:webHidden/>
          </w:rPr>
          <w:t>156</w:t>
        </w:r>
        <w:r w:rsidR="00BE53A8">
          <w:rPr>
            <w:noProof/>
            <w:webHidden/>
          </w:rPr>
          <w:fldChar w:fldCharType="end"/>
        </w:r>
      </w:hyperlink>
    </w:p>
    <w:p w14:paraId="355879EA" w14:textId="227FAA2A" w:rsidR="00BE53A8" w:rsidRDefault="00077C0B">
      <w:pPr>
        <w:pStyle w:val="TableofFigures"/>
        <w:tabs>
          <w:tab w:val="right" w:leader="dot" w:pos="9350"/>
        </w:tabs>
        <w:rPr>
          <w:rFonts w:asciiTheme="minorHAnsi" w:eastAsiaTheme="minorEastAsia" w:hAnsiTheme="minorHAnsi"/>
          <w:noProof/>
          <w:sz w:val="22"/>
        </w:rPr>
      </w:pPr>
      <w:hyperlink w:anchor="_Toc67566107" w:history="1">
        <w:r w:rsidR="00BE53A8" w:rsidRPr="00796F05">
          <w:rPr>
            <w:rStyle w:val="Hyperlink"/>
            <w:noProof/>
          </w:rPr>
          <w:t>Table 5.12: Wellbore parameters sorted based off their percent change of the maximum gap width (%MGW) from the base gap magnitude.  1</w:t>
        </w:r>
        <w:r w:rsidR="00BE53A8" w:rsidRPr="00796F05">
          <w:rPr>
            <w:rStyle w:val="Hyperlink"/>
            <w:noProof/>
            <w:vertAlign w:val="superscript"/>
          </w:rPr>
          <w:t>st</w:t>
        </w:r>
        <w:r w:rsidR="00BE53A8" w:rsidRPr="00796F05">
          <w:rPr>
            <w:rStyle w:val="Hyperlink"/>
            <w:noProof/>
          </w:rPr>
          <w:t xml:space="preserve"> Order Parameters are critical in the development of the gap width magnitude at the casing/cement interface.  2</w:t>
        </w:r>
        <w:r w:rsidR="00BE53A8" w:rsidRPr="00796F05">
          <w:rPr>
            <w:rStyle w:val="Hyperlink"/>
            <w:noProof/>
            <w:vertAlign w:val="superscript"/>
          </w:rPr>
          <w:t>nd</w:t>
        </w:r>
        <w:r w:rsidR="00BE53A8" w:rsidRPr="00796F05">
          <w:rPr>
            <w:rStyle w:val="Hyperlink"/>
            <w:noProof/>
          </w:rPr>
          <w:t xml:space="preserve"> Order Parameters have minor effect, and 3</w:t>
        </w:r>
        <w:r w:rsidR="00BE53A8" w:rsidRPr="00796F05">
          <w:rPr>
            <w:rStyle w:val="Hyperlink"/>
            <w:noProof/>
            <w:vertAlign w:val="superscript"/>
          </w:rPr>
          <w:t>rd</w:t>
        </w:r>
        <w:r w:rsidR="00BE53A8" w:rsidRPr="00796F05">
          <w:rPr>
            <w:rStyle w:val="Hyperlink"/>
            <w:noProof/>
          </w:rPr>
          <w:t xml:space="preserve"> Order Parameters have little to no effect on the development of the gap widths.</w:t>
        </w:r>
        <w:r w:rsidR="00BE53A8">
          <w:rPr>
            <w:noProof/>
            <w:webHidden/>
          </w:rPr>
          <w:tab/>
        </w:r>
        <w:r w:rsidR="00BE53A8">
          <w:rPr>
            <w:noProof/>
            <w:webHidden/>
          </w:rPr>
          <w:fldChar w:fldCharType="begin"/>
        </w:r>
        <w:r w:rsidR="00BE53A8">
          <w:rPr>
            <w:noProof/>
            <w:webHidden/>
          </w:rPr>
          <w:instrText xml:space="preserve"> PAGEREF _Toc67566107 \h </w:instrText>
        </w:r>
        <w:r w:rsidR="00BE53A8">
          <w:rPr>
            <w:noProof/>
            <w:webHidden/>
          </w:rPr>
        </w:r>
        <w:r w:rsidR="00BE53A8">
          <w:rPr>
            <w:noProof/>
            <w:webHidden/>
          </w:rPr>
          <w:fldChar w:fldCharType="separate"/>
        </w:r>
        <w:r w:rsidR="0006023A">
          <w:rPr>
            <w:noProof/>
            <w:webHidden/>
          </w:rPr>
          <w:t>158</w:t>
        </w:r>
        <w:r w:rsidR="00BE53A8">
          <w:rPr>
            <w:noProof/>
            <w:webHidden/>
          </w:rPr>
          <w:fldChar w:fldCharType="end"/>
        </w:r>
      </w:hyperlink>
    </w:p>
    <w:p w14:paraId="1E49DC7A" w14:textId="719B45C8" w:rsidR="00BE53A8" w:rsidRDefault="00077C0B">
      <w:pPr>
        <w:pStyle w:val="TableofFigures"/>
        <w:tabs>
          <w:tab w:val="right" w:leader="dot" w:pos="9350"/>
        </w:tabs>
        <w:rPr>
          <w:rFonts w:asciiTheme="minorHAnsi" w:eastAsiaTheme="minorEastAsia" w:hAnsiTheme="minorHAnsi"/>
          <w:noProof/>
          <w:sz w:val="22"/>
        </w:rPr>
      </w:pPr>
      <w:hyperlink w:anchor="_Toc67566108" w:history="1">
        <w:r w:rsidR="00BE53A8" w:rsidRPr="00796F05">
          <w:rPr>
            <w:rStyle w:val="Hyperlink"/>
            <w:noProof/>
          </w:rPr>
          <w:t>Table 5.13: Comparison of the three flow paths for the volume of the leakage path for an ideal and real gas with and without the effect of gravity. The constant gap method produces the largest flow rate while the FEA gap method produces the smallest flow rate.</w:t>
        </w:r>
        <w:r w:rsidR="00BE53A8">
          <w:rPr>
            <w:noProof/>
            <w:webHidden/>
          </w:rPr>
          <w:tab/>
        </w:r>
        <w:r w:rsidR="00BE53A8">
          <w:rPr>
            <w:noProof/>
            <w:webHidden/>
          </w:rPr>
          <w:fldChar w:fldCharType="begin"/>
        </w:r>
        <w:r w:rsidR="00BE53A8">
          <w:rPr>
            <w:noProof/>
            <w:webHidden/>
          </w:rPr>
          <w:instrText xml:space="preserve"> PAGEREF _Toc67566108 \h </w:instrText>
        </w:r>
        <w:r w:rsidR="00BE53A8">
          <w:rPr>
            <w:noProof/>
            <w:webHidden/>
          </w:rPr>
        </w:r>
        <w:r w:rsidR="00BE53A8">
          <w:rPr>
            <w:noProof/>
            <w:webHidden/>
          </w:rPr>
          <w:fldChar w:fldCharType="separate"/>
        </w:r>
        <w:r w:rsidR="0006023A">
          <w:rPr>
            <w:noProof/>
            <w:webHidden/>
          </w:rPr>
          <w:t>168</w:t>
        </w:r>
        <w:r w:rsidR="00BE53A8">
          <w:rPr>
            <w:noProof/>
            <w:webHidden/>
          </w:rPr>
          <w:fldChar w:fldCharType="end"/>
        </w:r>
      </w:hyperlink>
    </w:p>
    <w:p w14:paraId="129BFF54" w14:textId="29E17531" w:rsidR="00BE53A8" w:rsidRDefault="00077C0B">
      <w:pPr>
        <w:pStyle w:val="TableofFigures"/>
        <w:tabs>
          <w:tab w:val="right" w:leader="dot" w:pos="9350"/>
        </w:tabs>
        <w:rPr>
          <w:rFonts w:asciiTheme="minorHAnsi" w:eastAsiaTheme="minorEastAsia" w:hAnsiTheme="minorHAnsi"/>
          <w:noProof/>
          <w:sz w:val="22"/>
        </w:rPr>
      </w:pPr>
      <w:hyperlink w:anchor="_Toc67566109" w:history="1">
        <w:r w:rsidR="00BE53A8" w:rsidRPr="00796F05">
          <w:rPr>
            <w:rStyle w:val="Hyperlink"/>
            <w:noProof/>
          </w:rPr>
          <w:t>Table 5.14: Comparison of the literature methods for calculating cumulative leakage for the case study well in comparison with the method presented in this work. The effect of using the FEA predicted microannuli along with analyzing a real gas with the effect of gravity reduces the total flow rate from the case study well.</w:t>
        </w:r>
        <w:r w:rsidR="00BE53A8">
          <w:rPr>
            <w:noProof/>
            <w:webHidden/>
          </w:rPr>
          <w:tab/>
        </w:r>
        <w:r w:rsidR="00BE53A8">
          <w:rPr>
            <w:noProof/>
            <w:webHidden/>
          </w:rPr>
          <w:fldChar w:fldCharType="begin"/>
        </w:r>
        <w:r w:rsidR="00BE53A8">
          <w:rPr>
            <w:noProof/>
            <w:webHidden/>
          </w:rPr>
          <w:instrText xml:space="preserve"> PAGEREF _Toc67566109 \h </w:instrText>
        </w:r>
        <w:r w:rsidR="00BE53A8">
          <w:rPr>
            <w:noProof/>
            <w:webHidden/>
          </w:rPr>
        </w:r>
        <w:r w:rsidR="00BE53A8">
          <w:rPr>
            <w:noProof/>
            <w:webHidden/>
          </w:rPr>
          <w:fldChar w:fldCharType="separate"/>
        </w:r>
        <w:r w:rsidR="0006023A">
          <w:rPr>
            <w:noProof/>
            <w:webHidden/>
          </w:rPr>
          <w:t>169</w:t>
        </w:r>
        <w:r w:rsidR="00BE53A8">
          <w:rPr>
            <w:noProof/>
            <w:webHidden/>
          </w:rPr>
          <w:fldChar w:fldCharType="end"/>
        </w:r>
      </w:hyperlink>
    </w:p>
    <w:p w14:paraId="64F5513F" w14:textId="1DDA7669" w:rsidR="003545A9" w:rsidRDefault="0027214D" w:rsidP="003545A9">
      <w:r>
        <w:fldChar w:fldCharType="end"/>
      </w:r>
    </w:p>
    <w:p w14:paraId="090D7058" w14:textId="639BA427" w:rsidR="003545A9" w:rsidRDefault="003545A9" w:rsidP="00CE5999">
      <w:pPr>
        <w:pStyle w:val="Heading1"/>
        <w:numPr>
          <w:ilvl w:val="0"/>
          <w:numId w:val="0"/>
        </w:numPr>
      </w:pPr>
      <w:bookmarkStart w:id="5" w:name="_Toc67566018"/>
      <w:r>
        <w:lastRenderedPageBreak/>
        <w:t>List of Figures</w:t>
      </w:r>
      <w:bookmarkEnd w:id="5"/>
    </w:p>
    <w:p w14:paraId="5844686E" w14:textId="0E19326E" w:rsidR="00BE53A8" w:rsidRDefault="0027214D">
      <w:pPr>
        <w:pStyle w:val="TableofFigures"/>
        <w:tabs>
          <w:tab w:val="right" w:leader="dot" w:pos="9350"/>
        </w:tabs>
        <w:rPr>
          <w:rFonts w:asciiTheme="minorHAnsi" w:eastAsiaTheme="minorEastAsia" w:hAnsiTheme="minorHAnsi"/>
          <w:noProof/>
          <w:sz w:val="22"/>
        </w:rPr>
      </w:pPr>
      <w:r>
        <w:fldChar w:fldCharType="begin"/>
      </w:r>
      <w:r>
        <w:instrText xml:space="preserve"> TOC \h \z \c "Figure" </w:instrText>
      </w:r>
      <w:r>
        <w:fldChar w:fldCharType="separate"/>
      </w:r>
      <w:hyperlink w:anchor="_Toc67566184" w:history="1">
        <w:r w:rsidR="00BE53A8" w:rsidRPr="00527087">
          <w:rPr>
            <w:rStyle w:val="Hyperlink"/>
            <w:noProof/>
          </w:rPr>
          <w:t>Figure 2.1: Schematic of a wellbore orientated such that the borehole is parallel to the overburden stress (</w:t>
        </w:r>
        <m:oMath>
          <m:r>
            <m:rPr>
              <m:sty m:val="bi"/>
            </m:rPr>
            <w:rPr>
              <w:rStyle w:val="Hyperlink"/>
              <w:rFonts w:ascii="Cambria Math" w:hAnsi="Cambria Math"/>
              <w:noProof/>
            </w:rPr>
            <m:t>σv</m:t>
          </m:r>
        </m:oMath>
        <w:r w:rsidR="00BE53A8" w:rsidRPr="00527087">
          <w:rPr>
            <w:rStyle w:val="Hyperlink"/>
            <w:noProof/>
          </w:rPr>
          <w:t>). The principal stresses are represented with respect to Cartesian coordinates.</w:t>
        </w:r>
        <w:r w:rsidR="00BE53A8">
          <w:rPr>
            <w:noProof/>
            <w:webHidden/>
          </w:rPr>
          <w:tab/>
        </w:r>
        <w:r w:rsidR="00BE53A8">
          <w:rPr>
            <w:noProof/>
            <w:webHidden/>
          </w:rPr>
          <w:fldChar w:fldCharType="begin"/>
        </w:r>
        <w:r w:rsidR="00BE53A8">
          <w:rPr>
            <w:noProof/>
            <w:webHidden/>
          </w:rPr>
          <w:instrText xml:space="preserve"> PAGEREF _Toc67566184 \h </w:instrText>
        </w:r>
        <w:r w:rsidR="00BE53A8">
          <w:rPr>
            <w:noProof/>
            <w:webHidden/>
          </w:rPr>
        </w:r>
        <w:r w:rsidR="00BE53A8">
          <w:rPr>
            <w:noProof/>
            <w:webHidden/>
          </w:rPr>
          <w:fldChar w:fldCharType="separate"/>
        </w:r>
        <w:r w:rsidR="0006023A">
          <w:rPr>
            <w:noProof/>
            <w:webHidden/>
          </w:rPr>
          <w:t>6</w:t>
        </w:r>
        <w:r w:rsidR="00BE53A8">
          <w:rPr>
            <w:noProof/>
            <w:webHidden/>
          </w:rPr>
          <w:fldChar w:fldCharType="end"/>
        </w:r>
      </w:hyperlink>
    </w:p>
    <w:p w14:paraId="536733C1" w14:textId="4494A1A7" w:rsidR="00BE53A8" w:rsidRDefault="00077C0B">
      <w:pPr>
        <w:pStyle w:val="TableofFigures"/>
        <w:tabs>
          <w:tab w:val="right" w:leader="dot" w:pos="9350"/>
        </w:tabs>
        <w:rPr>
          <w:rFonts w:asciiTheme="minorHAnsi" w:eastAsiaTheme="minorEastAsia" w:hAnsiTheme="minorHAnsi"/>
          <w:noProof/>
          <w:sz w:val="22"/>
        </w:rPr>
      </w:pPr>
      <w:hyperlink w:anchor="_Toc67566185" w:history="1">
        <w:r w:rsidR="00BE53A8" w:rsidRPr="00527087">
          <w:rPr>
            <w:rStyle w:val="Hyperlink"/>
            <w:noProof/>
          </w:rPr>
          <w:t>Figure 2.2: Illustration showing the magnitude of hoop stress around a wellbore.</w:t>
        </w:r>
        <w:r w:rsidR="00BE53A8">
          <w:rPr>
            <w:noProof/>
            <w:webHidden/>
          </w:rPr>
          <w:tab/>
        </w:r>
        <w:r w:rsidR="00BE53A8">
          <w:rPr>
            <w:noProof/>
            <w:webHidden/>
          </w:rPr>
          <w:fldChar w:fldCharType="begin"/>
        </w:r>
        <w:r w:rsidR="00BE53A8">
          <w:rPr>
            <w:noProof/>
            <w:webHidden/>
          </w:rPr>
          <w:instrText xml:space="preserve"> PAGEREF _Toc67566185 \h </w:instrText>
        </w:r>
        <w:r w:rsidR="00BE53A8">
          <w:rPr>
            <w:noProof/>
            <w:webHidden/>
          </w:rPr>
        </w:r>
        <w:r w:rsidR="00BE53A8">
          <w:rPr>
            <w:noProof/>
            <w:webHidden/>
          </w:rPr>
          <w:fldChar w:fldCharType="separate"/>
        </w:r>
        <w:r w:rsidR="0006023A">
          <w:rPr>
            <w:noProof/>
            <w:webHidden/>
          </w:rPr>
          <w:t>8</w:t>
        </w:r>
        <w:r w:rsidR="00BE53A8">
          <w:rPr>
            <w:noProof/>
            <w:webHidden/>
          </w:rPr>
          <w:fldChar w:fldCharType="end"/>
        </w:r>
      </w:hyperlink>
    </w:p>
    <w:p w14:paraId="39394D41" w14:textId="4767B048" w:rsidR="00BE53A8" w:rsidRDefault="00077C0B">
      <w:pPr>
        <w:pStyle w:val="TableofFigures"/>
        <w:tabs>
          <w:tab w:val="right" w:leader="dot" w:pos="9350"/>
        </w:tabs>
        <w:rPr>
          <w:rFonts w:asciiTheme="minorHAnsi" w:eastAsiaTheme="minorEastAsia" w:hAnsiTheme="minorHAnsi"/>
          <w:noProof/>
          <w:sz w:val="22"/>
        </w:rPr>
      </w:pPr>
      <w:hyperlink w:anchor="_Toc67566186" w:history="1">
        <w:r w:rsidR="00BE53A8" w:rsidRPr="00527087">
          <w:rPr>
            <w:rStyle w:val="Hyperlink"/>
            <w:noProof/>
          </w:rPr>
          <w:t>Figure 2.3: Kirsch analytical solution of the effective hoop and radial stress from the wellbore versus the distance away from the wellbore.</w:t>
        </w:r>
        <w:r w:rsidR="00BE53A8">
          <w:rPr>
            <w:noProof/>
            <w:webHidden/>
          </w:rPr>
          <w:tab/>
        </w:r>
        <w:r w:rsidR="00BE53A8">
          <w:rPr>
            <w:noProof/>
            <w:webHidden/>
          </w:rPr>
          <w:fldChar w:fldCharType="begin"/>
        </w:r>
        <w:r w:rsidR="00BE53A8">
          <w:rPr>
            <w:noProof/>
            <w:webHidden/>
          </w:rPr>
          <w:instrText xml:space="preserve"> PAGEREF _Toc67566186 \h </w:instrText>
        </w:r>
        <w:r w:rsidR="00BE53A8">
          <w:rPr>
            <w:noProof/>
            <w:webHidden/>
          </w:rPr>
        </w:r>
        <w:r w:rsidR="00BE53A8">
          <w:rPr>
            <w:noProof/>
            <w:webHidden/>
          </w:rPr>
          <w:fldChar w:fldCharType="separate"/>
        </w:r>
        <w:r w:rsidR="0006023A">
          <w:rPr>
            <w:noProof/>
            <w:webHidden/>
          </w:rPr>
          <w:t>9</w:t>
        </w:r>
        <w:r w:rsidR="00BE53A8">
          <w:rPr>
            <w:noProof/>
            <w:webHidden/>
          </w:rPr>
          <w:fldChar w:fldCharType="end"/>
        </w:r>
      </w:hyperlink>
    </w:p>
    <w:p w14:paraId="66557DCB" w14:textId="61C4B5C6" w:rsidR="00BE53A8" w:rsidRDefault="00077C0B">
      <w:pPr>
        <w:pStyle w:val="TableofFigures"/>
        <w:tabs>
          <w:tab w:val="right" w:leader="dot" w:pos="9350"/>
        </w:tabs>
        <w:rPr>
          <w:rFonts w:asciiTheme="minorHAnsi" w:eastAsiaTheme="minorEastAsia" w:hAnsiTheme="minorHAnsi"/>
          <w:noProof/>
          <w:sz w:val="22"/>
        </w:rPr>
      </w:pPr>
      <w:hyperlink w:anchor="_Toc67566187" w:history="1">
        <w:r w:rsidR="00BE53A8" w:rsidRPr="00527087">
          <w:rPr>
            <w:rStyle w:val="Hyperlink"/>
            <w:noProof/>
          </w:rPr>
          <w:t>Figure 2.4: Example drilling fluid weight window with corresponding casing design from GoM well API 427094116400.</w:t>
        </w:r>
        <w:r w:rsidR="00BE53A8">
          <w:rPr>
            <w:noProof/>
            <w:webHidden/>
          </w:rPr>
          <w:tab/>
        </w:r>
        <w:r w:rsidR="00BE53A8">
          <w:rPr>
            <w:noProof/>
            <w:webHidden/>
          </w:rPr>
          <w:fldChar w:fldCharType="begin"/>
        </w:r>
        <w:r w:rsidR="00BE53A8">
          <w:rPr>
            <w:noProof/>
            <w:webHidden/>
          </w:rPr>
          <w:instrText xml:space="preserve"> PAGEREF _Toc67566187 \h </w:instrText>
        </w:r>
        <w:r w:rsidR="00BE53A8">
          <w:rPr>
            <w:noProof/>
            <w:webHidden/>
          </w:rPr>
        </w:r>
        <w:r w:rsidR="00BE53A8">
          <w:rPr>
            <w:noProof/>
            <w:webHidden/>
          </w:rPr>
          <w:fldChar w:fldCharType="separate"/>
        </w:r>
        <w:r w:rsidR="0006023A">
          <w:rPr>
            <w:noProof/>
            <w:webHidden/>
          </w:rPr>
          <w:t>11</w:t>
        </w:r>
        <w:r w:rsidR="00BE53A8">
          <w:rPr>
            <w:noProof/>
            <w:webHidden/>
          </w:rPr>
          <w:fldChar w:fldCharType="end"/>
        </w:r>
      </w:hyperlink>
    </w:p>
    <w:p w14:paraId="78C7C403" w14:textId="537EAD71" w:rsidR="00BE53A8" w:rsidRDefault="00077C0B">
      <w:pPr>
        <w:pStyle w:val="TableofFigures"/>
        <w:tabs>
          <w:tab w:val="right" w:leader="dot" w:pos="9350"/>
        </w:tabs>
        <w:rPr>
          <w:rFonts w:asciiTheme="minorHAnsi" w:eastAsiaTheme="minorEastAsia" w:hAnsiTheme="minorHAnsi"/>
          <w:noProof/>
          <w:sz w:val="22"/>
        </w:rPr>
      </w:pPr>
      <w:hyperlink w:anchor="_Toc67566188" w:history="1">
        <w:r w:rsidR="00BE53A8" w:rsidRPr="00527087">
          <w:rPr>
            <w:rStyle w:val="Hyperlink"/>
            <w:noProof/>
          </w:rPr>
          <w:t>Figure 2.5: Schematic of uniform, radial, and axial cement shrinkage. Uniform volumetric shrinkage assumes the same percent change in volume of both the radial and axial direction. Radial volumetric shrinkage assumes only volumetric shrinkage in the radial direction. Axial volumetric shrinkage assumes only volumetric shrinkage in the axial direction.</w:t>
        </w:r>
        <w:r w:rsidR="00BE53A8">
          <w:rPr>
            <w:noProof/>
            <w:webHidden/>
          </w:rPr>
          <w:tab/>
        </w:r>
        <w:r w:rsidR="00BE53A8">
          <w:rPr>
            <w:noProof/>
            <w:webHidden/>
          </w:rPr>
          <w:fldChar w:fldCharType="begin"/>
        </w:r>
        <w:r w:rsidR="00BE53A8">
          <w:rPr>
            <w:noProof/>
            <w:webHidden/>
          </w:rPr>
          <w:instrText xml:space="preserve"> PAGEREF _Toc67566188 \h </w:instrText>
        </w:r>
        <w:r w:rsidR="00BE53A8">
          <w:rPr>
            <w:noProof/>
            <w:webHidden/>
          </w:rPr>
        </w:r>
        <w:r w:rsidR="00BE53A8">
          <w:rPr>
            <w:noProof/>
            <w:webHidden/>
          </w:rPr>
          <w:fldChar w:fldCharType="separate"/>
        </w:r>
        <w:r w:rsidR="0006023A">
          <w:rPr>
            <w:noProof/>
            <w:webHidden/>
          </w:rPr>
          <w:t>15</w:t>
        </w:r>
        <w:r w:rsidR="00BE53A8">
          <w:rPr>
            <w:noProof/>
            <w:webHidden/>
          </w:rPr>
          <w:fldChar w:fldCharType="end"/>
        </w:r>
      </w:hyperlink>
    </w:p>
    <w:p w14:paraId="22B79D2E" w14:textId="09272AC3" w:rsidR="00BE53A8" w:rsidRDefault="00077C0B">
      <w:pPr>
        <w:pStyle w:val="TableofFigures"/>
        <w:tabs>
          <w:tab w:val="right" w:leader="dot" w:pos="9350"/>
        </w:tabs>
        <w:rPr>
          <w:rFonts w:asciiTheme="minorHAnsi" w:eastAsiaTheme="minorEastAsia" w:hAnsiTheme="minorHAnsi"/>
          <w:noProof/>
          <w:sz w:val="22"/>
        </w:rPr>
      </w:pPr>
      <w:hyperlink w:anchor="_Toc67566189" w:history="1">
        <w:r w:rsidR="00BE53A8" w:rsidRPr="00527087">
          <w:rPr>
            <w:rStyle w:val="Hyperlink"/>
            <w:noProof/>
          </w:rPr>
          <w:t>Figure 2.6: Primary and secondary leakage pathways in the near wellbore region. Picture from Weideman (2014).</w:t>
        </w:r>
        <w:r w:rsidR="00BE53A8">
          <w:rPr>
            <w:noProof/>
            <w:webHidden/>
          </w:rPr>
          <w:tab/>
        </w:r>
        <w:r w:rsidR="00BE53A8">
          <w:rPr>
            <w:noProof/>
            <w:webHidden/>
          </w:rPr>
          <w:fldChar w:fldCharType="begin"/>
        </w:r>
        <w:r w:rsidR="00BE53A8">
          <w:rPr>
            <w:noProof/>
            <w:webHidden/>
          </w:rPr>
          <w:instrText xml:space="preserve"> PAGEREF _Toc67566189 \h </w:instrText>
        </w:r>
        <w:r w:rsidR="00BE53A8">
          <w:rPr>
            <w:noProof/>
            <w:webHidden/>
          </w:rPr>
        </w:r>
        <w:r w:rsidR="00BE53A8">
          <w:rPr>
            <w:noProof/>
            <w:webHidden/>
          </w:rPr>
          <w:fldChar w:fldCharType="separate"/>
        </w:r>
        <w:r w:rsidR="0006023A">
          <w:rPr>
            <w:noProof/>
            <w:webHidden/>
          </w:rPr>
          <w:t>18</w:t>
        </w:r>
        <w:r w:rsidR="00BE53A8">
          <w:rPr>
            <w:noProof/>
            <w:webHidden/>
          </w:rPr>
          <w:fldChar w:fldCharType="end"/>
        </w:r>
      </w:hyperlink>
    </w:p>
    <w:p w14:paraId="7915AB60" w14:textId="20A23C2C" w:rsidR="00BE53A8" w:rsidRDefault="00077C0B">
      <w:pPr>
        <w:pStyle w:val="TableofFigures"/>
        <w:tabs>
          <w:tab w:val="right" w:leader="dot" w:pos="9350"/>
        </w:tabs>
        <w:rPr>
          <w:rFonts w:asciiTheme="minorHAnsi" w:eastAsiaTheme="minorEastAsia" w:hAnsiTheme="minorHAnsi"/>
          <w:noProof/>
          <w:sz w:val="22"/>
        </w:rPr>
      </w:pPr>
      <w:hyperlink w:anchor="_Toc67566190" w:history="1">
        <w:r w:rsidR="00BE53A8" w:rsidRPr="00527087">
          <w:rPr>
            <w:rStyle w:val="Hyperlink"/>
            <w:noProof/>
          </w:rPr>
          <w:t>Figure 2.7 A: Failure mechanisms within the cement sheath showing inner and outer debonding, radial cracks, and shear cracks. B: Failure mechanism within the cement sheath showing disking.</w:t>
        </w:r>
        <w:r w:rsidR="00BE53A8">
          <w:rPr>
            <w:noProof/>
            <w:webHidden/>
          </w:rPr>
          <w:tab/>
        </w:r>
        <w:r w:rsidR="00BE53A8">
          <w:rPr>
            <w:noProof/>
            <w:webHidden/>
          </w:rPr>
          <w:fldChar w:fldCharType="begin"/>
        </w:r>
        <w:r w:rsidR="00BE53A8">
          <w:rPr>
            <w:noProof/>
            <w:webHidden/>
          </w:rPr>
          <w:instrText xml:space="preserve"> PAGEREF _Toc67566190 \h </w:instrText>
        </w:r>
        <w:r w:rsidR="00BE53A8">
          <w:rPr>
            <w:noProof/>
            <w:webHidden/>
          </w:rPr>
        </w:r>
        <w:r w:rsidR="00BE53A8">
          <w:rPr>
            <w:noProof/>
            <w:webHidden/>
          </w:rPr>
          <w:fldChar w:fldCharType="separate"/>
        </w:r>
        <w:r w:rsidR="0006023A">
          <w:rPr>
            <w:noProof/>
            <w:webHidden/>
          </w:rPr>
          <w:t>19</w:t>
        </w:r>
        <w:r w:rsidR="00BE53A8">
          <w:rPr>
            <w:noProof/>
            <w:webHidden/>
          </w:rPr>
          <w:fldChar w:fldCharType="end"/>
        </w:r>
      </w:hyperlink>
    </w:p>
    <w:p w14:paraId="4F5C6E85" w14:textId="78E7106A" w:rsidR="00BE53A8" w:rsidRDefault="00077C0B">
      <w:pPr>
        <w:pStyle w:val="TableofFigures"/>
        <w:tabs>
          <w:tab w:val="right" w:leader="dot" w:pos="9350"/>
        </w:tabs>
        <w:rPr>
          <w:rFonts w:asciiTheme="minorHAnsi" w:eastAsiaTheme="minorEastAsia" w:hAnsiTheme="minorHAnsi"/>
          <w:noProof/>
          <w:sz w:val="22"/>
        </w:rPr>
      </w:pPr>
      <w:hyperlink w:anchor="_Toc67566191" w:history="1">
        <w:r w:rsidR="00BE53A8" w:rsidRPr="00527087">
          <w:rPr>
            <w:rStyle w:val="Hyperlink"/>
            <w:noProof/>
          </w:rPr>
          <w:t>Figure 2.8: Schematic of the three bond strengths: tensile, shear, and hydraulic.</w:t>
        </w:r>
        <w:r w:rsidR="00BE53A8">
          <w:rPr>
            <w:noProof/>
            <w:webHidden/>
          </w:rPr>
          <w:tab/>
        </w:r>
        <w:r w:rsidR="00BE53A8">
          <w:rPr>
            <w:noProof/>
            <w:webHidden/>
          </w:rPr>
          <w:fldChar w:fldCharType="begin"/>
        </w:r>
        <w:r w:rsidR="00BE53A8">
          <w:rPr>
            <w:noProof/>
            <w:webHidden/>
          </w:rPr>
          <w:instrText xml:space="preserve"> PAGEREF _Toc67566191 \h </w:instrText>
        </w:r>
        <w:r w:rsidR="00BE53A8">
          <w:rPr>
            <w:noProof/>
            <w:webHidden/>
          </w:rPr>
        </w:r>
        <w:r w:rsidR="00BE53A8">
          <w:rPr>
            <w:noProof/>
            <w:webHidden/>
          </w:rPr>
          <w:fldChar w:fldCharType="separate"/>
        </w:r>
        <w:r w:rsidR="0006023A">
          <w:rPr>
            <w:noProof/>
            <w:webHidden/>
          </w:rPr>
          <w:t>20</w:t>
        </w:r>
        <w:r w:rsidR="00BE53A8">
          <w:rPr>
            <w:noProof/>
            <w:webHidden/>
          </w:rPr>
          <w:fldChar w:fldCharType="end"/>
        </w:r>
      </w:hyperlink>
    </w:p>
    <w:p w14:paraId="2808CCD8" w14:textId="30FDD26B" w:rsidR="00BE53A8" w:rsidRDefault="00077C0B">
      <w:pPr>
        <w:pStyle w:val="TableofFigures"/>
        <w:tabs>
          <w:tab w:val="right" w:leader="dot" w:pos="9350"/>
        </w:tabs>
        <w:rPr>
          <w:rFonts w:asciiTheme="minorHAnsi" w:eastAsiaTheme="minorEastAsia" w:hAnsiTheme="minorHAnsi"/>
          <w:noProof/>
          <w:sz w:val="22"/>
        </w:rPr>
      </w:pPr>
      <w:hyperlink w:anchor="_Toc67566192" w:history="1">
        <w:r w:rsidR="00BE53A8" w:rsidRPr="00527087">
          <w:rPr>
            <w:rStyle w:val="Hyperlink"/>
            <w:noProof/>
          </w:rPr>
          <w:t>Figure 2.9: Mode I debonding (top) with the corresponding traction separation law (bottom).</w:t>
        </w:r>
        <w:r w:rsidR="00BE53A8">
          <w:rPr>
            <w:noProof/>
            <w:webHidden/>
          </w:rPr>
          <w:tab/>
        </w:r>
        <w:r w:rsidR="00BE53A8">
          <w:rPr>
            <w:noProof/>
            <w:webHidden/>
          </w:rPr>
          <w:fldChar w:fldCharType="begin"/>
        </w:r>
        <w:r w:rsidR="00BE53A8">
          <w:rPr>
            <w:noProof/>
            <w:webHidden/>
          </w:rPr>
          <w:instrText xml:space="preserve"> PAGEREF _Toc67566192 \h </w:instrText>
        </w:r>
        <w:r w:rsidR="00BE53A8">
          <w:rPr>
            <w:noProof/>
            <w:webHidden/>
          </w:rPr>
        </w:r>
        <w:r w:rsidR="00BE53A8">
          <w:rPr>
            <w:noProof/>
            <w:webHidden/>
          </w:rPr>
          <w:fldChar w:fldCharType="separate"/>
        </w:r>
        <w:r w:rsidR="0006023A">
          <w:rPr>
            <w:noProof/>
            <w:webHidden/>
          </w:rPr>
          <w:t>24</w:t>
        </w:r>
        <w:r w:rsidR="00BE53A8">
          <w:rPr>
            <w:noProof/>
            <w:webHidden/>
          </w:rPr>
          <w:fldChar w:fldCharType="end"/>
        </w:r>
      </w:hyperlink>
    </w:p>
    <w:p w14:paraId="74A73CDA" w14:textId="47103917" w:rsidR="00BE53A8" w:rsidRDefault="00077C0B">
      <w:pPr>
        <w:pStyle w:val="TableofFigures"/>
        <w:tabs>
          <w:tab w:val="right" w:leader="dot" w:pos="9350"/>
        </w:tabs>
        <w:rPr>
          <w:rFonts w:asciiTheme="minorHAnsi" w:eastAsiaTheme="minorEastAsia" w:hAnsiTheme="minorHAnsi"/>
          <w:noProof/>
          <w:sz w:val="22"/>
        </w:rPr>
      </w:pPr>
      <w:hyperlink w:anchor="_Toc67566193" w:history="1">
        <w:r w:rsidR="00BE53A8" w:rsidRPr="00527087">
          <w:rPr>
            <w:rStyle w:val="Hyperlink"/>
            <w:noProof/>
          </w:rPr>
          <w:t>Figure 2.10: Traction separation law (CZM) showing extrinsic (solid line) versus intrinsic (dotted line) behavior.</w:t>
        </w:r>
        <w:r w:rsidR="00BE53A8">
          <w:rPr>
            <w:noProof/>
            <w:webHidden/>
          </w:rPr>
          <w:tab/>
        </w:r>
        <w:r w:rsidR="00BE53A8">
          <w:rPr>
            <w:noProof/>
            <w:webHidden/>
          </w:rPr>
          <w:fldChar w:fldCharType="begin"/>
        </w:r>
        <w:r w:rsidR="00BE53A8">
          <w:rPr>
            <w:noProof/>
            <w:webHidden/>
          </w:rPr>
          <w:instrText xml:space="preserve"> PAGEREF _Toc67566193 \h </w:instrText>
        </w:r>
        <w:r w:rsidR="00BE53A8">
          <w:rPr>
            <w:noProof/>
            <w:webHidden/>
          </w:rPr>
        </w:r>
        <w:r w:rsidR="00BE53A8">
          <w:rPr>
            <w:noProof/>
            <w:webHidden/>
          </w:rPr>
          <w:fldChar w:fldCharType="separate"/>
        </w:r>
        <w:r w:rsidR="0006023A">
          <w:rPr>
            <w:noProof/>
            <w:webHidden/>
          </w:rPr>
          <w:t>25</w:t>
        </w:r>
        <w:r w:rsidR="00BE53A8">
          <w:rPr>
            <w:noProof/>
            <w:webHidden/>
          </w:rPr>
          <w:fldChar w:fldCharType="end"/>
        </w:r>
      </w:hyperlink>
    </w:p>
    <w:p w14:paraId="4ED674D9" w14:textId="2A5B72D8" w:rsidR="00BE53A8" w:rsidRDefault="00077C0B">
      <w:pPr>
        <w:pStyle w:val="TableofFigures"/>
        <w:tabs>
          <w:tab w:val="right" w:leader="dot" w:pos="9350"/>
        </w:tabs>
        <w:rPr>
          <w:rFonts w:asciiTheme="minorHAnsi" w:eastAsiaTheme="minorEastAsia" w:hAnsiTheme="minorHAnsi"/>
          <w:noProof/>
          <w:sz w:val="22"/>
        </w:rPr>
      </w:pPr>
      <w:hyperlink w:anchor="_Toc67566194" w:history="1">
        <w:r w:rsidR="00BE53A8" w:rsidRPr="00527087">
          <w:rPr>
            <w:rStyle w:val="Hyperlink"/>
            <w:noProof/>
          </w:rPr>
          <w:t>Figure 2.11: A) Example of a load versus time data acquired in bond test experiments. B) Analyzed experimental data in terms of stress versus displacement data.</w:t>
        </w:r>
        <w:r w:rsidR="00BE53A8">
          <w:rPr>
            <w:noProof/>
            <w:webHidden/>
          </w:rPr>
          <w:tab/>
        </w:r>
        <w:r w:rsidR="00BE53A8">
          <w:rPr>
            <w:noProof/>
            <w:webHidden/>
          </w:rPr>
          <w:fldChar w:fldCharType="begin"/>
        </w:r>
        <w:r w:rsidR="00BE53A8">
          <w:rPr>
            <w:noProof/>
            <w:webHidden/>
          </w:rPr>
          <w:instrText xml:space="preserve"> PAGEREF _Toc67566194 \h </w:instrText>
        </w:r>
        <w:r w:rsidR="00BE53A8">
          <w:rPr>
            <w:noProof/>
            <w:webHidden/>
          </w:rPr>
        </w:r>
        <w:r w:rsidR="00BE53A8">
          <w:rPr>
            <w:noProof/>
            <w:webHidden/>
          </w:rPr>
          <w:fldChar w:fldCharType="separate"/>
        </w:r>
        <w:r w:rsidR="0006023A">
          <w:rPr>
            <w:noProof/>
            <w:webHidden/>
          </w:rPr>
          <w:t>26</w:t>
        </w:r>
        <w:r w:rsidR="00BE53A8">
          <w:rPr>
            <w:noProof/>
            <w:webHidden/>
          </w:rPr>
          <w:fldChar w:fldCharType="end"/>
        </w:r>
      </w:hyperlink>
    </w:p>
    <w:p w14:paraId="144D9A34" w14:textId="00544A56" w:rsidR="00BE53A8" w:rsidRDefault="00077C0B">
      <w:pPr>
        <w:pStyle w:val="TableofFigures"/>
        <w:tabs>
          <w:tab w:val="right" w:leader="dot" w:pos="9350"/>
        </w:tabs>
        <w:rPr>
          <w:rFonts w:asciiTheme="minorHAnsi" w:eastAsiaTheme="minorEastAsia" w:hAnsiTheme="minorHAnsi"/>
          <w:noProof/>
          <w:sz w:val="22"/>
        </w:rPr>
      </w:pPr>
      <w:hyperlink w:anchor="_Toc67566195" w:history="1">
        <w:r w:rsidR="00BE53A8" w:rsidRPr="00527087">
          <w:rPr>
            <w:rStyle w:val="Hyperlink"/>
            <w:noProof/>
          </w:rPr>
          <w:t>Figure 2.12: Velocity profile in a circular pipe with laminar flow.</w:t>
        </w:r>
        <w:r w:rsidR="00BE53A8">
          <w:rPr>
            <w:noProof/>
            <w:webHidden/>
          </w:rPr>
          <w:tab/>
        </w:r>
        <w:r w:rsidR="00BE53A8">
          <w:rPr>
            <w:noProof/>
            <w:webHidden/>
          </w:rPr>
          <w:fldChar w:fldCharType="begin"/>
        </w:r>
        <w:r w:rsidR="00BE53A8">
          <w:rPr>
            <w:noProof/>
            <w:webHidden/>
          </w:rPr>
          <w:instrText xml:space="preserve"> PAGEREF _Toc67566195 \h </w:instrText>
        </w:r>
        <w:r w:rsidR="00BE53A8">
          <w:rPr>
            <w:noProof/>
            <w:webHidden/>
          </w:rPr>
        </w:r>
        <w:r w:rsidR="00BE53A8">
          <w:rPr>
            <w:noProof/>
            <w:webHidden/>
          </w:rPr>
          <w:fldChar w:fldCharType="separate"/>
        </w:r>
        <w:r w:rsidR="0006023A">
          <w:rPr>
            <w:noProof/>
            <w:webHidden/>
          </w:rPr>
          <w:t>29</w:t>
        </w:r>
        <w:r w:rsidR="00BE53A8">
          <w:rPr>
            <w:noProof/>
            <w:webHidden/>
          </w:rPr>
          <w:fldChar w:fldCharType="end"/>
        </w:r>
      </w:hyperlink>
    </w:p>
    <w:p w14:paraId="0021698D" w14:textId="7393507D" w:rsidR="00BE53A8" w:rsidRDefault="00077C0B">
      <w:pPr>
        <w:pStyle w:val="TableofFigures"/>
        <w:tabs>
          <w:tab w:val="right" w:leader="dot" w:pos="9350"/>
        </w:tabs>
        <w:rPr>
          <w:rFonts w:asciiTheme="minorHAnsi" w:eastAsiaTheme="minorEastAsia" w:hAnsiTheme="minorHAnsi"/>
          <w:noProof/>
          <w:sz w:val="22"/>
        </w:rPr>
      </w:pPr>
      <w:hyperlink w:anchor="_Toc67566196" w:history="1">
        <w:r w:rsidR="00BE53A8" w:rsidRPr="00527087">
          <w:rPr>
            <w:rStyle w:val="Hyperlink"/>
            <w:noProof/>
          </w:rPr>
          <w:t>Figure 2.13: Slot flow dimensions used in the derivation of Equation 2.49.</w:t>
        </w:r>
        <w:r w:rsidR="00BE53A8">
          <w:rPr>
            <w:noProof/>
            <w:webHidden/>
          </w:rPr>
          <w:tab/>
        </w:r>
        <w:r w:rsidR="00BE53A8">
          <w:rPr>
            <w:noProof/>
            <w:webHidden/>
          </w:rPr>
          <w:fldChar w:fldCharType="begin"/>
        </w:r>
        <w:r w:rsidR="00BE53A8">
          <w:rPr>
            <w:noProof/>
            <w:webHidden/>
          </w:rPr>
          <w:instrText xml:space="preserve"> PAGEREF _Toc67566196 \h </w:instrText>
        </w:r>
        <w:r w:rsidR="00BE53A8">
          <w:rPr>
            <w:noProof/>
            <w:webHidden/>
          </w:rPr>
        </w:r>
        <w:r w:rsidR="00BE53A8">
          <w:rPr>
            <w:noProof/>
            <w:webHidden/>
          </w:rPr>
          <w:fldChar w:fldCharType="separate"/>
        </w:r>
        <w:r w:rsidR="0006023A">
          <w:rPr>
            <w:noProof/>
            <w:webHidden/>
          </w:rPr>
          <w:t>32</w:t>
        </w:r>
        <w:r w:rsidR="00BE53A8">
          <w:rPr>
            <w:noProof/>
            <w:webHidden/>
          </w:rPr>
          <w:fldChar w:fldCharType="end"/>
        </w:r>
      </w:hyperlink>
    </w:p>
    <w:p w14:paraId="1CDB0397" w14:textId="588C615F" w:rsidR="00BE53A8" w:rsidRDefault="00077C0B">
      <w:pPr>
        <w:pStyle w:val="TableofFigures"/>
        <w:tabs>
          <w:tab w:val="right" w:leader="dot" w:pos="9350"/>
        </w:tabs>
        <w:rPr>
          <w:rFonts w:asciiTheme="minorHAnsi" w:eastAsiaTheme="minorEastAsia" w:hAnsiTheme="minorHAnsi"/>
          <w:noProof/>
          <w:sz w:val="22"/>
        </w:rPr>
      </w:pPr>
      <w:hyperlink w:anchor="_Toc67566197" w:history="1">
        <w:r w:rsidR="00BE53A8" w:rsidRPr="00527087">
          <w:rPr>
            <w:rStyle w:val="Hyperlink"/>
            <w:noProof/>
          </w:rPr>
          <w:t>Figure 2.14: Experimental data from Corina et al. (2019) showing the flow rate through the cement plug given the differential pressure (ΔP) with the neat cement at 66 °C (SF66), neat cement at 120 °C (SF120), and neat cement plus expanding agent at 120 °C (SF120EA).</w:t>
        </w:r>
        <w:r w:rsidR="00BE53A8">
          <w:rPr>
            <w:noProof/>
            <w:webHidden/>
          </w:rPr>
          <w:tab/>
        </w:r>
        <w:r w:rsidR="00BE53A8">
          <w:rPr>
            <w:noProof/>
            <w:webHidden/>
          </w:rPr>
          <w:fldChar w:fldCharType="begin"/>
        </w:r>
        <w:r w:rsidR="00BE53A8">
          <w:rPr>
            <w:noProof/>
            <w:webHidden/>
          </w:rPr>
          <w:instrText xml:space="preserve"> PAGEREF _Toc67566197 \h </w:instrText>
        </w:r>
        <w:r w:rsidR="00BE53A8">
          <w:rPr>
            <w:noProof/>
            <w:webHidden/>
          </w:rPr>
        </w:r>
        <w:r w:rsidR="00BE53A8">
          <w:rPr>
            <w:noProof/>
            <w:webHidden/>
          </w:rPr>
          <w:fldChar w:fldCharType="separate"/>
        </w:r>
        <w:r w:rsidR="0006023A">
          <w:rPr>
            <w:noProof/>
            <w:webHidden/>
          </w:rPr>
          <w:t>34</w:t>
        </w:r>
        <w:r w:rsidR="00BE53A8">
          <w:rPr>
            <w:noProof/>
            <w:webHidden/>
          </w:rPr>
          <w:fldChar w:fldCharType="end"/>
        </w:r>
      </w:hyperlink>
    </w:p>
    <w:p w14:paraId="192588A2" w14:textId="0119003C" w:rsidR="00BE53A8" w:rsidRDefault="00077C0B">
      <w:pPr>
        <w:pStyle w:val="TableofFigures"/>
        <w:tabs>
          <w:tab w:val="right" w:leader="dot" w:pos="9350"/>
        </w:tabs>
        <w:rPr>
          <w:rFonts w:asciiTheme="minorHAnsi" w:eastAsiaTheme="minorEastAsia" w:hAnsiTheme="minorHAnsi"/>
          <w:noProof/>
          <w:sz w:val="22"/>
        </w:rPr>
      </w:pPr>
      <w:hyperlink w:anchor="_Toc67566198" w:history="1">
        <w:r w:rsidR="00BE53A8" w:rsidRPr="00527087">
          <w:rPr>
            <w:rStyle w:val="Hyperlink"/>
            <w:noProof/>
          </w:rPr>
          <w:t>Figure 2.15: Cut test assembly showing complete cement displacement between the casing and tubing. Figure modified from Aas et al. (2016).</w:t>
        </w:r>
        <w:r w:rsidR="00BE53A8">
          <w:rPr>
            <w:noProof/>
            <w:webHidden/>
          </w:rPr>
          <w:tab/>
        </w:r>
        <w:r w:rsidR="00BE53A8">
          <w:rPr>
            <w:noProof/>
            <w:webHidden/>
          </w:rPr>
          <w:fldChar w:fldCharType="begin"/>
        </w:r>
        <w:r w:rsidR="00BE53A8">
          <w:rPr>
            <w:noProof/>
            <w:webHidden/>
          </w:rPr>
          <w:instrText xml:space="preserve"> PAGEREF _Toc67566198 \h </w:instrText>
        </w:r>
        <w:r w:rsidR="00BE53A8">
          <w:rPr>
            <w:noProof/>
            <w:webHidden/>
          </w:rPr>
        </w:r>
        <w:r w:rsidR="00BE53A8">
          <w:rPr>
            <w:noProof/>
            <w:webHidden/>
          </w:rPr>
          <w:fldChar w:fldCharType="separate"/>
        </w:r>
        <w:r w:rsidR="0006023A">
          <w:rPr>
            <w:noProof/>
            <w:webHidden/>
          </w:rPr>
          <w:t>36</w:t>
        </w:r>
        <w:r w:rsidR="00BE53A8">
          <w:rPr>
            <w:noProof/>
            <w:webHidden/>
          </w:rPr>
          <w:fldChar w:fldCharType="end"/>
        </w:r>
      </w:hyperlink>
    </w:p>
    <w:p w14:paraId="4FF7695F" w14:textId="7BF0DB53" w:rsidR="00BE53A8" w:rsidRDefault="00077C0B">
      <w:pPr>
        <w:pStyle w:val="TableofFigures"/>
        <w:tabs>
          <w:tab w:val="right" w:leader="dot" w:pos="9350"/>
        </w:tabs>
        <w:rPr>
          <w:rFonts w:asciiTheme="minorHAnsi" w:eastAsiaTheme="minorEastAsia" w:hAnsiTheme="minorHAnsi"/>
          <w:noProof/>
          <w:sz w:val="22"/>
        </w:rPr>
      </w:pPr>
      <w:hyperlink w:anchor="_Toc67566199" w:history="1">
        <w:r w:rsidR="00BE53A8" w:rsidRPr="00527087">
          <w:rPr>
            <w:rStyle w:val="Hyperlink"/>
            <w:noProof/>
          </w:rPr>
          <w:t>Figure 2.16: Microannuli (</w:t>
        </w:r>
        <m:oMath>
          <m:r>
            <m:rPr>
              <m:sty m:val="bi"/>
            </m:rPr>
            <w:rPr>
              <w:rStyle w:val="Hyperlink"/>
              <w:rFonts w:ascii="Cambria Math" w:hAnsi="Cambria Math"/>
              <w:noProof/>
            </w:rPr>
            <m:t>w</m:t>
          </m:r>
        </m:oMath>
        <w:r w:rsidR="00BE53A8" w:rsidRPr="00527087">
          <w:rPr>
            <w:rStyle w:val="Hyperlink"/>
            <w:noProof/>
          </w:rPr>
          <w:t>) versus flow rate for the three test cases from Corina et al. (2019) analyzed using the methodology from Corina et al. (2020).</w:t>
        </w:r>
        <w:r w:rsidR="00BE53A8">
          <w:rPr>
            <w:noProof/>
            <w:webHidden/>
          </w:rPr>
          <w:tab/>
        </w:r>
        <w:r w:rsidR="00BE53A8">
          <w:rPr>
            <w:noProof/>
            <w:webHidden/>
          </w:rPr>
          <w:fldChar w:fldCharType="begin"/>
        </w:r>
        <w:r w:rsidR="00BE53A8">
          <w:rPr>
            <w:noProof/>
            <w:webHidden/>
          </w:rPr>
          <w:instrText xml:space="preserve"> PAGEREF _Toc67566199 \h </w:instrText>
        </w:r>
        <w:r w:rsidR="00BE53A8">
          <w:rPr>
            <w:noProof/>
            <w:webHidden/>
          </w:rPr>
        </w:r>
        <w:r w:rsidR="00BE53A8">
          <w:rPr>
            <w:noProof/>
            <w:webHidden/>
          </w:rPr>
          <w:fldChar w:fldCharType="separate"/>
        </w:r>
        <w:r w:rsidR="0006023A">
          <w:rPr>
            <w:noProof/>
            <w:webHidden/>
          </w:rPr>
          <w:t>39</w:t>
        </w:r>
        <w:r w:rsidR="00BE53A8">
          <w:rPr>
            <w:noProof/>
            <w:webHidden/>
          </w:rPr>
          <w:fldChar w:fldCharType="end"/>
        </w:r>
      </w:hyperlink>
    </w:p>
    <w:p w14:paraId="61923607" w14:textId="3EB50F66" w:rsidR="00BE53A8" w:rsidRDefault="00077C0B">
      <w:pPr>
        <w:pStyle w:val="TableofFigures"/>
        <w:tabs>
          <w:tab w:val="right" w:leader="dot" w:pos="9350"/>
        </w:tabs>
        <w:rPr>
          <w:rFonts w:asciiTheme="minorHAnsi" w:eastAsiaTheme="minorEastAsia" w:hAnsiTheme="minorHAnsi"/>
          <w:noProof/>
          <w:sz w:val="22"/>
        </w:rPr>
      </w:pPr>
      <w:hyperlink w:anchor="_Toc67566200" w:history="1">
        <w:r w:rsidR="00BE53A8" w:rsidRPr="00527087">
          <w:rPr>
            <w:rStyle w:val="Hyperlink"/>
            <w:noProof/>
          </w:rPr>
          <w:t>Figure 2.17: Microannuli (</w:t>
        </w:r>
        <m:oMath>
          <m:r>
            <m:rPr>
              <m:sty m:val="bi"/>
            </m:rPr>
            <w:rPr>
              <w:rStyle w:val="Hyperlink"/>
              <w:rFonts w:ascii="Cambria Math" w:hAnsi="Cambria Math"/>
              <w:noProof/>
            </w:rPr>
            <m:t>w</m:t>
          </m:r>
        </m:oMath>
        <w:r w:rsidR="00BE53A8" w:rsidRPr="00527087">
          <w:rPr>
            <w:rStyle w:val="Hyperlink"/>
            <w:noProof/>
          </w:rPr>
          <w:t>) versus pressure differential (</w:t>
        </w:r>
        <m:oMath>
          <m:r>
            <m:rPr>
              <m:sty m:val="bi"/>
            </m:rPr>
            <w:rPr>
              <w:rStyle w:val="Hyperlink"/>
              <w:rFonts w:ascii="Cambria Math" w:hAnsi="Cambria Math"/>
              <w:noProof/>
            </w:rPr>
            <m:t>ΔP</m:t>
          </m:r>
        </m:oMath>
        <w:r w:rsidR="00BE53A8" w:rsidRPr="00527087">
          <w:rPr>
            <w:rStyle w:val="Hyperlink"/>
            <w:noProof/>
          </w:rPr>
          <w:t>) for the three test cases from Corina et al. (2019) analyzed using the methodology from Corina et al. (2020).</w:t>
        </w:r>
        <w:r w:rsidR="00BE53A8">
          <w:rPr>
            <w:noProof/>
            <w:webHidden/>
          </w:rPr>
          <w:tab/>
        </w:r>
        <w:r w:rsidR="00BE53A8">
          <w:rPr>
            <w:noProof/>
            <w:webHidden/>
          </w:rPr>
          <w:fldChar w:fldCharType="begin"/>
        </w:r>
        <w:r w:rsidR="00BE53A8">
          <w:rPr>
            <w:noProof/>
            <w:webHidden/>
          </w:rPr>
          <w:instrText xml:space="preserve"> PAGEREF _Toc67566200 \h </w:instrText>
        </w:r>
        <w:r w:rsidR="00BE53A8">
          <w:rPr>
            <w:noProof/>
            <w:webHidden/>
          </w:rPr>
        </w:r>
        <w:r w:rsidR="00BE53A8">
          <w:rPr>
            <w:noProof/>
            <w:webHidden/>
          </w:rPr>
          <w:fldChar w:fldCharType="separate"/>
        </w:r>
        <w:r w:rsidR="0006023A">
          <w:rPr>
            <w:noProof/>
            <w:webHidden/>
          </w:rPr>
          <w:t>40</w:t>
        </w:r>
        <w:r w:rsidR="00BE53A8">
          <w:rPr>
            <w:noProof/>
            <w:webHidden/>
          </w:rPr>
          <w:fldChar w:fldCharType="end"/>
        </w:r>
      </w:hyperlink>
    </w:p>
    <w:p w14:paraId="412FA68D" w14:textId="38A6FB46" w:rsidR="00BE53A8" w:rsidRDefault="00077C0B">
      <w:pPr>
        <w:pStyle w:val="TableofFigures"/>
        <w:tabs>
          <w:tab w:val="right" w:leader="dot" w:pos="9350"/>
        </w:tabs>
        <w:rPr>
          <w:rFonts w:asciiTheme="minorHAnsi" w:eastAsiaTheme="minorEastAsia" w:hAnsiTheme="minorHAnsi"/>
          <w:noProof/>
          <w:sz w:val="22"/>
        </w:rPr>
      </w:pPr>
      <w:hyperlink w:anchor="_Toc67566201" w:history="1">
        <w:r w:rsidR="00BE53A8" w:rsidRPr="00527087">
          <w:rPr>
            <w:rStyle w:val="Hyperlink"/>
            <w:noProof/>
          </w:rPr>
          <w:t>Figure 2.18: Results of experiments from Skorpa and Vrålstad (2018) used in the CFD simulations. A) representation of flow path through connected cracks within the cement sheath. B) debonding channel between the cement and formation (as shown by dashed box). C) partial microannuli between the cement and casing. D) a uniform microannuli at the casing/cement interface as predicted by equivalent microannuli analyses. Figure from Skorpa and Vrålstad (2018).</w:t>
        </w:r>
        <w:r w:rsidR="00BE53A8">
          <w:rPr>
            <w:noProof/>
            <w:webHidden/>
          </w:rPr>
          <w:tab/>
        </w:r>
        <w:r w:rsidR="00BE53A8">
          <w:rPr>
            <w:noProof/>
            <w:webHidden/>
          </w:rPr>
          <w:fldChar w:fldCharType="begin"/>
        </w:r>
        <w:r w:rsidR="00BE53A8">
          <w:rPr>
            <w:noProof/>
            <w:webHidden/>
          </w:rPr>
          <w:instrText xml:space="preserve"> PAGEREF _Toc67566201 \h </w:instrText>
        </w:r>
        <w:r w:rsidR="00BE53A8">
          <w:rPr>
            <w:noProof/>
            <w:webHidden/>
          </w:rPr>
        </w:r>
        <w:r w:rsidR="00BE53A8">
          <w:rPr>
            <w:noProof/>
            <w:webHidden/>
          </w:rPr>
          <w:fldChar w:fldCharType="separate"/>
        </w:r>
        <w:r w:rsidR="0006023A">
          <w:rPr>
            <w:noProof/>
            <w:webHidden/>
          </w:rPr>
          <w:t>43</w:t>
        </w:r>
        <w:r w:rsidR="00BE53A8">
          <w:rPr>
            <w:noProof/>
            <w:webHidden/>
          </w:rPr>
          <w:fldChar w:fldCharType="end"/>
        </w:r>
      </w:hyperlink>
    </w:p>
    <w:p w14:paraId="5C153A4D" w14:textId="6DA15C5F" w:rsidR="00BE53A8" w:rsidRDefault="00077C0B">
      <w:pPr>
        <w:pStyle w:val="TableofFigures"/>
        <w:tabs>
          <w:tab w:val="right" w:leader="dot" w:pos="9350"/>
        </w:tabs>
        <w:rPr>
          <w:rFonts w:asciiTheme="minorHAnsi" w:eastAsiaTheme="minorEastAsia" w:hAnsiTheme="minorHAnsi"/>
          <w:noProof/>
          <w:sz w:val="22"/>
        </w:rPr>
      </w:pPr>
      <w:hyperlink w:anchor="_Toc67566202" w:history="1">
        <w:r w:rsidR="00BE53A8" w:rsidRPr="00527087">
          <w:rPr>
            <w:rStyle w:val="Hyperlink"/>
            <w:noProof/>
          </w:rPr>
          <w:t>Figure 2.19: Schematic of the CO</w:t>
        </w:r>
        <w:r w:rsidR="00BE53A8" w:rsidRPr="00527087">
          <w:rPr>
            <w:rStyle w:val="Hyperlink"/>
            <w:noProof/>
            <w:vertAlign w:val="subscript"/>
          </w:rPr>
          <w:t>2</w:t>
        </w:r>
        <w:r w:rsidR="00BE53A8" w:rsidRPr="00527087">
          <w:rPr>
            <w:rStyle w:val="Hyperlink"/>
            <w:noProof/>
          </w:rPr>
          <w:t xml:space="preserve"> production well located in the Dakota Sandstone formation used in Crow et al. (2010). The different formation strata depths, cement depths, true vertical depths (TVD), and wellbore dimensions are shown. Figure from Crow et al. (2010).</w:t>
        </w:r>
        <w:r w:rsidR="00BE53A8">
          <w:rPr>
            <w:noProof/>
            <w:webHidden/>
          </w:rPr>
          <w:tab/>
        </w:r>
        <w:r w:rsidR="00BE53A8">
          <w:rPr>
            <w:noProof/>
            <w:webHidden/>
          </w:rPr>
          <w:fldChar w:fldCharType="begin"/>
        </w:r>
        <w:r w:rsidR="00BE53A8">
          <w:rPr>
            <w:noProof/>
            <w:webHidden/>
          </w:rPr>
          <w:instrText xml:space="preserve"> PAGEREF _Toc67566202 \h </w:instrText>
        </w:r>
        <w:r w:rsidR="00BE53A8">
          <w:rPr>
            <w:noProof/>
            <w:webHidden/>
          </w:rPr>
        </w:r>
        <w:r w:rsidR="00BE53A8">
          <w:rPr>
            <w:noProof/>
            <w:webHidden/>
          </w:rPr>
          <w:fldChar w:fldCharType="separate"/>
        </w:r>
        <w:r w:rsidR="0006023A">
          <w:rPr>
            <w:noProof/>
            <w:webHidden/>
          </w:rPr>
          <w:t>46</w:t>
        </w:r>
        <w:r w:rsidR="00BE53A8">
          <w:rPr>
            <w:noProof/>
            <w:webHidden/>
          </w:rPr>
          <w:fldChar w:fldCharType="end"/>
        </w:r>
      </w:hyperlink>
    </w:p>
    <w:p w14:paraId="356A75F6" w14:textId="534277E3" w:rsidR="00BE53A8" w:rsidRDefault="00077C0B">
      <w:pPr>
        <w:pStyle w:val="TableofFigures"/>
        <w:tabs>
          <w:tab w:val="right" w:leader="dot" w:pos="9350"/>
        </w:tabs>
        <w:rPr>
          <w:rFonts w:asciiTheme="minorHAnsi" w:eastAsiaTheme="minorEastAsia" w:hAnsiTheme="minorHAnsi"/>
          <w:noProof/>
          <w:sz w:val="22"/>
        </w:rPr>
      </w:pPr>
      <w:hyperlink w:anchor="_Toc67566203" w:history="1">
        <w:r w:rsidR="00BE53A8" w:rsidRPr="00527087">
          <w:rPr>
            <w:rStyle w:val="Hyperlink"/>
            <w:noProof/>
          </w:rPr>
          <w:t>Figure 2.20: Wellbore Sketch showing generalized radii of the three bodies used in the analytical stress distributions equations.</w:t>
        </w:r>
        <w:r w:rsidR="00BE53A8">
          <w:rPr>
            <w:noProof/>
            <w:webHidden/>
          </w:rPr>
          <w:tab/>
        </w:r>
        <w:r w:rsidR="00BE53A8">
          <w:rPr>
            <w:noProof/>
            <w:webHidden/>
          </w:rPr>
          <w:fldChar w:fldCharType="begin"/>
        </w:r>
        <w:r w:rsidR="00BE53A8">
          <w:rPr>
            <w:noProof/>
            <w:webHidden/>
          </w:rPr>
          <w:instrText xml:space="preserve"> PAGEREF _Toc67566203 \h </w:instrText>
        </w:r>
        <w:r w:rsidR="00BE53A8">
          <w:rPr>
            <w:noProof/>
            <w:webHidden/>
          </w:rPr>
        </w:r>
        <w:r w:rsidR="00BE53A8">
          <w:rPr>
            <w:noProof/>
            <w:webHidden/>
          </w:rPr>
          <w:fldChar w:fldCharType="separate"/>
        </w:r>
        <w:r w:rsidR="0006023A">
          <w:rPr>
            <w:noProof/>
            <w:webHidden/>
          </w:rPr>
          <w:t>50</w:t>
        </w:r>
        <w:r w:rsidR="00BE53A8">
          <w:rPr>
            <w:noProof/>
            <w:webHidden/>
          </w:rPr>
          <w:fldChar w:fldCharType="end"/>
        </w:r>
      </w:hyperlink>
    </w:p>
    <w:p w14:paraId="503C3DFA" w14:textId="2C879B34" w:rsidR="00BE53A8" w:rsidRDefault="00077C0B">
      <w:pPr>
        <w:pStyle w:val="TableofFigures"/>
        <w:tabs>
          <w:tab w:val="right" w:leader="dot" w:pos="9350"/>
        </w:tabs>
        <w:rPr>
          <w:rFonts w:asciiTheme="minorHAnsi" w:eastAsiaTheme="minorEastAsia" w:hAnsiTheme="minorHAnsi"/>
          <w:noProof/>
          <w:sz w:val="22"/>
        </w:rPr>
      </w:pPr>
      <w:hyperlink w:anchor="_Toc67566204" w:history="1">
        <w:r w:rsidR="00BE53A8" w:rsidRPr="00527087">
          <w:rPr>
            <w:rStyle w:val="Hyperlink"/>
            <w:noProof/>
          </w:rPr>
          <w:t>Figure 2.21: Schematic showing the fracturing fluid flow (</w:t>
        </w:r>
        <m:oMath>
          <m:r>
            <m:rPr>
              <m:sty m:val="bi"/>
            </m:rPr>
            <w:rPr>
              <w:rStyle w:val="Hyperlink"/>
              <w:rFonts w:ascii="Cambria Math" w:hAnsi="Cambria Math"/>
              <w:noProof/>
            </w:rPr>
            <m:t>q</m:t>
          </m:r>
        </m:oMath>
        <w:r w:rsidR="00BE53A8" w:rsidRPr="00527087">
          <w:rPr>
            <w:rStyle w:val="Hyperlink"/>
            <w:noProof/>
          </w:rPr>
          <w:t>), fracture width (</w:t>
        </w:r>
        <m:oMath>
          <m:r>
            <m:rPr>
              <m:sty m:val="bi"/>
            </m:rPr>
            <w:rPr>
              <w:rStyle w:val="Hyperlink"/>
              <w:rFonts w:ascii="Cambria Math" w:hAnsi="Cambria Math"/>
              <w:noProof/>
            </w:rPr>
            <m:t>w</m:t>
          </m:r>
        </m:oMath>
        <w:r w:rsidR="00BE53A8" w:rsidRPr="00527087">
          <w:rPr>
            <w:rStyle w:val="Hyperlink"/>
            <w:noProof/>
          </w:rPr>
          <w:t>), pressures surrounding the fracture (</w:t>
        </w:r>
        <m:oMath>
          <m:r>
            <m:rPr>
              <m:sty m:val="bi"/>
            </m:rPr>
            <w:rPr>
              <w:rStyle w:val="Hyperlink"/>
              <w:rFonts w:ascii="Cambria Math" w:hAnsi="Cambria Math"/>
              <w:noProof/>
            </w:rPr>
            <m:t>Ppt</m:t>
          </m:r>
          <m:r>
            <w:rPr>
              <w:rStyle w:val="Hyperlink"/>
              <w:rFonts w:ascii="Cambria Math" w:hAnsi="Cambria Math"/>
              <w:noProof/>
            </w:rPr>
            <m:t>,</m:t>
          </m:r>
          <m:r>
            <m:rPr>
              <m:sty m:val="bi"/>
            </m:rPr>
            <w:rPr>
              <w:rStyle w:val="Hyperlink"/>
              <w:rFonts w:ascii="Cambria Math" w:hAnsi="Cambria Math"/>
              <w:noProof/>
            </w:rPr>
            <m:t>Ppb</m:t>
          </m:r>
        </m:oMath>
        <w:r w:rsidR="00BE53A8" w:rsidRPr="00527087">
          <w:rPr>
            <w:rStyle w:val="Hyperlink"/>
            <w:noProof/>
          </w:rPr>
          <w:t>), and the leak-off velocities (</w:t>
        </w:r>
        <m:oMath>
          <m:r>
            <m:rPr>
              <m:sty m:val="bi"/>
            </m:rPr>
            <w:rPr>
              <w:rStyle w:val="Hyperlink"/>
              <w:rFonts w:ascii="Cambria Math" w:hAnsi="Cambria Math"/>
              <w:noProof/>
            </w:rPr>
            <m:t>vt</m:t>
          </m:r>
          <m:r>
            <w:rPr>
              <w:rStyle w:val="Hyperlink"/>
              <w:rFonts w:ascii="Cambria Math" w:hAnsi="Cambria Math"/>
              <w:noProof/>
            </w:rPr>
            <m:t>,</m:t>
          </m:r>
          <m:r>
            <m:rPr>
              <m:sty m:val="bi"/>
            </m:rPr>
            <w:rPr>
              <w:rStyle w:val="Hyperlink"/>
              <w:rFonts w:ascii="Cambria Math" w:hAnsi="Cambria Math"/>
              <w:noProof/>
            </w:rPr>
            <m:t>vb</m:t>
          </m:r>
        </m:oMath>
        <w:r w:rsidR="00BE53A8" w:rsidRPr="00527087">
          <w:rPr>
            <w:rStyle w:val="Hyperlink"/>
            <w:noProof/>
          </w:rPr>
          <w:t>).</w:t>
        </w:r>
        <w:r w:rsidR="00BE53A8">
          <w:rPr>
            <w:noProof/>
            <w:webHidden/>
          </w:rPr>
          <w:tab/>
        </w:r>
        <w:r w:rsidR="00BE53A8">
          <w:rPr>
            <w:noProof/>
            <w:webHidden/>
          </w:rPr>
          <w:fldChar w:fldCharType="begin"/>
        </w:r>
        <w:r w:rsidR="00BE53A8">
          <w:rPr>
            <w:noProof/>
            <w:webHidden/>
          </w:rPr>
          <w:instrText xml:space="preserve"> PAGEREF _Toc67566204 \h </w:instrText>
        </w:r>
        <w:r w:rsidR="00BE53A8">
          <w:rPr>
            <w:noProof/>
            <w:webHidden/>
          </w:rPr>
        </w:r>
        <w:r w:rsidR="00BE53A8">
          <w:rPr>
            <w:noProof/>
            <w:webHidden/>
          </w:rPr>
          <w:fldChar w:fldCharType="separate"/>
        </w:r>
        <w:r w:rsidR="0006023A">
          <w:rPr>
            <w:noProof/>
            <w:webHidden/>
          </w:rPr>
          <w:t>58</w:t>
        </w:r>
        <w:r w:rsidR="00BE53A8">
          <w:rPr>
            <w:noProof/>
            <w:webHidden/>
          </w:rPr>
          <w:fldChar w:fldCharType="end"/>
        </w:r>
      </w:hyperlink>
    </w:p>
    <w:p w14:paraId="322270F8" w14:textId="3A4A05B8" w:rsidR="00BE53A8" w:rsidRDefault="00077C0B">
      <w:pPr>
        <w:pStyle w:val="TableofFigures"/>
        <w:tabs>
          <w:tab w:val="right" w:leader="dot" w:pos="9350"/>
        </w:tabs>
        <w:rPr>
          <w:rFonts w:asciiTheme="minorHAnsi" w:eastAsiaTheme="minorEastAsia" w:hAnsiTheme="minorHAnsi"/>
          <w:noProof/>
          <w:sz w:val="22"/>
        </w:rPr>
      </w:pPr>
      <w:hyperlink w:anchor="_Toc67566205" w:history="1">
        <w:r w:rsidR="00BE53A8" w:rsidRPr="00527087">
          <w:rPr>
            <w:rStyle w:val="Hyperlink"/>
            <w:noProof/>
          </w:rPr>
          <w:t>Figure 3.1: The Outer Continental Shelf (OCS) of the Gulf of Mexico showing the three planning areas: the Western Planning Area, the Central Planning Area, and the Eastern Planning Areal. Figure from www.boem.gov.</w:t>
        </w:r>
        <w:r w:rsidR="00BE53A8">
          <w:rPr>
            <w:noProof/>
            <w:webHidden/>
          </w:rPr>
          <w:tab/>
        </w:r>
        <w:r w:rsidR="00BE53A8">
          <w:rPr>
            <w:noProof/>
            <w:webHidden/>
          </w:rPr>
          <w:fldChar w:fldCharType="begin"/>
        </w:r>
        <w:r w:rsidR="00BE53A8">
          <w:rPr>
            <w:noProof/>
            <w:webHidden/>
          </w:rPr>
          <w:instrText xml:space="preserve"> PAGEREF _Toc67566205 \h </w:instrText>
        </w:r>
        <w:r w:rsidR="00BE53A8">
          <w:rPr>
            <w:noProof/>
            <w:webHidden/>
          </w:rPr>
        </w:r>
        <w:r w:rsidR="00BE53A8">
          <w:rPr>
            <w:noProof/>
            <w:webHidden/>
          </w:rPr>
          <w:fldChar w:fldCharType="separate"/>
        </w:r>
        <w:r w:rsidR="0006023A">
          <w:rPr>
            <w:noProof/>
            <w:webHidden/>
          </w:rPr>
          <w:t>65</w:t>
        </w:r>
        <w:r w:rsidR="00BE53A8">
          <w:rPr>
            <w:noProof/>
            <w:webHidden/>
          </w:rPr>
          <w:fldChar w:fldCharType="end"/>
        </w:r>
      </w:hyperlink>
    </w:p>
    <w:p w14:paraId="6E54A911" w14:textId="1D14DB1A" w:rsidR="00BE53A8" w:rsidRDefault="00077C0B">
      <w:pPr>
        <w:pStyle w:val="TableofFigures"/>
        <w:tabs>
          <w:tab w:val="right" w:leader="dot" w:pos="9350"/>
        </w:tabs>
        <w:rPr>
          <w:rFonts w:asciiTheme="minorHAnsi" w:eastAsiaTheme="minorEastAsia" w:hAnsiTheme="minorHAnsi"/>
          <w:noProof/>
          <w:sz w:val="22"/>
        </w:rPr>
      </w:pPr>
      <w:hyperlink w:anchor="_Toc67566206" w:history="1">
        <w:r w:rsidR="00BE53A8" w:rsidRPr="00527087">
          <w:rPr>
            <w:rStyle w:val="Hyperlink"/>
            <w:noProof/>
          </w:rPr>
          <w:t>Figure 3.2: The distribution of wells in the Outer Continental Shelf (OCS) in the Gulf of Mexico. Note: TA = temporarily abandoned, PA = permanently abandoned, COM = borehole completed, ST = sidetracked wellbore, and Other = various wellbore statuses for wellbores in the planning stage.</w:t>
        </w:r>
        <w:r w:rsidR="00BE53A8">
          <w:rPr>
            <w:noProof/>
            <w:webHidden/>
          </w:rPr>
          <w:tab/>
        </w:r>
        <w:r w:rsidR="00BE53A8">
          <w:rPr>
            <w:noProof/>
            <w:webHidden/>
          </w:rPr>
          <w:fldChar w:fldCharType="begin"/>
        </w:r>
        <w:r w:rsidR="00BE53A8">
          <w:rPr>
            <w:noProof/>
            <w:webHidden/>
          </w:rPr>
          <w:instrText xml:space="preserve"> PAGEREF _Toc67566206 \h </w:instrText>
        </w:r>
        <w:r w:rsidR="00BE53A8">
          <w:rPr>
            <w:noProof/>
            <w:webHidden/>
          </w:rPr>
        </w:r>
        <w:r w:rsidR="00BE53A8">
          <w:rPr>
            <w:noProof/>
            <w:webHidden/>
          </w:rPr>
          <w:fldChar w:fldCharType="separate"/>
        </w:r>
        <w:r w:rsidR="0006023A">
          <w:rPr>
            <w:noProof/>
            <w:webHidden/>
          </w:rPr>
          <w:t>66</w:t>
        </w:r>
        <w:r w:rsidR="00BE53A8">
          <w:rPr>
            <w:noProof/>
            <w:webHidden/>
          </w:rPr>
          <w:fldChar w:fldCharType="end"/>
        </w:r>
      </w:hyperlink>
    </w:p>
    <w:p w14:paraId="40E6DC40" w14:textId="0AC18D46" w:rsidR="00BE53A8" w:rsidRDefault="00077C0B">
      <w:pPr>
        <w:pStyle w:val="TableofFigures"/>
        <w:tabs>
          <w:tab w:val="right" w:leader="dot" w:pos="9350"/>
        </w:tabs>
        <w:rPr>
          <w:rFonts w:asciiTheme="minorHAnsi" w:eastAsiaTheme="minorEastAsia" w:hAnsiTheme="minorHAnsi"/>
          <w:noProof/>
          <w:sz w:val="22"/>
        </w:rPr>
      </w:pPr>
      <w:hyperlink w:anchor="_Toc67566207" w:history="1">
        <w:r w:rsidR="00BE53A8" w:rsidRPr="00527087">
          <w:rPr>
            <w:rStyle w:val="Hyperlink"/>
            <w:noProof/>
          </w:rPr>
          <w:t>Figure 3.3: The distribution of wells from the Eugene Island OPD before and after removing 2,127 wells that had a status of CNL, ST, and AST.</w:t>
        </w:r>
        <w:r w:rsidR="00BE53A8">
          <w:rPr>
            <w:noProof/>
            <w:webHidden/>
          </w:rPr>
          <w:tab/>
        </w:r>
        <w:r w:rsidR="00BE53A8">
          <w:rPr>
            <w:noProof/>
            <w:webHidden/>
          </w:rPr>
          <w:fldChar w:fldCharType="begin"/>
        </w:r>
        <w:r w:rsidR="00BE53A8">
          <w:rPr>
            <w:noProof/>
            <w:webHidden/>
          </w:rPr>
          <w:instrText xml:space="preserve"> PAGEREF _Toc67566207 \h </w:instrText>
        </w:r>
        <w:r w:rsidR="00BE53A8">
          <w:rPr>
            <w:noProof/>
            <w:webHidden/>
          </w:rPr>
        </w:r>
        <w:r w:rsidR="00BE53A8">
          <w:rPr>
            <w:noProof/>
            <w:webHidden/>
          </w:rPr>
          <w:fldChar w:fldCharType="separate"/>
        </w:r>
        <w:r w:rsidR="0006023A">
          <w:rPr>
            <w:noProof/>
            <w:webHidden/>
          </w:rPr>
          <w:t>67</w:t>
        </w:r>
        <w:r w:rsidR="00BE53A8">
          <w:rPr>
            <w:noProof/>
            <w:webHidden/>
          </w:rPr>
          <w:fldChar w:fldCharType="end"/>
        </w:r>
      </w:hyperlink>
    </w:p>
    <w:p w14:paraId="739C4C74" w14:textId="70A9B9F9" w:rsidR="00BE53A8" w:rsidRDefault="00077C0B">
      <w:pPr>
        <w:pStyle w:val="TableofFigures"/>
        <w:tabs>
          <w:tab w:val="right" w:leader="dot" w:pos="9350"/>
        </w:tabs>
        <w:rPr>
          <w:rFonts w:asciiTheme="minorHAnsi" w:eastAsiaTheme="minorEastAsia" w:hAnsiTheme="minorHAnsi"/>
          <w:noProof/>
          <w:sz w:val="22"/>
        </w:rPr>
      </w:pPr>
      <w:hyperlink w:anchor="_Toc67566208" w:history="1">
        <w:r w:rsidR="00BE53A8" w:rsidRPr="00527087">
          <w:rPr>
            <w:rStyle w:val="Hyperlink"/>
            <w:noProof/>
          </w:rPr>
          <w:t>Figure 3.4: Total depth distribution of the wells in the Eugene Island OPD including the distribution of their respective status codes of Completed (COM), Temporarily Abandoned (TA), or Permanently Abandoned (PA).</w:t>
        </w:r>
        <w:r w:rsidR="00BE53A8">
          <w:rPr>
            <w:noProof/>
            <w:webHidden/>
          </w:rPr>
          <w:tab/>
        </w:r>
        <w:r w:rsidR="00BE53A8">
          <w:rPr>
            <w:noProof/>
            <w:webHidden/>
          </w:rPr>
          <w:fldChar w:fldCharType="begin"/>
        </w:r>
        <w:r w:rsidR="00BE53A8">
          <w:rPr>
            <w:noProof/>
            <w:webHidden/>
          </w:rPr>
          <w:instrText xml:space="preserve"> PAGEREF _Toc67566208 \h </w:instrText>
        </w:r>
        <w:r w:rsidR="00BE53A8">
          <w:rPr>
            <w:noProof/>
            <w:webHidden/>
          </w:rPr>
        </w:r>
        <w:r w:rsidR="00BE53A8">
          <w:rPr>
            <w:noProof/>
            <w:webHidden/>
          </w:rPr>
          <w:fldChar w:fldCharType="separate"/>
        </w:r>
        <w:r w:rsidR="0006023A">
          <w:rPr>
            <w:noProof/>
            <w:webHidden/>
          </w:rPr>
          <w:t>68</w:t>
        </w:r>
        <w:r w:rsidR="00BE53A8">
          <w:rPr>
            <w:noProof/>
            <w:webHidden/>
          </w:rPr>
          <w:fldChar w:fldCharType="end"/>
        </w:r>
      </w:hyperlink>
    </w:p>
    <w:p w14:paraId="4E2DE9BD" w14:textId="3BD170D6" w:rsidR="00BE53A8" w:rsidRDefault="00077C0B">
      <w:pPr>
        <w:pStyle w:val="TableofFigures"/>
        <w:tabs>
          <w:tab w:val="right" w:leader="dot" w:pos="9350"/>
        </w:tabs>
        <w:rPr>
          <w:rFonts w:asciiTheme="minorHAnsi" w:eastAsiaTheme="minorEastAsia" w:hAnsiTheme="minorHAnsi"/>
          <w:noProof/>
          <w:sz w:val="22"/>
        </w:rPr>
      </w:pPr>
      <w:hyperlink w:anchor="_Toc67566209" w:history="1">
        <w:r w:rsidR="00BE53A8" w:rsidRPr="00527087">
          <w:rPr>
            <w:rStyle w:val="Hyperlink"/>
            <w:noProof/>
          </w:rPr>
          <w:t>Figure 3.5: Spud date distribution of the wells in the Eugene Island OPD including the distribution of their respective status codes of COM, TA, or PA.</w:t>
        </w:r>
        <w:r w:rsidR="00BE53A8">
          <w:rPr>
            <w:noProof/>
            <w:webHidden/>
          </w:rPr>
          <w:tab/>
        </w:r>
        <w:r w:rsidR="00BE53A8">
          <w:rPr>
            <w:noProof/>
            <w:webHidden/>
          </w:rPr>
          <w:fldChar w:fldCharType="begin"/>
        </w:r>
        <w:r w:rsidR="00BE53A8">
          <w:rPr>
            <w:noProof/>
            <w:webHidden/>
          </w:rPr>
          <w:instrText xml:space="preserve"> PAGEREF _Toc67566209 \h </w:instrText>
        </w:r>
        <w:r w:rsidR="00BE53A8">
          <w:rPr>
            <w:noProof/>
            <w:webHidden/>
          </w:rPr>
        </w:r>
        <w:r w:rsidR="00BE53A8">
          <w:rPr>
            <w:noProof/>
            <w:webHidden/>
          </w:rPr>
          <w:fldChar w:fldCharType="separate"/>
        </w:r>
        <w:r w:rsidR="0006023A">
          <w:rPr>
            <w:noProof/>
            <w:webHidden/>
          </w:rPr>
          <w:t>68</w:t>
        </w:r>
        <w:r w:rsidR="00BE53A8">
          <w:rPr>
            <w:noProof/>
            <w:webHidden/>
          </w:rPr>
          <w:fldChar w:fldCharType="end"/>
        </w:r>
      </w:hyperlink>
    </w:p>
    <w:p w14:paraId="526CCB34" w14:textId="4DC205EE" w:rsidR="00BE53A8" w:rsidRDefault="00077C0B">
      <w:pPr>
        <w:pStyle w:val="TableofFigures"/>
        <w:tabs>
          <w:tab w:val="right" w:leader="dot" w:pos="9350"/>
        </w:tabs>
        <w:rPr>
          <w:rFonts w:asciiTheme="minorHAnsi" w:eastAsiaTheme="minorEastAsia" w:hAnsiTheme="minorHAnsi"/>
          <w:noProof/>
          <w:sz w:val="22"/>
        </w:rPr>
      </w:pPr>
      <w:hyperlink w:anchor="_Toc67566210" w:history="1">
        <w:r w:rsidR="00BE53A8" w:rsidRPr="00527087">
          <w:rPr>
            <w:rStyle w:val="Hyperlink"/>
            <w:noProof/>
          </w:rPr>
          <w:t>Figure 3.6: Water depth distribution of the wells in the Eugene Island OPD including the distribution of their respective status codes of COM, TA, or PA.</w:t>
        </w:r>
        <w:r w:rsidR="00BE53A8">
          <w:rPr>
            <w:noProof/>
            <w:webHidden/>
          </w:rPr>
          <w:tab/>
        </w:r>
        <w:r w:rsidR="00BE53A8">
          <w:rPr>
            <w:noProof/>
            <w:webHidden/>
          </w:rPr>
          <w:fldChar w:fldCharType="begin"/>
        </w:r>
        <w:r w:rsidR="00BE53A8">
          <w:rPr>
            <w:noProof/>
            <w:webHidden/>
          </w:rPr>
          <w:instrText xml:space="preserve"> PAGEREF _Toc67566210 \h </w:instrText>
        </w:r>
        <w:r w:rsidR="00BE53A8">
          <w:rPr>
            <w:noProof/>
            <w:webHidden/>
          </w:rPr>
        </w:r>
        <w:r w:rsidR="00BE53A8">
          <w:rPr>
            <w:noProof/>
            <w:webHidden/>
          </w:rPr>
          <w:fldChar w:fldCharType="separate"/>
        </w:r>
        <w:r w:rsidR="0006023A">
          <w:rPr>
            <w:noProof/>
            <w:webHidden/>
          </w:rPr>
          <w:t>69</w:t>
        </w:r>
        <w:r w:rsidR="00BE53A8">
          <w:rPr>
            <w:noProof/>
            <w:webHidden/>
          </w:rPr>
          <w:fldChar w:fldCharType="end"/>
        </w:r>
      </w:hyperlink>
    </w:p>
    <w:p w14:paraId="32BC7809" w14:textId="334094B3" w:rsidR="00BE53A8" w:rsidRDefault="00077C0B">
      <w:pPr>
        <w:pStyle w:val="TableofFigures"/>
        <w:tabs>
          <w:tab w:val="right" w:leader="dot" w:pos="9350"/>
        </w:tabs>
        <w:rPr>
          <w:rFonts w:asciiTheme="minorHAnsi" w:eastAsiaTheme="minorEastAsia" w:hAnsiTheme="minorHAnsi"/>
          <w:noProof/>
          <w:sz w:val="22"/>
        </w:rPr>
      </w:pPr>
      <w:hyperlink w:anchor="_Toc67566211" w:history="1">
        <w:r w:rsidR="00BE53A8" w:rsidRPr="00527087">
          <w:rPr>
            <w:rStyle w:val="Hyperlink"/>
            <w:noProof/>
          </w:rPr>
          <w:t>Figure 3.7: Schematic of the shallow well (left), medium well (centered), and deep well (right). Included are the depths of the casing strings, dimensions of the casings, number of casing strings, and the approximate location of the perforations.</w:t>
        </w:r>
        <w:r w:rsidR="00BE53A8">
          <w:rPr>
            <w:noProof/>
            <w:webHidden/>
          </w:rPr>
          <w:tab/>
        </w:r>
        <w:r w:rsidR="00BE53A8">
          <w:rPr>
            <w:noProof/>
            <w:webHidden/>
          </w:rPr>
          <w:fldChar w:fldCharType="begin"/>
        </w:r>
        <w:r w:rsidR="00BE53A8">
          <w:rPr>
            <w:noProof/>
            <w:webHidden/>
          </w:rPr>
          <w:instrText xml:space="preserve"> PAGEREF _Toc67566211 \h </w:instrText>
        </w:r>
        <w:r w:rsidR="00BE53A8">
          <w:rPr>
            <w:noProof/>
            <w:webHidden/>
          </w:rPr>
        </w:r>
        <w:r w:rsidR="00BE53A8">
          <w:rPr>
            <w:noProof/>
            <w:webHidden/>
          </w:rPr>
          <w:fldChar w:fldCharType="separate"/>
        </w:r>
        <w:r w:rsidR="0006023A">
          <w:rPr>
            <w:noProof/>
            <w:webHidden/>
          </w:rPr>
          <w:t>71</w:t>
        </w:r>
        <w:r w:rsidR="00BE53A8">
          <w:rPr>
            <w:noProof/>
            <w:webHidden/>
          </w:rPr>
          <w:fldChar w:fldCharType="end"/>
        </w:r>
      </w:hyperlink>
    </w:p>
    <w:p w14:paraId="0355CB90" w14:textId="32E9C864" w:rsidR="00BE53A8" w:rsidRDefault="00077C0B">
      <w:pPr>
        <w:pStyle w:val="TableofFigures"/>
        <w:tabs>
          <w:tab w:val="right" w:leader="dot" w:pos="9350"/>
        </w:tabs>
        <w:rPr>
          <w:rFonts w:asciiTheme="minorHAnsi" w:eastAsiaTheme="minorEastAsia" w:hAnsiTheme="minorHAnsi"/>
          <w:noProof/>
          <w:sz w:val="22"/>
        </w:rPr>
      </w:pPr>
      <w:hyperlink w:anchor="_Toc67566212" w:history="1">
        <w:r w:rsidR="00BE53A8" w:rsidRPr="00527087">
          <w:rPr>
            <w:rStyle w:val="Hyperlink"/>
            <w:noProof/>
          </w:rPr>
          <w:t>Figure 3.8: Finkbeiner et al. (1996) data overburden stress (σ</w:t>
        </w:r>
        <w:r w:rsidR="00BE53A8" w:rsidRPr="00527087">
          <w:rPr>
            <w:rStyle w:val="Hyperlink"/>
            <w:noProof/>
            <w:vertAlign w:val="subscript"/>
          </w:rPr>
          <w:t>v</w:t>
        </w:r>
        <w:r w:rsidR="00BE53A8" w:rsidRPr="00527087">
          <w:rPr>
            <w:rStyle w:val="Hyperlink"/>
            <w:noProof/>
          </w:rPr>
          <w:t>) with respect to depth. A linear approximation was determined such that the overburden stress can be determined for any depth in the Eugene Island OPD.</w:t>
        </w:r>
        <w:r w:rsidR="00BE53A8">
          <w:rPr>
            <w:noProof/>
            <w:webHidden/>
          </w:rPr>
          <w:tab/>
        </w:r>
        <w:r w:rsidR="00BE53A8">
          <w:rPr>
            <w:noProof/>
            <w:webHidden/>
          </w:rPr>
          <w:fldChar w:fldCharType="begin"/>
        </w:r>
        <w:r w:rsidR="00BE53A8">
          <w:rPr>
            <w:noProof/>
            <w:webHidden/>
          </w:rPr>
          <w:instrText xml:space="preserve"> PAGEREF _Toc67566212 \h </w:instrText>
        </w:r>
        <w:r w:rsidR="00BE53A8">
          <w:rPr>
            <w:noProof/>
            <w:webHidden/>
          </w:rPr>
        </w:r>
        <w:r w:rsidR="00BE53A8">
          <w:rPr>
            <w:noProof/>
            <w:webHidden/>
          </w:rPr>
          <w:fldChar w:fldCharType="separate"/>
        </w:r>
        <w:r w:rsidR="0006023A">
          <w:rPr>
            <w:noProof/>
            <w:webHidden/>
          </w:rPr>
          <w:t>72</w:t>
        </w:r>
        <w:r w:rsidR="00BE53A8">
          <w:rPr>
            <w:noProof/>
            <w:webHidden/>
          </w:rPr>
          <w:fldChar w:fldCharType="end"/>
        </w:r>
      </w:hyperlink>
    </w:p>
    <w:p w14:paraId="0D6F0212" w14:textId="5E7ADCB1" w:rsidR="00BE53A8" w:rsidRDefault="00077C0B">
      <w:pPr>
        <w:pStyle w:val="TableofFigures"/>
        <w:tabs>
          <w:tab w:val="right" w:leader="dot" w:pos="9350"/>
        </w:tabs>
        <w:rPr>
          <w:rFonts w:asciiTheme="minorHAnsi" w:eastAsiaTheme="minorEastAsia" w:hAnsiTheme="minorHAnsi"/>
          <w:noProof/>
          <w:sz w:val="22"/>
        </w:rPr>
      </w:pPr>
      <w:hyperlink w:anchor="_Toc67566213" w:history="1">
        <w:r w:rsidR="00BE53A8" w:rsidRPr="00527087">
          <w:rPr>
            <w:rStyle w:val="Hyperlink"/>
            <w:noProof/>
          </w:rPr>
          <w:t>Figure 3.9: The distribution of wells from the High Island OPD before and after removing 1,055 wells that did not have a status of TA, COM, or PA.</w:t>
        </w:r>
        <w:r w:rsidR="00BE53A8">
          <w:rPr>
            <w:noProof/>
            <w:webHidden/>
          </w:rPr>
          <w:tab/>
        </w:r>
        <w:r w:rsidR="00BE53A8">
          <w:rPr>
            <w:noProof/>
            <w:webHidden/>
          </w:rPr>
          <w:fldChar w:fldCharType="begin"/>
        </w:r>
        <w:r w:rsidR="00BE53A8">
          <w:rPr>
            <w:noProof/>
            <w:webHidden/>
          </w:rPr>
          <w:instrText xml:space="preserve"> PAGEREF _Toc67566213 \h </w:instrText>
        </w:r>
        <w:r w:rsidR="00BE53A8">
          <w:rPr>
            <w:noProof/>
            <w:webHidden/>
          </w:rPr>
        </w:r>
        <w:r w:rsidR="00BE53A8">
          <w:rPr>
            <w:noProof/>
            <w:webHidden/>
          </w:rPr>
          <w:fldChar w:fldCharType="separate"/>
        </w:r>
        <w:r w:rsidR="0006023A">
          <w:rPr>
            <w:noProof/>
            <w:webHidden/>
          </w:rPr>
          <w:t>74</w:t>
        </w:r>
        <w:r w:rsidR="00BE53A8">
          <w:rPr>
            <w:noProof/>
            <w:webHidden/>
          </w:rPr>
          <w:fldChar w:fldCharType="end"/>
        </w:r>
      </w:hyperlink>
    </w:p>
    <w:p w14:paraId="76AF2D33" w14:textId="58184C06" w:rsidR="00BE53A8" w:rsidRDefault="00077C0B">
      <w:pPr>
        <w:pStyle w:val="TableofFigures"/>
        <w:tabs>
          <w:tab w:val="right" w:leader="dot" w:pos="9350"/>
        </w:tabs>
        <w:rPr>
          <w:rFonts w:asciiTheme="minorHAnsi" w:eastAsiaTheme="minorEastAsia" w:hAnsiTheme="minorHAnsi"/>
          <w:noProof/>
          <w:sz w:val="22"/>
        </w:rPr>
      </w:pPr>
      <w:hyperlink w:anchor="_Toc67566214" w:history="1">
        <w:r w:rsidR="00BE53A8" w:rsidRPr="00527087">
          <w:rPr>
            <w:rStyle w:val="Hyperlink"/>
            <w:noProof/>
          </w:rPr>
          <w:t xml:space="preserve">Figure 3.10: </w:t>
        </w:r>
        <w:r w:rsidR="00BE53A8" w:rsidRPr="00527087">
          <w:rPr>
            <w:rStyle w:val="Hyperlink"/>
            <w:noProof/>
            <w:lang w:val="en-CA"/>
          </w:rPr>
          <w:t xml:space="preserve">Total Depth (TD) distribution of the number of wells in the High Island OPD with the distribution of their respective status codes of completed (COM), temporarily abandoned (TA), or permanently abandoned (PA) with an average being </w:t>
        </w:r>
        <w:r w:rsidR="00BE53A8" w:rsidRPr="00527087">
          <w:rPr>
            <w:rStyle w:val="Hyperlink"/>
            <w:noProof/>
          </w:rPr>
          <w:t>2,541 m (8,336 ft.). Raw data from BSEE (2019).</w:t>
        </w:r>
        <w:r w:rsidR="00BE53A8">
          <w:rPr>
            <w:noProof/>
            <w:webHidden/>
          </w:rPr>
          <w:tab/>
        </w:r>
        <w:r w:rsidR="00BE53A8">
          <w:rPr>
            <w:noProof/>
            <w:webHidden/>
          </w:rPr>
          <w:fldChar w:fldCharType="begin"/>
        </w:r>
        <w:r w:rsidR="00BE53A8">
          <w:rPr>
            <w:noProof/>
            <w:webHidden/>
          </w:rPr>
          <w:instrText xml:space="preserve"> PAGEREF _Toc67566214 \h </w:instrText>
        </w:r>
        <w:r w:rsidR="00BE53A8">
          <w:rPr>
            <w:noProof/>
            <w:webHidden/>
          </w:rPr>
        </w:r>
        <w:r w:rsidR="00BE53A8">
          <w:rPr>
            <w:noProof/>
            <w:webHidden/>
          </w:rPr>
          <w:fldChar w:fldCharType="separate"/>
        </w:r>
        <w:r w:rsidR="0006023A">
          <w:rPr>
            <w:noProof/>
            <w:webHidden/>
          </w:rPr>
          <w:t>74</w:t>
        </w:r>
        <w:r w:rsidR="00BE53A8">
          <w:rPr>
            <w:noProof/>
            <w:webHidden/>
          </w:rPr>
          <w:fldChar w:fldCharType="end"/>
        </w:r>
      </w:hyperlink>
    </w:p>
    <w:p w14:paraId="3965F45D" w14:textId="4B0C22D9" w:rsidR="00BE53A8" w:rsidRDefault="00077C0B">
      <w:pPr>
        <w:pStyle w:val="TableofFigures"/>
        <w:tabs>
          <w:tab w:val="right" w:leader="dot" w:pos="9350"/>
        </w:tabs>
        <w:rPr>
          <w:rFonts w:asciiTheme="minorHAnsi" w:eastAsiaTheme="minorEastAsia" w:hAnsiTheme="minorHAnsi"/>
          <w:noProof/>
          <w:sz w:val="22"/>
        </w:rPr>
      </w:pPr>
      <w:hyperlink w:anchor="_Toc67566215" w:history="1">
        <w:r w:rsidR="00BE53A8" w:rsidRPr="00527087">
          <w:rPr>
            <w:rStyle w:val="Hyperlink"/>
            <w:noProof/>
          </w:rPr>
          <w:t>Figure 3.11: High Island well API 427094116400 casing size and depths along with pore pressure and drilling fluid weight gradients in standard units.</w:t>
        </w:r>
        <w:r w:rsidR="00BE53A8">
          <w:rPr>
            <w:noProof/>
            <w:webHidden/>
          </w:rPr>
          <w:tab/>
        </w:r>
        <w:r w:rsidR="00BE53A8">
          <w:rPr>
            <w:noProof/>
            <w:webHidden/>
          </w:rPr>
          <w:fldChar w:fldCharType="begin"/>
        </w:r>
        <w:r w:rsidR="00BE53A8">
          <w:rPr>
            <w:noProof/>
            <w:webHidden/>
          </w:rPr>
          <w:instrText xml:space="preserve"> PAGEREF _Toc67566215 \h </w:instrText>
        </w:r>
        <w:r w:rsidR="00BE53A8">
          <w:rPr>
            <w:noProof/>
            <w:webHidden/>
          </w:rPr>
        </w:r>
        <w:r w:rsidR="00BE53A8">
          <w:rPr>
            <w:noProof/>
            <w:webHidden/>
          </w:rPr>
          <w:fldChar w:fldCharType="separate"/>
        </w:r>
        <w:r w:rsidR="0006023A">
          <w:rPr>
            <w:noProof/>
            <w:webHidden/>
          </w:rPr>
          <w:t>76</w:t>
        </w:r>
        <w:r w:rsidR="00BE53A8">
          <w:rPr>
            <w:noProof/>
            <w:webHidden/>
          </w:rPr>
          <w:fldChar w:fldCharType="end"/>
        </w:r>
      </w:hyperlink>
    </w:p>
    <w:p w14:paraId="175C70ED" w14:textId="75677977" w:rsidR="00BE53A8" w:rsidRDefault="00077C0B">
      <w:pPr>
        <w:pStyle w:val="TableofFigures"/>
        <w:tabs>
          <w:tab w:val="right" w:leader="dot" w:pos="9350"/>
        </w:tabs>
        <w:rPr>
          <w:rFonts w:asciiTheme="minorHAnsi" w:eastAsiaTheme="minorEastAsia" w:hAnsiTheme="minorHAnsi"/>
          <w:noProof/>
          <w:sz w:val="22"/>
        </w:rPr>
      </w:pPr>
      <w:hyperlink w:anchor="_Toc67566216" w:history="1">
        <w:r w:rsidR="00BE53A8" w:rsidRPr="00527087">
          <w:rPr>
            <w:rStyle w:val="Hyperlink"/>
            <w:noProof/>
          </w:rPr>
          <w:t>Figure 3.12: High Island well API 427094116400 casing size and depths along with pore pressure and drilling fluid weight gradients in metric units.</w:t>
        </w:r>
        <w:r w:rsidR="00BE53A8">
          <w:rPr>
            <w:noProof/>
            <w:webHidden/>
          </w:rPr>
          <w:tab/>
        </w:r>
        <w:r w:rsidR="00BE53A8">
          <w:rPr>
            <w:noProof/>
            <w:webHidden/>
          </w:rPr>
          <w:fldChar w:fldCharType="begin"/>
        </w:r>
        <w:r w:rsidR="00BE53A8">
          <w:rPr>
            <w:noProof/>
            <w:webHidden/>
          </w:rPr>
          <w:instrText xml:space="preserve"> PAGEREF _Toc67566216 \h </w:instrText>
        </w:r>
        <w:r w:rsidR="00BE53A8">
          <w:rPr>
            <w:noProof/>
            <w:webHidden/>
          </w:rPr>
        </w:r>
        <w:r w:rsidR="00BE53A8">
          <w:rPr>
            <w:noProof/>
            <w:webHidden/>
          </w:rPr>
          <w:fldChar w:fldCharType="separate"/>
        </w:r>
        <w:r w:rsidR="0006023A">
          <w:rPr>
            <w:noProof/>
            <w:webHidden/>
          </w:rPr>
          <w:t>77</w:t>
        </w:r>
        <w:r w:rsidR="00BE53A8">
          <w:rPr>
            <w:noProof/>
            <w:webHidden/>
          </w:rPr>
          <w:fldChar w:fldCharType="end"/>
        </w:r>
      </w:hyperlink>
    </w:p>
    <w:p w14:paraId="5064DF1B" w14:textId="60E9A86F" w:rsidR="00BE53A8" w:rsidRDefault="00077C0B">
      <w:pPr>
        <w:pStyle w:val="TableofFigures"/>
        <w:tabs>
          <w:tab w:val="right" w:leader="dot" w:pos="9350"/>
        </w:tabs>
        <w:rPr>
          <w:rFonts w:asciiTheme="minorHAnsi" w:eastAsiaTheme="minorEastAsia" w:hAnsiTheme="minorHAnsi"/>
          <w:noProof/>
          <w:sz w:val="22"/>
        </w:rPr>
      </w:pPr>
      <w:hyperlink w:anchor="_Toc67566217" w:history="1">
        <w:r w:rsidR="00BE53A8" w:rsidRPr="00527087">
          <w:rPr>
            <w:rStyle w:val="Hyperlink"/>
            <w:noProof/>
          </w:rPr>
          <w:t xml:space="preserve">Figure 4.1: Velocity profile in a circular pipe with Hagen-Poiseulle flow. Where, </w:t>
        </w:r>
        <m:oMath>
          <m:r>
            <m:rPr>
              <m:sty m:val="bi"/>
            </m:rPr>
            <w:rPr>
              <w:rStyle w:val="Hyperlink"/>
              <w:rFonts w:ascii="Cambria Math" w:hAnsi="Cambria Math"/>
              <w:noProof/>
            </w:rPr>
            <m:t>R</m:t>
          </m:r>
        </m:oMath>
        <w:r w:rsidR="00BE53A8" w:rsidRPr="00527087">
          <w:rPr>
            <w:rStyle w:val="Hyperlink"/>
            <w:noProof/>
          </w:rPr>
          <w:t xml:space="preserve"> is the radius of the pipe, </w:t>
        </w:r>
        <m:oMath>
          <m:r>
            <m:rPr>
              <m:sty m:val="bi"/>
            </m:rPr>
            <w:rPr>
              <w:rStyle w:val="Hyperlink"/>
              <w:rFonts w:ascii="Cambria Math" w:hAnsi="Cambria Math"/>
              <w:noProof/>
            </w:rPr>
            <m:t>P</m:t>
          </m:r>
          <m:r>
            <m:rPr>
              <m:sty m:val="bi"/>
            </m:rPr>
            <w:rPr>
              <w:rStyle w:val="Hyperlink"/>
              <w:rFonts w:ascii="Cambria Math" w:hAnsi="Cambria Math"/>
              <w:noProof/>
            </w:rPr>
            <m:t>1</m:t>
          </m:r>
        </m:oMath>
        <w:r w:rsidR="00BE53A8" w:rsidRPr="00527087">
          <w:rPr>
            <w:rStyle w:val="Hyperlink"/>
            <w:noProof/>
          </w:rPr>
          <w:t xml:space="preserve"> and </w:t>
        </w:r>
        <m:oMath>
          <m:r>
            <m:rPr>
              <m:sty m:val="bi"/>
            </m:rPr>
            <w:rPr>
              <w:rStyle w:val="Hyperlink"/>
              <w:rFonts w:ascii="Cambria Math" w:hAnsi="Cambria Math"/>
              <w:noProof/>
            </w:rPr>
            <m:t>P</m:t>
          </m:r>
          <m:r>
            <m:rPr>
              <m:sty m:val="bi"/>
            </m:rPr>
            <w:rPr>
              <w:rStyle w:val="Hyperlink"/>
              <w:rFonts w:ascii="Cambria Math" w:hAnsi="Cambria Math"/>
              <w:noProof/>
            </w:rPr>
            <m:t>2</m:t>
          </m:r>
        </m:oMath>
        <w:r w:rsidR="00BE53A8" w:rsidRPr="00527087">
          <w:rPr>
            <w:rStyle w:val="Hyperlink"/>
            <w:noProof/>
          </w:rPr>
          <w:t xml:space="preserve"> are the inlet and outlet pressures, respectively, </w:t>
        </w:r>
        <m:oMath>
          <m:r>
            <m:rPr>
              <m:sty m:val="bi"/>
            </m:rPr>
            <w:rPr>
              <w:rStyle w:val="Hyperlink"/>
              <w:rFonts w:ascii="Cambria Math" w:hAnsi="Cambria Math"/>
              <w:noProof/>
            </w:rPr>
            <m:t>V</m:t>
          </m:r>
        </m:oMath>
        <w:r w:rsidR="00BE53A8" w:rsidRPr="00527087">
          <w:rPr>
            <w:rStyle w:val="Hyperlink"/>
            <w:noProof/>
          </w:rPr>
          <w:t xml:space="preserve"> is the velocity, </w:t>
        </w:r>
        <m:oMath>
          <m:r>
            <m:rPr>
              <m:sty m:val="bi"/>
            </m:rPr>
            <w:rPr>
              <w:rStyle w:val="Hyperlink"/>
              <w:rFonts w:ascii="Cambria Math" w:hAnsi="Cambria Math"/>
              <w:noProof/>
            </w:rPr>
            <m:t>Q</m:t>
          </m:r>
        </m:oMath>
        <w:r w:rsidR="00BE53A8" w:rsidRPr="00527087">
          <w:rPr>
            <w:rStyle w:val="Hyperlink"/>
            <w:noProof/>
          </w:rPr>
          <w:t xml:space="preserve"> is the volumetric flow rate, and </w:t>
        </w:r>
        <m:oMath>
          <m:r>
            <m:rPr>
              <m:sty m:val="b"/>
            </m:rPr>
            <w:rPr>
              <w:rStyle w:val="Hyperlink"/>
              <w:rFonts w:ascii="Cambria Math" w:hAnsi="Cambria Math"/>
              <w:noProof/>
            </w:rPr>
            <m:t>Δ</m:t>
          </m:r>
          <m:r>
            <m:rPr>
              <m:sty m:val="bi"/>
            </m:rPr>
            <w:rPr>
              <w:rStyle w:val="Hyperlink"/>
              <w:rFonts w:ascii="Cambria Math" w:hAnsi="Cambria Math"/>
              <w:noProof/>
            </w:rPr>
            <m:t>x</m:t>
          </m:r>
        </m:oMath>
        <w:r w:rsidR="00BE53A8" w:rsidRPr="00527087">
          <w:rPr>
            <w:rStyle w:val="Hyperlink"/>
            <w:noProof/>
          </w:rPr>
          <w:t xml:space="preserve"> and </w:t>
        </w:r>
        <m:oMath>
          <m:r>
            <m:rPr>
              <m:sty m:val="bi"/>
            </m:rPr>
            <w:rPr>
              <w:rStyle w:val="Hyperlink"/>
              <w:rFonts w:ascii="Cambria Math" w:hAnsi="Cambria Math"/>
              <w:noProof/>
            </w:rPr>
            <m:t>L</m:t>
          </m:r>
        </m:oMath>
        <w:r w:rsidR="00BE53A8" w:rsidRPr="00527087">
          <w:rPr>
            <w:rStyle w:val="Hyperlink"/>
            <w:noProof/>
          </w:rPr>
          <w:t xml:space="preserve"> are the length.</w:t>
        </w:r>
        <w:r w:rsidR="00BE53A8">
          <w:rPr>
            <w:noProof/>
            <w:webHidden/>
          </w:rPr>
          <w:tab/>
        </w:r>
        <w:r w:rsidR="00BE53A8">
          <w:rPr>
            <w:noProof/>
            <w:webHidden/>
          </w:rPr>
          <w:fldChar w:fldCharType="begin"/>
        </w:r>
        <w:r w:rsidR="00BE53A8">
          <w:rPr>
            <w:noProof/>
            <w:webHidden/>
          </w:rPr>
          <w:instrText xml:space="preserve"> PAGEREF _Toc67566217 \h </w:instrText>
        </w:r>
        <w:r w:rsidR="00BE53A8">
          <w:rPr>
            <w:noProof/>
            <w:webHidden/>
          </w:rPr>
        </w:r>
        <w:r w:rsidR="00BE53A8">
          <w:rPr>
            <w:noProof/>
            <w:webHidden/>
          </w:rPr>
          <w:fldChar w:fldCharType="separate"/>
        </w:r>
        <w:r w:rsidR="0006023A">
          <w:rPr>
            <w:noProof/>
            <w:webHidden/>
          </w:rPr>
          <w:t>83</w:t>
        </w:r>
        <w:r w:rsidR="00BE53A8">
          <w:rPr>
            <w:noProof/>
            <w:webHidden/>
          </w:rPr>
          <w:fldChar w:fldCharType="end"/>
        </w:r>
      </w:hyperlink>
    </w:p>
    <w:p w14:paraId="48CFF2B0" w14:textId="481DD4DE" w:rsidR="00BE53A8" w:rsidRDefault="00077C0B">
      <w:pPr>
        <w:pStyle w:val="TableofFigures"/>
        <w:tabs>
          <w:tab w:val="right" w:leader="dot" w:pos="9350"/>
        </w:tabs>
        <w:rPr>
          <w:rFonts w:asciiTheme="minorHAnsi" w:eastAsiaTheme="minorEastAsia" w:hAnsiTheme="minorHAnsi"/>
          <w:noProof/>
          <w:sz w:val="22"/>
        </w:rPr>
      </w:pPr>
      <w:hyperlink w:anchor="_Toc67566218" w:history="1">
        <w:r w:rsidR="00BE53A8" w:rsidRPr="00527087">
          <w:rPr>
            <w:rStyle w:val="Hyperlink"/>
            <w:noProof/>
          </w:rPr>
          <w:t>Figure 4.2 A) FEA 3D model schematic with dimensions and far-field stresses for the medium well case study.  B) 2D schematic of the medium well wellbore with dimensions and internal casing pressure.</w:t>
        </w:r>
        <w:r w:rsidR="00BE53A8">
          <w:rPr>
            <w:noProof/>
            <w:webHidden/>
          </w:rPr>
          <w:tab/>
        </w:r>
        <w:r w:rsidR="00BE53A8">
          <w:rPr>
            <w:noProof/>
            <w:webHidden/>
          </w:rPr>
          <w:fldChar w:fldCharType="begin"/>
        </w:r>
        <w:r w:rsidR="00BE53A8">
          <w:rPr>
            <w:noProof/>
            <w:webHidden/>
          </w:rPr>
          <w:instrText xml:space="preserve"> PAGEREF _Toc67566218 \h </w:instrText>
        </w:r>
        <w:r w:rsidR="00BE53A8">
          <w:rPr>
            <w:noProof/>
            <w:webHidden/>
          </w:rPr>
        </w:r>
        <w:r w:rsidR="00BE53A8">
          <w:rPr>
            <w:noProof/>
            <w:webHidden/>
          </w:rPr>
          <w:fldChar w:fldCharType="separate"/>
        </w:r>
        <w:r w:rsidR="0006023A">
          <w:rPr>
            <w:noProof/>
            <w:webHidden/>
          </w:rPr>
          <w:t>92</w:t>
        </w:r>
        <w:r w:rsidR="00BE53A8">
          <w:rPr>
            <w:noProof/>
            <w:webHidden/>
          </w:rPr>
          <w:fldChar w:fldCharType="end"/>
        </w:r>
      </w:hyperlink>
    </w:p>
    <w:p w14:paraId="6C9E28A5" w14:textId="226C7C4B" w:rsidR="00BE53A8" w:rsidRDefault="00077C0B">
      <w:pPr>
        <w:pStyle w:val="TableofFigures"/>
        <w:tabs>
          <w:tab w:val="right" w:leader="dot" w:pos="9350"/>
        </w:tabs>
        <w:rPr>
          <w:rFonts w:asciiTheme="minorHAnsi" w:eastAsiaTheme="minorEastAsia" w:hAnsiTheme="minorHAnsi"/>
          <w:noProof/>
          <w:sz w:val="22"/>
        </w:rPr>
      </w:pPr>
      <w:hyperlink w:anchor="_Toc67566219" w:history="1">
        <w:r w:rsidR="00BE53A8" w:rsidRPr="00527087">
          <w:rPr>
            <w:rStyle w:val="Hyperlink"/>
            <w:noProof/>
          </w:rPr>
          <w:t>Figure 4.3 A) Cutaway of the well  model showing the three different materials included in the near wellbore region with casing (green), cement (gray), and rock formation (brown) and the finite element grid pattern for the materials.  B) 3D view of the finite element gridded model consisting of a total of 18,384 elements.</w:t>
        </w:r>
        <w:r w:rsidR="00BE53A8">
          <w:rPr>
            <w:noProof/>
            <w:webHidden/>
          </w:rPr>
          <w:tab/>
        </w:r>
        <w:r w:rsidR="00BE53A8">
          <w:rPr>
            <w:noProof/>
            <w:webHidden/>
          </w:rPr>
          <w:fldChar w:fldCharType="begin"/>
        </w:r>
        <w:r w:rsidR="00BE53A8">
          <w:rPr>
            <w:noProof/>
            <w:webHidden/>
          </w:rPr>
          <w:instrText xml:space="preserve"> PAGEREF _Toc67566219 \h </w:instrText>
        </w:r>
        <w:r w:rsidR="00BE53A8">
          <w:rPr>
            <w:noProof/>
            <w:webHidden/>
          </w:rPr>
        </w:r>
        <w:r w:rsidR="00BE53A8">
          <w:rPr>
            <w:noProof/>
            <w:webHidden/>
          </w:rPr>
          <w:fldChar w:fldCharType="separate"/>
        </w:r>
        <w:r w:rsidR="0006023A">
          <w:rPr>
            <w:noProof/>
            <w:webHidden/>
          </w:rPr>
          <w:t>93</w:t>
        </w:r>
        <w:r w:rsidR="00BE53A8">
          <w:rPr>
            <w:noProof/>
            <w:webHidden/>
          </w:rPr>
          <w:fldChar w:fldCharType="end"/>
        </w:r>
      </w:hyperlink>
    </w:p>
    <w:p w14:paraId="0A8A3290" w14:textId="26AF2ECA" w:rsidR="00BE53A8" w:rsidRDefault="00077C0B">
      <w:pPr>
        <w:pStyle w:val="TableofFigures"/>
        <w:tabs>
          <w:tab w:val="right" w:leader="dot" w:pos="9350"/>
        </w:tabs>
        <w:rPr>
          <w:rFonts w:asciiTheme="minorHAnsi" w:eastAsiaTheme="minorEastAsia" w:hAnsiTheme="minorHAnsi"/>
          <w:noProof/>
          <w:sz w:val="22"/>
        </w:rPr>
      </w:pPr>
      <w:hyperlink w:anchor="_Toc67566220" w:history="1">
        <w:r w:rsidR="00BE53A8" w:rsidRPr="00527087">
          <w:rPr>
            <w:rStyle w:val="Hyperlink"/>
            <w:noProof/>
          </w:rPr>
          <w:t>Figure 4.4: Illustration of the segmented discrete method used to model the wellbore from the simulation depth  to the top of cement depth (TOC).</w:t>
        </w:r>
        <w:r w:rsidR="00BE53A8">
          <w:rPr>
            <w:noProof/>
            <w:webHidden/>
          </w:rPr>
          <w:tab/>
        </w:r>
        <w:r w:rsidR="00BE53A8">
          <w:rPr>
            <w:noProof/>
            <w:webHidden/>
          </w:rPr>
          <w:fldChar w:fldCharType="begin"/>
        </w:r>
        <w:r w:rsidR="00BE53A8">
          <w:rPr>
            <w:noProof/>
            <w:webHidden/>
          </w:rPr>
          <w:instrText xml:space="preserve"> PAGEREF _Toc67566220 \h </w:instrText>
        </w:r>
        <w:r w:rsidR="00BE53A8">
          <w:rPr>
            <w:noProof/>
            <w:webHidden/>
          </w:rPr>
        </w:r>
        <w:r w:rsidR="00BE53A8">
          <w:rPr>
            <w:noProof/>
            <w:webHidden/>
          </w:rPr>
          <w:fldChar w:fldCharType="separate"/>
        </w:r>
        <w:r w:rsidR="0006023A">
          <w:rPr>
            <w:noProof/>
            <w:webHidden/>
          </w:rPr>
          <w:t>97</w:t>
        </w:r>
        <w:r w:rsidR="00BE53A8">
          <w:rPr>
            <w:noProof/>
            <w:webHidden/>
          </w:rPr>
          <w:fldChar w:fldCharType="end"/>
        </w:r>
      </w:hyperlink>
    </w:p>
    <w:p w14:paraId="72C27216" w14:textId="650ED212" w:rsidR="00BE53A8" w:rsidRDefault="00077C0B">
      <w:pPr>
        <w:pStyle w:val="TableofFigures"/>
        <w:tabs>
          <w:tab w:val="right" w:leader="dot" w:pos="9350"/>
        </w:tabs>
        <w:rPr>
          <w:rFonts w:asciiTheme="minorHAnsi" w:eastAsiaTheme="minorEastAsia" w:hAnsiTheme="minorHAnsi"/>
          <w:noProof/>
          <w:sz w:val="22"/>
        </w:rPr>
      </w:pPr>
      <w:hyperlink w:anchor="_Toc67566221" w:history="1">
        <w:r w:rsidR="00BE53A8" w:rsidRPr="00527087">
          <w:rPr>
            <w:rStyle w:val="Hyperlink"/>
            <w:noProof/>
          </w:rPr>
          <w:t>Figure 4.5: Finite element gridded eccentric tubing configuration (left) and concentric tubing configuration (right) showing the casing (gray), cement sheath with initial pressure location (blue), tubing (green), and cement plug (brown).</w:t>
        </w:r>
        <w:r w:rsidR="00BE53A8">
          <w:rPr>
            <w:noProof/>
            <w:webHidden/>
          </w:rPr>
          <w:tab/>
        </w:r>
        <w:r w:rsidR="00BE53A8">
          <w:rPr>
            <w:noProof/>
            <w:webHidden/>
          </w:rPr>
          <w:fldChar w:fldCharType="begin"/>
        </w:r>
        <w:r w:rsidR="00BE53A8">
          <w:rPr>
            <w:noProof/>
            <w:webHidden/>
          </w:rPr>
          <w:instrText xml:space="preserve"> PAGEREF _Toc67566221 \h </w:instrText>
        </w:r>
        <w:r w:rsidR="00BE53A8">
          <w:rPr>
            <w:noProof/>
            <w:webHidden/>
          </w:rPr>
        </w:r>
        <w:r w:rsidR="00BE53A8">
          <w:rPr>
            <w:noProof/>
            <w:webHidden/>
          </w:rPr>
          <w:fldChar w:fldCharType="separate"/>
        </w:r>
        <w:r w:rsidR="0006023A">
          <w:rPr>
            <w:noProof/>
            <w:webHidden/>
          </w:rPr>
          <w:t>102</w:t>
        </w:r>
        <w:r w:rsidR="00BE53A8">
          <w:rPr>
            <w:noProof/>
            <w:webHidden/>
          </w:rPr>
          <w:fldChar w:fldCharType="end"/>
        </w:r>
      </w:hyperlink>
    </w:p>
    <w:p w14:paraId="289FA38A" w14:textId="3738CD46" w:rsidR="00BE53A8" w:rsidRDefault="00077C0B">
      <w:pPr>
        <w:pStyle w:val="TableofFigures"/>
        <w:tabs>
          <w:tab w:val="right" w:leader="dot" w:pos="9350"/>
        </w:tabs>
        <w:rPr>
          <w:rFonts w:asciiTheme="minorHAnsi" w:eastAsiaTheme="minorEastAsia" w:hAnsiTheme="minorHAnsi"/>
          <w:noProof/>
          <w:sz w:val="22"/>
        </w:rPr>
      </w:pPr>
      <w:hyperlink w:anchor="_Toc67566222" w:history="1">
        <w:r w:rsidR="00BE53A8" w:rsidRPr="00527087">
          <w:rPr>
            <w:rStyle w:val="Hyperlink"/>
            <w:noProof/>
          </w:rPr>
          <w:t>Figure 4.6: Sensitivity analysis showing the pressure drop (</w:t>
        </w:r>
        <m:oMath>
          <m:r>
            <m:rPr>
              <m:sty m:val="b"/>
            </m:rPr>
            <w:rPr>
              <w:rStyle w:val="Hyperlink"/>
              <w:rFonts w:ascii="Cambria Math" w:hAnsi="Cambria Math"/>
              <w:noProof/>
            </w:rPr>
            <m:t>Δ</m:t>
          </m:r>
          <m:r>
            <m:rPr>
              <m:sty m:val="bi"/>
            </m:rPr>
            <w:rPr>
              <w:rStyle w:val="Hyperlink"/>
              <w:rFonts w:ascii="Cambria Math" w:hAnsi="Cambria Math"/>
              <w:noProof/>
            </w:rPr>
            <m:t>P</m:t>
          </m:r>
        </m:oMath>
        <w:r w:rsidR="00BE53A8" w:rsidRPr="00527087">
          <w:rPr>
            <w:rStyle w:val="Hyperlink"/>
            <w:noProof/>
          </w:rPr>
          <w:t>) versus number of segments relationship used for the explicitly coupled FEA model with the frictional pressure equation (4.54). 1,000 segments was determined to be sufficient for both casing lengths.</w:t>
        </w:r>
        <w:r w:rsidR="00BE53A8">
          <w:rPr>
            <w:noProof/>
            <w:webHidden/>
          </w:rPr>
          <w:tab/>
        </w:r>
        <w:r w:rsidR="00BE53A8">
          <w:rPr>
            <w:noProof/>
            <w:webHidden/>
          </w:rPr>
          <w:fldChar w:fldCharType="begin"/>
        </w:r>
        <w:r w:rsidR="00BE53A8">
          <w:rPr>
            <w:noProof/>
            <w:webHidden/>
          </w:rPr>
          <w:instrText xml:space="preserve"> PAGEREF _Toc67566222 \h </w:instrText>
        </w:r>
        <w:r w:rsidR="00BE53A8">
          <w:rPr>
            <w:noProof/>
            <w:webHidden/>
          </w:rPr>
        </w:r>
        <w:r w:rsidR="00BE53A8">
          <w:rPr>
            <w:noProof/>
            <w:webHidden/>
          </w:rPr>
          <w:fldChar w:fldCharType="separate"/>
        </w:r>
        <w:r w:rsidR="0006023A">
          <w:rPr>
            <w:noProof/>
            <w:webHidden/>
          </w:rPr>
          <w:t>105</w:t>
        </w:r>
        <w:r w:rsidR="00BE53A8">
          <w:rPr>
            <w:noProof/>
            <w:webHidden/>
          </w:rPr>
          <w:fldChar w:fldCharType="end"/>
        </w:r>
      </w:hyperlink>
    </w:p>
    <w:p w14:paraId="0F51AE31" w14:textId="238565BF" w:rsidR="00BE53A8" w:rsidRDefault="00077C0B">
      <w:pPr>
        <w:pStyle w:val="TableofFigures"/>
        <w:tabs>
          <w:tab w:val="right" w:leader="dot" w:pos="9350"/>
        </w:tabs>
        <w:rPr>
          <w:rFonts w:asciiTheme="minorHAnsi" w:eastAsiaTheme="minorEastAsia" w:hAnsiTheme="minorHAnsi"/>
          <w:noProof/>
          <w:sz w:val="22"/>
        </w:rPr>
      </w:pPr>
      <w:hyperlink w:anchor="_Toc67566223" w:history="1">
        <w:r w:rsidR="00BE53A8" w:rsidRPr="00527087">
          <w:rPr>
            <w:rStyle w:val="Hyperlink"/>
            <w:noProof/>
          </w:rPr>
          <w:t>Figure 4.7: Maximum and minimum initial pressure versus microannuli gap with corresponding average linear correlation for conventional cement with eccentric configuration. Note that for no pressure applied to system, there is not a microannuli gap.</w:t>
        </w:r>
        <w:r w:rsidR="00BE53A8">
          <w:rPr>
            <w:noProof/>
            <w:webHidden/>
          </w:rPr>
          <w:tab/>
        </w:r>
        <w:r w:rsidR="00BE53A8">
          <w:rPr>
            <w:noProof/>
            <w:webHidden/>
          </w:rPr>
          <w:fldChar w:fldCharType="begin"/>
        </w:r>
        <w:r w:rsidR="00BE53A8">
          <w:rPr>
            <w:noProof/>
            <w:webHidden/>
          </w:rPr>
          <w:instrText xml:space="preserve"> PAGEREF _Toc67566223 \h </w:instrText>
        </w:r>
        <w:r w:rsidR="00BE53A8">
          <w:rPr>
            <w:noProof/>
            <w:webHidden/>
          </w:rPr>
        </w:r>
        <w:r w:rsidR="00BE53A8">
          <w:rPr>
            <w:noProof/>
            <w:webHidden/>
          </w:rPr>
          <w:fldChar w:fldCharType="separate"/>
        </w:r>
        <w:r w:rsidR="0006023A">
          <w:rPr>
            <w:noProof/>
            <w:webHidden/>
          </w:rPr>
          <w:t>106</w:t>
        </w:r>
        <w:r w:rsidR="00BE53A8">
          <w:rPr>
            <w:noProof/>
            <w:webHidden/>
          </w:rPr>
          <w:fldChar w:fldCharType="end"/>
        </w:r>
      </w:hyperlink>
    </w:p>
    <w:p w14:paraId="4B944519" w14:textId="57CC2E62" w:rsidR="00BE53A8" w:rsidRDefault="00077C0B">
      <w:pPr>
        <w:pStyle w:val="TableofFigures"/>
        <w:tabs>
          <w:tab w:val="right" w:leader="dot" w:pos="9350"/>
        </w:tabs>
        <w:rPr>
          <w:rFonts w:asciiTheme="minorHAnsi" w:eastAsiaTheme="minorEastAsia" w:hAnsiTheme="minorHAnsi"/>
          <w:noProof/>
          <w:sz w:val="22"/>
        </w:rPr>
      </w:pPr>
      <w:hyperlink w:anchor="_Toc67566224" w:history="1">
        <w:r w:rsidR="00BE53A8" w:rsidRPr="00527087">
          <w:rPr>
            <w:rStyle w:val="Hyperlink"/>
            <w:noProof/>
          </w:rPr>
          <w:t>Figure 4.8: Maximum and minimum initial pressure versus microannuli gap with corresponding average linear correlation for conventional cement with concentric configuration.</w:t>
        </w:r>
        <w:r w:rsidR="00BE53A8">
          <w:rPr>
            <w:noProof/>
            <w:webHidden/>
          </w:rPr>
          <w:tab/>
        </w:r>
        <w:r w:rsidR="00BE53A8">
          <w:rPr>
            <w:noProof/>
            <w:webHidden/>
          </w:rPr>
          <w:fldChar w:fldCharType="begin"/>
        </w:r>
        <w:r w:rsidR="00BE53A8">
          <w:rPr>
            <w:noProof/>
            <w:webHidden/>
          </w:rPr>
          <w:instrText xml:space="preserve"> PAGEREF _Toc67566224 \h </w:instrText>
        </w:r>
        <w:r w:rsidR="00BE53A8">
          <w:rPr>
            <w:noProof/>
            <w:webHidden/>
          </w:rPr>
        </w:r>
        <w:r w:rsidR="00BE53A8">
          <w:rPr>
            <w:noProof/>
            <w:webHidden/>
          </w:rPr>
          <w:fldChar w:fldCharType="separate"/>
        </w:r>
        <w:r w:rsidR="0006023A">
          <w:rPr>
            <w:noProof/>
            <w:webHidden/>
          </w:rPr>
          <w:t>107</w:t>
        </w:r>
        <w:r w:rsidR="00BE53A8">
          <w:rPr>
            <w:noProof/>
            <w:webHidden/>
          </w:rPr>
          <w:fldChar w:fldCharType="end"/>
        </w:r>
      </w:hyperlink>
    </w:p>
    <w:p w14:paraId="122BABDF" w14:textId="0D0D7D72" w:rsidR="00BE53A8" w:rsidRDefault="00077C0B">
      <w:pPr>
        <w:pStyle w:val="TableofFigures"/>
        <w:tabs>
          <w:tab w:val="right" w:leader="dot" w:pos="9350"/>
        </w:tabs>
        <w:rPr>
          <w:rFonts w:asciiTheme="minorHAnsi" w:eastAsiaTheme="minorEastAsia" w:hAnsiTheme="minorHAnsi"/>
          <w:noProof/>
          <w:sz w:val="22"/>
        </w:rPr>
      </w:pPr>
      <w:hyperlink w:anchor="_Toc67566225" w:history="1">
        <w:r w:rsidR="00BE53A8" w:rsidRPr="00527087">
          <w:rPr>
            <w:rStyle w:val="Hyperlink"/>
            <w:noProof/>
          </w:rPr>
          <w:t>Figure 4.9: Maximum and minimum initial pressure versus microannuli gap with corresponding average linear correlation for expanding cement with eccentric configuration.</w:t>
        </w:r>
        <w:r w:rsidR="00BE53A8">
          <w:rPr>
            <w:noProof/>
            <w:webHidden/>
          </w:rPr>
          <w:tab/>
        </w:r>
        <w:r w:rsidR="00BE53A8">
          <w:rPr>
            <w:noProof/>
            <w:webHidden/>
          </w:rPr>
          <w:fldChar w:fldCharType="begin"/>
        </w:r>
        <w:r w:rsidR="00BE53A8">
          <w:rPr>
            <w:noProof/>
            <w:webHidden/>
          </w:rPr>
          <w:instrText xml:space="preserve"> PAGEREF _Toc67566225 \h </w:instrText>
        </w:r>
        <w:r w:rsidR="00BE53A8">
          <w:rPr>
            <w:noProof/>
            <w:webHidden/>
          </w:rPr>
        </w:r>
        <w:r w:rsidR="00BE53A8">
          <w:rPr>
            <w:noProof/>
            <w:webHidden/>
          </w:rPr>
          <w:fldChar w:fldCharType="separate"/>
        </w:r>
        <w:r w:rsidR="0006023A">
          <w:rPr>
            <w:noProof/>
            <w:webHidden/>
          </w:rPr>
          <w:t>107</w:t>
        </w:r>
        <w:r w:rsidR="00BE53A8">
          <w:rPr>
            <w:noProof/>
            <w:webHidden/>
          </w:rPr>
          <w:fldChar w:fldCharType="end"/>
        </w:r>
      </w:hyperlink>
    </w:p>
    <w:p w14:paraId="306D510C" w14:textId="59AA7CD3" w:rsidR="00BE53A8" w:rsidRDefault="00077C0B">
      <w:pPr>
        <w:pStyle w:val="TableofFigures"/>
        <w:tabs>
          <w:tab w:val="right" w:leader="dot" w:pos="9350"/>
        </w:tabs>
        <w:rPr>
          <w:rFonts w:asciiTheme="minorHAnsi" w:eastAsiaTheme="minorEastAsia" w:hAnsiTheme="minorHAnsi"/>
          <w:noProof/>
          <w:sz w:val="22"/>
        </w:rPr>
      </w:pPr>
      <w:hyperlink w:anchor="_Toc67566226" w:history="1">
        <w:r w:rsidR="00BE53A8" w:rsidRPr="00527087">
          <w:rPr>
            <w:rStyle w:val="Hyperlink"/>
            <w:noProof/>
          </w:rPr>
          <w:t>Figure 4.10: Maximum and minimum initial pressure versus microannuli gap with corresponding average linear correlation for expanding cement with concentric configuration.</w:t>
        </w:r>
        <w:r w:rsidR="00BE53A8">
          <w:rPr>
            <w:noProof/>
            <w:webHidden/>
          </w:rPr>
          <w:tab/>
        </w:r>
        <w:r w:rsidR="00BE53A8">
          <w:rPr>
            <w:noProof/>
            <w:webHidden/>
          </w:rPr>
          <w:fldChar w:fldCharType="begin"/>
        </w:r>
        <w:r w:rsidR="00BE53A8">
          <w:rPr>
            <w:noProof/>
            <w:webHidden/>
          </w:rPr>
          <w:instrText xml:space="preserve"> PAGEREF _Toc67566226 \h </w:instrText>
        </w:r>
        <w:r w:rsidR="00BE53A8">
          <w:rPr>
            <w:noProof/>
            <w:webHidden/>
          </w:rPr>
        </w:r>
        <w:r w:rsidR="00BE53A8">
          <w:rPr>
            <w:noProof/>
            <w:webHidden/>
          </w:rPr>
          <w:fldChar w:fldCharType="separate"/>
        </w:r>
        <w:r w:rsidR="0006023A">
          <w:rPr>
            <w:noProof/>
            <w:webHidden/>
          </w:rPr>
          <w:t>108</w:t>
        </w:r>
        <w:r w:rsidR="00BE53A8">
          <w:rPr>
            <w:noProof/>
            <w:webHidden/>
          </w:rPr>
          <w:fldChar w:fldCharType="end"/>
        </w:r>
      </w:hyperlink>
    </w:p>
    <w:p w14:paraId="6CCAF453" w14:textId="5F2508EC" w:rsidR="00BE53A8" w:rsidRDefault="00077C0B">
      <w:pPr>
        <w:pStyle w:val="TableofFigures"/>
        <w:tabs>
          <w:tab w:val="right" w:leader="dot" w:pos="9350"/>
        </w:tabs>
        <w:rPr>
          <w:rFonts w:asciiTheme="minorHAnsi" w:eastAsiaTheme="minorEastAsia" w:hAnsiTheme="minorHAnsi"/>
          <w:noProof/>
          <w:sz w:val="22"/>
        </w:rPr>
      </w:pPr>
      <w:hyperlink w:anchor="_Toc67566227" w:history="1">
        <w:r w:rsidR="00BE53A8" w:rsidRPr="00527087">
          <w:rPr>
            <w:rStyle w:val="Hyperlink"/>
            <w:noProof/>
          </w:rPr>
          <w:t xml:space="preserve">Figure 4.11: Pore pressure (long dash), </w:t>
        </w:r>
        <w:r w:rsidR="00BE53A8" w:rsidRPr="00527087">
          <w:rPr>
            <w:rStyle w:val="Hyperlink"/>
            <w:i/>
            <w:noProof/>
          </w:rPr>
          <w:t xml:space="preserve">ICP </w:t>
        </w:r>
        <w:r w:rsidR="00BE53A8" w:rsidRPr="00527087">
          <w:rPr>
            <w:rStyle w:val="Hyperlink"/>
            <w:noProof/>
          </w:rPr>
          <w:t>(solid line), and microannuli pressure (short dash) with respect to depth for the shallow GoM well (A), medium GoM well (B), and deep GoM well (C). The pore pressure and microannuli pressure start at the same magnitude but decrease with depth at different rates due to the density difference between a water/brine (pore pressure) and a gas (microannuli pressure).</w:t>
        </w:r>
        <w:r w:rsidR="00BE53A8">
          <w:rPr>
            <w:noProof/>
            <w:webHidden/>
          </w:rPr>
          <w:tab/>
        </w:r>
        <w:r w:rsidR="00BE53A8">
          <w:rPr>
            <w:noProof/>
            <w:webHidden/>
          </w:rPr>
          <w:fldChar w:fldCharType="begin"/>
        </w:r>
        <w:r w:rsidR="00BE53A8">
          <w:rPr>
            <w:noProof/>
            <w:webHidden/>
          </w:rPr>
          <w:instrText xml:space="preserve"> PAGEREF _Toc67566227 \h </w:instrText>
        </w:r>
        <w:r w:rsidR="00BE53A8">
          <w:rPr>
            <w:noProof/>
            <w:webHidden/>
          </w:rPr>
        </w:r>
        <w:r w:rsidR="00BE53A8">
          <w:rPr>
            <w:noProof/>
            <w:webHidden/>
          </w:rPr>
          <w:fldChar w:fldCharType="separate"/>
        </w:r>
        <w:r w:rsidR="0006023A">
          <w:rPr>
            <w:noProof/>
            <w:webHidden/>
          </w:rPr>
          <w:t>112</w:t>
        </w:r>
        <w:r w:rsidR="00BE53A8">
          <w:rPr>
            <w:noProof/>
            <w:webHidden/>
          </w:rPr>
          <w:fldChar w:fldCharType="end"/>
        </w:r>
      </w:hyperlink>
    </w:p>
    <w:p w14:paraId="410C127B" w14:textId="2A7AF1A8" w:rsidR="00BE53A8" w:rsidRDefault="00077C0B">
      <w:pPr>
        <w:pStyle w:val="TableofFigures"/>
        <w:tabs>
          <w:tab w:val="right" w:leader="dot" w:pos="9350"/>
        </w:tabs>
        <w:rPr>
          <w:rFonts w:asciiTheme="minorHAnsi" w:eastAsiaTheme="minorEastAsia" w:hAnsiTheme="minorHAnsi"/>
          <w:noProof/>
          <w:sz w:val="22"/>
        </w:rPr>
      </w:pPr>
      <w:hyperlink w:anchor="_Toc67566228" w:history="1">
        <w:r w:rsidR="00BE53A8" w:rsidRPr="00527087">
          <w:rPr>
            <w:rStyle w:val="Hyperlink"/>
            <w:noProof/>
          </w:rPr>
          <w:t>Figure 4.12: Model input parameters for mud weight (</w:t>
        </w:r>
        <m:oMath>
          <m:r>
            <m:rPr>
              <m:sty m:val="bi"/>
            </m:rPr>
            <w:rPr>
              <w:rStyle w:val="Hyperlink"/>
              <w:rFonts w:ascii="Cambria Math" w:hAnsi="Cambria Math"/>
              <w:noProof/>
            </w:rPr>
            <m:t>MW</m:t>
          </m:r>
        </m:oMath>
        <w:r w:rsidR="00BE53A8" w:rsidRPr="00527087">
          <w:rPr>
            <w:rStyle w:val="Hyperlink"/>
            <w:noProof/>
          </w:rPr>
          <w:t>), cement stress, minimum (</w:t>
        </w:r>
        <m:oMath>
          <m:r>
            <m:rPr>
              <m:sty m:val="bi"/>
            </m:rPr>
            <w:rPr>
              <w:rStyle w:val="Hyperlink"/>
              <w:rFonts w:ascii="Cambria Math" w:hAnsi="Cambria Math"/>
              <w:noProof/>
            </w:rPr>
            <m:t>σh</m:t>
          </m:r>
        </m:oMath>
        <w:r w:rsidR="00BE53A8" w:rsidRPr="00527087">
          <w:rPr>
            <w:rStyle w:val="Hyperlink"/>
            <w:noProof/>
          </w:rPr>
          <w:t>) and maximum (</w:t>
        </w:r>
        <m:oMath>
          <m:r>
            <m:rPr>
              <m:sty m:val="bi"/>
            </m:rPr>
            <w:rPr>
              <w:rStyle w:val="Hyperlink"/>
              <w:rFonts w:ascii="Cambria Math" w:hAnsi="Cambria Math"/>
              <w:noProof/>
            </w:rPr>
            <m:t>σH</m:t>
          </m:r>
        </m:oMath>
        <w:r w:rsidR="00BE53A8" w:rsidRPr="00527087">
          <w:rPr>
            <w:rStyle w:val="Hyperlink"/>
            <w:noProof/>
          </w:rPr>
          <w:t>) horizontal stress, and overburden stress (</w:t>
        </w:r>
        <m:oMath>
          <m:r>
            <m:rPr>
              <m:sty m:val="bi"/>
            </m:rPr>
            <w:rPr>
              <w:rStyle w:val="Hyperlink"/>
              <w:rFonts w:ascii="Cambria Math" w:hAnsi="Cambria Math"/>
              <w:noProof/>
            </w:rPr>
            <m:t>σv</m:t>
          </m:r>
        </m:oMath>
        <w:r w:rsidR="00BE53A8" w:rsidRPr="00527087">
          <w:rPr>
            <w:rStyle w:val="Hyperlink"/>
            <w:noProof/>
          </w:rPr>
          <w:t>) with respect to depth for the shallow well (A), medium well (B), and deep well (C).</w:t>
        </w:r>
        <w:r w:rsidR="00BE53A8">
          <w:rPr>
            <w:noProof/>
            <w:webHidden/>
          </w:rPr>
          <w:tab/>
        </w:r>
        <w:r w:rsidR="00BE53A8">
          <w:rPr>
            <w:noProof/>
            <w:webHidden/>
          </w:rPr>
          <w:fldChar w:fldCharType="begin"/>
        </w:r>
        <w:r w:rsidR="00BE53A8">
          <w:rPr>
            <w:noProof/>
            <w:webHidden/>
          </w:rPr>
          <w:instrText xml:space="preserve"> PAGEREF _Toc67566228 \h </w:instrText>
        </w:r>
        <w:r w:rsidR="00BE53A8">
          <w:rPr>
            <w:noProof/>
            <w:webHidden/>
          </w:rPr>
        </w:r>
        <w:r w:rsidR="00BE53A8">
          <w:rPr>
            <w:noProof/>
            <w:webHidden/>
          </w:rPr>
          <w:fldChar w:fldCharType="separate"/>
        </w:r>
        <w:r w:rsidR="0006023A">
          <w:rPr>
            <w:noProof/>
            <w:webHidden/>
          </w:rPr>
          <w:t>114</w:t>
        </w:r>
        <w:r w:rsidR="00BE53A8">
          <w:rPr>
            <w:noProof/>
            <w:webHidden/>
          </w:rPr>
          <w:fldChar w:fldCharType="end"/>
        </w:r>
      </w:hyperlink>
    </w:p>
    <w:p w14:paraId="072DDC1E" w14:textId="08EC73FB" w:rsidR="00BE53A8" w:rsidRDefault="00077C0B">
      <w:pPr>
        <w:pStyle w:val="TableofFigures"/>
        <w:tabs>
          <w:tab w:val="right" w:leader="dot" w:pos="9350"/>
        </w:tabs>
        <w:rPr>
          <w:rFonts w:asciiTheme="minorHAnsi" w:eastAsiaTheme="minorEastAsia" w:hAnsiTheme="minorHAnsi"/>
          <w:noProof/>
          <w:sz w:val="22"/>
        </w:rPr>
      </w:pPr>
      <w:hyperlink w:anchor="_Toc67566229" w:history="1">
        <w:r w:rsidR="00BE53A8" w:rsidRPr="00527087">
          <w:rPr>
            <w:rStyle w:val="Hyperlink"/>
            <w:noProof/>
          </w:rPr>
          <w:t>Figure 5.1: Microannuli (</w:t>
        </w:r>
        <m:oMath>
          <m:r>
            <m:rPr>
              <m:sty m:val="bi"/>
            </m:rPr>
            <w:rPr>
              <w:rStyle w:val="Hyperlink"/>
              <w:rFonts w:ascii="Cambria Math" w:hAnsi="Cambria Math"/>
              <w:noProof/>
            </w:rPr>
            <m:t>w</m:t>
          </m:r>
        </m:oMath>
        <w:r w:rsidR="00BE53A8" w:rsidRPr="00527087">
          <w:rPr>
            <w:rStyle w:val="Hyperlink"/>
            <w:noProof/>
          </w:rPr>
          <w:t>) versus flow rate for the developed real and ideal gas flow equations (Equation 4.15 and Equation 4.31, respectively) using experimental data from Corina et al. (2019). The difference between the real and ideal gas flow equations is a maximum of 0.04%, 0.25%, and 0.50% for SF120, SF66, and SF120EA, respectively.</w:t>
        </w:r>
        <w:r w:rsidR="00BE53A8">
          <w:rPr>
            <w:noProof/>
            <w:webHidden/>
          </w:rPr>
          <w:tab/>
        </w:r>
        <w:r w:rsidR="00BE53A8">
          <w:rPr>
            <w:noProof/>
            <w:webHidden/>
          </w:rPr>
          <w:fldChar w:fldCharType="begin"/>
        </w:r>
        <w:r w:rsidR="00BE53A8">
          <w:rPr>
            <w:noProof/>
            <w:webHidden/>
          </w:rPr>
          <w:instrText xml:space="preserve"> PAGEREF _Toc67566229 \h </w:instrText>
        </w:r>
        <w:r w:rsidR="00BE53A8">
          <w:rPr>
            <w:noProof/>
            <w:webHidden/>
          </w:rPr>
        </w:r>
        <w:r w:rsidR="00BE53A8">
          <w:rPr>
            <w:noProof/>
            <w:webHidden/>
          </w:rPr>
          <w:fldChar w:fldCharType="separate"/>
        </w:r>
        <w:r w:rsidR="0006023A">
          <w:rPr>
            <w:noProof/>
            <w:webHidden/>
          </w:rPr>
          <w:t>124</w:t>
        </w:r>
        <w:r w:rsidR="00BE53A8">
          <w:rPr>
            <w:noProof/>
            <w:webHidden/>
          </w:rPr>
          <w:fldChar w:fldCharType="end"/>
        </w:r>
      </w:hyperlink>
    </w:p>
    <w:p w14:paraId="05621FCD" w14:textId="56DCDD68" w:rsidR="00BE53A8" w:rsidRDefault="00077C0B">
      <w:pPr>
        <w:pStyle w:val="TableofFigures"/>
        <w:tabs>
          <w:tab w:val="right" w:leader="dot" w:pos="9350"/>
        </w:tabs>
        <w:rPr>
          <w:rFonts w:asciiTheme="minorHAnsi" w:eastAsiaTheme="minorEastAsia" w:hAnsiTheme="minorHAnsi"/>
          <w:noProof/>
          <w:sz w:val="22"/>
        </w:rPr>
      </w:pPr>
      <w:hyperlink w:anchor="_Toc67566230" w:history="1">
        <w:r w:rsidR="00BE53A8" w:rsidRPr="00527087">
          <w:rPr>
            <w:rStyle w:val="Hyperlink"/>
            <w:noProof/>
          </w:rPr>
          <w:t>Figure 5.2: Microannuli (</w:t>
        </w:r>
        <m:oMath>
          <m:r>
            <m:rPr>
              <m:sty m:val="bi"/>
            </m:rPr>
            <w:rPr>
              <w:rStyle w:val="Hyperlink"/>
              <w:rFonts w:ascii="Cambria Math" w:hAnsi="Cambria Math"/>
              <w:noProof/>
            </w:rPr>
            <m:t>w</m:t>
          </m:r>
        </m:oMath>
        <w:r w:rsidR="00BE53A8" w:rsidRPr="00527087">
          <w:rPr>
            <w:rStyle w:val="Hyperlink"/>
            <w:noProof/>
          </w:rPr>
          <w:t>) versus pressure differential (</w:t>
        </w:r>
        <m:oMath>
          <m:r>
            <m:rPr>
              <m:sty m:val="b"/>
            </m:rPr>
            <w:rPr>
              <w:rStyle w:val="Hyperlink"/>
              <w:rFonts w:ascii="Cambria Math" w:hAnsi="Cambria Math"/>
              <w:noProof/>
            </w:rPr>
            <m:t>Δ</m:t>
          </m:r>
          <m:r>
            <m:rPr>
              <m:sty m:val="bi"/>
            </m:rPr>
            <w:rPr>
              <w:rStyle w:val="Hyperlink"/>
              <w:rFonts w:ascii="Cambria Math" w:hAnsi="Cambria Math"/>
              <w:noProof/>
            </w:rPr>
            <m:t>P</m:t>
          </m:r>
        </m:oMath>
        <w:r w:rsidR="00BE53A8" w:rsidRPr="00527087">
          <w:rPr>
            <w:rStyle w:val="Hyperlink"/>
            <w:noProof/>
          </w:rPr>
          <w:t>) for the developed real and ideal gas flow equations (Equation 4.15 and Equation 4.31, respectively) using experimental data from Corina et al. (2019). The difference between the real and ideal gas flow equations is a maximum of 0.04%, 0.25%, and 0.50% for SF120, SF66, and SF120EA, respectively.</w:t>
        </w:r>
        <w:r w:rsidR="00BE53A8">
          <w:rPr>
            <w:noProof/>
            <w:webHidden/>
          </w:rPr>
          <w:tab/>
        </w:r>
        <w:r w:rsidR="00BE53A8">
          <w:rPr>
            <w:noProof/>
            <w:webHidden/>
          </w:rPr>
          <w:fldChar w:fldCharType="begin"/>
        </w:r>
        <w:r w:rsidR="00BE53A8">
          <w:rPr>
            <w:noProof/>
            <w:webHidden/>
          </w:rPr>
          <w:instrText xml:space="preserve"> PAGEREF _Toc67566230 \h </w:instrText>
        </w:r>
        <w:r w:rsidR="00BE53A8">
          <w:rPr>
            <w:noProof/>
            <w:webHidden/>
          </w:rPr>
        </w:r>
        <w:r w:rsidR="00BE53A8">
          <w:rPr>
            <w:noProof/>
            <w:webHidden/>
          </w:rPr>
          <w:fldChar w:fldCharType="separate"/>
        </w:r>
        <w:r w:rsidR="0006023A">
          <w:rPr>
            <w:noProof/>
            <w:webHidden/>
          </w:rPr>
          <w:t>124</w:t>
        </w:r>
        <w:r w:rsidR="00BE53A8">
          <w:rPr>
            <w:noProof/>
            <w:webHidden/>
          </w:rPr>
          <w:fldChar w:fldCharType="end"/>
        </w:r>
      </w:hyperlink>
    </w:p>
    <w:p w14:paraId="206AB818" w14:textId="53B06FFC" w:rsidR="00BE53A8" w:rsidRDefault="00077C0B">
      <w:pPr>
        <w:pStyle w:val="TableofFigures"/>
        <w:tabs>
          <w:tab w:val="right" w:leader="dot" w:pos="9350"/>
        </w:tabs>
        <w:rPr>
          <w:rFonts w:asciiTheme="minorHAnsi" w:eastAsiaTheme="minorEastAsia" w:hAnsiTheme="minorHAnsi"/>
          <w:noProof/>
          <w:sz w:val="22"/>
        </w:rPr>
      </w:pPr>
      <w:hyperlink w:anchor="_Toc67566231" w:history="1">
        <w:r w:rsidR="00BE53A8" w:rsidRPr="00527087">
          <w:rPr>
            <w:rStyle w:val="Hyperlink"/>
            <w:noProof/>
          </w:rPr>
          <w:t>Figure 5.3: Microannuli (</w:t>
        </w:r>
        <m:oMath>
          <m:r>
            <m:rPr>
              <m:sty m:val="bi"/>
            </m:rPr>
            <w:rPr>
              <w:rStyle w:val="Hyperlink"/>
              <w:rFonts w:ascii="Cambria Math" w:hAnsi="Cambria Math"/>
              <w:noProof/>
            </w:rPr>
            <m:t>w</m:t>
          </m:r>
        </m:oMath>
        <w:r w:rsidR="00BE53A8" w:rsidRPr="00527087">
          <w:rPr>
            <w:rStyle w:val="Hyperlink"/>
            <w:noProof/>
          </w:rPr>
          <w:t>) versus flow rate for the developed ideal gas flow equation (Equation 4.15) and the Darcy flow equation used in conjunction with the cubic law (Equation 2.54). The maximum percent difference between Equation 4.15 and Equation 2.54 is 1.5% for SF120, 25.3% for SF66, and 55.7% for SF120EA.</w:t>
        </w:r>
        <w:r w:rsidR="00BE53A8">
          <w:rPr>
            <w:noProof/>
            <w:webHidden/>
          </w:rPr>
          <w:tab/>
        </w:r>
        <w:r w:rsidR="00BE53A8">
          <w:rPr>
            <w:noProof/>
            <w:webHidden/>
          </w:rPr>
          <w:fldChar w:fldCharType="begin"/>
        </w:r>
        <w:r w:rsidR="00BE53A8">
          <w:rPr>
            <w:noProof/>
            <w:webHidden/>
          </w:rPr>
          <w:instrText xml:space="preserve"> PAGEREF _Toc67566231 \h </w:instrText>
        </w:r>
        <w:r w:rsidR="00BE53A8">
          <w:rPr>
            <w:noProof/>
            <w:webHidden/>
          </w:rPr>
        </w:r>
        <w:r w:rsidR="00BE53A8">
          <w:rPr>
            <w:noProof/>
            <w:webHidden/>
          </w:rPr>
          <w:fldChar w:fldCharType="separate"/>
        </w:r>
        <w:r w:rsidR="0006023A">
          <w:rPr>
            <w:noProof/>
            <w:webHidden/>
          </w:rPr>
          <w:t>126</w:t>
        </w:r>
        <w:r w:rsidR="00BE53A8">
          <w:rPr>
            <w:noProof/>
            <w:webHidden/>
          </w:rPr>
          <w:fldChar w:fldCharType="end"/>
        </w:r>
      </w:hyperlink>
    </w:p>
    <w:p w14:paraId="3925222C" w14:textId="473E6389" w:rsidR="00BE53A8" w:rsidRDefault="00077C0B">
      <w:pPr>
        <w:pStyle w:val="TableofFigures"/>
        <w:tabs>
          <w:tab w:val="right" w:leader="dot" w:pos="9350"/>
        </w:tabs>
        <w:rPr>
          <w:rFonts w:asciiTheme="minorHAnsi" w:eastAsiaTheme="minorEastAsia" w:hAnsiTheme="minorHAnsi"/>
          <w:noProof/>
          <w:sz w:val="22"/>
        </w:rPr>
      </w:pPr>
      <w:hyperlink w:anchor="_Toc67566232" w:history="1">
        <w:r w:rsidR="00BE53A8" w:rsidRPr="00527087">
          <w:rPr>
            <w:rStyle w:val="Hyperlink"/>
            <w:noProof/>
          </w:rPr>
          <w:t>Figure 5.4: Microannuli (</w:t>
        </w:r>
        <m:oMath>
          <m:r>
            <m:rPr>
              <m:sty m:val="bi"/>
            </m:rPr>
            <w:rPr>
              <w:rStyle w:val="Hyperlink"/>
              <w:rFonts w:ascii="Cambria Math" w:hAnsi="Cambria Math"/>
              <w:noProof/>
            </w:rPr>
            <m:t>w</m:t>
          </m:r>
        </m:oMath>
        <w:r w:rsidR="00BE53A8" w:rsidRPr="00527087">
          <w:rPr>
            <w:rStyle w:val="Hyperlink"/>
            <w:noProof/>
          </w:rPr>
          <w:t>) versus pressure differential (</w:t>
        </w:r>
        <m:oMath>
          <m:r>
            <m:rPr>
              <m:sty m:val="b"/>
            </m:rPr>
            <w:rPr>
              <w:rStyle w:val="Hyperlink"/>
              <w:rFonts w:ascii="Cambria Math" w:hAnsi="Cambria Math"/>
              <w:noProof/>
            </w:rPr>
            <m:t>Δ</m:t>
          </m:r>
          <m:r>
            <m:rPr>
              <m:sty m:val="bi"/>
            </m:rPr>
            <w:rPr>
              <w:rStyle w:val="Hyperlink"/>
              <w:rFonts w:ascii="Cambria Math" w:hAnsi="Cambria Math"/>
              <w:noProof/>
            </w:rPr>
            <m:t>P</m:t>
          </m:r>
        </m:oMath>
        <w:r w:rsidR="00BE53A8" w:rsidRPr="00527087">
          <w:rPr>
            <w:rStyle w:val="Hyperlink"/>
            <w:noProof/>
          </w:rPr>
          <w:t>) for the developed ideal gas flow equation (Equation 4.15) and the Darcy flow equation used in conjunction with the cubic law (Equation 2.54). The maximum percent difference between Equation 4.15 and Equation 2.54 is 1.5% for SF120, 25.3% for SF66, and 55.7% for SF120EA.</w:t>
        </w:r>
        <w:r w:rsidR="00BE53A8">
          <w:rPr>
            <w:noProof/>
            <w:webHidden/>
          </w:rPr>
          <w:tab/>
        </w:r>
        <w:r w:rsidR="00BE53A8">
          <w:rPr>
            <w:noProof/>
            <w:webHidden/>
          </w:rPr>
          <w:fldChar w:fldCharType="begin"/>
        </w:r>
        <w:r w:rsidR="00BE53A8">
          <w:rPr>
            <w:noProof/>
            <w:webHidden/>
          </w:rPr>
          <w:instrText xml:space="preserve"> PAGEREF _Toc67566232 \h </w:instrText>
        </w:r>
        <w:r w:rsidR="00BE53A8">
          <w:rPr>
            <w:noProof/>
            <w:webHidden/>
          </w:rPr>
        </w:r>
        <w:r w:rsidR="00BE53A8">
          <w:rPr>
            <w:noProof/>
            <w:webHidden/>
          </w:rPr>
          <w:fldChar w:fldCharType="separate"/>
        </w:r>
        <w:r w:rsidR="0006023A">
          <w:rPr>
            <w:noProof/>
            <w:webHidden/>
          </w:rPr>
          <w:t>126</w:t>
        </w:r>
        <w:r w:rsidR="00BE53A8">
          <w:rPr>
            <w:noProof/>
            <w:webHidden/>
          </w:rPr>
          <w:fldChar w:fldCharType="end"/>
        </w:r>
      </w:hyperlink>
    </w:p>
    <w:p w14:paraId="609CC753" w14:textId="45FF72E1" w:rsidR="00BE53A8" w:rsidRDefault="00077C0B">
      <w:pPr>
        <w:pStyle w:val="TableofFigures"/>
        <w:tabs>
          <w:tab w:val="right" w:leader="dot" w:pos="9350"/>
        </w:tabs>
        <w:rPr>
          <w:rFonts w:asciiTheme="minorHAnsi" w:eastAsiaTheme="minorEastAsia" w:hAnsiTheme="minorHAnsi"/>
          <w:noProof/>
          <w:sz w:val="22"/>
        </w:rPr>
      </w:pPr>
      <w:hyperlink w:anchor="_Toc67566233" w:history="1">
        <w:r w:rsidR="00BE53A8" w:rsidRPr="00527087">
          <w:rPr>
            <w:rStyle w:val="Hyperlink"/>
            <w:noProof/>
          </w:rPr>
          <w:t>Figure 5.5: FEA stress continuum and fracture model compared to the analytical solution showing less than 2.6% variation of the casing hoop and radial stress, less than 1.4% variation of the cement hoop and radial stress, and less than 7.2% variation of the rock formation hoop and radial stress for the medium well in the Eugene Island OPD.</w:t>
        </w:r>
        <w:r w:rsidR="00BE53A8">
          <w:rPr>
            <w:noProof/>
            <w:webHidden/>
          </w:rPr>
          <w:tab/>
        </w:r>
        <w:r w:rsidR="00BE53A8">
          <w:rPr>
            <w:noProof/>
            <w:webHidden/>
          </w:rPr>
          <w:fldChar w:fldCharType="begin"/>
        </w:r>
        <w:r w:rsidR="00BE53A8">
          <w:rPr>
            <w:noProof/>
            <w:webHidden/>
          </w:rPr>
          <w:instrText xml:space="preserve"> PAGEREF _Toc67566233 \h </w:instrText>
        </w:r>
        <w:r w:rsidR="00BE53A8">
          <w:rPr>
            <w:noProof/>
            <w:webHidden/>
          </w:rPr>
        </w:r>
        <w:r w:rsidR="00BE53A8">
          <w:rPr>
            <w:noProof/>
            <w:webHidden/>
          </w:rPr>
          <w:fldChar w:fldCharType="separate"/>
        </w:r>
        <w:r w:rsidR="0006023A">
          <w:rPr>
            <w:noProof/>
            <w:webHidden/>
          </w:rPr>
          <w:t>128</w:t>
        </w:r>
        <w:r w:rsidR="00BE53A8">
          <w:rPr>
            <w:noProof/>
            <w:webHidden/>
          </w:rPr>
          <w:fldChar w:fldCharType="end"/>
        </w:r>
      </w:hyperlink>
    </w:p>
    <w:p w14:paraId="7997B715" w14:textId="7FC12943" w:rsidR="00BE53A8" w:rsidRDefault="00077C0B">
      <w:pPr>
        <w:pStyle w:val="TableofFigures"/>
        <w:tabs>
          <w:tab w:val="right" w:leader="dot" w:pos="9350"/>
        </w:tabs>
        <w:rPr>
          <w:rFonts w:asciiTheme="minorHAnsi" w:eastAsiaTheme="minorEastAsia" w:hAnsiTheme="minorHAnsi"/>
          <w:noProof/>
          <w:sz w:val="22"/>
        </w:rPr>
      </w:pPr>
      <w:hyperlink w:anchor="_Toc67566234" w:history="1">
        <w:r w:rsidR="00BE53A8" w:rsidRPr="00527087">
          <w:rPr>
            <w:rStyle w:val="Hyperlink"/>
            <w:noProof/>
          </w:rPr>
          <w:t>Figure 5.6: Sensitivity analysis of the cement mechanical parameters with respect to the percent change in resulting microannuli. The base microannuli is 13.6 μm. Cement Young’s modulus (</w:t>
        </w:r>
        <m:oMath>
          <m:r>
            <m:rPr>
              <m:sty m:val="bi"/>
            </m:rPr>
            <w:rPr>
              <w:rStyle w:val="Hyperlink"/>
              <w:rFonts w:ascii="Cambria Math" w:hAnsi="Cambria Math"/>
              <w:noProof/>
            </w:rPr>
            <m:t>E</m:t>
          </m:r>
        </m:oMath>
        <w:r w:rsidR="00BE53A8" w:rsidRPr="00527087">
          <w:rPr>
            <w:rStyle w:val="Hyperlink"/>
            <w:noProof/>
          </w:rPr>
          <w:t xml:space="preserve">) </w:t>
        </w:r>
        <w:r w:rsidR="00BE53A8" w:rsidRPr="00527087">
          <w:rPr>
            <w:rStyle w:val="Hyperlink"/>
            <w:noProof/>
          </w:rPr>
          <w:lastRenderedPageBreak/>
          <w:t>has a nonlinear effect on microannuli percent change whereas cement Poisson’s ratio (</w:t>
        </w:r>
        <m:oMath>
          <m:r>
            <m:rPr>
              <m:sty m:val="bi"/>
            </m:rPr>
            <w:rPr>
              <w:rStyle w:val="Hyperlink"/>
              <w:rFonts w:ascii="Cambria Math" w:hAnsi="Cambria Math"/>
              <w:noProof/>
            </w:rPr>
            <m:t>PR</m:t>
          </m:r>
        </m:oMath>
        <w:r w:rsidR="00BE53A8" w:rsidRPr="00527087">
          <w:rPr>
            <w:rStyle w:val="Hyperlink"/>
            <w:noProof/>
          </w:rPr>
          <w:t>) appears to have a linear effect.</w:t>
        </w:r>
        <w:r w:rsidR="00BE53A8">
          <w:rPr>
            <w:noProof/>
            <w:webHidden/>
          </w:rPr>
          <w:tab/>
        </w:r>
        <w:r w:rsidR="00BE53A8">
          <w:rPr>
            <w:noProof/>
            <w:webHidden/>
          </w:rPr>
          <w:fldChar w:fldCharType="begin"/>
        </w:r>
        <w:r w:rsidR="00BE53A8">
          <w:rPr>
            <w:noProof/>
            <w:webHidden/>
          </w:rPr>
          <w:instrText xml:space="preserve"> PAGEREF _Toc67566234 \h </w:instrText>
        </w:r>
        <w:r w:rsidR="00BE53A8">
          <w:rPr>
            <w:noProof/>
            <w:webHidden/>
          </w:rPr>
        </w:r>
        <w:r w:rsidR="00BE53A8">
          <w:rPr>
            <w:noProof/>
            <w:webHidden/>
          </w:rPr>
          <w:fldChar w:fldCharType="separate"/>
        </w:r>
        <w:r w:rsidR="0006023A">
          <w:rPr>
            <w:noProof/>
            <w:webHidden/>
          </w:rPr>
          <w:t>131</w:t>
        </w:r>
        <w:r w:rsidR="00BE53A8">
          <w:rPr>
            <w:noProof/>
            <w:webHidden/>
          </w:rPr>
          <w:fldChar w:fldCharType="end"/>
        </w:r>
      </w:hyperlink>
    </w:p>
    <w:p w14:paraId="4C578B1A" w14:textId="5D2A0D6B" w:rsidR="00BE53A8" w:rsidRDefault="00077C0B">
      <w:pPr>
        <w:pStyle w:val="TableofFigures"/>
        <w:tabs>
          <w:tab w:val="right" w:leader="dot" w:pos="9350"/>
        </w:tabs>
        <w:rPr>
          <w:rFonts w:asciiTheme="minorHAnsi" w:eastAsiaTheme="minorEastAsia" w:hAnsiTheme="minorHAnsi"/>
          <w:noProof/>
          <w:sz w:val="22"/>
        </w:rPr>
      </w:pPr>
      <w:hyperlink w:anchor="_Toc67566235" w:history="1">
        <w:r w:rsidR="00BE53A8" w:rsidRPr="00527087">
          <w:rPr>
            <w:rStyle w:val="Hyperlink"/>
            <w:noProof/>
          </w:rPr>
          <w:t>Figure 5.7: 0.5x magnified directional deformation of the eccentric expanding cement model. Note the pressure induced microannuli gap is continuous throughout the circumference of the cement sheath.</w:t>
        </w:r>
        <w:r w:rsidR="00BE53A8">
          <w:rPr>
            <w:noProof/>
            <w:webHidden/>
          </w:rPr>
          <w:tab/>
        </w:r>
        <w:r w:rsidR="00BE53A8">
          <w:rPr>
            <w:noProof/>
            <w:webHidden/>
          </w:rPr>
          <w:fldChar w:fldCharType="begin"/>
        </w:r>
        <w:r w:rsidR="00BE53A8">
          <w:rPr>
            <w:noProof/>
            <w:webHidden/>
          </w:rPr>
          <w:instrText xml:space="preserve"> PAGEREF _Toc67566235 \h </w:instrText>
        </w:r>
        <w:r w:rsidR="00BE53A8">
          <w:rPr>
            <w:noProof/>
            <w:webHidden/>
          </w:rPr>
        </w:r>
        <w:r w:rsidR="00BE53A8">
          <w:rPr>
            <w:noProof/>
            <w:webHidden/>
          </w:rPr>
          <w:fldChar w:fldCharType="separate"/>
        </w:r>
        <w:r w:rsidR="0006023A">
          <w:rPr>
            <w:noProof/>
            <w:webHidden/>
          </w:rPr>
          <w:t>132</w:t>
        </w:r>
        <w:r w:rsidR="00BE53A8">
          <w:rPr>
            <w:noProof/>
            <w:webHidden/>
          </w:rPr>
          <w:fldChar w:fldCharType="end"/>
        </w:r>
      </w:hyperlink>
    </w:p>
    <w:p w14:paraId="558042A1" w14:textId="22650B94" w:rsidR="00BE53A8" w:rsidRDefault="00077C0B">
      <w:pPr>
        <w:pStyle w:val="TableofFigures"/>
        <w:tabs>
          <w:tab w:val="right" w:leader="dot" w:pos="9350"/>
        </w:tabs>
        <w:rPr>
          <w:rFonts w:asciiTheme="minorHAnsi" w:eastAsiaTheme="minorEastAsia" w:hAnsiTheme="minorHAnsi"/>
          <w:noProof/>
          <w:sz w:val="22"/>
        </w:rPr>
      </w:pPr>
      <w:hyperlink w:anchor="_Toc67566236" w:history="1">
        <w:r w:rsidR="00BE53A8" w:rsidRPr="00527087">
          <w:rPr>
            <w:rStyle w:val="Hyperlink"/>
            <w:noProof/>
          </w:rPr>
          <w:t>Figure 5.8: Mohr-Coulomb shear failure envelope of the cement sheath for the shallow (black), medium (orange), and deep (blue) wells. All three wells are not close to shear failure or cement tensile failure.</w:t>
        </w:r>
        <w:r w:rsidR="00BE53A8">
          <w:rPr>
            <w:noProof/>
            <w:webHidden/>
          </w:rPr>
          <w:tab/>
        </w:r>
        <w:r w:rsidR="00BE53A8">
          <w:rPr>
            <w:noProof/>
            <w:webHidden/>
          </w:rPr>
          <w:fldChar w:fldCharType="begin"/>
        </w:r>
        <w:r w:rsidR="00BE53A8">
          <w:rPr>
            <w:noProof/>
            <w:webHidden/>
          </w:rPr>
          <w:instrText xml:space="preserve"> PAGEREF _Toc67566236 \h </w:instrText>
        </w:r>
        <w:r w:rsidR="00BE53A8">
          <w:rPr>
            <w:noProof/>
            <w:webHidden/>
          </w:rPr>
        </w:r>
        <w:r w:rsidR="00BE53A8">
          <w:rPr>
            <w:noProof/>
            <w:webHidden/>
          </w:rPr>
          <w:fldChar w:fldCharType="separate"/>
        </w:r>
        <w:r w:rsidR="0006023A">
          <w:rPr>
            <w:noProof/>
            <w:webHidden/>
          </w:rPr>
          <w:t>137</w:t>
        </w:r>
        <w:r w:rsidR="00BE53A8">
          <w:rPr>
            <w:noProof/>
            <w:webHidden/>
          </w:rPr>
          <w:fldChar w:fldCharType="end"/>
        </w:r>
      </w:hyperlink>
    </w:p>
    <w:p w14:paraId="348900B1" w14:textId="7365DEA6" w:rsidR="00BE53A8" w:rsidRDefault="00077C0B">
      <w:pPr>
        <w:pStyle w:val="TableofFigures"/>
        <w:tabs>
          <w:tab w:val="right" w:leader="dot" w:pos="9350"/>
        </w:tabs>
        <w:rPr>
          <w:rFonts w:asciiTheme="minorHAnsi" w:eastAsiaTheme="minorEastAsia" w:hAnsiTheme="minorHAnsi"/>
          <w:noProof/>
          <w:sz w:val="22"/>
        </w:rPr>
      </w:pPr>
      <w:hyperlink w:anchor="_Toc67566237" w:history="1">
        <w:r w:rsidR="00BE53A8" w:rsidRPr="00527087">
          <w:rPr>
            <w:rStyle w:val="Hyperlink"/>
            <w:noProof/>
          </w:rPr>
          <w:t>Figure 5.9: Graphical results of the base case stress values shown in Table 5.8 for the shallow, medium, and deep wells for the fracture model. The shear stresses are depicted on the left and the minimum principal stresses are depicted on the right.</w:t>
        </w:r>
        <w:r w:rsidR="00BE53A8">
          <w:rPr>
            <w:noProof/>
            <w:webHidden/>
          </w:rPr>
          <w:tab/>
        </w:r>
        <w:r w:rsidR="00BE53A8">
          <w:rPr>
            <w:noProof/>
            <w:webHidden/>
          </w:rPr>
          <w:fldChar w:fldCharType="begin"/>
        </w:r>
        <w:r w:rsidR="00BE53A8">
          <w:rPr>
            <w:noProof/>
            <w:webHidden/>
          </w:rPr>
          <w:instrText xml:space="preserve"> PAGEREF _Toc67566237 \h </w:instrText>
        </w:r>
        <w:r w:rsidR="00BE53A8">
          <w:rPr>
            <w:noProof/>
            <w:webHidden/>
          </w:rPr>
        </w:r>
        <w:r w:rsidR="00BE53A8">
          <w:rPr>
            <w:noProof/>
            <w:webHidden/>
          </w:rPr>
          <w:fldChar w:fldCharType="separate"/>
        </w:r>
        <w:r w:rsidR="0006023A">
          <w:rPr>
            <w:noProof/>
            <w:webHidden/>
          </w:rPr>
          <w:t>138</w:t>
        </w:r>
        <w:r w:rsidR="00BE53A8">
          <w:rPr>
            <w:noProof/>
            <w:webHidden/>
          </w:rPr>
          <w:fldChar w:fldCharType="end"/>
        </w:r>
      </w:hyperlink>
    </w:p>
    <w:p w14:paraId="06EC56DA" w14:textId="092F191D" w:rsidR="00BE53A8" w:rsidRDefault="00077C0B">
      <w:pPr>
        <w:pStyle w:val="TableofFigures"/>
        <w:tabs>
          <w:tab w:val="right" w:leader="dot" w:pos="9350"/>
        </w:tabs>
        <w:rPr>
          <w:rFonts w:asciiTheme="minorHAnsi" w:eastAsiaTheme="minorEastAsia" w:hAnsiTheme="minorHAnsi"/>
          <w:noProof/>
          <w:sz w:val="22"/>
        </w:rPr>
      </w:pPr>
      <w:hyperlink w:anchor="_Toc67566238" w:history="1">
        <w:r w:rsidR="00BE53A8" w:rsidRPr="00527087">
          <w:rPr>
            <w:rStyle w:val="Hyperlink"/>
            <w:noProof/>
          </w:rPr>
          <w:t>Figure 5.10: Results of the parametric study with the continuum stress model ranking the parameters with the largest impact on stress development for the shallow well. The cement pore pressure (</w:t>
        </w:r>
        <m:oMath>
          <m:r>
            <m:rPr>
              <m:sty m:val="bi"/>
            </m:rPr>
            <w:rPr>
              <w:rStyle w:val="Hyperlink"/>
              <w:rFonts w:ascii="Cambria Math" w:hAnsi="Cambria Math"/>
              <w:noProof/>
            </w:rPr>
            <m:t>Pp</m:t>
          </m:r>
        </m:oMath>
        <w:r w:rsidR="00BE53A8" w:rsidRPr="00527087">
          <w:rPr>
            <w:rStyle w:val="Hyperlink"/>
            <w:noProof/>
          </w:rPr>
          <w:t>), cement stress, and internal casing pressure have the most effect on the effective cement stress for the shallow well stress continuum model.</w:t>
        </w:r>
        <w:r w:rsidR="00BE53A8">
          <w:rPr>
            <w:noProof/>
            <w:webHidden/>
          </w:rPr>
          <w:tab/>
        </w:r>
        <w:r w:rsidR="00BE53A8">
          <w:rPr>
            <w:noProof/>
            <w:webHidden/>
          </w:rPr>
          <w:fldChar w:fldCharType="begin"/>
        </w:r>
        <w:r w:rsidR="00BE53A8">
          <w:rPr>
            <w:noProof/>
            <w:webHidden/>
          </w:rPr>
          <w:instrText xml:space="preserve"> PAGEREF _Toc67566238 \h </w:instrText>
        </w:r>
        <w:r w:rsidR="00BE53A8">
          <w:rPr>
            <w:noProof/>
            <w:webHidden/>
          </w:rPr>
        </w:r>
        <w:r w:rsidR="00BE53A8">
          <w:rPr>
            <w:noProof/>
            <w:webHidden/>
          </w:rPr>
          <w:fldChar w:fldCharType="separate"/>
        </w:r>
        <w:r w:rsidR="0006023A">
          <w:rPr>
            <w:noProof/>
            <w:webHidden/>
          </w:rPr>
          <w:t>140</w:t>
        </w:r>
        <w:r w:rsidR="00BE53A8">
          <w:rPr>
            <w:noProof/>
            <w:webHidden/>
          </w:rPr>
          <w:fldChar w:fldCharType="end"/>
        </w:r>
      </w:hyperlink>
    </w:p>
    <w:p w14:paraId="33CCA6CA" w14:textId="18F7F2F7" w:rsidR="00BE53A8" w:rsidRDefault="00077C0B">
      <w:pPr>
        <w:pStyle w:val="TableofFigures"/>
        <w:tabs>
          <w:tab w:val="right" w:leader="dot" w:pos="9350"/>
        </w:tabs>
        <w:rPr>
          <w:rFonts w:asciiTheme="minorHAnsi" w:eastAsiaTheme="minorEastAsia" w:hAnsiTheme="minorHAnsi"/>
          <w:noProof/>
          <w:sz w:val="22"/>
        </w:rPr>
      </w:pPr>
      <w:hyperlink w:anchor="_Toc67566239" w:history="1">
        <w:r w:rsidR="00BE53A8" w:rsidRPr="00527087">
          <w:rPr>
            <w:rStyle w:val="Hyperlink"/>
            <w:noProof/>
          </w:rPr>
          <w:t>Figure 5.11: Results of the parametric study with the fracture model ranking the parameters with the largest impact on stress development for the shallow well. The cement pore pressure (</w:t>
        </w:r>
        <m:oMath>
          <m:r>
            <m:rPr>
              <m:sty m:val="bi"/>
            </m:rPr>
            <w:rPr>
              <w:rStyle w:val="Hyperlink"/>
              <w:rFonts w:ascii="Cambria Math" w:hAnsi="Cambria Math"/>
              <w:noProof/>
            </w:rPr>
            <m:t>Pp</m:t>
          </m:r>
        </m:oMath>
        <w:r w:rsidR="00BE53A8" w:rsidRPr="00527087">
          <w:rPr>
            <w:rStyle w:val="Hyperlink"/>
            <w:noProof/>
          </w:rPr>
          <w:t>), cement stress, and internal casing pressure have the most effect on the effective cement stress for the shallow well fracture model.</w:t>
        </w:r>
        <w:r w:rsidR="00BE53A8">
          <w:rPr>
            <w:noProof/>
            <w:webHidden/>
          </w:rPr>
          <w:tab/>
        </w:r>
        <w:r w:rsidR="00BE53A8">
          <w:rPr>
            <w:noProof/>
            <w:webHidden/>
          </w:rPr>
          <w:fldChar w:fldCharType="begin"/>
        </w:r>
        <w:r w:rsidR="00BE53A8">
          <w:rPr>
            <w:noProof/>
            <w:webHidden/>
          </w:rPr>
          <w:instrText xml:space="preserve"> PAGEREF _Toc67566239 \h </w:instrText>
        </w:r>
        <w:r w:rsidR="00BE53A8">
          <w:rPr>
            <w:noProof/>
            <w:webHidden/>
          </w:rPr>
        </w:r>
        <w:r w:rsidR="00BE53A8">
          <w:rPr>
            <w:noProof/>
            <w:webHidden/>
          </w:rPr>
          <w:fldChar w:fldCharType="separate"/>
        </w:r>
        <w:r w:rsidR="0006023A">
          <w:rPr>
            <w:noProof/>
            <w:webHidden/>
          </w:rPr>
          <w:t>141</w:t>
        </w:r>
        <w:r w:rsidR="00BE53A8">
          <w:rPr>
            <w:noProof/>
            <w:webHidden/>
          </w:rPr>
          <w:fldChar w:fldCharType="end"/>
        </w:r>
      </w:hyperlink>
    </w:p>
    <w:p w14:paraId="4D2752B2" w14:textId="153D6D90" w:rsidR="00BE53A8" w:rsidRDefault="00077C0B">
      <w:pPr>
        <w:pStyle w:val="TableofFigures"/>
        <w:tabs>
          <w:tab w:val="right" w:leader="dot" w:pos="9350"/>
        </w:tabs>
        <w:rPr>
          <w:rFonts w:asciiTheme="minorHAnsi" w:eastAsiaTheme="minorEastAsia" w:hAnsiTheme="minorHAnsi"/>
          <w:noProof/>
          <w:sz w:val="22"/>
        </w:rPr>
      </w:pPr>
      <w:hyperlink w:anchor="_Toc67566240" w:history="1">
        <w:r w:rsidR="00BE53A8" w:rsidRPr="00527087">
          <w:rPr>
            <w:rStyle w:val="Hyperlink"/>
            <w:noProof/>
          </w:rPr>
          <w:t>Figure 5.12: Results of the parametric study with the continuum stress model ranking the parameters with the largest impact on stress development for the medium well. The cement pore pressure (</w:t>
        </w:r>
        <m:oMath>
          <m:r>
            <m:rPr>
              <m:sty m:val="bi"/>
            </m:rPr>
            <w:rPr>
              <w:rStyle w:val="Hyperlink"/>
              <w:rFonts w:ascii="Cambria Math" w:hAnsi="Cambria Math"/>
              <w:noProof/>
            </w:rPr>
            <m:t>Pp</m:t>
          </m:r>
        </m:oMath>
        <w:r w:rsidR="00BE53A8" w:rsidRPr="00527087">
          <w:rPr>
            <w:rStyle w:val="Hyperlink"/>
            <w:noProof/>
          </w:rPr>
          <w:t>), cement stress, and internal casing pressure have the most effect on the effective cement stress for the medium well stress continuum model.</w:t>
        </w:r>
        <w:r w:rsidR="00BE53A8">
          <w:rPr>
            <w:noProof/>
            <w:webHidden/>
          </w:rPr>
          <w:tab/>
        </w:r>
        <w:r w:rsidR="00BE53A8">
          <w:rPr>
            <w:noProof/>
            <w:webHidden/>
          </w:rPr>
          <w:fldChar w:fldCharType="begin"/>
        </w:r>
        <w:r w:rsidR="00BE53A8">
          <w:rPr>
            <w:noProof/>
            <w:webHidden/>
          </w:rPr>
          <w:instrText xml:space="preserve"> PAGEREF _Toc67566240 \h </w:instrText>
        </w:r>
        <w:r w:rsidR="00BE53A8">
          <w:rPr>
            <w:noProof/>
            <w:webHidden/>
          </w:rPr>
        </w:r>
        <w:r w:rsidR="00BE53A8">
          <w:rPr>
            <w:noProof/>
            <w:webHidden/>
          </w:rPr>
          <w:fldChar w:fldCharType="separate"/>
        </w:r>
        <w:r w:rsidR="0006023A">
          <w:rPr>
            <w:noProof/>
            <w:webHidden/>
          </w:rPr>
          <w:t>142</w:t>
        </w:r>
        <w:r w:rsidR="00BE53A8">
          <w:rPr>
            <w:noProof/>
            <w:webHidden/>
          </w:rPr>
          <w:fldChar w:fldCharType="end"/>
        </w:r>
      </w:hyperlink>
    </w:p>
    <w:p w14:paraId="789C6328" w14:textId="6B15466D" w:rsidR="00BE53A8" w:rsidRDefault="00077C0B">
      <w:pPr>
        <w:pStyle w:val="TableofFigures"/>
        <w:tabs>
          <w:tab w:val="right" w:leader="dot" w:pos="9350"/>
        </w:tabs>
        <w:rPr>
          <w:rFonts w:asciiTheme="minorHAnsi" w:eastAsiaTheme="minorEastAsia" w:hAnsiTheme="minorHAnsi"/>
          <w:noProof/>
          <w:sz w:val="22"/>
        </w:rPr>
      </w:pPr>
      <w:hyperlink w:anchor="_Toc67566241" w:history="1">
        <w:r w:rsidR="00BE53A8" w:rsidRPr="00527087">
          <w:rPr>
            <w:rStyle w:val="Hyperlink"/>
            <w:noProof/>
          </w:rPr>
          <w:t>Figure 5.13: Results of the parametric study with the fracture model ranking the parameters with the largest impact on stress development for the medium well. The cement pore pressure (</w:t>
        </w:r>
        <m:oMath>
          <m:r>
            <m:rPr>
              <m:sty m:val="bi"/>
            </m:rPr>
            <w:rPr>
              <w:rStyle w:val="Hyperlink"/>
              <w:rFonts w:ascii="Cambria Math" w:hAnsi="Cambria Math"/>
              <w:noProof/>
            </w:rPr>
            <m:t>Pp</m:t>
          </m:r>
        </m:oMath>
        <w:r w:rsidR="00BE53A8" w:rsidRPr="00527087">
          <w:rPr>
            <w:rStyle w:val="Hyperlink"/>
            <w:noProof/>
          </w:rPr>
          <w:t>), cement stress, and internal casing pressure have the most effect on the effective cement stress for the medium well fracture model.</w:t>
        </w:r>
        <w:r w:rsidR="00BE53A8">
          <w:rPr>
            <w:noProof/>
            <w:webHidden/>
          </w:rPr>
          <w:tab/>
        </w:r>
        <w:r w:rsidR="00BE53A8">
          <w:rPr>
            <w:noProof/>
            <w:webHidden/>
          </w:rPr>
          <w:fldChar w:fldCharType="begin"/>
        </w:r>
        <w:r w:rsidR="00BE53A8">
          <w:rPr>
            <w:noProof/>
            <w:webHidden/>
          </w:rPr>
          <w:instrText xml:space="preserve"> PAGEREF _Toc67566241 \h </w:instrText>
        </w:r>
        <w:r w:rsidR="00BE53A8">
          <w:rPr>
            <w:noProof/>
            <w:webHidden/>
          </w:rPr>
        </w:r>
        <w:r w:rsidR="00BE53A8">
          <w:rPr>
            <w:noProof/>
            <w:webHidden/>
          </w:rPr>
          <w:fldChar w:fldCharType="separate"/>
        </w:r>
        <w:r w:rsidR="0006023A">
          <w:rPr>
            <w:noProof/>
            <w:webHidden/>
          </w:rPr>
          <w:t>143</w:t>
        </w:r>
        <w:r w:rsidR="00BE53A8">
          <w:rPr>
            <w:noProof/>
            <w:webHidden/>
          </w:rPr>
          <w:fldChar w:fldCharType="end"/>
        </w:r>
      </w:hyperlink>
    </w:p>
    <w:p w14:paraId="2294F656" w14:textId="4F88FB9A" w:rsidR="00BE53A8" w:rsidRDefault="00077C0B">
      <w:pPr>
        <w:pStyle w:val="TableofFigures"/>
        <w:tabs>
          <w:tab w:val="right" w:leader="dot" w:pos="9350"/>
        </w:tabs>
        <w:rPr>
          <w:rFonts w:asciiTheme="minorHAnsi" w:eastAsiaTheme="minorEastAsia" w:hAnsiTheme="minorHAnsi"/>
          <w:noProof/>
          <w:sz w:val="22"/>
        </w:rPr>
      </w:pPr>
      <w:hyperlink w:anchor="_Toc67566242" w:history="1">
        <w:r w:rsidR="00BE53A8" w:rsidRPr="00527087">
          <w:rPr>
            <w:rStyle w:val="Hyperlink"/>
            <w:noProof/>
          </w:rPr>
          <w:t>Figure 5.14: Results of the parametric study with the continuum stress model ranking the parameters with the largest impact on stress development for the deep well. The cement pore pressure (</w:t>
        </w:r>
        <m:oMath>
          <m:r>
            <m:rPr>
              <m:sty m:val="bi"/>
            </m:rPr>
            <w:rPr>
              <w:rStyle w:val="Hyperlink"/>
              <w:rFonts w:ascii="Cambria Math" w:hAnsi="Cambria Math"/>
              <w:noProof/>
            </w:rPr>
            <m:t>Pp</m:t>
          </m:r>
        </m:oMath>
        <w:r w:rsidR="00BE53A8" w:rsidRPr="00527087">
          <w:rPr>
            <w:rStyle w:val="Hyperlink"/>
            <w:noProof/>
          </w:rPr>
          <w:t>), cement stress, and internal casing pressure have the most effect on the effective cement stress for the deep well stress continuum model.</w:t>
        </w:r>
        <w:r w:rsidR="00BE53A8">
          <w:rPr>
            <w:noProof/>
            <w:webHidden/>
          </w:rPr>
          <w:tab/>
        </w:r>
        <w:r w:rsidR="00BE53A8">
          <w:rPr>
            <w:noProof/>
            <w:webHidden/>
          </w:rPr>
          <w:fldChar w:fldCharType="begin"/>
        </w:r>
        <w:r w:rsidR="00BE53A8">
          <w:rPr>
            <w:noProof/>
            <w:webHidden/>
          </w:rPr>
          <w:instrText xml:space="preserve"> PAGEREF _Toc67566242 \h </w:instrText>
        </w:r>
        <w:r w:rsidR="00BE53A8">
          <w:rPr>
            <w:noProof/>
            <w:webHidden/>
          </w:rPr>
        </w:r>
        <w:r w:rsidR="00BE53A8">
          <w:rPr>
            <w:noProof/>
            <w:webHidden/>
          </w:rPr>
          <w:fldChar w:fldCharType="separate"/>
        </w:r>
        <w:r w:rsidR="0006023A">
          <w:rPr>
            <w:noProof/>
            <w:webHidden/>
          </w:rPr>
          <w:t>144</w:t>
        </w:r>
        <w:r w:rsidR="00BE53A8">
          <w:rPr>
            <w:noProof/>
            <w:webHidden/>
          </w:rPr>
          <w:fldChar w:fldCharType="end"/>
        </w:r>
      </w:hyperlink>
    </w:p>
    <w:p w14:paraId="47BAFE02" w14:textId="25BDB722" w:rsidR="00BE53A8" w:rsidRDefault="00077C0B">
      <w:pPr>
        <w:pStyle w:val="TableofFigures"/>
        <w:tabs>
          <w:tab w:val="right" w:leader="dot" w:pos="9350"/>
        </w:tabs>
        <w:rPr>
          <w:rFonts w:asciiTheme="minorHAnsi" w:eastAsiaTheme="minorEastAsia" w:hAnsiTheme="minorHAnsi"/>
          <w:noProof/>
          <w:sz w:val="22"/>
        </w:rPr>
      </w:pPr>
      <w:hyperlink w:anchor="_Toc67566243" w:history="1">
        <w:r w:rsidR="00BE53A8" w:rsidRPr="00527087">
          <w:rPr>
            <w:rStyle w:val="Hyperlink"/>
            <w:noProof/>
          </w:rPr>
          <w:t>Figure 5.15: Results of the parametric study with the fracture model ranking the parameters with the largest impact on stress development for the deep well. The cement pore pressure (</w:t>
        </w:r>
        <m:oMath>
          <m:r>
            <m:rPr>
              <m:sty m:val="bi"/>
            </m:rPr>
            <w:rPr>
              <w:rStyle w:val="Hyperlink"/>
              <w:rFonts w:ascii="Cambria Math" w:hAnsi="Cambria Math"/>
              <w:noProof/>
            </w:rPr>
            <m:t>Pp</m:t>
          </m:r>
        </m:oMath>
        <w:r w:rsidR="00BE53A8" w:rsidRPr="00527087">
          <w:rPr>
            <w:rStyle w:val="Hyperlink"/>
            <w:noProof/>
          </w:rPr>
          <w:t>), cement stress, and internal casing pressure have the most effect on the effective cement stress for the deepwell fracture model.</w:t>
        </w:r>
        <w:r w:rsidR="00BE53A8">
          <w:rPr>
            <w:noProof/>
            <w:webHidden/>
          </w:rPr>
          <w:tab/>
        </w:r>
        <w:r w:rsidR="00BE53A8">
          <w:rPr>
            <w:noProof/>
            <w:webHidden/>
          </w:rPr>
          <w:fldChar w:fldCharType="begin"/>
        </w:r>
        <w:r w:rsidR="00BE53A8">
          <w:rPr>
            <w:noProof/>
            <w:webHidden/>
          </w:rPr>
          <w:instrText xml:space="preserve"> PAGEREF _Toc67566243 \h </w:instrText>
        </w:r>
        <w:r w:rsidR="00BE53A8">
          <w:rPr>
            <w:noProof/>
            <w:webHidden/>
          </w:rPr>
        </w:r>
        <w:r w:rsidR="00BE53A8">
          <w:rPr>
            <w:noProof/>
            <w:webHidden/>
          </w:rPr>
          <w:fldChar w:fldCharType="separate"/>
        </w:r>
        <w:r w:rsidR="0006023A">
          <w:rPr>
            <w:noProof/>
            <w:webHidden/>
          </w:rPr>
          <w:t>145</w:t>
        </w:r>
        <w:r w:rsidR="00BE53A8">
          <w:rPr>
            <w:noProof/>
            <w:webHidden/>
          </w:rPr>
          <w:fldChar w:fldCharType="end"/>
        </w:r>
      </w:hyperlink>
    </w:p>
    <w:p w14:paraId="6BAF787A" w14:textId="51F44C3E" w:rsidR="00BE53A8" w:rsidRDefault="00077C0B">
      <w:pPr>
        <w:pStyle w:val="TableofFigures"/>
        <w:tabs>
          <w:tab w:val="right" w:leader="dot" w:pos="9350"/>
        </w:tabs>
        <w:rPr>
          <w:rFonts w:asciiTheme="minorHAnsi" w:eastAsiaTheme="minorEastAsia" w:hAnsiTheme="minorHAnsi"/>
          <w:noProof/>
          <w:sz w:val="22"/>
        </w:rPr>
      </w:pPr>
      <w:hyperlink w:anchor="_Toc67566244" w:history="1">
        <w:r w:rsidR="00BE53A8" w:rsidRPr="00527087">
          <w:rPr>
            <w:rStyle w:val="Hyperlink"/>
            <w:noProof/>
          </w:rPr>
          <w:t>Figure 5.16: Continuous leakage pathways for the shallow well (black), medium well (blue), and deep well (orange) in the Eugene Island OPD. The solid line is the water induced microannuli while the dashed line is the gas induced microannuli. The water induced microannuli do not propagate up the wellbore whereas the gas induced microannuli propagate up the wellbore for the medium and deep wells.</w:t>
        </w:r>
        <w:r w:rsidR="00BE53A8">
          <w:rPr>
            <w:noProof/>
            <w:webHidden/>
          </w:rPr>
          <w:tab/>
        </w:r>
        <w:r w:rsidR="00BE53A8">
          <w:rPr>
            <w:noProof/>
            <w:webHidden/>
          </w:rPr>
          <w:fldChar w:fldCharType="begin"/>
        </w:r>
        <w:r w:rsidR="00BE53A8">
          <w:rPr>
            <w:noProof/>
            <w:webHidden/>
          </w:rPr>
          <w:instrText xml:space="preserve"> PAGEREF _Toc67566244 \h </w:instrText>
        </w:r>
        <w:r w:rsidR="00BE53A8">
          <w:rPr>
            <w:noProof/>
            <w:webHidden/>
          </w:rPr>
        </w:r>
        <w:r w:rsidR="00BE53A8">
          <w:rPr>
            <w:noProof/>
            <w:webHidden/>
          </w:rPr>
          <w:fldChar w:fldCharType="separate"/>
        </w:r>
        <w:r w:rsidR="0006023A">
          <w:rPr>
            <w:noProof/>
            <w:webHidden/>
          </w:rPr>
          <w:t>147</w:t>
        </w:r>
        <w:r w:rsidR="00BE53A8">
          <w:rPr>
            <w:noProof/>
            <w:webHidden/>
          </w:rPr>
          <w:fldChar w:fldCharType="end"/>
        </w:r>
      </w:hyperlink>
    </w:p>
    <w:p w14:paraId="45ADD3C9" w14:textId="285D53F0" w:rsidR="00BE53A8" w:rsidRDefault="00077C0B">
      <w:pPr>
        <w:pStyle w:val="TableofFigures"/>
        <w:tabs>
          <w:tab w:val="right" w:leader="dot" w:pos="9350"/>
        </w:tabs>
        <w:rPr>
          <w:rFonts w:asciiTheme="minorHAnsi" w:eastAsiaTheme="minorEastAsia" w:hAnsiTheme="minorHAnsi"/>
          <w:noProof/>
          <w:sz w:val="22"/>
        </w:rPr>
      </w:pPr>
      <w:hyperlink w:anchor="_Toc67566245" w:history="1">
        <w:r w:rsidR="00BE53A8" w:rsidRPr="00527087">
          <w:rPr>
            <w:rStyle w:val="Hyperlink"/>
            <w:noProof/>
          </w:rPr>
          <w:t>Figure 5.17: Microannuli magnitude versus reduction in pressure (</w:t>
        </w:r>
        <m:oMath>
          <m:r>
            <m:rPr>
              <m:sty m:val="bi"/>
            </m:rPr>
            <w:rPr>
              <w:rStyle w:val="Hyperlink"/>
              <w:rFonts w:ascii="Cambria Math" w:hAnsi="Cambria Math"/>
              <w:noProof/>
            </w:rPr>
            <m:t>ΔP</m:t>
          </m:r>
        </m:oMath>
        <w:r w:rsidR="00BE53A8" w:rsidRPr="00527087">
          <w:rPr>
            <w:rStyle w:val="Hyperlink"/>
            <w:noProof/>
          </w:rPr>
          <w:t>) and temperature (</w:t>
        </w:r>
        <m:oMath>
          <m:r>
            <m:rPr>
              <m:sty m:val="bi"/>
            </m:rPr>
            <w:rPr>
              <w:rStyle w:val="Hyperlink"/>
              <w:rFonts w:ascii="Cambria Math" w:hAnsi="Cambria Math"/>
              <w:noProof/>
            </w:rPr>
            <m:t>ΔT</m:t>
          </m:r>
        </m:oMath>
        <w:r w:rsidR="00BE53A8" w:rsidRPr="00527087">
          <w:rPr>
            <w:rStyle w:val="Hyperlink"/>
            <w:noProof/>
          </w:rPr>
          <w:t xml:space="preserve">) at the casing/cement interface. Micron (μm) sized microannuli initiate at </w:t>
        </w:r>
        <m:oMath>
          <m:r>
            <m:rPr>
              <m:sty m:val="bi"/>
            </m:rPr>
            <w:rPr>
              <w:rStyle w:val="Hyperlink"/>
              <w:rFonts w:ascii="Cambria Math" w:hAnsi="Cambria Math"/>
              <w:noProof/>
            </w:rPr>
            <m:t>ΔP</m:t>
          </m:r>
        </m:oMath>
        <w:r w:rsidR="00BE53A8" w:rsidRPr="00527087">
          <w:rPr>
            <w:rStyle w:val="Hyperlink"/>
            <w:noProof/>
          </w:rPr>
          <w:t xml:space="preserve"> = 43.3% and </w:t>
        </w:r>
        <m:oMath>
          <m:r>
            <m:rPr>
              <m:sty m:val="bi"/>
            </m:rPr>
            <w:rPr>
              <w:rStyle w:val="Hyperlink"/>
              <w:rFonts w:ascii="Cambria Math" w:hAnsi="Cambria Math"/>
              <w:noProof/>
            </w:rPr>
            <m:t>ΔT</m:t>
          </m:r>
        </m:oMath>
        <w:r w:rsidR="00BE53A8" w:rsidRPr="00527087">
          <w:rPr>
            <w:rStyle w:val="Hyperlink"/>
            <w:noProof/>
          </w:rPr>
          <w:t xml:space="preserve"> = 42.5%.</w:t>
        </w:r>
        <w:r w:rsidR="00BE53A8">
          <w:rPr>
            <w:noProof/>
            <w:webHidden/>
          </w:rPr>
          <w:tab/>
        </w:r>
        <w:r w:rsidR="00BE53A8">
          <w:rPr>
            <w:noProof/>
            <w:webHidden/>
          </w:rPr>
          <w:fldChar w:fldCharType="begin"/>
        </w:r>
        <w:r w:rsidR="00BE53A8">
          <w:rPr>
            <w:noProof/>
            <w:webHidden/>
          </w:rPr>
          <w:instrText xml:space="preserve"> PAGEREF _Toc67566245 \h </w:instrText>
        </w:r>
        <w:r w:rsidR="00BE53A8">
          <w:rPr>
            <w:noProof/>
            <w:webHidden/>
          </w:rPr>
        </w:r>
        <w:r w:rsidR="00BE53A8">
          <w:rPr>
            <w:noProof/>
            <w:webHidden/>
          </w:rPr>
          <w:fldChar w:fldCharType="separate"/>
        </w:r>
        <w:r w:rsidR="0006023A">
          <w:rPr>
            <w:noProof/>
            <w:webHidden/>
          </w:rPr>
          <w:t>149</w:t>
        </w:r>
        <w:r w:rsidR="00BE53A8">
          <w:rPr>
            <w:noProof/>
            <w:webHidden/>
          </w:rPr>
          <w:fldChar w:fldCharType="end"/>
        </w:r>
      </w:hyperlink>
    </w:p>
    <w:p w14:paraId="38A29C6A" w14:textId="3A9FECCA" w:rsidR="00BE53A8" w:rsidRDefault="00077C0B">
      <w:pPr>
        <w:pStyle w:val="TableofFigures"/>
        <w:tabs>
          <w:tab w:val="right" w:leader="dot" w:pos="9350"/>
        </w:tabs>
        <w:rPr>
          <w:rFonts w:asciiTheme="minorHAnsi" w:eastAsiaTheme="minorEastAsia" w:hAnsiTheme="minorHAnsi"/>
          <w:noProof/>
          <w:sz w:val="22"/>
        </w:rPr>
      </w:pPr>
      <w:hyperlink w:anchor="_Toc67566246" w:history="1">
        <w:r w:rsidR="00BE53A8" w:rsidRPr="00527087">
          <w:rPr>
            <w:rStyle w:val="Hyperlink"/>
            <w:noProof/>
          </w:rPr>
          <w:t xml:space="preserve">Figure 5.18: </w:t>
        </w:r>
        <m:oMath>
          <m:r>
            <m:rPr>
              <m:sty m:val="bi"/>
            </m:rPr>
            <w:rPr>
              <w:rStyle w:val="Hyperlink"/>
              <w:rFonts w:ascii="Cambria Math" w:hAnsi="Cambria Math"/>
              <w:noProof/>
            </w:rPr>
            <m:t>ΔP</m:t>
          </m:r>
        </m:oMath>
        <w:r w:rsidR="00BE53A8" w:rsidRPr="00527087">
          <w:rPr>
            <w:rStyle w:val="Hyperlink"/>
            <w:noProof/>
          </w:rPr>
          <w:t xml:space="preserve"> and </w:t>
        </w:r>
        <m:oMath>
          <m:r>
            <m:rPr>
              <m:sty m:val="bi"/>
            </m:rPr>
            <w:rPr>
              <w:rStyle w:val="Hyperlink"/>
              <w:rFonts w:ascii="Cambria Math" w:hAnsi="Cambria Math"/>
              <w:noProof/>
            </w:rPr>
            <m:t>ΔT</m:t>
          </m:r>
        </m:oMath>
        <w:r w:rsidR="00BE53A8" w:rsidRPr="00527087">
          <w:rPr>
            <w:rStyle w:val="Hyperlink"/>
            <w:noProof/>
          </w:rPr>
          <w:t xml:space="preserve"> and their respective microannuli sizes at the cement/rock interface. Note that the max size of the microannuli are two orders of magnitude smaller than the microannuli at the casing/cement interface.</w:t>
        </w:r>
        <w:r w:rsidR="00BE53A8">
          <w:rPr>
            <w:noProof/>
            <w:webHidden/>
          </w:rPr>
          <w:tab/>
        </w:r>
        <w:r w:rsidR="00BE53A8">
          <w:rPr>
            <w:noProof/>
            <w:webHidden/>
          </w:rPr>
          <w:fldChar w:fldCharType="begin"/>
        </w:r>
        <w:r w:rsidR="00BE53A8">
          <w:rPr>
            <w:noProof/>
            <w:webHidden/>
          </w:rPr>
          <w:instrText xml:space="preserve"> PAGEREF _Toc67566246 \h </w:instrText>
        </w:r>
        <w:r w:rsidR="00BE53A8">
          <w:rPr>
            <w:noProof/>
            <w:webHidden/>
          </w:rPr>
        </w:r>
        <w:r w:rsidR="00BE53A8">
          <w:rPr>
            <w:noProof/>
            <w:webHidden/>
          </w:rPr>
          <w:fldChar w:fldCharType="separate"/>
        </w:r>
        <w:r w:rsidR="0006023A">
          <w:rPr>
            <w:noProof/>
            <w:webHidden/>
          </w:rPr>
          <w:t>150</w:t>
        </w:r>
        <w:r w:rsidR="00BE53A8">
          <w:rPr>
            <w:noProof/>
            <w:webHidden/>
          </w:rPr>
          <w:fldChar w:fldCharType="end"/>
        </w:r>
      </w:hyperlink>
    </w:p>
    <w:p w14:paraId="5157528B" w14:textId="0EFD562C" w:rsidR="00BE53A8" w:rsidRDefault="00077C0B">
      <w:pPr>
        <w:pStyle w:val="TableofFigures"/>
        <w:tabs>
          <w:tab w:val="right" w:leader="dot" w:pos="9350"/>
        </w:tabs>
        <w:rPr>
          <w:rFonts w:asciiTheme="minorHAnsi" w:eastAsiaTheme="minorEastAsia" w:hAnsiTheme="minorHAnsi"/>
          <w:noProof/>
          <w:sz w:val="22"/>
        </w:rPr>
      </w:pPr>
      <w:hyperlink w:anchor="_Toc67566247" w:history="1">
        <w:r w:rsidR="00BE53A8" w:rsidRPr="00527087">
          <w:rPr>
            <w:rStyle w:val="Hyperlink"/>
            <w:noProof/>
          </w:rPr>
          <w:t>Figure 5.19: Parametric analysis of the maximum and minimum variables tested for change in wellbore pressures (</w:t>
        </w:r>
        <m:oMath>
          <m:r>
            <m:rPr>
              <m:sty m:val="bi"/>
            </m:rPr>
            <w:rPr>
              <w:rStyle w:val="Hyperlink"/>
              <w:rFonts w:ascii="Cambria Math" w:hAnsi="Cambria Math"/>
              <w:noProof/>
            </w:rPr>
            <m:t>ΔP</m:t>
          </m:r>
        </m:oMath>
        <w:r w:rsidR="00BE53A8" w:rsidRPr="00527087">
          <w:rPr>
            <w:rStyle w:val="Hyperlink"/>
            <w:noProof/>
          </w:rPr>
          <w:t>) of 29%, 44%, 50%, and 67%. Variances in the hole size and casing thickness have the largest change in resulting gap magnitudes.</w:t>
        </w:r>
        <w:r w:rsidR="00BE53A8">
          <w:rPr>
            <w:noProof/>
            <w:webHidden/>
          </w:rPr>
          <w:tab/>
        </w:r>
        <w:r w:rsidR="00BE53A8">
          <w:rPr>
            <w:noProof/>
            <w:webHidden/>
          </w:rPr>
          <w:fldChar w:fldCharType="begin"/>
        </w:r>
        <w:r w:rsidR="00BE53A8">
          <w:rPr>
            <w:noProof/>
            <w:webHidden/>
          </w:rPr>
          <w:instrText xml:space="preserve"> PAGEREF _Toc67566247 \h </w:instrText>
        </w:r>
        <w:r w:rsidR="00BE53A8">
          <w:rPr>
            <w:noProof/>
            <w:webHidden/>
          </w:rPr>
        </w:r>
        <w:r w:rsidR="00BE53A8">
          <w:rPr>
            <w:noProof/>
            <w:webHidden/>
          </w:rPr>
          <w:fldChar w:fldCharType="separate"/>
        </w:r>
        <w:r w:rsidR="0006023A">
          <w:rPr>
            <w:noProof/>
            <w:webHidden/>
          </w:rPr>
          <w:t>153</w:t>
        </w:r>
        <w:r w:rsidR="00BE53A8">
          <w:rPr>
            <w:noProof/>
            <w:webHidden/>
          </w:rPr>
          <w:fldChar w:fldCharType="end"/>
        </w:r>
      </w:hyperlink>
    </w:p>
    <w:p w14:paraId="1E0675A4" w14:textId="47CB6CF8" w:rsidR="00BE53A8" w:rsidRDefault="00077C0B">
      <w:pPr>
        <w:pStyle w:val="TableofFigures"/>
        <w:tabs>
          <w:tab w:val="right" w:leader="dot" w:pos="9350"/>
        </w:tabs>
        <w:rPr>
          <w:rFonts w:asciiTheme="minorHAnsi" w:eastAsiaTheme="minorEastAsia" w:hAnsiTheme="minorHAnsi"/>
          <w:noProof/>
          <w:sz w:val="22"/>
        </w:rPr>
      </w:pPr>
      <w:hyperlink w:anchor="_Toc67566248" w:history="1">
        <w:r w:rsidR="00BE53A8" w:rsidRPr="00527087">
          <w:rPr>
            <w:rStyle w:val="Hyperlink"/>
            <w:noProof/>
          </w:rPr>
          <w:t>Figure 5.20: Parametric analysis of the maximum and minimum variables tested for change in wellbore temperatures (</w:t>
        </w:r>
        <m:oMath>
          <m:r>
            <m:rPr>
              <m:sty m:val="bi"/>
            </m:rPr>
            <w:rPr>
              <w:rStyle w:val="Hyperlink"/>
              <w:rFonts w:ascii="Cambria Math" w:hAnsi="Cambria Math"/>
              <w:noProof/>
            </w:rPr>
            <m:t>ΔT</m:t>
          </m:r>
        </m:oMath>
        <w:r w:rsidR="00BE53A8" w:rsidRPr="00527087">
          <w:rPr>
            <w:rStyle w:val="Hyperlink"/>
            <w:noProof/>
          </w:rPr>
          <w:t>) of 29%, 44%, 50%, and 67%. None of the wellbore parameters change gap magnitude as significantly as hole size and casing thickness do for change in pressures (</w:t>
        </w:r>
        <m:oMath>
          <m:r>
            <m:rPr>
              <m:sty m:val="bi"/>
            </m:rPr>
            <w:rPr>
              <w:rStyle w:val="Hyperlink"/>
              <w:rFonts w:ascii="Cambria Math" w:hAnsi="Cambria Math"/>
              <w:noProof/>
            </w:rPr>
            <m:t>ΔP</m:t>
          </m:r>
        </m:oMath>
        <w:r w:rsidR="00BE53A8" w:rsidRPr="00527087">
          <w:rPr>
            <w:rStyle w:val="Hyperlink"/>
            <w:noProof/>
          </w:rPr>
          <w:t>).</w:t>
        </w:r>
        <w:r w:rsidR="00BE53A8">
          <w:rPr>
            <w:noProof/>
            <w:webHidden/>
          </w:rPr>
          <w:tab/>
        </w:r>
        <w:r w:rsidR="00BE53A8">
          <w:rPr>
            <w:noProof/>
            <w:webHidden/>
          </w:rPr>
          <w:fldChar w:fldCharType="begin"/>
        </w:r>
        <w:r w:rsidR="00BE53A8">
          <w:rPr>
            <w:noProof/>
            <w:webHidden/>
          </w:rPr>
          <w:instrText xml:space="preserve"> PAGEREF _Toc67566248 \h </w:instrText>
        </w:r>
        <w:r w:rsidR="00BE53A8">
          <w:rPr>
            <w:noProof/>
            <w:webHidden/>
          </w:rPr>
        </w:r>
        <w:r w:rsidR="00BE53A8">
          <w:rPr>
            <w:noProof/>
            <w:webHidden/>
          </w:rPr>
          <w:fldChar w:fldCharType="separate"/>
        </w:r>
        <w:r w:rsidR="0006023A">
          <w:rPr>
            <w:noProof/>
            <w:webHidden/>
          </w:rPr>
          <w:t>154</w:t>
        </w:r>
        <w:r w:rsidR="00BE53A8">
          <w:rPr>
            <w:noProof/>
            <w:webHidden/>
          </w:rPr>
          <w:fldChar w:fldCharType="end"/>
        </w:r>
      </w:hyperlink>
    </w:p>
    <w:p w14:paraId="78DBD191" w14:textId="07D4A16F" w:rsidR="00BE53A8" w:rsidRDefault="00077C0B">
      <w:pPr>
        <w:pStyle w:val="TableofFigures"/>
        <w:tabs>
          <w:tab w:val="right" w:leader="dot" w:pos="9350"/>
        </w:tabs>
        <w:rPr>
          <w:rFonts w:asciiTheme="minorHAnsi" w:eastAsiaTheme="minorEastAsia" w:hAnsiTheme="minorHAnsi"/>
          <w:noProof/>
          <w:sz w:val="22"/>
        </w:rPr>
      </w:pPr>
      <w:hyperlink w:anchor="_Toc67566249" w:history="1">
        <w:r w:rsidR="00BE53A8" w:rsidRPr="00527087">
          <w:rPr>
            <w:rStyle w:val="Hyperlink"/>
            <w:noProof/>
          </w:rPr>
          <w:t xml:space="preserve">Figure 5.21: Heat map showing the gap magnitudes resulting from a combination of </w:t>
        </w:r>
        <m:oMath>
          <m:r>
            <m:rPr>
              <m:sty m:val="bi"/>
            </m:rPr>
            <w:rPr>
              <w:rStyle w:val="Hyperlink"/>
              <w:rFonts w:ascii="Cambria Math" w:hAnsi="Cambria Math"/>
              <w:noProof/>
            </w:rPr>
            <m:t>ΔP</m:t>
          </m:r>
        </m:oMath>
        <w:r w:rsidR="00BE53A8" w:rsidRPr="00527087">
          <w:rPr>
            <w:rStyle w:val="Hyperlink"/>
            <w:noProof/>
          </w:rPr>
          <w:t xml:space="preserve"> and </w:t>
        </w:r>
        <m:oMath>
          <m:r>
            <m:rPr>
              <m:sty m:val="bi"/>
            </m:rPr>
            <w:rPr>
              <w:rStyle w:val="Hyperlink"/>
              <w:rFonts w:ascii="Cambria Math" w:hAnsi="Cambria Math"/>
              <w:noProof/>
            </w:rPr>
            <m:t>ΔT</m:t>
          </m:r>
        </m:oMath>
        <w:r w:rsidR="00BE53A8" w:rsidRPr="00527087">
          <w:rPr>
            <w:rStyle w:val="Hyperlink"/>
            <w:noProof/>
          </w:rPr>
          <w:t xml:space="preserve">.  A positive </w:t>
        </w:r>
        <m:oMath>
          <m:r>
            <m:rPr>
              <m:sty m:val="bi"/>
            </m:rPr>
            <w:rPr>
              <w:rStyle w:val="Hyperlink"/>
              <w:rFonts w:ascii="Cambria Math" w:hAnsi="Cambria Math"/>
              <w:noProof/>
            </w:rPr>
            <m:t>Δ</m:t>
          </m:r>
        </m:oMath>
        <w:r w:rsidR="00BE53A8" w:rsidRPr="00527087">
          <w:rPr>
            <w:rStyle w:val="Hyperlink"/>
            <w:noProof/>
          </w:rPr>
          <w:t xml:space="preserve"> indicates a reduction while a negative </w:t>
        </w:r>
        <m:oMath>
          <m:r>
            <m:rPr>
              <m:sty m:val="bi"/>
            </m:rPr>
            <w:rPr>
              <w:rStyle w:val="Hyperlink"/>
              <w:rFonts w:ascii="Cambria Math" w:hAnsi="Cambria Math"/>
              <w:noProof/>
            </w:rPr>
            <m:t>Δ</m:t>
          </m:r>
        </m:oMath>
        <w:r w:rsidR="00BE53A8" w:rsidRPr="00527087">
          <w:rPr>
            <w:rStyle w:val="Hyperlink"/>
            <w:noProof/>
          </w:rPr>
          <w:t xml:space="preserve"> is an increase.  Note in the legend that nanometer (nm) sized gaps are indicated (0.001 μm) along with micron (μm) sized gaps.  The results of this heat map are indicative of a 31.12 cm (12.25”) hole size with 24.45 cm (9.625”) P-110EC casing at a depth of 1,920 m (6,300 ft.).</w:t>
        </w:r>
        <w:r w:rsidR="00BE53A8">
          <w:rPr>
            <w:noProof/>
            <w:webHidden/>
          </w:rPr>
          <w:tab/>
        </w:r>
        <w:r w:rsidR="00BE53A8">
          <w:rPr>
            <w:noProof/>
            <w:webHidden/>
          </w:rPr>
          <w:fldChar w:fldCharType="begin"/>
        </w:r>
        <w:r w:rsidR="00BE53A8">
          <w:rPr>
            <w:noProof/>
            <w:webHidden/>
          </w:rPr>
          <w:instrText xml:space="preserve"> PAGEREF _Toc67566249 \h </w:instrText>
        </w:r>
        <w:r w:rsidR="00BE53A8">
          <w:rPr>
            <w:noProof/>
            <w:webHidden/>
          </w:rPr>
        </w:r>
        <w:r w:rsidR="00BE53A8">
          <w:rPr>
            <w:noProof/>
            <w:webHidden/>
          </w:rPr>
          <w:fldChar w:fldCharType="separate"/>
        </w:r>
        <w:r w:rsidR="0006023A">
          <w:rPr>
            <w:noProof/>
            <w:webHidden/>
          </w:rPr>
          <w:t>160</w:t>
        </w:r>
        <w:r w:rsidR="00BE53A8">
          <w:rPr>
            <w:noProof/>
            <w:webHidden/>
          </w:rPr>
          <w:fldChar w:fldCharType="end"/>
        </w:r>
      </w:hyperlink>
    </w:p>
    <w:p w14:paraId="2403A256" w14:textId="105A8779" w:rsidR="00BE53A8" w:rsidRDefault="00077C0B">
      <w:pPr>
        <w:pStyle w:val="TableofFigures"/>
        <w:tabs>
          <w:tab w:val="right" w:leader="dot" w:pos="9350"/>
        </w:tabs>
        <w:rPr>
          <w:rFonts w:asciiTheme="minorHAnsi" w:eastAsiaTheme="minorEastAsia" w:hAnsiTheme="minorHAnsi"/>
          <w:noProof/>
          <w:sz w:val="22"/>
        </w:rPr>
      </w:pPr>
      <w:hyperlink w:anchor="_Toc67566250" w:history="1">
        <w:r w:rsidR="00BE53A8" w:rsidRPr="00527087">
          <w:rPr>
            <w:rStyle w:val="Hyperlink"/>
            <w:noProof/>
          </w:rPr>
          <w:t xml:space="preserve">Figure 5.22: Heat map showing the gap magnitudes resulting from a combination of </w:t>
        </w:r>
        <m:oMath>
          <m:r>
            <m:rPr>
              <m:sty m:val="bi"/>
            </m:rPr>
            <w:rPr>
              <w:rStyle w:val="Hyperlink"/>
              <w:rFonts w:ascii="Cambria Math" w:hAnsi="Cambria Math"/>
              <w:noProof/>
            </w:rPr>
            <m:t>ΔP</m:t>
          </m:r>
        </m:oMath>
        <w:r w:rsidR="00BE53A8" w:rsidRPr="00527087">
          <w:rPr>
            <w:rStyle w:val="Hyperlink"/>
            <w:noProof/>
          </w:rPr>
          <w:t xml:space="preserve"> and </w:t>
        </w:r>
        <m:oMath>
          <m:r>
            <m:rPr>
              <m:sty m:val="bi"/>
            </m:rPr>
            <w:rPr>
              <w:rStyle w:val="Hyperlink"/>
              <w:rFonts w:ascii="Cambria Math" w:hAnsi="Cambria Math"/>
              <w:noProof/>
            </w:rPr>
            <m:t>ΔT</m:t>
          </m:r>
        </m:oMath>
        <w:r w:rsidR="00BE53A8" w:rsidRPr="00527087">
          <w:rPr>
            <w:rStyle w:val="Hyperlink"/>
            <w:noProof/>
          </w:rPr>
          <w:t xml:space="preserve">.  A positive </w:t>
        </w:r>
        <m:oMath>
          <m:r>
            <m:rPr>
              <m:sty m:val="bi"/>
            </m:rPr>
            <w:rPr>
              <w:rStyle w:val="Hyperlink"/>
              <w:rFonts w:ascii="Cambria Math" w:hAnsi="Cambria Math"/>
              <w:noProof/>
            </w:rPr>
            <m:t>Δ</m:t>
          </m:r>
        </m:oMath>
        <w:r w:rsidR="00BE53A8" w:rsidRPr="00527087">
          <w:rPr>
            <w:rStyle w:val="Hyperlink"/>
            <w:noProof/>
          </w:rPr>
          <w:t xml:space="preserve"> indicates a reduction while a negative </w:t>
        </w:r>
        <m:oMath>
          <m:r>
            <m:rPr>
              <m:sty m:val="bi"/>
            </m:rPr>
            <w:rPr>
              <w:rStyle w:val="Hyperlink"/>
              <w:rFonts w:ascii="Cambria Math" w:hAnsi="Cambria Math"/>
              <w:noProof/>
            </w:rPr>
            <m:t>Δ</m:t>
          </m:r>
        </m:oMath>
        <w:r w:rsidR="00BE53A8" w:rsidRPr="00527087">
          <w:rPr>
            <w:rStyle w:val="Hyperlink"/>
            <w:noProof/>
          </w:rPr>
          <w:t xml:space="preserve"> is an increase.  Note in the legend that nanometer (nm) sized gaps are indicated (0.001 μm) along with micron (μm) sized gaps. The results of this heat map are indicative of a 31.12 cm (12.25”) hole size with 24.45 cm (9.625”) P-110EC casing at a depth of 1,595 m (5,233 ft.).</w:t>
        </w:r>
        <w:r w:rsidR="00BE53A8">
          <w:rPr>
            <w:noProof/>
            <w:webHidden/>
          </w:rPr>
          <w:tab/>
        </w:r>
        <w:r w:rsidR="00BE53A8">
          <w:rPr>
            <w:noProof/>
            <w:webHidden/>
          </w:rPr>
          <w:fldChar w:fldCharType="begin"/>
        </w:r>
        <w:r w:rsidR="00BE53A8">
          <w:rPr>
            <w:noProof/>
            <w:webHidden/>
          </w:rPr>
          <w:instrText xml:space="preserve"> PAGEREF _Toc67566250 \h </w:instrText>
        </w:r>
        <w:r w:rsidR="00BE53A8">
          <w:rPr>
            <w:noProof/>
            <w:webHidden/>
          </w:rPr>
        </w:r>
        <w:r w:rsidR="00BE53A8">
          <w:rPr>
            <w:noProof/>
            <w:webHidden/>
          </w:rPr>
          <w:fldChar w:fldCharType="separate"/>
        </w:r>
        <w:r w:rsidR="0006023A">
          <w:rPr>
            <w:noProof/>
            <w:webHidden/>
          </w:rPr>
          <w:t>161</w:t>
        </w:r>
        <w:r w:rsidR="00BE53A8">
          <w:rPr>
            <w:noProof/>
            <w:webHidden/>
          </w:rPr>
          <w:fldChar w:fldCharType="end"/>
        </w:r>
      </w:hyperlink>
    </w:p>
    <w:p w14:paraId="3A777E0E" w14:textId="71544C7A" w:rsidR="00BE53A8" w:rsidRDefault="00077C0B">
      <w:pPr>
        <w:pStyle w:val="TableofFigures"/>
        <w:tabs>
          <w:tab w:val="right" w:leader="dot" w:pos="9350"/>
        </w:tabs>
        <w:rPr>
          <w:rFonts w:asciiTheme="minorHAnsi" w:eastAsiaTheme="minorEastAsia" w:hAnsiTheme="minorHAnsi"/>
          <w:noProof/>
          <w:sz w:val="22"/>
        </w:rPr>
      </w:pPr>
      <w:hyperlink w:anchor="_Toc67566251" w:history="1">
        <w:r w:rsidR="00BE53A8" w:rsidRPr="00527087">
          <w:rPr>
            <w:rStyle w:val="Hyperlink"/>
            <w:noProof/>
          </w:rPr>
          <w:t xml:space="preserve">Figure 5.23: Heat map showing the gap magnitudes resulting from a combination of </w:t>
        </w:r>
        <m:oMath>
          <m:r>
            <m:rPr>
              <m:sty m:val="bi"/>
            </m:rPr>
            <w:rPr>
              <w:rStyle w:val="Hyperlink"/>
              <w:rFonts w:ascii="Cambria Math" w:hAnsi="Cambria Math"/>
              <w:noProof/>
            </w:rPr>
            <m:t>ΔP</m:t>
          </m:r>
        </m:oMath>
        <w:r w:rsidR="00BE53A8" w:rsidRPr="00527087">
          <w:rPr>
            <w:rStyle w:val="Hyperlink"/>
            <w:noProof/>
          </w:rPr>
          <w:t xml:space="preserve"> and </w:t>
        </w:r>
        <m:oMath>
          <m:r>
            <m:rPr>
              <m:sty m:val="bi"/>
            </m:rPr>
            <w:rPr>
              <w:rStyle w:val="Hyperlink"/>
              <w:rFonts w:ascii="Cambria Math" w:hAnsi="Cambria Math"/>
              <w:noProof/>
            </w:rPr>
            <m:t>ΔT</m:t>
          </m:r>
        </m:oMath>
        <w:r w:rsidR="00BE53A8" w:rsidRPr="00527087">
          <w:rPr>
            <w:rStyle w:val="Hyperlink"/>
            <w:noProof/>
          </w:rPr>
          <w:t xml:space="preserve">.  A positive </w:t>
        </w:r>
        <m:oMath>
          <m:r>
            <m:rPr>
              <m:sty m:val="bi"/>
            </m:rPr>
            <w:rPr>
              <w:rStyle w:val="Hyperlink"/>
              <w:rFonts w:ascii="Cambria Math" w:hAnsi="Cambria Math"/>
              <w:noProof/>
            </w:rPr>
            <m:t>Δ</m:t>
          </m:r>
        </m:oMath>
        <w:r w:rsidR="00BE53A8" w:rsidRPr="00527087">
          <w:rPr>
            <w:rStyle w:val="Hyperlink"/>
            <w:noProof/>
          </w:rPr>
          <w:t xml:space="preserve"> indicates a reduction while a negative </w:t>
        </w:r>
        <m:oMath>
          <m:r>
            <m:rPr>
              <m:sty m:val="bi"/>
            </m:rPr>
            <w:rPr>
              <w:rStyle w:val="Hyperlink"/>
              <w:rFonts w:ascii="Cambria Math" w:hAnsi="Cambria Math"/>
              <w:noProof/>
            </w:rPr>
            <m:t>Δ</m:t>
          </m:r>
        </m:oMath>
        <w:r w:rsidR="00BE53A8" w:rsidRPr="00527087">
          <w:rPr>
            <w:rStyle w:val="Hyperlink"/>
            <w:noProof/>
          </w:rPr>
          <w:t xml:space="preserve"> is an increase.  Note in the legend that nanometer (nm) sized gaps are indicated (0.001 μm) along with micron (μm) sized gaps. The results of this heat map are indicative of a 31.12 cm (12.25”) hole size with 24.45 cm (9.625”) P-110EC casing at a depth of 1,270 m (4,167 ft.).</w:t>
        </w:r>
        <w:r w:rsidR="00BE53A8">
          <w:rPr>
            <w:noProof/>
            <w:webHidden/>
          </w:rPr>
          <w:tab/>
        </w:r>
        <w:r w:rsidR="00BE53A8">
          <w:rPr>
            <w:noProof/>
            <w:webHidden/>
          </w:rPr>
          <w:fldChar w:fldCharType="begin"/>
        </w:r>
        <w:r w:rsidR="00BE53A8">
          <w:rPr>
            <w:noProof/>
            <w:webHidden/>
          </w:rPr>
          <w:instrText xml:space="preserve"> PAGEREF _Toc67566251 \h </w:instrText>
        </w:r>
        <w:r w:rsidR="00BE53A8">
          <w:rPr>
            <w:noProof/>
            <w:webHidden/>
          </w:rPr>
        </w:r>
        <w:r w:rsidR="00BE53A8">
          <w:rPr>
            <w:noProof/>
            <w:webHidden/>
          </w:rPr>
          <w:fldChar w:fldCharType="separate"/>
        </w:r>
        <w:r w:rsidR="0006023A">
          <w:rPr>
            <w:noProof/>
            <w:webHidden/>
          </w:rPr>
          <w:t>162</w:t>
        </w:r>
        <w:r w:rsidR="00BE53A8">
          <w:rPr>
            <w:noProof/>
            <w:webHidden/>
          </w:rPr>
          <w:fldChar w:fldCharType="end"/>
        </w:r>
      </w:hyperlink>
    </w:p>
    <w:p w14:paraId="152BBD80" w14:textId="020A2201" w:rsidR="00BE53A8" w:rsidRDefault="00077C0B">
      <w:pPr>
        <w:pStyle w:val="TableofFigures"/>
        <w:tabs>
          <w:tab w:val="right" w:leader="dot" w:pos="9350"/>
        </w:tabs>
        <w:rPr>
          <w:rFonts w:asciiTheme="minorHAnsi" w:eastAsiaTheme="minorEastAsia" w:hAnsiTheme="minorHAnsi"/>
          <w:noProof/>
          <w:sz w:val="22"/>
        </w:rPr>
      </w:pPr>
      <w:hyperlink w:anchor="_Toc67566252" w:history="1">
        <w:r w:rsidR="00BE53A8" w:rsidRPr="00527087">
          <w:rPr>
            <w:rStyle w:val="Hyperlink"/>
            <w:noProof/>
          </w:rPr>
          <w:t xml:space="preserve">Figure 5.24: Heat map showing the gap magnitudes resulting from a combination of </w:t>
        </w:r>
        <m:oMath>
          <m:r>
            <m:rPr>
              <m:sty m:val="bi"/>
            </m:rPr>
            <w:rPr>
              <w:rStyle w:val="Hyperlink"/>
              <w:rFonts w:ascii="Cambria Math" w:hAnsi="Cambria Math"/>
              <w:noProof/>
            </w:rPr>
            <m:t>ΔP</m:t>
          </m:r>
        </m:oMath>
        <w:r w:rsidR="00BE53A8" w:rsidRPr="00527087">
          <w:rPr>
            <w:rStyle w:val="Hyperlink"/>
            <w:noProof/>
          </w:rPr>
          <w:t xml:space="preserve"> and </w:t>
        </w:r>
        <m:oMath>
          <m:r>
            <m:rPr>
              <m:sty m:val="bi"/>
            </m:rPr>
            <w:rPr>
              <w:rStyle w:val="Hyperlink"/>
              <w:rFonts w:ascii="Cambria Math" w:hAnsi="Cambria Math"/>
              <w:noProof/>
            </w:rPr>
            <m:t>ΔT</m:t>
          </m:r>
        </m:oMath>
        <w:r w:rsidR="00BE53A8" w:rsidRPr="00527087">
          <w:rPr>
            <w:rStyle w:val="Hyperlink"/>
            <w:noProof/>
          </w:rPr>
          <w:t xml:space="preserve">.  A positive </w:t>
        </w:r>
        <m:oMath>
          <m:r>
            <m:rPr>
              <m:sty m:val="bi"/>
            </m:rPr>
            <w:rPr>
              <w:rStyle w:val="Hyperlink"/>
              <w:rFonts w:ascii="Cambria Math" w:hAnsi="Cambria Math"/>
              <w:noProof/>
            </w:rPr>
            <m:t>Δ</m:t>
          </m:r>
        </m:oMath>
        <w:r w:rsidR="00BE53A8" w:rsidRPr="00527087">
          <w:rPr>
            <w:rStyle w:val="Hyperlink"/>
            <w:noProof/>
          </w:rPr>
          <w:t xml:space="preserve"> indicates a reduction while a negative </w:t>
        </w:r>
        <m:oMath>
          <m:r>
            <m:rPr>
              <m:sty m:val="bi"/>
            </m:rPr>
            <w:rPr>
              <w:rStyle w:val="Hyperlink"/>
              <w:rFonts w:ascii="Cambria Math" w:hAnsi="Cambria Math"/>
              <w:noProof/>
            </w:rPr>
            <m:t>Δ</m:t>
          </m:r>
        </m:oMath>
        <w:r w:rsidR="00BE53A8" w:rsidRPr="00527087">
          <w:rPr>
            <w:rStyle w:val="Hyperlink"/>
            <w:noProof/>
          </w:rPr>
          <w:t xml:space="preserve"> is an increase.  Note in the legend that nanometer (nm) sized gaps are indicated (0.001 μm) along with micron (μm) sized gaps. The results of this heat map are indicative of a 31.12 cm (12.25”) hole size with 24.45 cm (9.625”) P-110EC casing at a depth of 945 m (3,100 ft.).</w:t>
        </w:r>
        <w:r w:rsidR="00BE53A8">
          <w:rPr>
            <w:noProof/>
            <w:webHidden/>
          </w:rPr>
          <w:tab/>
        </w:r>
        <w:r w:rsidR="00BE53A8">
          <w:rPr>
            <w:noProof/>
            <w:webHidden/>
          </w:rPr>
          <w:fldChar w:fldCharType="begin"/>
        </w:r>
        <w:r w:rsidR="00BE53A8">
          <w:rPr>
            <w:noProof/>
            <w:webHidden/>
          </w:rPr>
          <w:instrText xml:space="preserve"> PAGEREF _Toc67566252 \h </w:instrText>
        </w:r>
        <w:r w:rsidR="00BE53A8">
          <w:rPr>
            <w:noProof/>
            <w:webHidden/>
          </w:rPr>
        </w:r>
        <w:r w:rsidR="00BE53A8">
          <w:rPr>
            <w:noProof/>
            <w:webHidden/>
          </w:rPr>
          <w:fldChar w:fldCharType="separate"/>
        </w:r>
        <w:r w:rsidR="0006023A">
          <w:rPr>
            <w:noProof/>
            <w:webHidden/>
          </w:rPr>
          <w:t>163</w:t>
        </w:r>
        <w:r w:rsidR="00BE53A8">
          <w:rPr>
            <w:noProof/>
            <w:webHidden/>
          </w:rPr>
          <w:fldChar w:fldCharType="end"/>
        </w:r>
      </w:hyperlink>
    </w:p>
    <w:p w14:paraId="4A1185E1" w14:textId="4A58EE10" w:rsidR="00BE53A8" w:rsidRDefault="00077C0B">
      <w:pPr>
        <w:pStyle w:val="TableofFigures"/>
        <w:tabs>
          <w:tab w:val="right" w:leader="dot" w:pos="9350"/>
        </w:tabs>
        <w:rPr>
          <w:rFonts w:asciiTheme="minorHAnsi" w:eastAsiaTheme="minorEastAsia" w:hAnsiTheme="minorHAnsi"/>
          <w:noProof/>
          <w:sz w:val="22"/>
        </w:rPr>
      </w:pPr>
      <w:hyperlink w:anchor="_Toc67566253" w:history="1">
        <w:r w:rsidR="00BE53A8" w:rsidRPr="00527087">
          <w:rPr>
            <w:rStyle w:val="Hyperlink"/>
            <w:noProof/>
          </w:rPr>
          <w:t>Figure 5.25: Cement/casing interface microannuli size from the simulation depth to the top of cement (TOC) depth for pore pressure induced (water) microannuli (fracture) and gas induced microannuli (fracture). The water induced microannuli propagates up the wellbore for 365 m before it does not form. The gas induced microannuli propagates up the entire cement sheath to the TOC depth.</w:t>
        </w:r>
        <w:r w:rsidR="00BE53A8">
          <w:rPr>
            <w:noProof/>
            <w:webHidden/>
          </w:rPr>
          <w:tab/>
        </w:r>
        <w:r w:rsidR="00BE53A8">
          <w:rPr>
            <w:noProof/>
            <w:webHidden/>
          </w:rPr>
          <w:fldChar w:fldCharType="begin"/>
        </w:r>
        <w:r w:rsidR="00BE53A8">
          <w:rPr>
            <w:noProof/>
            <w:webHidden/>
          </w:rPr>
          <w:instrText xml:space="preserve"> PAGEREF _Toc67566253 \h </w:instrText>
        </w:r>
        <w:r w:rsidR="00BE53A8">
          <w:rPr>
            <w:noProof/>
            <w:webHidden/>
          </w:rPr>
        </w:r>
        <w:r w:rsidR="00BE53A8">
          <w:rPr>
            <w:noProof/>
            <w:webHidden/>
          </w:rPr>
          <w:fldChar w:fldCharType="separate"/>
        </w:r>
        <w:r w:rsidR="0006023A">
          <w:rPr>
            <w:noProof/>
            <w:webHidden/>
          </w:rPr>
          <w:t>165</w:t>
        </w:r>
        <w:r w:rsidR="00BE53A8">
          <w:rPr>
            <w:noProof/>
            <w:webHidden/>
          </w:rPr>
          <w:fldChar w:fldCharType="end"/>
        </w:r>
      </w:hyperlink>
    </w:p>
    <w:p w14:paraId="1D49F34A" w14:textId="4E7B435B" w:rsidR="00BE53A8" w:rsidRDefault="00077C0B">
      <w:pPr>
        <w:pStyle w:val="TableofFigures"/>
        <w:tabs>
          <w:tab w:val="right" w:leader="dot" w:pos="9350"/>
        </w:tabs>
        <w:rPr>
          <w:rFonts w:asciiTheme="minorHAnsi" w:eastAsiaTheme="minorEastAsia" w:hAnsiTheme="minorHAnsi"/>
          <w:noProof/>
          <w:sz w:val="22"/>
        </w:rPr>
      </w:pPr>
      <w:hyperlink w:anchor="_Toc67566254" w:history="1">
        <w:r w:rsidR="00BE53A8" w:rsidRPr="00527087">
          <w:rPr>
            <w:rStyle w:val="Hyperlink"/>
            <w:noProof/>
          </w:rPr>
          <w:t>Figure 5.26: Microannuli width (w) with respect to depth for the FEA model (orange long dash), a constant microannuli (red solid line), and a microannuli with tortuosity (gray short dash). The FEA model microannuli starts off at 23.2 μm and ends at 641.5 μm. The constant microannuli method stays at 23.2 μm from the simulation depth to TOC. The tortuosity method has an average microannuli of 23.2 μm with a Gaussian distribution of 4.64 μm standard deviation.</w:t>
        </w:r>
        <w:r w:rsidR="00BE53A8">
          <w:rPr>
            <w:noProof/>
            <w:webHidden/>
          </w:rPr>
          <w:tab/>
        </w:r>
        <w:r w:rsidR="00BE53A8">
          <w:rPr>
            <w:noProof/>
            <w:webHidden/>
          </w:rPr>
          <w:fldChar w:fldCharType="begin"/>
        </w:r>
        <w:r w:rsidR="00BE53A8">
          <w:rPr>
            <w:noProof/>
            <w:webHidden/>
          </w:rPr>
          <w:instrText xml:space="preserve"> PAGEREF _Toc67566254 \h </w:instrText>
        </w:r>
        <w:r w:rsidR="00BE53A8">
          <w:rPr>
            <w:noProof/>
            <w:webHidden/>
          </w:rPr>
        </w:r>
        <w:r w:rsidR="00BE53A8">
          <w:rPr>
            <w:noProof/>
            <w:webHidden/>
          </w:rPr>
          <w:fldChar w:fldCharType="separate"/>
        </w:r>
        <w:r w:rsidR="0006023A">
          <w:rPr>
            <w:noProof/>
            <w:webHidden/>
          </w:rPr>
          <w:t>167</w:t>
        </w:r>
        <w:r w:rsidR="00BE53A8">
          <w:rPr>
            <w:noProof/>
            <w:webHidden/>
          </w:rPr>
          <w:fldChar w:fldCharType="end"/>
        </w:r>
      </w:hyperlink>
    </w:p>
    <w:p w14:paraId="39071C99" w14:textId="7CE28254" w:rsidR="00BE53A8" w:rsidRDefault="00077C0B">
      <w:pPr>
        <w:pStyle w:val="TableofFigures"/>
        <w:tabs>
          <w:tab w:val="right" w:leader="dot" w:pos="9350"/>
        </w:tabs>
        <w:rPr>
          <w:rFonts w:asciiTheme="minorHAnsi" w:eastAsiaTheme="minorEastAsia" w:hAnsiTheme="minorHAnsi"/>
          <w:noProof/>
          <w:sz w:val="22"/>
        </w:rPr>
      </w:pPr>
      <w:hyperlink w:anchor="_Toc67566255" w:history="1">
        <w:r w:rsidR="00BE53A8" w:rsidRPr="00527087">
          <w:rPr>
            <w:rStyle w:val="Hyperlink"/>
            <w:noProof/>
          </w:rPr>
          <w:t>Figure 6.1: Sensitivity plot for normalized cement Young’s modulus (</w:t>
        </w:r>
        <m:oMath>
          <m:r>
            <m:rPr>
              <m:sty m:val="bi"/>
            </m:rPr>
            <w:rPr>
              <w:rStyle w:val="Hyperlink"/>
              <w:rFonts w:ascii="Cambria Math" w:hAnsi="Cambria Math"/>
              <w:noProof/>
            </w:rPr>
            <m:t>E</m:t>
          </m:r>
        </m:oMath>
        <w:r w:rsidR="00BE53A8" w:rsidRPr="00527087">
          <w:rPr>
            <w:rStyle w:val="Hyperlink"/>
            <w:noProof/>
          </w:rPr>
          <w:t>) versus the percent change in microannuli gap width. Medium well (Section 4.3) and case study well (Section 4.5) have confining stresses while P&amp;A model (Section 4.2.3) has no confinement. The model confinement reverse the effect Young’s modulus has on gap width.</w:t>
        </w:r>
        <w:r w:rsidR="00BE53A8">
          <w:rPr>
            <w:noProof/>
            <w:webHidden/>
          </w:rPr>
          <w:tab/>
        </w:r>
        <w:r w:rsidR="00BE53A8">
          <w:rPr>
            <w:noProof/>
            <w:webHidden/>
          </w:rPr>
          <w:fldChar w:fldCharType="begin"/>
        </w:r>
        <w:r w:rsidR="00BE53A8">
          <w:rPr>
            <w:noProof/>
            <w:webHidden/>
          </w:rPr>
          <w:instrText xml:space="preserve"> PAGEREF _Toc67566255 \h </w:instrText>
        </w:r>
        <w:r w:rsidR="00BE53A8">
          <w:rPr>
            <w:noProof/>
            <w:webHidden/>
          </w:rPr>
        </w:r>
        <w:r w:rsidR="00BE53A8">
          <w:rPr>
            <w:noProof/>
            <w:webHidden/>
          </w:rPr>
          <w:fldChar w:fldCharType="separate"/>
        </w:r>
        <w:r w:rsidR="0006023A">
          <w:rPr>
            <w:noProof/>
            <w:webHidden/>
          </w:rPr>
          <w:t>173</w:t>
        </w:r>
        <w:r w:rsidR="00BE53A8">
          <w:rPr>
            <w:noProof/>
            <w:webHidden/>
          </w:rPr>
          <w:fldChar w:fldCharType="end"/>
        </w:r>
      </w:hyperlink>
    </w:p>
    <w:p w14:paraId="60E0F4B1" w14:textId="05B232C9" w:rsidR="00BE53A8" w:rsidRDefault="00077C0B">
      <w:pPr>
        <w:pStyle w:val="TableofFigures"/>
        <w:tabs>
          <w:tab w:val="right" w:leader="dot" w:pos="9350"/>
        </w:tabs>
        <w:rPr>
          <w:rFonts w:asciiTheme="minorHAnsi" w:eastAsiaTheme="minorEastAsia" w:hAnsiTheme="minorHAnsi"/>
          <w:noProof/>
          <w:sz w:val="22"/>
        </w:rPr>
      </w:pPr>
      <w:hyperlink w:anchor="_Toc67566256" w:history="1">
        <w:r w:rsidR="00BE53A8" w:rsidRPr="00527087">
          <w:rPr>
            <w:rStyle w:val="Hyperlink"/>
            <w:noProof/>
          </w:rPr>
          <w:t>Figure 6.2: Sensitivity plot for normalized cement Poisson’s ratio (</w:t>
        </w:r>
        <m:oMath>
          <m:r>
            <m:rPr>
              <m:sty m:val="bi"/>
            </m:rPr>
            <w:rPr>
              <w:rStyle w:val="Hyperlink"/>
              <w:rFonts w:ascii="Cambria Math" w:hAnsi="Cambria Math"/>
              <w:noProof/>
            </w:rPr>
            <m:t>PR</m:t>
          </m:r>
        </m:oMath>
        <w:r w:rsidR="00BE53A8" w:rsidRPr="00527087">
          <w:rPr>
            <w:rStyle w:val="Hyperlink"/>
            <w:noProof/>
          </w:rPr>
          <w:t>) versus the percent change in microannuli gap width. The medium well (Section 4.3) and case study well (Section 4.5) have confining stresses while the P&amp;A model (Section 4.2.3) has no confinement. The cement Poisson’s ratio has less than 5% effect on the microannuli gap with and without confinement.</w:t>
        </w:r>
        <w:r w:rsidR="00BE53A8">
          <w:rPr>
            <w:noProof/>
            <w:webHidden/>
          </w:rPr>
          <w:tab/>
        </w:r>
        <w:r w:rsidR="00BE53A8">
          <w:rPr>
            <w:noProof/>
            <w:webHidden/>
          </w:rPr>
          <w:fldChar w:fldCharType="begin"/>
        </w:r>
        <w:r w:rsidR="00BE53A8">
          <w:rPr>
            <w:noProof/>
            <w:webHidden/>
          </w:rPr>
          <w:instrText xml:space="preserve"> PAGEREF _Toc67566256 \h </w:instrText>
        </w:r>
        <w:r w:rsidR="00BE53A8">
          <w:rPr>
            <w:noProof/>
            <w:webHidden/>
          </w:rPr>
        </w:r>
        <w:r w:rsidR="00BE53A8">
          <w:rPr>
            <w:noProof/>
            <w:webHidden/>
          </w:rPr>
          <w:fldChar w:fldCharType="separate"/>
        </w:r>
        <w:r w:rsidR="0006023A">
          <w:rPr>
            <w:noProof/>
            <w:webHidden/>
          </w:rPr>
          <w:t>174</w:t>
        </w:r>
        <w:r w:rsidR="00BE53A8">
          <w:rPr>
            <w:noProof/>
            <w:webHidden/>
          </w:rPr>
          <w:fldChar w:fldCharType="end"/>
        </w:r>
      </w:hyperlink>
    </w:p>
    <w:p w14:paraId="311825B5" w14:textId="28C1DBED" w:rsidR="00BE53A8" w:rsidRDefault="00077C0B">
      <w:pPr>
        <w:pStyle w:val="TableofFigures"/>
        <w:tabs>
          <w:tab w:val="right" w:leader="dot" w:pos="9350"/>
        </w:tabs>
        <w:rPr>
          <w:rFonts w:asciiTheme="minorHAnsi" w:eastAsiaTheme="minorEastAsia" w:hAnsiTheme="minorHAnsi"/>
          <w:noProof/>
          <w:sz w:val="22"/>
        </w:rPr>
      </w:pPr>
      <w:hyperlink w:anchor="_Toc67566257" w:history="1">
        <w:r w:rsidR="00BE53A8" w:rsidRPr="00527087">
          <w:rPr>
            <w:rStyle w:val="Hyperlink"/>
            <w:noProof/>
          </w:rPr>
          <w:t>Figure 6.3: Flow chart for identifying if a well is at risk for microannuli and for leakage pathways to the environment based on cement shrinkage, reductions of pressure and/or temperature, and a gas source. The flow chart can either be used for wellbores in the planning stage or previously completed.</w:t>
        </w:r>
        <w:r w:rsidR="00BE53A8">
          <w:rPr>
            <w:noProof/>
            <w:webHidden/>
          </w:rPr>
          <w:tab/>
        </w:r>
        <w:r w:rsidR="00BE53A8">
          <w:rPr>
            <w:noProof/>
            <w:webHidden/>
          </w:rPr>
          <w:fldChar w:fldCharType="begin"/>
        </w:r>
        <w:r w:rsidR="00BE53A8">
          <w:rPr>
            <w:noProof/>
            <w:webHidden/>
          </w:rPr>
          <w:instrText xml:space="preserve"> PAGEREF _Toc67566257 \h </w:instrText>
        </w:r>
        <w:r w:rsidR="00BE53A8">
          <w:rPr>
            <w:noProof/>
            <w:webHidden/>
          </w:rPr>
        </w:r>
        <w:r w:rsidR="00BE53A8">
          <w:rPr>
            <w:noProof/>
            <w:webHidden/>
          </w:rPr>
          <w:fldChar w:fldCharType="separate"/>
        </w:r>
        <w:r w:rsidR="0006023A">
          <w:rPr>
            <w:noProof/>
            <w:webHidden/>
          </w:rPr>
          <w:t>178</w:t>
        </w:r>
        <w:r w:rsidR="00BE53A8">
          <w:rPr>
            <w:noProof/>
            <w:webHidden/>
          </w:rPr>
          <w:fldChar w:fldCharType="end"/>
        </w:r>
      </w:hyperlink>
    </w:p>
    <w:p w14:paraId="65143499" w14:textId="0BD728C9" w:rsidR="0036326E" w:rsidRDefault="0027214D" w:rsidP="0036326E">
      <w:r>
        <w:fldChar w:fldCharType="end"/>
      </w:r>
    </w:p>
    <w:p w14:paraId="17396450" w14:textId="77777777" w:rsidR="009C057B" w:rsidRDefault="009C057B" w:rsidP="009C057B"/>
    <w:p w14:paraId="53338CE4" w14:textId="6133B1D0" w:rsidR="00CC4F38" w:rsidRDefault="00CC4F38" w:rsidP="00BD3F9E">
      <w:pPr>
        <w:pStyle w:val="Heading1"/>
        <w:numPr>
          <w:ilvl w:val="0"/>
          <w:numId w:val="0"/>
        </w:numPr>
      </w:pPr>
      <w:bookmarkStart w:id="6" w:name="_Toc67566019"/>
      <w:r>
        <w:lastRenderedPageBreak/>
        <w:t>Abstract</w:t>
      </w:r>
      <w:bookmarkEnd w:id="6"/>
    </w:p>
    <w:p w14:paraId="0D0326C7" w14:textId="347CB7FA" w:rsidR="007C472E" w:rsidRDefault="007C472E" w:rsidP="00B919CE">
      <w:pPr>
        <w:spacing w:after="240"/>
        <w:ind w:firstLine="720"/>
      </w:pPr>
      <w:r w:rsidRPr="006C3C73">
        <w:t xml:space="preserve">The Gulf of Mexico (GoM) is home to more than 50,000 oil and gas wells with approximately 30,000 wells that are plugged and abandoned leading to concerns of oil and gas leakage where currently, little to no monitoring is performed. The cement used when completing and eventually plugging wells </w:t>
      </w:r>
      <w:r w:rsidR="009E6E48">
        <w:t>are</w:t>
      </w:r>
      <w:r w:rsidR="009E6E48" w:rsidRPr="006C3C73">
        <w:t xml:space="preserve"> </w:t>
      </w:r>
      <w:r w:rsidR="006405E7">
        <w:t>subject</w:t>
      </w:r>
      <w:r w:rsidRPr="006C3C73">
        <w:t xml:space="preserve"> to harsh conditions leading to failure of the cement due to debonding of the cement to the formation and/or casing, shrinkage of the cement, and chemical degradation in the cement. </w:t>
      </w:r>
      <w:r>
        <w:t>Due to the complicated mechanical and chemical nature of cement, researchers have turned to numerical simulations to model cement failure and predict potential leakage rates. However, the numerical models in previous studies either predict leakage mechanisms but fail to provide comprehensive quantification of the fracture magnitudes</w:t>
      </w:r>
      <w:r w:rsidR="0058544C">
        <w:t>. Or</w:t>
      </w:r>
      <w:r>
        <w:t xml:space="preserve"> the models assume a fracture value</w:t>
      </w:r>
      <w:r w:rsidR="0058544C">
        <w:t xml:space="preserve"> and quantify leakage assuming water as the leaking fluid.</w:t>
      </w:r>
    </w:p>
    <w:p w14:paraId="76BDFDE3" w14:textId="3392D702" w:rsidR="0058544C" w:rsidRDefault="0058544C" w:rsidP="00B919CE">
      <w:pPr>
        <w:spacing w:after="240"/>
        <w:ind w:firstLine="720"/>
      </w:pPr>
      <w:r>
        <w:t xml:space="preserve">The goal of this study is to determine if leakage is occurring through the cement sheath in GoM wells. This study develops a realistic finite element analysis (FEA) model coupled with fluid flow to determine if hydraulic propagation </w:t>
      </w:r>
      <w:r w:rsidR="009E6E48">
        <w:t xml:space="preserve">occurs </w:t>
      </w:r>
      <w:r>
        <w:t xml:space="preserve">providing a continuous leakage pathway. An analytical gas flow model is developed and used in conjunction with the FEA fracture volume to provide accurate fluid leakage rates within the pathways. </w:t>
      </w:r>
    </w:p>
    <w:p w14:paraId="2CDF71AA" w14:textId="26D1EA0E" w:rsidR="00D83A80" w:rsidRDefault="002C0D01" w:rsidP="00A655FD">
      <w:pPr>
        <w:spacing w:after="240"/>
        <w:ind w:firstLine="720"/>
      </w:pPr>
      <w:r>
        <w:t>The results of this work show that</w:t>
      </w:r>
      <w:r w:rsidR="00A655FD">
        <w:t xml:space="preserve"> FEA models coupled with fluid flow can accurately quantify microannuli magnitude and predict if the microannuli propagate up the wellbore to the environment. The fluid flow models show that</w:t>
      </w:r>
      <w:r>
        <w:t xml:space="preserve"> assuming wellbore water leakage versus gas leakage</w:t>
      </w:r>
      <w:r w:rsidR="00A655FD">
        <w:t xml:space="preserve"> has</w:t>
      </w:r>
      <w:r>
        <w:t xml:space="preserve"> an order of magnitude difference in leakage rates, </w:t>
      </w:r>
      <w:r w:rsidR="00A655FD">
        <w:t xml:space="preserve">cement shrinkage </w:t>
      </w:r>
      <w:r w:rsidR="009E6E48">
        <w:t>occurs</w:t>
      </w:r>
      <w:r w:rsidR="00A655FD">
        <w:t xml:space="preserve"> in conventional cements causing continuous leakage pathways, and cement additives that change the mechanical properties of the cement are not required to achieve wellbore integrity.</w:t>
      </w:r>
    </w:p>
    <w:p w14:paraId="0C868587" w14:textId="77777777" w:rsidR="00D83A80" w:rsidRDefault="00D83A80" w:rsidP="00BD3F9E">
      <w:pPr>
        <w:pStyle w:val="Heading1"/>
        <w:sectPr w:rsidR="00D83A80" w:rsidSect="0061511D">
          <w:footerReference w:type="default" r:id="rId12"/>
          <w:pgSz w:w="12240" w:h="15840"/>
          <w:pgMar w:top="1440" w:right="1440" w:bottom="1440" w:left="1440" w:header="720" w:footer="720" w:gutter="0"/>
          <w:pgNumType w:fmt="lowerRoman" w:start="4"/>
          <w:cols w:space="720"/>
          <w:docGrid w:linePitch="360"/>
        </w:sectPr>
      </w:pPr>
    </w:p>
    <w:p w14:paraId="144C6E83" w14:textId="60AA9E44" w:rsidR="008A1A0B" w:rsidRDefault="00D24EC2" w:rsidP="00BD3F9E">
      <w:pPr>
        <w:pStyle w:val="Heading1"/>
      </w:pPr>
      <w:bookmarkStart w:id="7" w:name="_Toc67566020"/>
      <w:r>
        <w:lastRenderedPageBreak/>
        <w:t>Introduction</w:t>
      </w:r>
      <w:bookmarkEnd w:id="7"/>
    </w:p>
    <w:p w14:paraId="1718F979" w14:textId="2B069EA6" w:rsidR="00C34CC1" w:rsidRDefault="00DF4093" w:rsidP="001460CC">
      <w:pPr>
        <w:ind w:firstLine="720"/>
      </w:pPr>
      <w:r w:rsidRPr="00DF4093">
        <w:t xml:space="preserve">Wellbore leakage can occur throughout every stage of a wells life. The </w:t>
      </w:r>
      <w:r w:rsidR="008F770B">
        <w:t xml:space="preserve">construction of the well </w:t>
      </w:r>
      <w:r w:rsidRPr="00DF4093">
        <w:t xml:space="preserve">only accounts for a small portion of a wells life, thus wellbore leakage is </w:t>
      </w:r>
      <w:r w:rsidR="00133B21">
        <w:t xml:space="preserve">most </w:t>
      </w:r>
      <w:r w:rsidRPr="00DF4093">
        <w:t>likely to occur after drilling and completion once the casing and cement are present (</w:t>
      </w:r>
      <w:r w:rsidR="006405E7" w:rsidRPr="00DF4093">
        <w:t>Fourmaintraux et al. 2005; Zhang and Bachu 2010;</w:t>
      </w:r>
      <w:r w:rsidR="006405E7">
        <w:t xml:space="preserve"> </w:t>
      </w:r>
      <w:r>
        <w:t>Feng et al.</w:t>
      </w:r>
      <w:r w:rsidRPr="00DF4093">
        <w:t xml:space="preserve"> 2017). </w:t>
      </w:r>
      <w:r w:rsidR="00474332">
        <w:t>This leakage is known to contribute to oil and gas</w:t>
      </w:r>
      <w:r w:rsidR="00133B21">
        <w:t xml:space="preserve"> well</w:t>
      </w:r>
      <w:r w:rsidR="00474332">
        <w:t xml:space="preserve"> blowouts</w:t>
      </w:r>
      <w:r w:rsidR="009E6E48">
        <w:t>,</w:t>
      </w:r>
      <w:r w:rsidR="00474332">
        <w:t xml:space="preserve"> </w:t>
      </w:r>
      <w:r w:rsidR="00133B21">
        <w:t>result</w:t>
      </w:r>
      <w:r w:rsidR="009E6E48">
        <w:t>ing</w:t>
      </w:r>
      <w:r w:rsidR="00133B21">
        <w:t xml:space="preserve"> in </w:t>
      </w:r>
      <w:r w:rsidR="00F608E2">
        <w:t xml:space="preserve">a complete </w:t>
      </w:r>
      <w:r w:rsidR="00474332">
        <w:t xml:space="preserve">loss of wellbore integrity (Khodami et al. 2021). Wellbore leakage is often </w:t>
      </w:r>
      <w:r w:rsidR="00F608E2">
        <w:t xml:space="preserve">observed </w:t>
      </w:r>
      <w:r w:rsidR="00474332">
        <w:t>as surface casing pressure (SCP), surface casing vent flow (SCVF), or gas migrat</w:t>
      </w:r>
      <w:r w:rsidR="00F81873">
        <w:t>ion (GM) (</w:t>
      </w:r>
      <w:r w:rsidR="006405E7">
        <w:t xml:space="preserve">Nelson and Guillot 2006; </w:t>
      </w:r>
      <w:r w:rsidR="00F81873">
        <w:t>Wolterbeek et al. 2021</w:t>
      </w:r>
      <w:r w:rsidR="00474332">
        <w:t xml:space="preserve">). </w:t>
      </w:r>
    </w:p>
    <w:p w14:paraId="24D64F09" w14:textId="170F5C18" w:rsidR="00CB436B" w:rsidRDefault="00C34CC1" w:rsidP="001460CC">
      <w:pPr>
        <w:ind w:firstLine="720"/>
      </w:pPr>
      <w:r>
        <w:t>M</w:t>
      </w:r>
      <w:r w:rsidRPr="00DF4093">
        <w:t>igration</w:t>
      </w:r>
      <w:r>
        <w:t xml:space="preserve"> of wellbore fluids</w:t>
      </w:r>
      <w:r w:rsidRPr="00DF4093">
        <w:t xml:space="preserve"> can contaminate aquifers or potentially even reach the surface environment (Watson and Bachu 2007). </w:t>
      </w:r>
      <w:r w:rsidR="00474332">
        <w:t xml:space="preserve">For example, </w:t>
      </w:r>
      <w:r w:rsidR="00CB436B">
        <w:t xml:space="preserve">in Alberta, Canada, approximately 4.6% of the 440,000 wells have SCVF (Bachu and Watson 2006; Natural Resources Canada 2019). </w:t>
      </w:r>
      <w:r w:rsidR="00133B21">
        <w:t xml:space="preserve">Data taken from wells in </w:t>
      </w:r>
      <w:r w:rsidR="00CB436B">
        <w:t xml:space="preserve">Pennsylvania showed that between 2000 and 2012, approximately 1.9% of 41,381 wells had integrity issues (Ingraffea et al. 2014). Kang et al. (2014) measured surface methane emissions on 19 plugged and abandoned (P&amp;A) wells and determined that more than half of the wells exhibited leakage. Kell (2011) investigated wells in Texas and Ohio and noted that out of 250,000 wells, 211 had leakage into groundwater due to integrity failure. All of these wells are onshore and relatively easy to </w:t>
      </w:r>
      <w:r w:rsidR="00133B21">
        <w:t>access</w:t>
      </w:r>
      <w:r w:rsidR="00CB436B">
        <w:t>. However, the question arises about offshore wellbore integrity?</w:t>
      </w:r>
      <w:r w:rsidR="00D541A4">
        <w:t xml:space="preserve"> </w:t>
      </w:r>
      <w:r w:rsidR="009E6E48">
        <w:t>According to the regulatory agencies, the Bureau of Ocean Energy Management (BOEM) and the Bureau of Safety and Environmental Enforcement (BSEE), t</w:t>
      </w:r>
      <w:r w:rsidR="00CB436B">
        <w:t>he Gulf of Mexico has over 54,000 wells</w:t>
      </w:r>
      <w:r w:rsidR="009E6E48">
        <w:t>.</w:t>
      </w:r>
      <w:r>
        <w:t xml:space="preserve"> Assuming that offshore wells follow similar trends as onshore wells, significant leakage could be occurring in the Gulf of Mexico. </w:t>
      </w:r>
    </w:p>
    <w:p w14:paraId="23AC8BCE" w14:textId="6C90A0D5" w:rsidR="00474332" w:rsidRDefault="00C34CC1" w:rsidP="001460CC">
      <w:pPr>
        <w:ind w:firstLine="720"/>
      </w:pPr>
      <w:r w:rsidRPr="00DF4093">
        <w:t xml:space="preserve">Before a well can be permanently </w:t>
      </w:r>
      <w:r w:rsidR="00133B21">
        <w:t>P&amp;A’ed</w:t>
      </w:r>
      <w:r w:rsidRPr="00DF4093">
        <w:t xml:space="preserve">, it has to meet current standards designated by specific regulatory agencies for the region/country to prevent leakage. For instance, cement bond </w:t>
      </w:r>
      <w:r w:rsidRPr="00DF4093">
        <w:lastRenderedPageBreak/>
        <w:t>logs</w:t>
      </w:r>
      <w:r w:rsidR="00133B21">
        <w:t xml:space="preserve"> (CBL)</w:t>
      </w:r>
      <w:r w:rsidRPr="00DF4093">
        <w:t xml:space="preserve"> showing intact cement sheath</w:t>
      </w:r>
      <w:r w:rsidR="009E6E48">
        <w:t xml:space="preserve"> are</w:t>
      </w:r>
      <w:r w:rsidRPr="00DF4093">
        <w:t xml:space="preserve"> required before P&amp;A procedures can </w:t>
      </w:r>
      <w:r w:rsidR="009E6E48">
        <w:t xml:space="preserve">occur </w:t>
      </w:r>
      <w:r w:rsidRPr="00DF4093">
        <w:t xml:space="preserve">according to </w:t>
      </w:r>
      <w:r>
        <w:t xml:space="preserve">30 CFR </w:t>
      </w:r>
      <w:r w:rsidRPr="00D938FB">
        <w:t>250, Subpart Q, Decommissioning Activities</w:t>
      </w:r>
      <w:r>
        <w:t xml:space="preserve">, Section </w:t>
      </w:r>
      <w:r w:rsidRPr="00D50BB7">
        <w:t>§250.1715</w:t>
      </w:r>
      <w:r>
        <w:t xml:space="preserve"> for the Gulf of Mexico (2011)</w:t>
      </w:r>
      <w:r w:rsidRPr="00DF4093">
        <w:t xml:space="preserve">. </w:t>
      </w:r>
      <w:r w:rsidR="00644923">
        <w:t xml:space="preserve">A limitation of </w:t>
      </w:r>
      <w:r w:rsidR="00133B21">
        <w:t xml:space="preserve">CBL’s </w:t>
      </w:r>
      <w:r w:rsidRPr="00DF4093">
        <w:t>are</w:t>
      </w:r>
      <w:r w:rsidR="009E6E48">
        <w:t xml:space="preserve"> that</w:t>
      </w:r>
      <w:r w:rsidR="00644923">
        <w:t xml:space="preserve"> they</w:t>
      </w:r>
      <w:r w:rsidR="009E6E48">
        <w:t xml:space="preserve"> cannot detect gas-filled microannuli gaps or </w:t>
      </w:r>
      <w:r w:rsidRPr="00DF4093">
        <w:t>quantify the gap sizes (</w:t>
      </w:r>
      <w:r>
        <w:t>De Andrade et al.</w:t>
      </w:r>
      <w:r w:rsidRPr="00DF4093">
        <w:t xml:space="preserve"> 2019).</w:t>
      </w:r>
      <w:r w:rsidR="00D541A4">
        <w:t xml:space="preserve"> This is a problem because cement sheath microannuli </w:t>
      </w:r>
      <w:r w:rsidR="009E6E48">
        <w:t xml:space="preserve">is </w:t>
      </w:r>
      <w:r w:rsidR="00D541A4">
        <w:t>a likely pathway for fluid migration (</w:t>
      </w:r>
      <w:r w:rsidR="00D541A4" w:rsidRPr="00DF4093">
        <w:t>Bois et al. 2011</w:t>
      </w:r>
      <w:r w:rsidR="00723019">
        <w:t>;</w:t>
      </w:r>
      <w:r w:rsidR="00723019" w:rsidRPr="00723019">
        <w:t xml:space="preserve"> </w:t>
      </w:r>
      <w:r w:rsidR="00723019" w:rsidRPr="00DF4093">
        <w:t>Vrålstad et al. 2018</w:t>
      </w:r>
      <w:r w:rsidR="00D541A4">
        <w:t>).</w:t>
      </w:r>
      <w:r w:rsidRPr="00DF4093">
        <w:t xml:space="preserve"> To better understand how microannuli gaps form </w:t>
      </w:r>
      <w:r w:rsidR="009E6E48">
        <w:t xml:space="preserve">and </w:t>
      </w:r>
      <w:r w:rsidRPr="00DF4093">
        <w:t xml:space="preserve">what influences the size of such gaps, various modeling approaches </w:t>
      </w:r>
      <w:r>
        <w:t xml:space="preserve">have been implemented in the past. </w:t>
      </w:r>
      <w:r w:rsidR="00D541A4">
        <w:t>An in dep</w:t>
      </w:r>
      <w:r w:rsidR="002572EA">
        <w:t xml:space="preserve">th overview of </w:t>
      </w:r>
      <w:r w:rsidR="009E6E48">
        <w:t xml:space="preserve">different </w:t>
      </w:r>
      <w:r w:rsidR="002572EA">
        <w:t>models are</w:t>
      </w:r>
      <w:r w:rsidR="00D541A4">
        <w:t xml:space="preserve"> shown in Chapter 2</w:t>
      </w:r>
      <w:r w:rsidR="00592D44">
        <w:t>.</w:t>
      </w:r>
    </w:p>
    <w:p w14:paraId="3EF914F7" w14:textId="722DEB4B" w:rsidR="00DF4093" w:rsidRDefault="00D541A4" w:rsidP="001460CC">
      <w:pPr>
        <w:ind w:firstLine="720"/>
      </w:pPr>
      <w:r>
        <w:t>The various models have shown the likely leakage mechanisms and locations</w:t>
      </w:r>
      <w:r w:rsidR="00133B21">
        <w:t xml:space="preserve"> of leakage</w:t>
      </w:r>
      <w:r>
        <w:t xml:space="preserve">, but have failed to provide </w:t>
      </w:r>
      <w:r w:rsidR="00AE63C4">
        <w:t>comprehensive</w:t>
      </w:r>
      <w:r>
        <w:t xml:space="preserve"> quantification of the microannuli widths. Many </w:t>
      </w:r>
      <w:r w:rsidR="009E6E48">
        <w:t>models assume</w:t>
      </w:r>
      <w:r>
        <w:t xml:space="preserve"> a microannuli (or permeability) value (</w:t>
      </w:r>
      <w:r w:rsidR="006405E7">
        <w:t xml:space="preserve">Ford et al. 2017; </w:t>
      </w:r>
      <w:r>
        <w:t>Lavrov and Torsaeter 2018; Moeinkia et al. 2018). Other models have treated wellbore leakage as a hydraulic fracturing process</w:t>
      </w:r>
      <w:r w:rsidR="00F608E2">
        <w:t xml:space="preserve"> assuming water to be the fluid causing fracturing and leakage</w:t>
      </w:r>
      <w:r>
        <w:t xml:space="preserve"> (Zielonka et al. 2014; Feng et al. 2017; Jiang et al. 2020). The water assumption makes the numerical approximation simple, but could </w:t>
      </w:r>
      <w:r w:rsidR="002C0D01">
        <w:t xml:space="preserve">be unrealistic </w:t>
      </w:r>
      <w:r>
        <w:t xml:space="preserve">if gas </w:t>
      </w:r>
      <w:r w:rsidR="00F608E2">
        <w:t xml:space="preserve">is </w:t>
      </w:r>
      <w:r>
        <w:t>the fracturing fluid.</w:t>
      </w:r>
    </w:p>
    <w:p w14:paraId="0523E70B" w14:textId="0407BDBF" w:rsidR="00893DAF" w:rsidRDefault="00CD1EAE" w:rsidP="001460CC">
      <w:pPr>
        <w:ind w:firstLine="720"/>
      </w:pPr>
      <w:r w:rsidRPr="007F1E2D">
        <w:t xml:space="preserve">The objective of this dissertation is to determine if leakage is occurring through the cement sheath in Gulf of Mexico wells. The deliverables of this work are to develop a realistic FEA model coupled with fluid </w:t>
      </w:r>
      <w:r w:rsidR="00F608E2">
        <w:t>flow</w:t>
      </w:r>
      <w:r w:rsidRPr="007F1E2D">
        <w:t xml:space="preserve"> to determine if hydraulic propagation is occurring providing a continuous leakage pathway and to </w:t>
      </w:r>
      <w:r w:rsidR="009E6E48">
        <w:t xml:space="preserve">predict </w:t>
      </w:r>
      <w:r w:rsidRPr="007F1E2D">
        <w:t>accurate fluid leakage rates within the leakage pathways</w:t>
      </w:r>
      <w:r w:rsidR="00C71E1B">
        <w:t>.</w:t>
      </w:r>
      <w:r w:rsidR="00D67007">
        <w:t xml:space="preserve"> </w:t>
      </w:r>
    </w:p>
    <w:p w14:paraId="7551F1F4" w14:textId="333F6874" w:rsidR="000D5B6F" w:rsidRPr="00EC7EFC" w:rsidRDefault="00B102B3" w:rsidP="000D5B6F">
      <w:pPr>
        <w:ind w:firstLine="720"/>
        <w:rPr>
          <w:rFonts w:cs="Times New Roman"/>
        </w:rPr>
      </w:pPr>
      <w:r>
        <w:t xml:space="preserve">In the following chapters, a critical literature review is presented in Chapter 2. Chapter 3 </w:t>
      </w:r>
      <w:r w:rsidR="00A31043">
        <w:t>will describe the Gulf of Mexico, the study location for a representative analysis, and the location for the case study well</w:t>
      </w:r>
      <w:r w:rsidR="000D5B6F">
        <w:t xml:space="preserve">. The fluid flow models, the </w:t>
      </w:r>
      <w:r w:rsidR="00133B21">
        <w:t>finite element analysis (</w:t>
      </w:r>
      <w:r w:rsidR="000D5B6F">
        <w:t>FEA</w:t>
      </w:r>
      <w:r w:rsidR="00133B21">
        <w:t>)</w:t>
      </w:r>
      <w:r w:rsidR="000D5B6F">
        <w:t xml:space="preserve"> models, and the associated parameters used within the models will be discussed in Chapter 4. Chapter 5 will present </w:t>
      </w:r>
      <w:r w:rsidR="000D5B6F">
        <w:lastRenderedPageBreak/>
        <w:t xml:space="preserve">the model verifications and comparisons along with the Gulf of Mexico representative analysis and the case study well. The discussion of the results is in Chapter 6 followed by the conclusions and future work in Chapter 7. </w:t>
      </w:r>
    </w:p>
    <w:p w14:paraId="3B45F624" w14:textId="7B232941" w:rsidR="00A31043" w:rsidRPr="00EC7EFC" w:rsidRDefault="00A31043" w:rsidP="00A31043">
      <w:pPr>
        <w:rPr>
          <w:rFonts w:cs="Times New Roman"/>
        </w:rPr>
      </w:pPr>
    </w:p>
    <w:p w14:paraId="1DDC8D02" w14:textId="77777777" w:rsidR="00A31043" w:rsidRPr="0096528B" w:rsidRDefault="00A31043" w:rsidP="001460CC">
      <w:pPr>
        <w:ind w:firstLine="720"/>
      </w:pPr>
    </w:p>
    <w:p w14:paraId="012E4579" w14:textId="20529C23" w:rsidR="00353915" w:rsidRDefault="00E86887" w:rsidP="00883383">
      <w:pPr>
        <w:pStyle w:val="Heading1"/>
        <w:spacing w:line="276" w:lineRule="auto"/>
      </w:pPr>
      <w:bookmarkStart w:id="8" w:name="_Toc67566021"/>
      <w:r>
        <w:lastRenderedPageBreak/>
        <w:t xml:space="preserve">Critical </w:t>
      </w:r>
      <w:r w:rsidR="00F22FAE">
        <w:t>Literature Review</w:t>
      </w:r>
      <w:bookmarkEnd w:id="8"/>
    </w:p>
    <w:p w14:paraId="39F8A325" w14:textId="0D339E00" w:rsidR="00F43ACC" w:rsidRDefault="009E6E48" w:rsidP="00F43ACC">
      <w:pPr>
        <w:ind w:firstLine="720"/>
      </w:pPr>
      <w:r>
        <w:t xml:space="preserve">An oil and gas well’s life cycle </w:t>
      </w:r>
      <w:r w:rsidR="005B5118">
        <w:t>can be broken down into three main phases: construction, operation, and abandonment. The following sections give a brief overview of all three phases and how they can c</w:t>
      </w:r>
      <w:r w:rsidR="00D7601E">
        <w:t>ontribute to potential leakage.</w:t>
      </w:r>
      <w:r w:rsidR="004665B1">
        <w:t xml:space="preserve"> It is important to note that this is not a complete set of rules and regulations for designing, operating, and abandoning a wellbore. This section serves as a brief overview.</w:t>
      </w:r>
    </w:p>
    <w:p w14:paraId="10115CE7" w14:textId="57A4F084" w:rsidR="00BA0365" w:rsidRDefault="00E86887" w:rsidP="003E1B51">
      <w:pPr>
        <w:pStyle w:val="Heading3"/>
      </w:pPr>
      <w:bookmarkStart w:id="9" w:name="_Toc67566022"/>
      <w:r>
        <w:t>Well Construction</w:t>
      </w:r>
      <w:bookmarkEnd w:id="9"/>
      <w:r w:rsidR="008805F7">
        <w:t xml:space="preserve"> </w:t>
      </w:r>
    </w:p>
    <w:p w14:paraId="55F8E833" w14:textId="2BD37126" w:rsidR="00F43ACC" w:rsidRDefault="00AD2045" w:rsidP="00F43ACC">
      <w:pPr>
        <w:spacing w:after="240"/>
        <w:ind w:firstLine="720"/>
      </w:pPr>
      <w:r w:rsidRPr="00EC7EFC">
        <w:t xml:space="preserve">Wellbores are designed with steel casing and cement to prevent leakage </w:t>
      </w:r>
      <w:r w:rsidR="008707E1">
        <w:t xml:space="preserve">and </w:t>
      </w:r>
      <w:r w:rsidR="00513046">
        <w:t>maintain wellbore integrity</w:t>
      </w:r>
      <w:r w:rsidR="00133B21">
        <w:t xml:space="preserve"> and support</w:t>
      </w:r>
      <w:r w:rsidR="00FD692B">
        <w:t xml:space="preserve"> the wellbore wall made up by the surrounding rock formation</w:t>
      </w:r>
      <w:r w:rsidR="00513046">
        <w:t xml:space="preserve">. </w:t>
      </w:r>
      <w:r w:rsidRPr="00EC7EFC">
        <w:t xml:space="preserve">The cement </w:t>
      </w:r>
      <w:r w:rsidRPr="001E64C9">
        <w:t>is placed in the annulus</w:t>
      </w:r>
      <w:r w:rsidRPr="00EC7EFC">
        <w:t xml:space="preserve"> between the casing and the formation </w:t>
      </w:r>
      <w:r w:rsidR="008F770B">
        <w:t xml:space="preserve">(known as the cement sheath) </w:t>
      </w:r>
      <w:r w:rsidRPr="00EC7EFC">
        <w:t>when a well is completed and serves dual purpose</w:t>
      </w:r>
      <w:r>
        <w:t>s: the cement is responsible</w:t>
      </w:r>
      <w:r w:rsidRPr="00EC7EFC">
        <w:t xml:space="preserve"> </w:t>
      </w:r>
      <w:r w:rsidRPr="001E64C9">
        <w:t>to hold and support the casing in place and to provide</w:t>
      </w:r>
      <w:r w:rsidRPr="00EC7EFC">
        <w:t xml:space="preserve"> zonal isolation between formation fl</w:t>
      </w:r>
      <w:r w:rsidR="00513046">
        <w:t>uids of different zones (Smith 1984; Smith 1987</w:t>
      </w:r>
      <w:r w:rsidR="006405E7">
        <w:t>; Nelson</w:t>
      </w:r>
      <w:r w:rsidR="006405E7" w:rsidRPr="00EC7EFC">
        <w:t xml:space="preserve"> 19</w:t>
      </w:r>
      <w:r w:rsidR="006405E7">
        <w:t>90</w:t>
      </w:r>
      <w:r w:rsidR="00513046">
        <w:t xml:space="preserve">). </w:t>
      </w:r>
      <w:r w:rsidRPr="00EC7EFC">
        <w:t xml:space="preserve">The annulus between the casing and the borehole can be cemented from the bottom of a casing string to the surface but other times, wells are only partially cemented </w:t>
      </w:r>
      <w:r w:rsidR="002572EA">
        <w:t>through</w:t>
      </w:r>
      <w:r w:rsidRPr="00EC7EFC">
        <w:t xml:space="preserve"> hydrocarbon or freshwater zon</w:t>
      </w:r>
      <w:r w:rsidR="00513046">
        <w:t xml:space="preserve">es to provide zonal isolation. </w:t>
      </w:r>
      <w:r w:rsidRPr="00EC7EFC">
        <w:t>Therefore</w:t>
      </w:r>
      <w:r>
        <w:t>,</w:t>
      </w:r>
      <w:r w:rsidRPr="00EC7EFC">
        <w:t xml:space="preserve"> the integrity of the cement is </w:t>
      </w:r>
      <w:r w:rsidR="002572EA">
        <w:t>critical in preventing leakage.</w:t>
      </w:r>
      <w:r w:rsidRPr="00EC7EFC">
        <w:t xml:space="preserve"> </w:t>
      </w:r>
      <w:r w:rsidR="00397300">
        <w:t>To ensure integrity a thorough understanding of the rock formation casing and cement sheath is required.</w:t>
      </w:r>
    </w:p>
    <w:p w14:paraId="631A3774" w14:textId="4B9DFA2A" w:rsidR="00F53DF8" w:rsidRPr="00280C2E" w:rsidRDefault="00F53DF8" w:rsidP="00280C2E">
      <w:pPr>
        <w:rPr>
          <w:b/>
        </w:rPr>
      </w:pPr>
      <w:r w:rsidRPr="00280C2E">
        <w:rPr>
          <w:b/>
        </w:rPr>
        <w:t>Rock Formation</w:t>
      </w:r>
    </w:p>
    <w:p w14:paraId="59EF7EFF" w14:textId="0921A014" w:rsidR="006D0129" w:rsidRPr="00EC7EFC" w:rsidRDefault="00133B21" w:rsidP="001460CC">
      <w:pPr>
        <w:ind w:firstLine="720"/>
      </w:pPr>
      <w:r>
        <w:t>When a well</w:t>
      </w:r>
      <w:r w:rsidR="00032238">
        <w:t>bore is drilled, the drilling fluid ensure</w:t>
      </w:r>
      <w:r>
        <w:t>s</w:t>
      </w:r>
      <w:r w:rsidR="00032238">
        <w:t xml:space="preserve"> stable wellbore walls (Bourgoyne et al. 1986)</w:t>
      </w:r>
      <w:r w:rsidR="00BE3DB7">
        <w:rPr>
          <w:rStyle w:val="FootnoteReference"/>
        </w:rPr>
        <w:footnoteReference w:id="1"/>
      </w:r>
      <w:r w:rsidR="00032238">
        <w:t>. The removal of the rock and replacement of a fluid column causes</w:t>
      </w:r>
      <w:r w:rsidR="006D0129" w:rsidRPr="00EC7EFC">
        <w:t xml:space="preserve"> the in-situ stresses </w:t>
      </w:r>
      <w:r w:rsidR="006D0129" w:rsidRPr="00EC7EFC">
        <w:lastRenderedPageBreak/>
        <w:t xml:space="preserve">in the rock </w:t>
      </w:r>
      <w:r w:rsidR="00032238">
        <w:t xml:space="preserve">to be </w:t>
      </w:r>
      <w:r w:rsidR="006D0129" w:rsidRPr="001E64C9">
        <w:t>altered</w:t>
      </w:r>
      <w:r w:rsidR="006D0129">
        <w:t xml:space="preserve"> around the wellbore. </w:t>
      </w:r>
      <w:r w:rsidR="006D0129" w:rsidRPr="00EC7EFC">
        <w:t xml:space="preserve">Since the </w:t>
      </w:r>
      <w:r w:rsidR="003A503B">
        <w:t xml:space="preserve">wellbore </w:t>
      </w:r>
      <w:r w:rsidR="006D0129" w:rsidRPr="00EC7EFC">
        <w:t xml:space="preserve">fluid pressure is different in magnitude and </w:t>
      </w:r>
      <w:r w:rsidR="00224029">
        <w:t>a</w:t>
      </w:r>
      <w:r w:rsidR="00032238">
        <w:t xml:space="preserve">cting isotropically on the </w:t>
      </w:r>
      <w:r w:rsidR="006D0129" w:rsidRPr="00EC7EFC">
        <w:t xml:space="preserve">cylindrical </w:t>
      </w:r>
      <w:r w:rsidR="00032238">
        <w:t xml:space="preserve">wellbore wall </w:t>
      </w:r>
      <w:r w:rsidR="006D0129" w:rsidRPr="00EC7EFC">
        <w:t xml:space="preserve">instead of a combination of orthogonal stresses, a stress concentration </w:t>
      </w:r>
      <w:r w:rsidR="006D0129" w:rsidRPr="001E64C9">
        <w:t>is created</w:t>
      </w:r>
      <w:r w:rsidR="006D0129" w:rsidRPr="00EC7EFC">
        <w:t xml:space="preserve"> around the wellbore</w:t>
      </w:r>
      <w:r w:rsidR="006D0129">
        <w:t xml:space="preserve">. </w:t>
      </w:r>
      <w:r w:rsidR="006D0129" w:rsidRPr="00EC7EFC">
        <w:t>There are two types of stress categories:</w:t>
      </w:r>
    </w:p>
    <w:p w14:paraId="53E7EC6E" w14:textId="19547889" w:rsidR="006D0129" w:rsidRPr="00EC7EFC" w:rsidRDefault="006D0129" w:rsidP="00FF2CA0">
      <w:pPr>
        <w:pStyle w:val="ListParagraph"/>
        <w:numPr>
          <w:ilvl w:val="0"/>
          <w:numId w:val="3"/>
        </w:numPr>
        <w:spacing w:after="200"/>
      </w:pPr>
      <w:r w:rsidRPr="00EC7EFC">
        <w:t xml:space="preserve">The </w:t>
      </w:r>
      <w:r w:rsidR="00032238">
        <w:t xml:space="preserve">far field stress field in the rock (i.e. </w:t>
      </w:r>
      <w:r w:rsidRPr="00EC7EFC">
        <w:t>in-situ stresses</w:t>
      </w:r>
      <w:r w:rsidR="00032238">
        <w:t>)</w:t>
      </w:r>
    </w:p>
    <w:p w14:paraId="0366121B" w14:textId="77777777" w:rsidR="006D0129" w:rsidRPr="00EC7EFC" w:rsidRDefault="006D0129" w:rsidP="00FF2CA0">
      <w:pPr>
        <w:pStyle w:val="ListParagraph"/>
        <w:numPr>
          <w:ilvl w:val="0"/>
          <w:numId w:val="3"/>
        </w:numPr>
        <w:spacing w:after="200"/>
      </w:pPr>
      <w:r w:rsidRPr="00EC7EFC">
        <w:t>The stress concentration around the wellbore</w:t>
      </w:r>
    </w:p>
    <w:p w14:paraId="7DD136A0" w14:textId="7DD6D2BB" w:rsidR="006D0129" w:rsidRPr="00EC7EFC" w:rsidRDefault="006D0129" w:rsidP="006D0129">
      <w:pPr>
        <w:ind w:firstLine="720"/>
      </w:pPr>
      <w:r w:rsidRPr="00EC7EFC">
        <w:t>The Kirsch (1898) equations describe the concentration of stresses for a circular hole in an infinite linear elastic plate with a uniform tension within the solid and were later modified to include anisotropic horizontal stresses and the wellbore fluid pressure (H</w:t>
      </w:r>
      <w:r>
        <w:t>iramatsu and Oka 1968; Bradley</w:t>
      </w:r>
      <w:r w:rsidRPr="00EC7EFC">
        <w:t xml:space="preserve"> 1979).  </w:t>
      </w:r>
    </w:p>
    <w:p w14:paraId="5E298764" w14:textId="50B0B688" w:rsidR="006D0129" w:rsidRDefault="006D0129" w:rsidP="006D0129">
      <w:pPr>
        <w:ind w:firstLine="720"/>
      </w:pPr>
      <w:r w:rsidRPr="00EC7EFC">
        <w:t xml:space="preserve">For the </w:t>
      </w:r>
      <w:r w:rsidR="00A93FC3">
        <w:t xml:space="preserve">wells </w:t>
      </w:r>
      <w:r w:rsidRPr="00EC7EFC">
        <w:t xml:space="preserve">in </w:t>
      </w:r>
      <w:r w:rsidRPr="00133B21">
        <w:t>this dissertation, the wellbores are oriented vertically and are parallel to the overburden stress. This assumption simplifies the Kirsch equations as illustrated in Figure 2.</w:t>
      </w:r>
      <w:r w:rsidR="00535A03" w:rsidRPr="00133B21">
        <w:t>1</w:t>
      </w:r>
      <w:r w:rsidRPr="00133B21">
        <w:t xml:space="preserve">. The following Equations, </w:t>
      </w:r>
      <w:r w:rsidR="003F7ED9" w:rsidRPr="00133B21">
        <w:t>2.1-2.5</w:t>
      </w:r>
      <w:r w:rsidRPr="00133B21">
        <w:t>, describe the stress concentrations around the wellbore in terms of the hoop stress (</w:t>
      </w:r>
      <m:oMath>
        <m:sSub>
          <m:sSubPr>
            <m:ctrlPr>
              <w:rPr>
                <w:rFonts w:ascii="Cambria Math" w:hAnsi="Cambria Math"/>
                <w:i/>
              </w:rPr>
            </m:ctrlPr>
          </m:sSubPr>
          <m:e>
            <m:r>
              <w:rPr>
                <w:rFonts w:ascii="Cambria Math" w:hAnsi="Cambria Math"/>
              </w:rPr>
              <m:t>σ</m:t>
            </m:r>
          </m:e>
          <m:sub>
            <m:r>
              <w:rPr>
                <w:rFonts w:ascii="Cambria Math" w:hAnsi="Cambria Math"/>
              </w:rPr>
              <m:t>θ</m:t>
            </m:r>
          </m:sub>
        </m:sSub>
      </m:oMath>
      <w:r w:rsidRPr="00133B21">
        <w:t>), radial stress (</w:t>
      </w:r>
      <m:oMath>
        <m:sSub>
          <m:sSubPr>
            <m:ctrlPr>
              <w:rPr>
                <w:rFonts w:ascii="Cambria Math" w:hAnsi="Cambria Math"/>
                <w:i/>
              </w:rPr>
            </m:ctrlPr>
          </m:sSubPr>
          <m:e>
            <m:r>
              <w:rPr>
                <w:rFonts w:ascii="Cambria Math" w:hAnsi="Cambria Math"/>
              </w:rPr>
              <m:t>σ</m:t>
            </m:r>
          </m:e>
          <m:sub>
            <m:r>
              <w:rPr>
                <w:rFonts w:ascii="Cambria Math" w:hAnsi="Cambria Math"/>
              </w:rPr>
              <m:t>r</m:t>
            </m:r>
          </m:sub>
        </m:sSub>
      </m:oMath>
      <w:r w:rsidRPr="00133B21">
        <w:t>),</w:t>
      </w:r>
      <w:r w:rsidRPr="00EC7EFC">
        <w:t xml:space="preserve"> vertical stress (</w:t>
      </w:r>
      <m:oMath>
        <m:sSub>
          <m:sSubPr>
            <m:ctrlPr>
              <w:rPr>
                <w:rFonts w:ascii="Cambria Math" w:hAnsi="Cambria Math"/>
                <w:i/>
              </w:rPr>
            </m:ctrlPr>
          </m:sSubPr>
          <m:e>
            <m:r>
              <w:rPr>
                <w:rFonts w:ascii="Cambria Math" w:hAnsi="Cambria Math"/>
              </w:rPr>
              <m:t>σ</m:t>
            </m:r>
          </m:e>
          <m:sub>
            <m:r>
              <w:rPr>
                <w:rFonts w:ascii="Cambria Math" w:hAnsi="Cambria Math"/>
              </w:rPr>
              <m:t>v</m:t>
            </m:r>
          </m:sub>
        </m:sSub>
      </m:oMath>
      <w:r w:rsidRPr="00EC7EFC">
        <w:t xml:space="preserve"> or </w:t>
      </w:r>
      <m:oMath>
        <m:sSub>
          <m:sSubPr>
            <m:ctrlPr>
              <w:rPr>
                <w:rFonts w:ascii="Cambria Math" w:hAnsi="Cambria Math"/>
                <w:i/>
              </w:rPr>
            </m:ctrlPr>
          </m:sSubPr>
          <m:e>
            <m:r>
              <w:rPr>
                <w:rFonts w:ascii="Cambria Math" w:hAnsi="Cambria Math"/>
              </w:rPr>
              <m:t>σ</m:t>
            </m:r>
          </m:e>
          <m:sub>
            <m:r>
              <w:rPr>
                <w:rFonts w:ascii="Cambria Math" w:hAnsi="Cambria Math"/>
              </w:rPr>
              <m:t>z</m:t>
            </m:r>
          </m:sub>
        </m:sSub>
      </m:oMath>
      <w:r w:rsidRPr="00EC7EFC">
        <w:t>), and shear stresses (</w:t>
      </w:r>
      <m:oMath>
        <m:sSub>
          <m:sSubPr>
            <m:ctrlPr>
              <w:rPr>
                <w:rFonts w:ascii="Cambria Math" w:hAnsi="Cambria Math"/>
                <w:i/>
              </w:rPr>
            </m:ctrlPr>
          </m:sSubPr>
          <m:e>
            <m:r>
              <w:rPr>
                <w:rFonts w:ascii="Cambria Math" w:hAnsi="Cambria Math"/>
              </w:rPr>
              <m:t>τ</m:t>
            </m:r>
          </m:e>
          <m:sub>
            <m:r>
              <w:rPr>
                <w:rFonts w:ascii="Cambria Math" w:hAnsi="Cambria Math"/>
              </w:rPr>
              <m:t>rθ</m:t>
            </m:r>
          </m:sub>
        </m:sSub>
      </m:oMath>
      <w:r w:rsidRPr="00EC7EFC">
        <w:t xml:space="preserve">, </w:t>
      </w:r>
      <m:oMath>
        <m:sSub>
          <m:sSubPr>
            <m:ctrlPr>
              <w:rPr>
                <w:rFonts w:ascii="Cambria Math" w:hAnsi="Cambria Math"/>
                <w:i/>
              </w:rPr>
            </m:ctrlPr>
          </m:sSubPr>
          <m:e>
            <m:r>
              <w:rPr>
                <w:rFonts w:ascii="Cambria Math" w:hAnsi="Cambria Math"/>
              </w:rPr>
              <m:t>τ</m:t>
            </m:r>
          </m:e>
          <m:sub>
            <m:r>
              <w:rPr>
                <w:rFonts w:ascii="Cambria Math" w:hAnsi="Cambria Math"/>
              </w:rPr>
              <m:t>θz</m:t>
            </m:r>
          </m:sub>
        </m:sSub>
      </m:oMath>
      <w:r>
        <w:t>, and</w:t>
      </w:r>
      <w:r w:rsidRPr="00EC7EFC">
        <w:t xml:space="preserve"> </w:t>
      </w:r>
      <m:oMath>
        <m:sSub>
          <m:sSubPr>
            <m:ctrlPr>
              <w:rPr>
                <w:rFonts w:ascii="Cambria Math" w:hAnsi="Cambria Math"/>
                <w:i/>
              </w:rPr>
            </m:ctrlPr>
          </m:sSubPr>
          <m:e>
            <m:r>
              <w:rPr>
                <w:rFonts w:ascii="Cambria Math" w:hAnsi="Cambria Math"/>
              </w:rPr>
              <m:t>τ</m:t>
            </m:r>
          </m:e>
          <m:sub>
            <m:r>
              <w:rPr>
                <w:rFonts w:ascii="Cambria Math" w:hAnsi="Cambria Math"/>
              </w:rPr>
              <m:t>rz</m:t>
            </m:r>
          </m:sub>
        </m:sSub>
      </m:oMath>
      <w:r w:rsidRPr="00EC7EFC">
        <w:t>) given the far field stresses (</w:t>
      </w:r>
      <m:oMath>
        <m:sSub>
          <m:sSubPr>
            <m:ctrlPr>
              <w:rPr>
                <w:rFonts w:ascii="Cambria Math" w:hAnsi="Cambria Math"/>
                <w:i/>
              </w:rPr>
            </m:ctrlPr>
          </m:sSubPr>
          <m:e>
            <m:r>
              <w:rPr>
                <w:rFonts w:ascii="Cambria Math" w:hAnsi="Cambria Math"/>
              </w:rPr>
              <m:t>σ</m:t>
            </m:r>
          </m:e>
          <m:sub>
            <m:r>
              <w:rPr>
                <w:rFonts w:ascii="Cambria Math" w:hAnsi="Cambria Math"/>
              </w:rPr>
              <m:t>v</m:t>
            </m:r>
          </m:sub>
        </m:sSub>
        <m:r>
          <w:rPr>
            <w:rFonts w:ascii="Cambria Math" w:hAnsi="Cambria Math"/>
          </w:rPr>
          <m:t xml:space="preserve">, </m:t>
        </m:r>
        <m:sSub>
          <m:sSubPr>
            <m:ctrlPr>
              <w:rPr>
                <w:rFonts w:ascii="Cambria Math" w:hAnsi="Cambria Math"/>
                <w:i/>
              </w:rPr>
            </m:ctrlPr>
          </m:sSubPr>
          <m:e>
            <m:r>
              <w:rPr>
                <w:rFonts w:ascii="Cambria Math" w:hAnsi="Cambria Math"/>
              </w:rPr>
              <m:t>σ</m:t>
            </m:r>
          </m:e>
          <m:sub>
            <m:r>
              <w:rPr>
                <w:rFonts w:ascii="Cambria Math" w:hAnsi="Cambria Math"/>
              </w:rPr>
              <m:t>H</m:t>
            </m:r>
          </m:sub>
        </m:sSub>
      </m:oMath>
      <w:r>
        <w:rPr>
          <w:rFonts w:eastAsiaTheme="minorEastAsia"/>
        </w:rPr>
        <w:t>,</w:t>
      </w:r>
      <w:r>
        <w:t xml:space="preserve"> and</w:t>
      </w:r>
      <w:r w:rsidRPr="00EC7EFC">
        <w:t xml:space="preserve"> </w:t>
      </w:r>
      <m:oMath>
        <m:sSub>
          <m:sSubPr>
            <m:ctrlPr>
              <w:rPr>
                <w:rFonts w:ascii="Cambria Math" w:hAnsi="Cambria Math"/>
                <w:i/>
              </w:rPr>
            </m:ctrlPr>
          </m:sSubPr>
          <m:e>
            <m:r>
              <w:rPr>
                <w:rFonts w:ascii="Cambria Math" w:hAnsi="Cambria Math"/>
              </w:rPr>
              <m:t>σ</m:t>
            </m:r>
          </m:e>
          <m:sub>
            <m:r>
              <w:rPr>
                <w:rFonts w:ascii="Cambria Math" w:hAnsi="Cambria Math"/>
              </w:rPr>
              <m:t>h</m:t>
            </m:r>
          </m:sub>
        </m:sSub>
      </m:oMath>
      <w:r w:rsidRPr="00EC7EFC">
        <w:t>) are known</w:t>
      </w:r>
      <w:r>
        <w:t>.</w:t>
      </w:r>
    </w:p>
    <w:p w14:paraId="7A3BFD7D" w14:textId="77777777" w:rsidR="006D0129" w:rsidRDefault="006D0129" w:rsidP="00BC23AD">
      <w:pPr>
        <w:pStyle w:val="NoSpacing"/>
      </w:pPr>
      <w:r w:rsidRPr="001E64C9">
        <w:rPr>
          <w:noProof/>
        </w:rPr>
        <w:lastRenderedPageBreak/>
        <w:drawing>
          <wp:inline distT="0" distB="0" distL="0" distR="0" wp14:anchorId="2468A524" wp14:editId="21DA2A82">
            <wp:extent cx="2695130" cy="27432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95130" cy="2743200"/>
                    </a:xfrm>
                    <a:prstGeom prst="rect">
                      <a:avLst/>
                    </a:prstGeom>
                    <a:noFill/>
                  </pic:spPr>
                </pic:pic>
              </a:graphicData>
            </a:graphic>
          </wp:inline>
        </w:drawing>
      </w:r>
    </w:p>
    <w:p w14:paraId="6A788F68" w14:textId="48755143" w:rsidR="006D0129" w:rsidRDefault="006D0129" w:rsidP="00BC23AD">
      <w:pPr>
        <w:pStyle w:val="Caption"/>
      </w:pPr>
      <w:bookmarkStart w:id="10" w:name="_Toc67566184"/>
      <w:r>
        <w:t xml:space="preserve">Figure </w:t>
      </w:r>
      <w:r w:rsidR="00077C0B">
        <w:fldChar w:fldCharType="begin"/>
      </w:r>
      <w:r w:rsidR="00077C0B">
        <w:instrText xml:space="preserve"> STYLEREF 1 \s </w:instrText>
      </w:r>
      <w:r w:rsidR="00077C0B">
        <w:fldChar w:fldCharType="separate"/>
      </w:r>
      <w:r w:rsidR="0006023A">
        <w:rPr>
          <w:noProof/>
        </w:rPr>
        <w:t>2</w:t>
      </w:r>
      <w:r w:rsidR="00077C0B">
        <w:rPr>
          <w:noProof/>
        </w:rPr>
        <w:fldChar w:fldCharType="end"/>
      </w:r>
      <w:r w:rsidR="00765F17">
        <w:t>.</w:t>
      </w:r>
      <w:r w:rsidR="00077C0B">
        <w:fldChar w:fldCharType="begin"/>
      </w:r>
      <w:r w:rsidR="00077C0B">
        <w:instrText xml:space="preserve"> SEQ Figure \* A</w:instrText>
      </w:r>
      <w:r w:rsidR="00077C0B">
        <w:instrText xml:space="preserve">RABIC \s 1 </w:instrText>
      </w:r>
      <w:r w:rsidR="00077C0B">
        <w:fldChar w:fldCharType="separate"/>
      </w:r>
      <w:r w:rsidR="0006023A">
        <w:rPr>
          <w:noProof/>
        </w:rPr>
        <w:t>1</w:t>
      </w:r>
      <w:r w:rsidR="00077C0B">
        <w:rPr>
          <w:noProof/>
        </w:rPr>
        <w:fldChar w:fldCharType="end"/>
      </w:r>
      <w:r>
        <w:t>: Schematic of a wellbore orientated such that the borehole is parallel to the overburden stress (</w:t>
      </w:r>
      <m:oMath>
        <m:sSub>
          <m:sSubPr>
            <m:ctrlPr>
              <w:rPr>
                <w:rFonts w:ascii="Cambria Math" w:hAnsi="Cambria Math"/>
                <w:i/>
              </w:rPr>
            </m:ctrlPr>
          </m:sSubPr>
          <m:e>
            <m:r>
              <m:rPr>
                <m:sty m:val="bi"/>
              </m:rPr>
              <w:rPr>
                <w:rFonts w:ascii="Cambria Math" w:hAnsi="Cambria Math"/>
              </w:rPr>
              <m:t>σ</m:t>
            </m:r>
          </m:e>
          <m:sub>
            <m:r>
              <m:rPr>
                <m:sty m:val="bi"/>
              </m:rPr>
              <w:rPr>
                <w:rFonts w:ascii="Cambria Math" w:hAnsi="Cambria Math"/>
              </w:rPr>
              <m:t>v</m:t>
            </m:r>
          </m:sub>
        </m:sSub>
      </m:oMath>
      <w:r>
        <w:t>).</w:t>
      </w:r>
      <w:r w:rsidR="00E75698">
        <w:t xml:space="preserve"> The principal stresses are represented with respect to Cartesian coordinates.</w:t>
      </w:r>
      <w:bookmarkEnd w:id="10"/>
      <w:r w:rsidR="00E75698">
        <w:t xml:space="preserve"> </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6D0129" w14:paraId="3E9C8FB3" w14:textId="77777777" w:rsidTr="00665B67">
        <w:trPr>
          <w:trHeight w:val="576"/>
        </w:trPr>
        <w:tc>
          <w:tcPr>
            <w:tcW w:w="720" w:type="dxa"/>
            <w:vAlign w:val="center"/>
          </w:tcPr>
          <w:p w14:paraId="7A61A615" w14:textId="7E030764" w:rsidR="006D0129" w:rsidRDefault="006D0129" w:rsidP="00665B67">
            <w:pPr>
              <w:spacing w:line="240" w:lineRule="auto"/>
              <w:jc w:val="center"/>
            </w:pPr>
          </w:p>
        </w:tc>
        <w:tc>
          <w:tcPr>
            <w:tcW w:w="7920" w:type="dxa"/>
            <w:vAlign w:val="center"/>
          </w:tcPr>
          <w:p w14:paraId="0F2D7149" w14:textId="77777777" w:rsidR="006D0129" w:rsidRPr="003E4C6A" w:rsidRDefault="00077C0B" w:rsidP="00665B67">
            <w:pPr>
              <w:spacing w:line="240" w:lineRule="auto"/>
              <w:jc w:val="center"/>
            </w:pPr>
            <m:oMathPara>
              <m:oMath>
                <m:sSub>
                  <m:sSubPr>
                    <m:ctrlPr>
                      <w:rPr>
                        <w:rFonts w:ascii="Cambria Math" w:hAnsi="Cambria Math"/>
                        <w:i/>
                      </w:rPr>
                    </m:ctrlPr>
                  </m:sSubPr>
                  <m:e>
                    <m:r>
                      <w:rPr>
                        <w:rFonts w:ascii="Cambria Math" w:hAnsi="Cambria Math"/>
                      </w:rPr>
                      <m:t>σ</m:t>
                    </m:r>
                  </m:e>
                  <m:sub>
                    <m:r>
                      <w:rPr>
                        <w:rFonts w:ascii="Cambria Math" w:hAnsi="Cambria Math"/>
                      </w:rPr>
                      <m:t>r</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σ</m:t>
                        </m:r>
                      </m:e>
                      <m:sub>
                        <m:r>
                          <w:rPr>
                            <w:rFonts w:ascii="Cambria Math" w:hAnsi="Cambria Math"/>
                          </w:rPr>
                          <m:t>H</m:t>
                        </m:r>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h</m:t>
                        </m:r>
                      </m:sub>
                    </m:sSub>
                  </m:num>
                  <m:den>
                    <m:r>
                      <w:rPr>
                        <w:rFonts w:ascii="Cambria Math" w:hAnsi="Cambria Math"/>
                      </w:rPr>
                      <m:t>2</m:t>
                    </m:r>
                  </m:den>
                </m:f>
                <m:d>
                  <m:dPr>
                    <m:ctrlPr>
                      <w:rPr>
                        <w:rFonts w:ascii="Cambria Math" w:hAnsi="Cambria Math"/>
                        <w:i/>
                      </w:rPr>
                    </m:ctrlPr>
                  </m:dPr>
                  <m:e>
                    <m:r>
                      <w:rPr>
                        <w:rFonts w:ascii="Cambria Math" w:hAnsi="Cambria Math"/>
                      </w:rPr>
                      <m:t>1-</m:t>
                    </m:r>
                    <m:f>
                      <m:fPr>
                        <m:ctrlPr>
                          <w:rPr>
                            <w:rFonts w:ascii="Cambria Math" w:hAnsi="Cambria Math"/>
                            <w:i/>
                          </w:rPr>
                        </m:ctrlPr>
                      </m:fPr>
                      <m:num>
                        <m:sSubSup>
                          <m:sSubSupPr>
                            <m:ctrlPr>
                              <w:rPr>
                                <w:rFonts w:ascii="Cambria Math" w:hAnsi="Cambria Math"/>
                                <w:i/>
                              </w:rPr>
                            </m:ctrlPr>
                          </m:sSubSupPr>
                          <m:e>
                            <m:r>
                              <w:rPr>
                                <w:rFonts w:ascii="Cambria Math" w:hAnsi="Cambria Math"/>
                              </w:rPr>
                              <m:t>R</m:t>
                            </m:r>
                          </m:e>
                          <m:sub>
                            <m:r>
                              <w:rPr>
                                <w:rFonts w:ascii="Cambria Math" w:hAnsi="Cambria Math"/>
                              </w:rPr>
                              <m:t>w</m:t>
                            </m:r>
                          </m:sub>
                          <m:sup>
                            <m:r>
                              <w:rPr>
                                <w:rFonts w:ascii="Cambria Math" w:hAnsi="Cambria Math"/>
                              </w:rPr>
                              <m:t>2</m:t>
                            </m:r>
                          </m:sup>
                        </m:sSubSup>
                      </m:num>
                      <m:den>
                        <m:sSup>
                          <m:sSupPr>
                            <m:ctrlPr>
                              <w:rPr>
                                <w:rFonts w:ascii="Cambria Math" w:hAnsi="Cambria Math"/>
                                <w:i/>
                              </w:rPr>
                            </m:ctrlPr>
                          </m:sSupPr>
                          <m:e>
                            <m:r>
                              <w:rPr>
                                <w:rFonts w:ascii="Cambria Math" w:hAnsi="Cambria Math"/>
                              </w:rPr>
                              <m:t>r</m:t>
                            </m:r>
                          </m:e>
                          <m:sup>
                            <m:r>
                              <w:rPr>
                                <w:rFonts w:ascii="Cambria Math" w:hAnsi="Cambria Math"/>
                              </w:rPr>
                              <m:t>2</m:t>
                            </m:r>
                          </m:sup>
                        </m:sSup>
                      </m:den>
                    </m:f>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σ</m:t>
                        </m:r>
                      </m:e>
                      <m:sub>
                        <m:r>
                          <w:rPr>
                            <w:rFonts w:ascii="Cambria Math" w:hAnsi="Cambria Math"/>
                          </w:rPr>
                          <m:t>H</m:t>
                        </m:r>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h</m:t>
                        </m:r>
                      </m:sub>
                    </m:sSub>
                  </m:num>
                  <m:den>
                    <m:r>
                      <w:rPr>
                        <w:rFonts w:ascii="Cambria Math" w:hAnsi="Cambria Math"/>
                      </w:rPr>
                      <m:t>2</m:t>
                    </m:r>
                  </m:den>
                </m:f>
                <m:d>
                  <m:dPr>
                    <m:ctrlPr>
                      <w:rPr>
                        <w:rFonts w:ascii="Cambria Math" w:hAnsi="Cambria Math"/>
                        <w:i/>
                      </w:rPr>
                    </m:ctrlPr>
                  </m:dPr>
                  <m:e>
                    <m:r>
                      <w:rPr>
                        <w:rFonts w:ascii="Cambria Math" w:hAnsi="Cambria Math"/>
                      </w:rPr>
                      <m:t>1+3</m:t>
                    </m:r>
                    <m:f>
                      <m:fPr>
                        <m:ctrlPr>
                          <w:rPr>
                            <w:rFonts w:ascii="Cambria Math" w:hAnsi="Cambria Math"/>
                            <w:i/>
                          </w:rPr>
                        </m:ctrlPr>
                      </m:fPr>
                      <m:num>
                        <m:sSubSup>
                          <m:sSubSupPr>
                            <m:ctrlPr>
                              <w:rPr>
                                <w:rFonts w:ascii="Cambria Math" w:hAnsi="Cambria Math"/>
                                <w:i/>
                              </w:rPr>
                            </m:ctrlPr>
                          </m:sSubSupPr>
                          <m:e>
                            <m:r>
                              <w:rPr>
                                <w:rFonts w:ascii="Cambria Math" w:hAnsi="Cambria Math"/>
                              </w:rPr>
                              <m:t>R</m:t>
                            </m:r>
                          </m:e>
                          <m:sub>
                            <m:r>
                              <w:rPr>
                                <w:rFonts w:ascii="Cambria Math" w:hAnsi="Cambria Math"/>
                              </w:rPr>
                              <m:t>w</m:t>
                            </m:r>
                          </m:sub>
                          <m:sup>
                            <m:r>
                              <w:rPr>
                                <w:rFonts w:ascii="Cambria Math" w:hAnsi="Cambria Math"/>
                              </w:rPr>
                              <m:t>4</m:t>
                            </m:r>
                          </m:sup>
                        </m:sSubSup>
                      </m:num>
                      <m:den>
                        <m:sSup>
                          <m:sSupPr>
                            <m:ctrlPr>
                              <w:rPr>
                                <w:rFonts w:ascii="Cambria Math" w:hAnsi="Cambria Math"/>
                                <w:i/>
                              </w:rPr>
                            </m:ctrlPr>
                          </m:sSupPr>
                          <m:e>
                            <m:r>
                              <w:rPr>
                                <w:rFonts w:ascii="Cambria Math" w:hAnsi="Cambria Math"/>
                              </w:rPr>
                              <m:t>r</m:t>
                            </m:r>
                          </m:e>
                          <m:sup>
                            <m:r>
                              <w:rPr>
                                <w:rFonts w:ascii="Cambria Math" w:hAnsi="Cambria Math"/>
                              </w:rPr>
                              <m:t>4</m:t>
                            </m:r>
                          </m:sup>
                        </m:sSup>
                      </m:den>
                    </m:f>
                    <m:r>
                      <w:rPr>
                        <w:rFonts w:ascii="Cambria Math" w:hAnsi="Cambria Math"/>
                      </w:rPr>
                      <m:t>-4</m:t>
                    </m:r>
                    <m:f>
                      <m:fPr>
                        <m:ctrlPr>
                          <w:rPr>
                            <w:rFonts w:ascii="Cambria Math" w:hAnsi="Cambria Math"/>
                            <w:i/>
                          </w:rPr>
                        </m:ctrlPr>
                      </m:fPr>
                      <m:num>
                        <m:sSubSup>
                          <m:sSubSupPr>
                            <m:ctrlPr>
                              <w:rPr>
                                <w:rFonts w:ascii="Cambria Math" w:hAnsi="Cambria Math"/>
                                <w:i/>
                              </w:rPr>
                            </m:ctrlPr>
                          </m:sSubSupPr>
                          <m:e>
                            <m:r>
                              <w:rPr>
                                <w:rFonts w:ascii="Cambria Math" w:hAnsi="Cambria Math"/>
                              </w:rPr>
                              <m:t>R</m:t>
                            </m:r>
                          </m:e>
                          <m:sub>
                            <m:r>
                              <w:rPr>
                                <w:rFonts w:ascii="Cambria Math" w:hAnsi="Cambria Math"/>
                              </w:rPr>
                              <m:t>w</m:t>
                            </m:r>
                          </m:sub>
                          <m:sup>
                            <m:r>
                              <w:rPr>
                                <w:rFonts w:ascii="Cambria Math" w:hAnsi="Cambria Math"/>
                              </w:rPr>
                              <m:t>2</m:t>
                            </m:r>
                          </m:sup>
                        </m:sSubSup>
                      </m:num>
                      <m:den>
                        <m:sSup>
                          <m:sSupPr>
                            <m:ctrlPr>
                              <w:rPr>
                                <w:rFonts w:ascii="Cambria Math" w:hAnsi="Cambria Math"/>
                                <w:i/>
                              </w:rPr>
                            </m:ctrlPr>
                          </m:sSupPr>
                          <m:e>
                            <m:r>
                              <w:rPr>
                                <w:rFonts w:ascii="Cambria Math" w:hAnsi="Cambria Math"/>
                              </w:rPr>
                              <m:t>r</m:t>
                            </m:r>
                          </m:e>
                          <m:sup>
                            <m:r>
                              <w:rPr>
                                <w:rFonts w:ascii="Cambria Math" w:hAnsi="Cambria Math"/>
                              </w:rPr>
                              <m:t>2</m:t>
                            </m:r>
                          </m:sup>
                        </m:sSup>
                      </m:den>
                    </m:f>
                  </m:e>
                </m:d>
                <m:r>
                  <w:rPr>
                    <w:rFonts w:ascii="Cambria Math" w:hAnsi="Cambria Math"/>
                  </w:rPr>
                  <m:t>cos2θ+</m:t>
                </m:r>
                <m:sSub>
                  <m:sSubPr>
                    <m:ctrlPr>
                      <w:rPr>
                        <w:rFonts w:ascii="Cambria Math" w:hAnsi="Cambria Math"/>
                        <w:i/>
                      </w:rPr>
                    </m:ctrlPr>
                  </m:sSubPr>
                  <m:e>
                    <m:r>
                      <w:rPr>
                        <w:rFonts w:ascii="Cambria Math" w:hAnsi="Cambria Math"/>
                      </w:rPr>
                      <m:t>P</m:t>
                    </m:r>
                  </m:e>
                  <m:sub>
                    <m:r>
                      <w:rPr>
                        <w:rFonts w:ascii="Cambria Math" w:hAnsi="Cambria Math"/>
                      </w:rPr>
                      <m:t>w</m:t>
                    </m:r>
                  </m:sub>
                </m:sSub>
                <m:f>
                  <m:fPr>
                    <m:ctrlPr>
                      <w:rPr>
                        <w:rFonts w:ascii="Cambria Math" w:hAnsi="Cambria Math"/>
                        <w:i/>
                      </w:rPr>
                    </m:ctrlPr>
                  </m:fPr>
                  <m:num>
                    <m:sSubSup>
                      <m:sSubSupPr>
                        <m:ctrlPr>
                          <w:rPr>
                            <w:rFonts w:ascii="Cambria Math" w:hAnsi="Cambria Math"/>
                            <w:i/>
                          </w:rPr>
                        </m:ctrlPr>
                      </m:sSubSupPr>
                      <m:e>
                        <m:r>
                          <w:rPr>
                            <w:rFonts w:ascii="Cambria Math" w:hAnsi="Cambria Math"/>
                          </w:rPr>
                          <m:t>R</m:t>
                        </m:r>
                      </m:e>
                      <m:sub>
                        <m:r>
                          <w:rPr>
                            <w:rFonts w:ascii="Cambria Math" w:hAnsi="Cambria Math"/>
                          </w:rPr>
                          <m:t>w</m:t>
                        </m:r>
                      </m:sub>
                      <m:sup>
                        <m:r>
                          <w:rPr>
                            <w:rFonts w:ascii="Cambria Math" w:hAnsi="Cambria Math"/>
                          </w:rPr>
                          <m:t>2</m:t>
                        </m:r>
                      </m:sup>
                    </m:sSubSup>
                  </m:num>
                  <m:den>
                    <m:sSup>
                      <m:sSupPr>
                        <m:ctrlPr>
                          <w:rPr>
                            <w:rFonts w:ascii="Cambria Math" w:hAnsi="Cambria Math"/>
                            <w:i/>
                          </w:rPr>
                        </m:ctrlPr>
                      </m:sSupPr>
                      <m:e>
                        <m:r>
                          <w:rPr>
                            <w:rFonts w:ascii="Cambria Math" w:hAnsi="Cambria Math"/>
                          </w:rPr>
                          <m:t>r</m:t>
                        </m:r>
                      </m:e>
                      <m:sup>
                        <m:r>
                          <w:rPr>
                            <w:rFonts w:ascii="Cambria Math" w:hAnsi="Cambria Math"/>
                          </w:rPr>
                          <m:t>2</m:t>
                        </m:r>
                      </m:sup>
                    </m:sSup>
                  </m:den>
                </m:f>
              </m:oMath>
            </m:oMathPara>
          </w:p>
        </w:tc>
        <w:tc>
          <w:tcPr>
            <w:tcW w:w="720" w:type="dxa"/>
            <w:vAlign w:val="bottom"/>
          </w:tcPr>
          <w:p w14:paraId="5D5FC885" w14:textId="3E3BF91E" w:rsidR="006D0129"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6D0129">
              <w:t>.</w:t>
            </w:r>
            <w:r>
              <w:fldChar w:fldCharType="begin"/>
            </w:r>
            <w:r>
              <w:instrText xml:space="preserve"> SEQ Equation \* ARABIC \s 1 </w:instrText>
            </w:r>
            <w:r>
              <w:fldChar w:fldCharType="separate"/>
            </w:r>
            <w:r w:rsidR="0006023A">
              <w:rPr>
                <w:noProof/>
              </w:rPr>
              <w:t>1</w:t>
            </w:r>
            <w:r>
              <w:rPr>
                <w:noProof/>
              </w:rPr>
              <w:fldChar w:fldCharType="end"/>
            </w:r>
          </w:p>
        </w:tc>
      </w:tr>
    </w:tbl>
    <w:p w14:paraId="1741A9C2" w14:textId="77777777" w:rsidR="006D0129" w:rsidRDefault="006D0129" w:rsidP="006D0129"/>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6D0129" w14:paraId="29E931A6" w14:textId="77777777" w:rsidTr="00665B67">
        <w:trPr>
          <w:trHeight w:val="576"/>
        </w:trPr>
        <w:tc>
          <w:tcPr>
            <w:tcW w:w="720" w:type="dxa"/>
            <w:vAlign w:val="center"/>
          </w:tcPr>
          <w:p w14:paraId="4D1A4840" w14:textId="7104F553" w:rsidR="006D0129" w:rsidRDefault="006D0129" w:rsidP="00665B67">
            <w:pPr>
              <w:spacing w:line="240" w:lineRule="auto"/>
              <w:jc w:val="center"/>
            </w:pPr>
          </w:p>
        </w:tc>
        <w:tc>
          <w:tcPr>
            <w:tcW w:w="7920" w:type="dxa"/>
            <w:vAlign w:val="center"/>
          </w:tcPr>
          <w:p w14:paraId="045291C0" w14:textId="77777777" w:rsidR="006D0129" w:rsidRPr="003E4C6A" w:rsidRDefault="00077C0B" w:rsidP="00665B67">
            <w:pPr>
              <w:spacing w:line="240" w:lineRule="auto"/>
              <w:jc w:val="center"/>
            </w:pPr>
            <m:oMathPara>
              <m:oMath>
                <m:sSub>
                  <m:sSubPr>
                    <m:ctrlPr>
                      <w:rPr>
                        <w:rFonts w:ascii="Cambria Math" w:hAnsi="Cambria Math"/>
                        <w:i/>
                      </w:rPr>
                    </m:ctrlPr>
                  </m:sSubPr>
                  <m:e>
                    <m:r>
                      <w:rPr>
                        <w:rFonts w:ascii="Cambria Math" w:hAnsi="Cambria Math"/>
                      </w:rPr>
                      <m:t>σ</m:t>
                    </m:r>
                  </m:e>
                  <m:sub>
                    <m:r>
                      <w:rPr>
                        <w:rFonts w:ascii="Cambria Math" w:hAnsi="Cambria Math"/>
                      </w:rPr>
                      <m:t>θ</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σ</m:t>
                        </m:r>
                      </m:e>
                      <m:sub>
                        <m:r>
                          <w:rPr>
                            <w:rFonts w:ascii="Cambria Math" w:hAnsi="Cambria Math"/>
                          </w:rPr>
                          <m:t>H</m:t>
                        </m:r>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h</m:t>
                        </m:r>
                      </m:sub>
                    </m:sSub>
                  </m:num>
                  <m:den>
                    <m:r>
                      <w:rPr>
                        <w:rFonts w:ascii="Cambria Math" w:hAnsi="Cambria Math"/>
                      </w:rPr>
                      <m:t>2</m:t>
                    </m:r>
                  </m:den>
                </m:f>
                <m:d>
                  <m:dPr>
                    <m:ctrlPr>
                      <w:rPr>
                        <w:rFonts w:ascii="Cambria Math" w:hAnsi="Cambria Math"/>
                        <w:i/>
                      </w:rPr>
                    </m:ctrlPr>
                  </m:dPr>
                  <m:e>
                    <m:r>
                      <w:rPr>
                        <w:rFonts w:ascii="Cambria Math" w:hAnsi="Cambria Math"/>
                      </w:rPr>
                      <m:t>1+</m:t>
                    </m:r>
                    <m:f>
                      <m:fPr>
                        <m:ctrlPr>
                          <w:rPr>
                            <w:rFonts w:ascii="Cambria Math" w:hAnsi="Cambria Math"/>
                            <w:i/>
                          </w:rPr>
                        </m:ctrlPr>
                      </m:fPr>
                      <m:num>
                        <m:sSubSup>
                          <m:sSubSupPr>
                            <m:ctrlPr>
                              <w:rPr>
                                <w:rFonts w:ascii="Cambria Math" w:hAnsi="Cambria Math"/>
                                <w:i/>
                              </w:rPr>
                            </m:ctrlPr>
                          </m:sSubSupPr>
                          <m:e>
                            <m:r>
                              <w:rPr>
                                <w:rFonts w:ascii="Cambria Math" w:hAnsi="Cambria Math"/>
                              </w:rPr>
                              <m:t>R</m:t>
                            </m:r>
                          </m:e>
                          <m:sub>
                            <m:r>
                              <w:rPr>
                                <w:rFonts w:ascii="Cambria Math" w:hAnsi="Cambria Math"/>
                              </w:rPr>
                              <m:t>w</m:t>
                            </m:r>
                          </m:sub>
                          <m:sup>
                            <m:r>
                              <w:rPr>
                                <w:rFonts w:ascii="Cambria Math" w:hAnsi="Cambria Math"/>
                              </w:rPr>
                              <m:t>2</m:t>
                            </m:r>
                          </m:sup>
                        </m:sSubSup>
                      </m:num>
                      <m:den>
                        <m:sSup>
                          <m:sSupPr>
                            <m:ctrlPr>
                              <w:rPr>
                                <w:rFonts w:ascii="Cambria Math" w:hAnsi="Cambria Math"/>
                                <w:i/>
                              </w:rPr>
                            </m:ctrlPr>
                          </m:sSupPr>
                          <m:e>
                            <m:r>
                              <w:rPr>
                                <w:rFonts w:ascii="Cambria Math" w:hAnsi="Cambria Math"/>
                              </w:rPr>
                              <m:t>r</m:t>
                            </m:r>
                          </m:e>
                          <m:sup>
                            <m:r>
                              <w:rPr>
                                <w:rFonts w:ascii="Cambria Math" w:hAnsi="Cambria Math"/>
                              </w:rPr>
                              <m:t>2</m:t>
                            </m:r>
                          </m:sup>
                        </m:sSup>
                      </m:den>
                    </m:f>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σ</m:t>
                        </m:r>
                      </m:e>
                      <m:sub>
                        <m:r>
                          <w:rPr>
                            <w:rFonts w:ascii="Cambria Math" w:hAnsi="Cambria Math"/>
                          </w:rPr>
                          <m:t>H</m:t>
                        </m:r>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h</m:t>
                        </m:r>
                      </m:sub>
                    </m:sSub>
                  </m:num>
                  <m:den>
                    <m:r>
                      <w:rPr>
                        <w:rFonts w:ascii="Cambria Math" w:hAnsi="Cambria Math"/>
                      </w:rPr>
                      <m:t>2</m:t>
                    </m:r>
                  </m:den>
                </m:f>
                <m:d>
                  <m:dPr>
                    <m:ctrlPr>
                      <w:rPr>
                        <w:rFonts w:ascii="Cambria Math" w:hAnsi="Cambria Math"/>
                        <w:i/>
                      </w:rPr>
                    </m:ctrlPr>
                  </m:dPr>
                  <m:e>
                    <m:r>
                      <w:rPr>
                        <w:rFonts w:ascii="Cambria Math" w:hAnsi="Cambria Math"/>
                      </w:rPr>
                      <m:t>1+3</m:t>
                    </m:r>
                    <m:f>
                      <m:fPr>
                        <m:ctrlPr>
                          <w:rPr>
                            <w:rFonts w:ascii="Cambria Math" w:hAnsi="Cambria Math"/>
                            <w:i/>
                          </w:rPr>
                        </m:ctrlPr>
                      </m:fPr>
                      <m:num>
                        <m:sSubSup>
                          <m:sSubSupPr>
                            <m:ctrlPr>
                              <w:rPr>
                                <w:rFonts w:ascii="Cambria Math" w:hAnsi="Cambria Math"/>
                                <w:i/>
                              </w:rPr>
                            </m:ctrlPr>
                          </m:sSubSupPr>
                          <m:e>
                            <m:r>
                              <w:rPr>
                                <w:rFonts w:ascii="Cambria Math" w:hAnsi="Cambria Math"/>
                              </w:rPr>
                              <m:t>R</m:t>
                            </m:r>
                          </m:e>
                          <m:sub>
                            <m:r>
                              <w:rPr>
                                <w:rFonts w:ascii="Cambria Math" w:hAnsi="Cambria Math"/>
                              </w:rPr>
                              <m:t>w</m:t>
                            </m:r>
                          </m:sub>
                          <m:sup>
                            <m:r>
                              <w:rPr>
                                <w:rFonts w:ascii="Cambria Math" w:hAnsi="Cambria Math"/>
                              </w:rPr>
                              <m:t>4</m:t>
                            </m:r>
                          </m:sup>
                        </m:sSubSup>
                      </m:num>
                      <m:den>
                        <m:sSup>
                          <m:sSupPr>
                            <m:ctrlPr>
                              <w:rPr>
                                <w:rFonts w:ascii="Cambria Math" w:hAnsi="Cambria Math"/>
                                <w:i/>
                              </w:rPr>
                            </m:ctrlPr>
                          </m:sSupPr>
                          <m:e>
                            <m:r>
                              <w:rPr>
                                <w:rFonts w:ascii="Cambria Math" w:hAnsi="Cambria Math"/>
                              </w:rPr>
                              <m:t>r</m:t>
                            </m:r>
                          </m:e>
                          <m:sup>
                            <m:r>
                              <w:rPr>
                                <w:rFonts w:ascii="Cambria Math" w:hAnsi="Cambria Math"/>
                              </w:rPr>
                              <m:t>4</m:t>
                            </m:r>
                          </m:sup>
                        </m:sSup>
                      </m:den>
                    </m:f>
                  </m:e>
                </m:d>
                <m:r>
                  <w:rPr>
                    <w:rFonts w:ascii="Cambria Math" w:hAnsi="Cambria Math"/>
                  </w:rPr>
                  <m:t>cos2θ-</m:t>
                </m:r>
                <m:sSub>
                  <m:sSubPr>
                    <m:ctrlPr>
                      <w:rPr>
                        <w:rFonts w:ascii="Cambria Math" w:hAnsi="Cambria Math"/>
                        <w:i/>
                      </w:rPr>
                    </m:ctrlPr>
                  </m:sSubPr>
                  <m:e>
                    <m:r>
                      <w:rPr>
                        <w:rFonts w:ascii="Cambria Math" w:hAnsi="Cambria Math"/>
                      </w:rPr>
                      <m:t>P</m:t>
                    </m:r>
                  </m:e>
                  <m:sub>
                    <m:r>
                      <w:rPr>
                        <w:rFonts w:ascii="Cambria Math" w:hAnsi="Cambria Math"/>
                      </w:rPr>
                      <m:t>w</m:t>
                    </m:r>
                  </m:sub>
                </m:sSub>
                <m:f>
                  <m:fPr>
                    <m:ctrlPr>
                      <w:rPr>
                        <w:rFonts w:ascii="Cambria Math" w:hAnsi="Cambria Math"/>
                        <w:i/>
                      </w:rPr>
                    </m:ctrlPr>
                  </m:fPr>
                  <m:num>
                    <m:sSubSup>
                      <m:sSubSupPr>
                        <m:ctrlPr>
                          <w:rPr>
                            <w:rFonts w:ascii="Cambria Math" w:hAnsi="Cambria Math"/>
                            <w:i/>
                          </w:rPr>
                        </m:ctrlPr>
                      </m:sSubSupPr>
                      <m:e>
                        <m:r>
                          <w:rPr>
                            <w:rFonts w:ascii="Cambria Math" w:hAnsi="Cambria Math"/>
                          </w:rPr>
                          <m:t>R</m:t>
                        </m:r>
                      </m:e>
                      <m:sub>
                        <m:r>
                          <w:rPr>
                            <w:rFonts w:ascii="Cambria Math" w:hAnsi="Cambria Math"/>
                          </w:rPr>
                          <m:t>w</m:t>
                        </m:r>
                      </m:sub>
                      <m:sup>
                        <m:r>
                          <w:rPr>
                            <w:rFonts w:ascii="Cambria Math" w:hAnsi="Cambria Math"/>
                          </w:rPr>
                          <m:t>2</m:t>
                        </m:r>
                      </m:sup>
                    </m:sSubSup>
                  </m:num>
                  <m:den>
                    <m:sSup>
                      <m:sSupPr>
                        <m:ctrlPr>
                          <w:rPr>
                            <w:rFonts w:ascii="Cambria Math" w:hAnsi="Cambria Math"/>
                            <w:i/>
                          </w:rPr>
                        </m:ctrlPr>
                      </m:sSupPr>
                      <m:e>
                        <m:r>
                          <w:rPr>
                            <w:rFonts w:ascii="Cambria Math" w:hAnsi="Cambria Math"/>
                          </w:rPr>
                          <m:t>r</m:t>
                        </m:r>
                      </m:e>
                      <m:sup>
                        <m:r>
                          <w:rPr>
                            <w:rFonts w:ascii="Cambria Math" w:hAnsi="Cambria Math"/>
                          </w:rPr>
                          <m:t>2</m:t>
                        </m:r>
                      </m:sup>
                    </m:sSup>
                  </m:den>
                </m:f>
              </m:oMath>
            </m:oMathPara>
          </w:p>
        </w:tc>
        <w:tc>
          <w:tcPr>
            <w:tcW w:w="720" w:type="dxa"/>
            <w:vAlign w:val="bottom"/>
          </w:tcPr>
          <w:p w14:paraId="6EAE25B3" w14:textId="26AF820C" w:rsidR="006D0129"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6D0129">
              <w:t>.</w:t>
            </w:r>
            <w:r>
              <w:fldChar w:fldCharType="begin"/>
            </w:r>
            <w:r>
              <w:instrText xml:space="preserve"> SEQ Equation \* ARABIC \s 1 </w:instrText>
            </w:r>
            <w:r>
              <w:fldChar w:fldCharType="separate"/>
            </w:r>
            <w:r w:rsidR="0006023A">
              <w:rPr>
                <w:noProof/>
              </w:rPr>
              <w:t>2</w:t>
            </w:r>
            <w:r>
              <w:rPr>
                <w:noProof/>
              </w:rPr>
              <w:fldChar w:fldCharType="end"/>
            </w:r>
          </w:p>
        </w:tc>
      </w:tr>
    </w:tbl>
    <w:p w14:paraId="72227D40" w14:textId="77777777" w:rsidR="006D0129" w:rsidRDefault="006D0129" w:rsidP="006D0129"/>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6D0129" w14:paraId="13A24DFB" w14:textId="77777777" w:rsidTr="00665B67">
        <w:trPr>
          <w:trHeight w:val="576"/>
        </w:trPr>
        <w:tc>
          <w:tcPr>
            <w:tcW w:w="720" w:type="dxa"/>
            <w:vAlign w:val="center"/>
          </w:tcPr>
          <w:p w14:paraId="302BF930" w14:textId="1F0B9BDF" w:rsidR="006D0129" w:rsidRDefault="006D0129" w:rsidP="00665B67">
            <w:pPr>
              <w:spacing w:line="240" w:lineRule="auto"/>
              <w:jc w:val="center"/>
            </w:pPr>
          </w:p>
        </w:tc>
        <w:tc>
          <w:tcPr>
            <w:tcW w:w="7920" w:type="dxa"/>
            <w:vAlign w:val="center"/>
          </w:tcPr>
          <w:p w14:paraId="22036082" w14:textId="77777777" w:rsidR="006D0129" w:rsidRPr="003E4C6A" w:rsidRDefault="00077C0B" w:rsidP="00665B67">
            <w:pPr>
              <w:spacing w:line="240" w:lineRule="auto"/>
              <w:jc w:val="center"/>
            </w:pPr>
            <m:oMathPara>
              <m:oMath>
                <m:sSub>
                  <m:sSubPr>
                    <m:ctrlPr>
                      <w:rPr>
                        <w:rFonts w:ascii="Cambria Math" w:hAnsi="Cambria Math"/>
                        <w:i/>
                      </w:rPr>
                    </m:ctrlPr>
                  </m:sSubPr>
                  <m:e>
                    <m:r>
                      <w:rPr>
                        <w:rFonts w:ascii="Cambria Math" w:hAnsi="Cambria Math"/>
                      </w:rPr>
                      <m:t>σ</m:t>
                    </m:r>
                  </m:e>
                  <m:sub>
                    <m:r>
                      <w:rPr>
                        <w:rFonts w:ascii="Cambria Math" w:hAnsi="Cambria Math"/>
                      </w:rPr>
                      <m:t>z</m:t>
                    </m:r>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v</m:t>
                    </m:r>
                  </m:sub>
                </m:sSub>
                <m:r>
                  <w:rPr>
                    <w:rFonts w:ascii="Cambria Math" w:hAnsi="Cambria Math"/>
                  </w:rPr>
                  <m:t>-2v</m:t>
                </m:r>
                <m:d>
                  <m:dPr>
                    <m:ctrlPr>
                      <w:rPr>
                        <w:rFonts w:ascii="Cambria Math" w:hAnsi="Cambria Math"/>
                        <w:i/>
                      </w:rPr>
                    </m:ctrlPr>
                  </m:dPr>
                  <m:e>
                    <m:sSub>
                      <m:sSubPr>
                        <m:ctrlPr>
                          <w:rPr>
                            <w:rFonts w:ascii="Cambria Math" w:hAnsi="Cambria Math"/>
                            <w:i/>
                          </w:rPr>
                        </m:ctrlPr>
                      </m:sSubPr>
                      <m:e>
                        <m:r>
                          <w:rPr>
                            <w:rFonts w:ascii="Cambria Math" w:hAnsi="Cambria Math"/>
                          </w:rPr>
                          <m:t>σ</m:t>
                        </m:r>
                      </m:e>
                      <m:sub>
                        <m:r>
                          <w:rPr>
                            <w:rFonts w:ascii="Cambria Math" w:hAnsi="Cambria Math"/>
                          </w:rPr>
                          <m:t>H</m:t>
                        </m:r>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h</m:t>
                        </m:r>
                      </m:sub>
                    </m:sSub>
                  </m:e>
                </m:d>
                <m:f>
                  <m:fPr>
                    <m:ctrlPr>
                      <w:rPr>
                        <w:rFonts w:ascii="Cambria Math" w:hAnsi="Cambria Math"/>
                        <w:i/>
                      </w:rPr>
                    </m:ctrlPr>
                  </m:fPr>
                  <m:num>
                    <m:sSubSup>
                      <m:sSubSupPr>
                        <m:ctrlPr>
                          <w:rPr>
                            <w:rFonts w:ascii="Cambria Math" w:hAnsi="Cambria Math"/>
                            <w:i/>
                          </w:rPr>
                        </m:ctrlPr>
                      </m:sSubSupPr>
                      <m:e>
                        <m:r>
                          <w:rPr>
                            <w:rFonts w:ascii="Cambria Math" w:hAnsi="Cambria Math"/>
                          </w:rPr>
                          <m:t>R</m:t>
                        </m:r>
                      </m:e>
                      <m:sub>
                        <m:r>
                          <w:rPr>
                            <w:rFonts w:ascii="Cambria Math" w:hAnsi="Cambria Math"/>
                          </w:rPr>
                          <m:t>w</m:t>
                        </m:r>
                      </m:sub>
                      <m:sup>
                        <m:r>
                          <w:rPr>
                            <w:rFonts w:ascii="Cambria Math" w:hAnsi="Cambria Math"/>
                          </w:rPr>
                          <m:t>2</m:t>
                        </m:r>
                      </m:sup>
                    </m:sSubSup>
                  </m:num>
                  <m:den>
                    <m:sSup>
                      <m:sSupPr>
                        <m:ctrlPr>
                          <w:rPr>
                            <w:rFonts w:ascii="Cambria Math" w:hAnsi="Cambria Math"/>
                            <w:i/>
                          </w:rPr>
                        </m:ctrlPr>
                      </m:sSupPr>
                      <m:e>
                        <m:r>
                          <w:rPr>
                            <w:rFonts w:ascii="Cambria Math" w:hAnsi="Cambria Math"/>
                          </w:rPr>
                          <m:t>r</m:t>
                        </m:r>
                      </m:e>
                      <m:sup>
                        <m:r>
                          <w:rPr>
                            <w:rFonts w:ascii="Cambria Math" w:hAnsi="Cambria Math"/>
                          </w:rPr>
                          <m:t>2</m:t>
                        </m:r>
                      </m:sup>
                    </m:sSup>
                  </m:den>
                </m:f>
                <m:r>
                  <w:rPr>
                    <w:rFonts w:ascii="Cambria Math" w:hAnsi="Cambria Math"/>
                  </w:rPr>
                  <m:t>cos2θ</m:t>
                </m:r>
              </m:oMath>
            </m:oMathPara>
          </w:p>
        </w:tc>
        <w:tc>
          <w:tcPr>
            <w:tcW w:w="720" w:type="dxa"/>
            <w:vAlign w:val="bottom"/>
          </w:tcPr>
          <w:p w14:paraId="769A2C4C" w14:textId="19418F64" w:rsidR="006D0129"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6D0129">
              <w:t>.</w:t>
            </w:r>
            <w:r>
              <w:fldChar w:fldCharType="begin"/>
            </w:r>
            <w:r>
              <w:instrText xml:space="preserve"> SEQ Equation \* ARABIC \s 1 </w:instrText>
            </w:r>
            <w:r>
              <w:fldChar w:fldCharType="separate"/>
            </w:r>
            <w:r w:rsidR="0006023A">
              <w:rPr>
                <w:noProof/>
              </w:rPr>
              <w:t>3</w:t>
            </w:r>
            <w:r>
              <w:rPr>
                <w:noProof/>
              </w:rPr>
              <w:fldChar w:fldCharType="end"/>
            </w:r>
          </w:p>
        </w:tc>
      </w:tr>
    </w:tbl>
    <w:p w14:paraId="54965F17" w14:textId="77777777" w:rsidR="006D0129" w:rsidRDefault="006D0129" w:rsidP="006D0129"/>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6D0129" w14:paraId="6FFA0C33" w14:textId="77777777" w:rsidTr="00665B67">
        <w:trPr>
          <w:trHeight w:val="576"/>
        </w:trPr>
        <w:tc>
          <w:tcPr>
            <w:tcW w:w="720" w:type="dxa"/>
            <w:vAlign w:val="center"/>
          </w:tcPr>
          <w:p w14:paraId="27CAC515" w14:textId="518DFFF6" w:rsidR="006D0129" w:rsidRDefault="006D0129" w:rsidP="00665B67">
            <w:pPr>
              <w:spacing w:line="240" w:lineRule="auto"/>
              <w:jc w:val="center"/>
            </w:pPr>
          </w:p>
        </w:tc>
        <w:tc>
          <w:tcPr>
            <w:tcW w:w="7920" w:type="dxa"/>
            <w:vAlign w:val="center"/>
          </w:tcPr>
          <w:p w14:paraId="28F7744C" w14:textId="77777777" w:rsidR="006D0129" w:rsidRPr="003E4C6A" w:rsidRDefault="00077C0B" w:rsidP="00665B67">
            <w:pPr>
              <w:spacing w:line="240" w:lineRule="auto"/>
              <w:jc w:val="center"/>
            </w:pPr>
            <m:oMathPara>
              <m:oMath>
                <m:sSub>
                  <m:sSubPr>
                    <m:ctrlPr>
                      <w:rPr>
                        <w:rFonts w:ascii="Cambria Math" w:hAnsi="Cambria Math"/>
                        <w:i/>
                      </w:rPr>
                    </m:ctrlPr>
                  </m:sSubPr>
                  <m:e>
                    <m:r>
                      <w:rPr>
                        <w:rFonts w:ascii="Cambria Math" w:hAnsi="Cambria Math"/>
                      </w:rPr>
                      <m:t>τ</m:t>
                    </m:r>
                  </m:e>
                  <m:sub>
                    <m:r>
                      <w:rPr>
                        <w:rFonts w:ascii="Cambria Math" w:hAnsi="Cambria Math"/>
                      </w:rPr>
                      <m:t>rθ</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σ</m:t>
                        </m:r>
                      </m:e>
                      <m:sub>
                        <m:r>
                          <w:rPr>
                            <w:rFonts w:ascii="Cambria Math" w:hAnsi="Cambria Math"/>
                          </w:rPr>
                          <m:t>H</m:t>
                        </m:r>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h</m:t>
                        </m:r>
                      </m:sub>
                    </m:sSub>
                  </m:num>
                  <m:den>
                    <m:r>
                      <w:rPr>
                        <w:rFonts w:ascii="Cambria Math" w:hAnsi="Cambria Math"/>
                      </w:rPr>
                      <m:t>2</m:t>
                    </m:r>
                  </m:den>
                </m:f>
                <m:d>
                  <m:dPr>
                    <m:ctrlPr>
                      <w:rPr>
                        <w:rFonts w:ascii="Cambria Math" w:hAnsi="Cambria Math"/>
                        <w:i/>
                      </w:rPr>
                    </m:ctrlPr>
                  </m:dPr>
                  <m:e>
                    <m:r>
                      <w:rPr>
                        <w:rFonts w:ascii="Cambria Math" w:hAnsi="Cambria Math"/>
                      </w:rPr>
                      <m:t>1-3</m:t>
                    </m:r>
                    <m:f>
                      <m:fPr>
                        <m:ctrlPr>
                          <w:rPr>
                            <w:rFonts w:ascii="Cambria Math" w:hAnsi="Cambria Math"/>
                            <w:i/>
                          </w:rPr>
                        </m:ctrlPr>
                      </m:fPr>
                      <m:num>
                        <m:sSubSup>
                          <m:sSubSupPr>
                            <m:ctrlPr>
                              <w:rPr>
                                <w:rFonts w:ascii="Cambria Math" w:hAnsi="Cambria Math"/>
                                <w:i/>
                              </w:rPr>
                            </m:ctrlPr>
                          </m:sSubSupPr>
                          <m:e>
                            <m:r>
                              <w:rPr>
                                <w:rFonts w:ascii="Cambria Math" w:hAnsi="Cambria Math"/>
                              </w:rPr>
                              <m:t>R</m:t>
                            </m:r>
                          </m:e>
                          <m:sub>
                            <m:r>
                              <w:rPr>
                                <w:rFonts w:ascii="Cambria Math" w:hAnsi="Cambria Math"/>
                              </w:rPr>
                              <m:t>w</m:t>
                            </m:r>
                          </m:sub>
                          <m:sup>
                            <m:r>
                              <w:rPr>
                                <w:rFonts w:ascii="Cambria Math" w:hAnsi="Cambria Math"/>
                              </w:rPr>
                              <m:t>4</m:t>
                            </m:r>
                          </m:sup>
                        </m:sSubSup>
                      </m:num>
                      <m:den>
                        <m:sSup>
                          <m:sSupPr>
                            <m:ctrlPr>
                              <w:rPr>
                                <w:rFonts w:ascii="Cambria Math" w:hAnsi="Cambria Math"/>
                                <w:i/>
                              </w:rPr>
                            </m:ctrlPr>
                          </m:sSupPr>
                          <m:e>
                            <m:r>
                              <w:rPr>
                                <w:rFonts w:ascii="Cambria Math" w:hAnsi="Cambria Math"/>
                              </w:rPr>
                              <m:t>r</m:t>
                            </m:r>
                          </m:e>
                          <m:sup>
                            <m:r>
                              <w:rPr>
                                <w:rFonts w:ascii="Cambria Math" w:hAnsi="Cambria Math"/>
                              </w:rPr>
                              <m:t>4</m:t>
                            </m:r>
                          </m:sup>
                        </m:sSup>
                      </m:den>
                    </m:f>
                    <m:r>
                      <w:rPr>
                        <w:rFonts w:ascii="Cambria Math" w:hAnsi="Cambria Math"/>
                      </w:rPr>
                      <m:t>+2</m:t>
                    </m:r>
                    <m:f>
                      <m:fPr>
                        <m:ctrlPr>
                          <w:rPr>
                            <w:rFonts w:ascii="Cambria Math" w:hAnsi="Cambria Math"/>
                            <w:i/>
                          </w:rPr>
                        </m:ctrlPr>
                      </m:fPr>
                      <m:num>
                        <m:sSubSup>
                          <m:sSubSupPr>
                            <m:ctrlPr>
                              <w:rPr>
                                <w:rFonts w:ascii="Cambria Math" w:hAnsi="Cambria Math"/>
                                <w:i/>
                              </w:rPr>
                            </m:ctrlPr>
                          </m:sSubSupPr>
                          <m:e>
                            <m:r>
                              <w:rPr>
                                <w:rFonts w:ascii="Cambria Math" w:hAnsi="Cambria Math"/>
                              </w:rPr>
                              <m:t>R</m:t>
                            </m:r>
                          </m:e>
                          <m:sub>
                            <m:r>
                              <w:rPr>
                                <w:rFonts w:ascii="Cambria Math" w:hAnsi="Cambria Math"/>
                              </w:rPr>
                              <m:t>w</m:t>
                            </m:r>
                          </m:sub>
                          <m:sup>
                            <m:r>
                              <w:rPr>
                                <w:rFonts w:ascii="Cambria Math" w:hAnsi="Cambria Math"/>
                              </w:rPr>
                              <m:t>2</m:t>
                            </m:r>
                          </m:sup>
                        </m:sSubSup>
                      </m:num>
                      <m:den>
                        <m:sSup>
                          <m:sSupPr>
                            <m:ctrlPr>
                              <w:rPr>
                                <w:rFonts w:ascii="Cambria Math" w:hAnsi="Cambria Math"/>
                                <w:i/>
                              </w:rPr>
                            </m:ctrlPr>
                          </m:sSupPr>
                          <m:e>
                            <m:r>
                              <w:rPr>
                                <w:rFonts w:ascii="Cambria Math" w:hAnsi="Cambria Math"/>
                              </w:rPr>
                              <m:t>r</m:t>
                            </m:r>
                          </m:e>
                          <m:sup>
                            <m:r>
                              <w:rPr>
                                <w:rFonts w:ascii="Cambria Math" w:hAnsi="Cambria Math"/>
                              </w:rPr>
                              <m:t>2</m:t>
                            </m:r>
                          </m:sup>
                        </m:sSup>
                      </m:den>
                    </m:f>
                  </m:e>
                </m:d>
                <m:r>
                  <w:rPr>
                    <w:rFonts w:ascii="Cambria Math" w:hAnsi="Cambria Math"/>
                  </w:rPr>
                  <m:t>sin2θ</m:t>
                </m:r>
              </m:oMath>
            </m:oMathPara>
          </w:p>
        </w:tc>
        <w:tc>
          <w:tcPr>
            <w:tcW w:w="720" w:type="dxa"/>
            <w:vAlign w:val="bottom"/>
          </w:tcPr>
          <w:p w14:paraId="38354DE5" w14:textId="281E1D79" w:rsidR="006D0129"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6D0129">
              <w:t>.</w:t>
            </w:r>
            <w:r>
              <w:fldChar w:fldCharType="begin"/>
            </w:r>
            <w:r>
              <w:instrText xml:space="preserve"> SEQ Equation \* ARABIC \s 1 </w:instrText>
            </w:r>
            <w:r>
              <w:fldChar w:fldCharType="separate"/>
            </w:r>
            <w:r w:rsidR="0006023A">
              <w:rPr>
                <w:noProof/>
              </w:rPr>
              <w:t>4</w:t>
            </w:r>
            <w:r>
              <w:rPr>
                <w:noProof/>
              </w:rPr>
              <w:fldChar w:fldCharType="end"/>
            </w:r>
          </w:p>
        </w:tc>
      </w:tr>
    </w:tbl>
    <w:p w14:paraId="66B301B4" w14:textId="77777777" w:rsidR="006D0129" w:rsidRDefault="006D0129" w:rsidP="006D0129"/>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6D0129" w14:paraId="50D3D3FA" w14:textId="77777777" w:rsidTr="00665B67">
        <w:trPr>
          <w:trHeight w:val="576"/>
        </w:trPr>
        <w:tc>
          <w:tcPr>
            <w:tcW w:w="720" w:type="dxa"/>
            <w:vAlign w:val="center"/>
          </w:tcPr>
          <w:p w14:paraId="7C5535EC" w14:textId="19154F42" w:rsidR="006D0129" w:rsidRDefault="006D0129" w:rsidP="00665B67">
            <w:pPr>
              <w:spacing w:line="240" w:lineRule="auto"/>
              <w:jc w:val="center"/>
            </w:pPr>
          </w:p>
        </w:tc>
        <w:tc>
          <w:tcPr>
            <w:tcW w:w="7920" w:type="dxa"/>
            <w:vAlign w:val="center"/>
          </w:tcPr>
          <w:p w14:paraId="6C028F46" w14:textId="77777777" w:rsidR="006D0129" w:rsidRPr="003E4C6A" w:rsidRDefault="00077C0B" w:rsidP="00665B67">
            <w:pPr>
              <w:spacing w:line="240" w:lineRule="auto"/>
              <w:jc w:val="center"/>
            </w:pPr>
            <m:oMathPara>
              <m:oMath>
                <m:sSub>
                  <m:sSubPr>
                    <m:ctrlPr>
                      <w:rPr>
                        <w:rFonts w:ascii="Cambria Math" w:hAnsi="Cambria Math"/>
                        <w:i/>
                      </w:rPr>
                    </m:ctrlPr>
                  </m:sSubPr>
                  <m:e>
                    <m:r>
                      <w:rPr>
                        <w:rFonts w:ascii="Cambria Math" w:hAnsi="Cambria Math"/>
                      </w:rPr>
                      <m:t>τ</m:t>
                    </m:r>
                  </m:e>
                  <m:sub>
                    <m:r>
                      <w:rPr>
                        <w:rFonts w:ascii="Cambria Math" w:hAnsi="Cambria Math"/>
                      </w:rPr>
                      <m:t>rz</m:t>
                    </m:r>
                  </m:sub>
                </m:sSub>
                <m:r>
                  <w:rPr>
                    <w:rFonts w:ascii="Cambria Math" w:hAnsi="Cambria Math"/>
                  </w:rPr>
                  <m:t>=</m:t>
                </m:r>
                <m:sSub>
                  <m:sSubPr>
                    <m:ctrlPr>
                      <w:rPr>
                        <w:rFonts w:ascii="Cambria Math" w:hAnsi="Cambria Math"/>
                        <w:i/>
                      </w:rPr>
                    </m:ctrlPr>
                  </m:sSubPr>
                  <m:e>
                    <m:r>
                      <w:rPr>
                        <w:rFonts w:ascii="Cambria Math" w:hAnsi="Cambria Math"/>
                      </w:rPr>
                      <m:t>τ</m:t>
                    </m:r>
                  </m:e>
                  <m:sub>
                    <m:r>
                      <w:rPr>
                        <w:rFonts w:ascii="Cambria Math" w:hAnsi="Cambria Math"/>
                      </w:rPr>
                      <m:t>θz</m:t>
                    </m:r>
                  </m:sub>
                </m:sSub>
                <m:r>
                  <w:rPr>
                    <w:rFonts w:ascii="Cambria Math" w:hAnsi="Cambria Math"/>
                  </w:rPr>
                  <m:t>=0</m:t>
                </m:r>
              </m:oMath>
            </m:oMathPara>
          </w:p>
        </w:tc>
        <w:tc>
          <w:tcPr>
            <w:tcW w:w="720" w:type="dxa"/>
            <w:vAlign w:val="bottom"/>
          </w:tcPr>
          <w:p w14:paraId="393F6A0A" w14:textId="1641C231" w:rsidR="006D0129"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6D0129">
              <w:t>.</w:t>
            </w:r>
            <w:r>
              <w:fldChar w:fldCharType="begin"/>
            </w:r>
            <w:r>
              <w:instrText xml:space="preserve"> SEQ Equation \* ARABIC \s 1 </w:instrText>
            </w:r>
            <w:r>
              <w:fldChar w:fldCharType="separate"/>
            </w:r>
            <w:r w:rsidR="0006023A">
              <w:rPr>
                <w:noProof/>
              </w:rPr>
              <w:t>5</w:t>
            </w:r>
            <w:r>
              <w:rPr>
                <w:noProof/>
              </w:rPr>
              <w:fldChar w:fldCharType="end"/>
            </w:r>
          </w:p>
        </w:tc>
      </w:tr>
    </w:tbl>
    <w:p w14:paraId="69780F8F" w14:textId="77777777" w:rsidR="006D0129" w:rsidRDefault="006D0129" w:rsidP="006D0129"/>
    <w:p w14:paraId="3DF9D6D0" w14:textId="77777777" w:rsidR="006D0129" w:rsidRDefault="006D0129" w:rsidP="006D0129">
      <w:r>
        <w:tab/>
        <w:t xml:space="preserve">At the borehole wall (with a borehole pressure, </w:t>
      </w:r>
      <m:oMath>
        <m:sSub>
          <m:sSubPr>
            <m:ctrlPr>
              <w:rPr>
                <w:rFonts w:ascii="Cambria Math" w:hAnsi="Cambria Math"/>
                <w:i/>
              </w:rPr>
            </m:ctrlPr>
          </m:sSubPr>
          <m:e>
            <m:r>
              <w:rPr>
                <w:rFonts w:ascii="Cambria Math" w:hAnsi="Cambria Math"/>
              </w:rPr>
              <m:t>P</m:t>
            </m:r>
          </m:e>
          <m:sub>
            <m:r>
              <w:rPr>
                <w:rFonts w:ascii="Cambria Math" w:hAnsi="Cambria Math"/>
              </w:rPr>
              <m:t>w</m:t>
            </m:r>
          </m:sub>
        </m:sSub>
      </m:oMath>
      <w:r>
        <w:t>):</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6D0129" w14:paraId="1097B79F" w14:textId="77777777" w:rsidTr="00665B67">
        <w:trPr>
          <w:trHeight w:val="576"/>
        </w:trPr>
        <w:tc>
          <w:tcPr>
            <w:tcW w:w="720" w:type="dxa"/>
            <w:vAlign w:val="center"/>
          </w:tcPr>
          <w:p w14:paraId="34B2B8B0" w14:textId="4E8E3B39" w:rsidR="006D0129" w:rsidRDefault="006D0129" w:rsidP="00665B67">
            <w:pPr>
              <w:spacing w:line="240" w:lineRule="auto"/>
              <w:jc w:val="center"/>
            </w:pPr>
          </w:p>
        </w:tc>
        <w:tc>
          <w:tcPr>
            <w:tcW w:w="7920" w:type="dxa"/>
            <w:vAlign w:val="center"/>
          </w:tcPr>
          <w:p w14:paraId="47640A95" w14:textId="77777777" w:rsidR="006D0129" w:rsidRPr="003E4C6A" w:rsidRDefault="00077C0B" w:rsidP="00665B67">
            <w:pPr>
              <w:spacing w:line="240" w:lineRule="auto"/>
              <w:jc w:val="center"/>
            </w:pPr>
            <m:oMathPara>
              <m:oMath>
                <m:sSub>
                  <m:sSubPr>
                    <m:ctrlPr>
                      <w:rPr>
                        <w:rFonts w:ascii="Cambria Math" w:hAnsi="Cambria Math"/>
                        <w:i/>
                      </w:rPr>
                    </m:ctrlPr>
                  </m:sSubPr>
                  <m:e>
                    <m:r>
                      <w:rPr>
                        <w:rFonts w:ascii="Cambria Math" w:hAnsi="Cambria Math"/>
                      </w:rPr>
                      <m:t>σ</m:t>
                    </m:r>
                  </m:e>
                  <m:sub>
                    <m:r>
                      <w:rPr>
                        <w:rFonts w:ascii="Cambria Math" w:hAnsi="Cambria Math"/>
                      </w:rPr>
                      <m:t>r</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w</m:t>
                    </m:r>
                  </m:sub>
                </m:sSub>
              </m:oMath>
            </m:oMathPara>
          </w:p>
        </w:tc>
        <w:tc>
          <w:tcPr>
            <w:tcW w:w="720" w:type="dxa"/>
            <w:vAlign w:val="bottom"/>
          </w:tcPr>
          <w:p w14:paraId="63F6DD61" w14:textId="07C8B84F" w:rsidR="006D0129"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6D0129">
              <w:t>.</w:t>
            </w:r>
            <w:r>
              <w:fldChar w:fldCharType="begin"/>
            </w:r>
            <w:r>
              <w:instrText xml:space="preserve"> SEQ Equation \* ARABIC \s 1 </w:instrText>
            </w:r>
            <w:r>
              <w:fldChar w:fldCharType="separate"/>
            </w:r>
            <w:r w:rsidR="0006023A">
              <w:rPr>
                <w:noProof/>
              </w:rPr>
              <w:t>6</w:t>
            </w:r>
            <w:r>
              <w:rPr>
                <w:noProof/>
              </w:rPr>
              <w:fldChar w:fldCharType="end"/>
            </w:r>
          </w:p>
        </w:tc>
      </w:tr>
    </w:tbl>
    <w:p w14:paraId="276BF906" w14:textId="77777777" w:rsidR="006D0129" w:rsidRDefault="006D0129" w:rsidP="006D0129"/>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6D0129" w14:paraId="3346F2DB" w14:textId="77777777" w:rsidTr="00665B67">
        <w:trPr>
          <w:trHeight w:val="576"/>
        </w:trPr>
        <w:tc>
          <w:tcPr>
            <w:tcW w:w="720" w:type="dxa"/>
            <w:vAlign w:val="center"/>
          </w:tcPr>
          <w:p w14:paraId="743D1FBC" w14:textId="181D6E4B" w:rsidR="006D0129" w:rsidRDefault="006D0129" w:rsidP="00665B67">
            <w:pPr>
              <w:spacing w:line="240" w:lineRule="auto"/>
              <w:jc w:val="center"/>
            </w:pPr>
          </w:p>
        </w:tc>
        <w:tc>
          <w:tcPr>
            <w:tcW w:w="7920" w:type="dxa"/>
            <w:vAlign w:val="center"/>
          </w:tcPr>
          <w:p w14:paraId="67F77737" w14:textId="77777777" w:rsidR="006D0129" w:rsidRPr="003E4C6A" w:rsidRDefault="00077C0B" w:rsidP="00665B67">
            <w:pPr>
              <w:spacing w:line="240" w:lineRule="auto"/>
              <w:jc w:val="center"/>
            </w:pPr>
            <m:oMathPara>
              <m:oMath>
                <m:sSub>
                  <m:sSubPr>
                    <m:ctrlPr>
                      <w:rPr>
                        <w:rFonts w:ascii="Cambria Math" w:hAnsi="Cambria Math"/>
                        <w:i/>
                      </w:rPr>
                    </m:ctrlPr>
                  </m:sSubPr>
                  <m:e>
                    <m:r>
                      <w:rPr>
                        <w:rFonts w:ascii="Cambria Math" w:hAnsi="Cambria Math"/>
                      </w:rPr>
                      <m:t>σ</m:t>
                    </m:r>
                  </m:e>
                  <m:sub>
                    <m:r>
                      <w:rPr>
                        <w:rFonts w:ascii="Cambria Math" w:hAnsi="Cambria Math"/>
                      </w:rPr>
                      <m:t>θ</m:t>
                    </m:r>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H</m:t>
                    </m:r>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h</m:t>
                    </m:r>
                  </m:sub>
                </m:sSub>
                <m:r>
                  <w:rPr>
                    <w:rFonts w:ascii="Cambria Math" w:hAnsi="Cambria Math"/>
                  </w:rPr>
                  <m:t>-2(</m:t>
                </m:r>
                <m:sSub>
                  <m:sSubPr>
                    <m:ctrlPr>
                      <w:rPr>
                        <w:rFonts w:ascii="Cambria Math" w:hAnsi="Cambria Math"/>
                        <w:i/>
                      </w:rPr>
                    </m:ctrlPr>
                  </m:sSubPr>
                  <m:e>
                    <m:r>
                      <w:rPr>
                        <w:rFonts w:ascii="Cambria Math" w:hAnsi="Cambria Math"/>
                      </w:rPr>
                      <m:t>σ</m:t>
                    </m:r>
                  </m:e>
                  <m:sub>
                    <m:r>
                      <w:rPr>
                        <w:rFonts w:ascii="Cambria Math" w:hAnsi="Cambria Math"/>
                      </w:rPr>
                      <m:t>H</m:t>
                    </m:r>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h</m:t>
                    </m:r>
                  </m:sub>
                </m:sSub>
                <m:r>
                  <w:rPr>
                    <w:rFonts w:ascii="Cambria Math" w:hAnsi="Cambria Math"/>
                  </w:rPr>
                  <m:t>)cos2θ-</m:t>
                </m:r>
                <m:sSub>
                  <m:sSubPr>
                    <m:ctrlPr>
                      <w:rPr>
                        <w:rFonts w:ascii="Cambria Math" w:hAnsi="Cambria Math"/>
                        <w:i/>
                      </w:rPr>
                    </m:ctrlPr>
                  </m:sSubPr>
                  <m:e>
                    <m:r>
                      <w:rPr>
                        <w:rFonts w:ascii="Cambria Math" w:hAnsi="Cambria Math"/>
                      </w:rPr>
                      <m:t>P</m:t>
                    </m:r>
                  </m:e>
                  <m:sub>
                    <m:r>
                      <w:rPr>
                        <w:rFonts w:ascii="Cambria Math" w:hAnsi="Cambria Math"/>
                      </w:rPr>
                      <m:t>w</m:t>
                    </m:r>
                  </m:sub>
                </m:sSub>
              </m:oMath>
            </m:oMathPara>
          </w:p>
        </w:tc>
        <w:tc>
          <w:tcPr>
            <w:tcW w:w="720" w:type="dxa"/>
            <w:vAlign w:val="bottom"/>
          </w:tcPr>
          <w:p w14:paraId="1BA56601" w14:textId="429CEA5C" w:rsidR="006D0129"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6D0129">
              <w:t>.</w:t>
            </w:r>
            <w:r>
              <w:fldChar w:fldCharType="begin"/>
            </w:r>
            <w:r>
              <w:instrText xml:space="preserve"> SEQ Equation \* ARABIC \s 1 </w:instrText>
            </w:r>
            <w:r>
              <w:fldChar w:fldCharType="separate"/>
            </w:r>
            <w:r w:rsidR="0006023A">
              <w:rPr>
                <w:noProof/>
              </w:rPr>
              <w:t>7</w:t>
            </w:r>
            <w:r>
              <w:rPr>
                <w:noProof/>
              </w:rPr>
              <w:fldChar w:fldCharType="end"/>
            </w:r>
          </w:p>
        </w:tc>
      </w:tr>
    </w:tbl>
    <w:p w14:paraId="43DF81C4" w14:textId="77777777" w:rsidR="006D0129" w:rsidRDefault="006D0129" w:rsidP="006D0129"/>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6D0129" w14:paraId="261FC62B" w14:textId="77777777" w:rsidTr="00665B67">
        <w:trPr>
          <w:trHeight w:val="576"/>
        </w:trPr>
        <w:tc>
          <w:tcPr>
            <w:tcW w:w="720" w:type="dxa"/>
            <w:vAlign w:val="center"/>
          </w:tcPr>
          <w:p w14:paraId="70821D9B" w14:textId="1E9CD332" w:rsidR="006D0129" w:rsidRDefault="006D0129" w:rsidP="00665B67">
            <w:pPr>
              <w:spacing w:line="240" w:lineRule="auto"/>
              <w:jc w:val="center"/>
            </w:pPr>
          </w:p>
        </w:tc>
        <w:tc>
          <w:tcPr>
            <w:tcW w:w="7920" w:type="dxa"/>
            <w:vAlign w:val="center"/>
          </w:tcPr>
          <w:p w14:paraId="4AB6C89B" w14:textId="77777777" w:rsidR="006D0129" w:rsidRPr="003E4C6A" w:rsidRDefault="00077C0B" w:rsidP="00665B67">
            <w:pPr>
              <w:spacing w:line="240" w:lineRule="auto"/>
              <w:jc w:val="center"/>
            </w:pPr>
            <m:oMathPara>
              <m:oMath>
                <m:sSub>
                  <m:sSubPr>
                    <m:ctrlPr>
                      <w:rPr>
                        <w:rFonts w:ascii="Cambria Math" w:hAnsi="Cambria Math"/>
                        <w:i/>
                      </w:rPr>
                    </m:ctrlPr>
                  </m:sSubPr>
                  <m:e>
                    <m:r>
                      <w:rPr>
                        <w:rFonts w:ascii="Cambria Math" w:hAnsi="Cambria Math"/>
                      </w:rPr>
                      <m:t>σ</m:t>
                    </m:r>
                  </m:e>
                  <m:sub>
                    <m:r>
                      <w:rPr>
                        <w:rFonts w:ascii="Cambria Math" w:hAnsi="Cambria Math"/>
                      </w:rPr>
                      <m:t>z</m:t>
                    </m:r>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v</m:t>
                    </m:r>
                  </m:sub>
                </m:sSub>
                <m:r>
                  <w:rPr>
                    <w:rFonts w:ascii="Cambria Math" w:hAnsi="Cambria Math"/>
                  </w:rPr>
                  <m:t>-2v</m:t>
                </m:r>
                <m:d>
                  <m:dPr>
                    <m:ctrlPr>
                      <w:rPr>
                        <w:rFonts w:ascii="Cambria Math" w:hAnsi="Cambria Math"/>
                        <w:i/>
                      </w:rPr>
                    </m:ctrlPr>
                  </m:dPr>
                  <m:e>
                    <m:sSub>
                      <m:sSubPr>
                        <m:ctrlPr>
                          <w:rPr>
                            <w:rFonts w:ascii="Cambria Math" w:hAnsi="Cambria Math"/>
                            <w:i/>
                          </w:rPr>
                        </m:ctrlPr>
                      </m:sSubPr>
                      <m:e>
                        <m:r>
                          <w:rPr>
                            <w:rFonts w:ascii="Cambria Math" w:hAnsi="Cambria Math"/>
                          </w:rPr>
                          <m:t>σ</m:t>
                        </m:r>
                      </m:e>
                      <m:sub>
                        <m:r>
                          <w:rPr>
                            <w:rFonts w:ascii="Cambria Math" w:hAnsi="Cambria Math"/>
                          </w:rPr>
                          <m:t>H</m:t>
                        </m:r>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h</m:t>
                        </m:r>
                      </m:sub>
                    </m:sSub>
                  </m:e>
                </m:d>
                <m:r>
                  <w:rPr>
                    <w:rFonts w:ascii="Cambria Math" w:hAnsi="Cambria Math"/>
                  </w:rPr>
                  <m:t>cos2θ</m:t>
                </m:r>
              </m:oMath>
            </m:oMathPara>
          </w:p>
        </w:tc>
        <w:tc>
          <w:tcPr>
            <w:tcW w:w="720" w:type="dxa"/>
            <w:vAlign w:val="bottom"/>
          </w:tcPr>
          <w:p w14:paraId="613AC18A" w14:textId="48C8A786" w:rsidR="006D0129"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6D0129">
              <w:t>.</w:t>
            </w:r>
            <w:r>
              <w:fldChar w:fldCharType="begin"/>
            </w:r>
            <w:r>
              <w:instrText xml:space="preserve"> SEQ Equation \* ARABIC \s 1 </w:instrText>
            </w:r>
            <w:r>
              <w:fldChar w:fldCharType="separate"/>
            </w:r>
            <w:r w:rsidR="0006023A">
              <w:rPr>
                <w:noProof/>
              </w:rPr>
              <w:t>8</w:t>
            </w:r>
            <w:r>
              <w:rPr>
                <w:noProof/>
              </w:rPr>
              <w:fldChar w:fldCharType="end"/>
            </w:r>
          </w:p>
        </w:tc>
      </w:tr>
    </w:tbl>
    <w:p w14:paraId="2C021CD7" w14:textId="77777777" w:rsidR="006D0129" w:rsidRDefault="006D0129" w:rsidP="006D0129"/>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6D0129" w14:paraId="09025315" w14:textId="77777777" w:rsidTr="00665B67">
        <w:trPr>
          <w:trHeight w:val="576"/>
        </w:trPr>
        <w:tc>
          <w:tcPr>
            <w:tcW w:w="720" w:type="dxa"/>
            <w:vAlign w:val="center"/>
          </w:tcPr>
          <w:p w14:paraId="681926F0" w14:textId="3FB6B3B4" w:rsidR="006D0129" w:rsidRDefault="006D0129" w:rsidP="00665B67">
            <w:pPr>
              <w:spacing w:line="240" w:lineRule="auto"/>
              <w:jc w:val="center"/>
            </w:pPr>
          </w:p>
        </w:tc>
        <w:tc>
          <w:tcPr>
            <w:tcW w:w="7920" w:type="dxa"/>
            <w:vAlign w:val="center"/>
          </w:tcPr>
          <w:p w14:paraId="27F7C64A" w14:textId="77777777" w:rsidR="006D0129" w:rsidRPr="003E4C6A" w:rsidRDefault="00077C0B" w:rsidP="00665B67">
            <w:pPr>
              <w:spacing w:line="240" w:lineRule="auto"/>
              <w:jc w:val="center"/>
            </w:pPr>
            <m:oMathPara>
              <m:oMath>
                <m:sSub>
                  <m:sSubPr>
                    <m:ctrlPr>
                      <w:rPr>
                        <w:rFonts w:ascii="Cambria Math" w:hAnsi="Cambria Math"/>
                        <w:i/>
                      </w:rPr>
                    </m:ctrlPr>
                  </m:sSubPr>
                  <m:e>
                    <m:r>
                      <w:rPr>
                        <w:rFonts w:ascii="Cambria Math" w:hAnsi="Cambria Math"/>
                      </w:rPr>
                      <m:t>τ</m:t>
                    </m:r>
                  </m:e>
                  <m:sub>
                    <m:r>
                      <w:rPr>
                        <w:rFonts w:ascii="Cambria Math" w:hAnsi="Cambria Math"/>
                      </w:rPr>
                      <m:t>rθ</m:t>
                    </m:r>
                  </m:sub>
                </m:sSub>
                <m:r>
                  <w:rPr>
                    <w:rFonts w:ascii="Cambria Math" w:hAnsi="Cambria Math"/>
                  </w:rPr>
                  <m:t>=</m:t>
                </m:r>
                <m:sSub>
                  <m:sSubPr>
                    <m:ctrlPr>
                      <w:rPr>
                        <w:rFonts w:ascii="Cambria Math" w:hAnsi="Cambria Math"/>
                        <w:i/>
                      </w:rPr>
                    </m:ctrlPr>
                  </m:sSubPr>
                  <m:e>
                    <m:r>
                      <w:rPr>
                        <w:rFonts w:ascii="Cambria Math" w:hAnsi="Cambria Math"/>
                      </w:rPr>
                      <m:t>τ</m:t>
                    </m:r>
                  </m:e>
                  <m:sub>
                    <m:r>
                      <w:rPr>
                        <w:rFonts w:ascii="Cambria Math" w:hAnsi="Cambria Math"/>
                      </w:rPr>
                      <m:t>θz</m:t>
                    </m:r>
                  </m:sub>
                </m:sSub>
                <m:r>
                  <w:rPr>
                    <w:rFonts w:ascii="Cambria Math" w:hAnsi="Cambria Math"/>
                  </w:rPr>
                  <m:t>=</m:t>
                </m:r>
                <m:sSub>
                  <m:sSubPr>
                    <m:ctrlPr>
                      <w:rPr>
                        <w:rFonts w:ascii="Cambria Math" w:hAnsi="Cambria Math"/>
                        <w:i/>
                      </w:rPr>
                    </m:ctrlPr>
                  </m:sSubPr>
                  <m:e>
                    <m:r>
                      <w:rPr>
                        <w:rFonts w:ascii="Cambria Math" w:hAnsi="Cambria Math"/>
                      </w:rPr>
                      <m:t>τ</m:t>
                    </m:r>
                  </m:e>
                  <m:sub>
                    <m:r>
                      <w:rPr>
                        <w:rFonts w:ascii="Cambria Math" w:hAnsi="Cambria Math"/>
                      </w:rPr>
                      <m:t>rz</m:t>
                    </m:r>
                  </m:sub>
                </m:sSub>
                <m:r>
                  <w:rPr>
                    <w:rFonts w:ascii="Cambria Math" w:hAnsi="Cambria Math"/>
                  </w:rPr>
                  <m:t>=0</m:t>
                </m:r>
              </m:oMath>
            </m:oMathPara>
          </w:p>
        </w:tc>
        <w:tc>
          <w:tcPr>
            <w:tcW w:w="720" w:type="dxa"/>
            <w:vAlign w:val="bottom"/>
          </w:tcPr>
          <w:p w14:paraId="677EDD72" w14:textId="4A0F63E5" w:rsidR="006D0129"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6D0129">
              <w:t>.</w:t>
            </w:r>
            <w:r>
              <w:fldChar w:fldCharType="begin"/>
            </w:r>
            <w:r>
              <w:instrText xml:space="preserve"> SEQ Equation \* ARABIC \s 1 </w:instrText>
            </w:r>
            <w:r>
              <w:fldChar w:fldCharType="separate"/>
            </w:r>
            <w:r w:rsidR="0006023A">
              <w:rPr>
                <w:noProof/>
              </w:rPr>
              <w:t>9</w:t>
            </w:r>
            <w:r>
              <w:rPr>
                <w:noProof/>
              </w:rPr>
              <w:fldChar w:fldCharType="end"/>
            </w:r>
          </w:p>
        </w:tc>
      </w:tr>
    </w:tbl>
    <w:p w14:paraId="3939F8FD" w14:textId="77777777" w:rsidR="006D0129" w:rsidRDefault="006D0129" w:rsidP="006D0129"/>
    <w:p w14:paraId="0011C9C5" w14:textId="17B14F21" w:rsidR="006D0129" w:rsidRDefault="006D0129" w:rsidP="006D0129">
      <w:r>
        <w:tab/>
      </w:r>
      <w:r w:rsidRPr="00133B21">
        <w:t xml:space="preserve">Equation </w:t>
      </w:r>
      <w:r w:rsidR="003F7ED9" w:rsidRPr="00133B21">
        <w:t>2.7</w:t>
      </w:r>
      <w:r w:rsidRPr="00133B21">
        <w:t xml:space="preserve"> indicates</w:t>
      </w:r>
      <w:r>
        <w:t xml:space="preserve"> that the maximum and minimum hoop stresses at the wellbore wall will occur at:</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6D0129" w14:paraId="0194365B" w14:textId="77777777" w:rsidTr="00665B67">
        <w:trPr>
          <w:trHeight w:val="576"/>
        </w:trPr>
        <w:tc>
          <w:tcPr>
            <w:tcW w:w="720" w:type="dxa"/>
            <w:vAlign w:val="center"/>
          </w:tcPr>
          <w:p w14:paraId="45764576" w14:textId="0C6BF426" w:rsidR="006D0129" w:rsidRDefault="006D0129" w:rsidP="00665B67">
            <w:pPr>
              <w:spacing w:line="240" w:lineRule="auto"/>
              <w:jc w:val="center"/>
            </w:pPr>
          </w:p>
        </w:tc>
        <w:tc>
          <w:tcPr>
            <w:tcW w:w="7920" w:type="dxa"/>
            <w:vAlign w:val="center"/>
          </w:tcPr>
          <w:p w14:paraId="655390DD" w14:textId="77777777" w:rsidR="006D0129" w:rsidRPr="003E4C6A" w:rsidRDefault="00077C0B" w:rsidP="00665B67">
            <w:pPr>
              <w:spacing w:line="240" w:lineRule="auto"/>
              <w:jc w:val="center"/>
            </w:pPr>
            <m:oMathPara>
              <m:oMath>
                <m:sSub>
                  <m:sSubPr>
                    <m:ctrlPr>
                      <w:rPr>
                        <w:rFonts w:ascii="Cambria Math" w:hAnsi="Cambria Math"/>
                        <w:i/>
                      </w:rPr>
                    </m:ctrlPr>
                  </m:sSubPr>
                  <m:e>
                    <m:r>
                      <w:rPr>
                        <w:rFonts w:ascii="Cambria Math" w:hAnsi="Cambria Math"/>
                      </w:rPr>
                      <m:t>σ</m:t>
                    </m:r>
                  </m:e>
                  <m:sub>
                    <m:r>
                      <w:rPr>
                        <w:rFonts w:ascii="Cambria Math" w:hAnsi="Cambria Math"/>
                      </w:rPr>
                      <m:t>θ,max</m:t>
                    </m:r>
                  </m:sub>
                </m:sSub>
                <m:r>
                  <w:rPr>
                    <w:rFonts w:ascii="Cambria Math" w:hAnsi="Cambria Math"/>
                  </w:rPr>
                  <m:t>=3</m:t>
                </m:r>
                <m:sSub>
                  <m:sSubPr>
                    <m:ctrlPr>
                      <w:rPr>
                        <w:rFonts w:ascii="Cambria Math" w:hAnsi="Cambria Math"/>
                        <w:i/>
                      </w:rPr>
                    </m:ctrlPr>
                  </m:sSubPr>
                  <m:e>
                    <m:r>
                      <w:rPr>
                        <w:rFonts w:ascii="Cambria Math" w:hAnsi="Cambria Math"/>
                      </w:rPr>
                      <m:t>σ</m:t>
                    </m:r>
                  </m:e>
                  <m:sub>
                    <m:r>
                      <w:rPr>
                        <w:rFonts w:ascii="Cambria Math" w:hAnsi="Cambria Math"/>
                      </w:rPr>
                      <m:t>H</m:t>
                    </m:r>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h</m:t>
                    </m:r>
                  </m:sub>
                </m:sSub>
                <m:r>
                  <w:rPr>
                    <w:rFonts w:ascii="Cambria Math" w:hAnsi="Cambria Math"/>
                  </w:rPr>
                  <m:t xml:space="preserve">- </m:t>
                </m:r>
                <m:sSub>
                  <m:sSubPr>
                    <m:ctrlPr>
                      <w:rPr>
                        <w:rFonts w:ascii="Cambria Math" w:hAnsi="Cambria Math"/>
                        <w:i/>
                      </w:rPr>
                    </m:ctrlPr>
                  </m:sSubPr>
                  <m:e>
                    <m:r>
                      <w:rPr>
                        <w:rFonts w:ascii="Cambria Math" w:hAnsi="Cambria Math"/>
                      </w:rPr>
                      <m:t>P</m:t>
                    </m:r>
                  </m:e>
                  <m:sub>
                    <m:r>
                      <w:rPr>
                        <w:rFonts w:ascii="Cambria Math" w:hAnsi="Cambria Math"/>
                      </w:rPr>
                      <m:t>w</m:t>
                    </m:r>
                  </m:sub>
                </m:sSub>
              </m:oMath>
            </m:oMathPara>
          </w:p>
        </w:tc>
        <w:tc>
          <w:tcPr>
            <w:tcW w:w="720" w:type="dxa"/>
            <w:vAlign w:val="bottom"/>
          </w:tcPr>
          <w:p w14:paraId="51E96353" w14:textId="3D3A5C57" w:rsidR="006D0129"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6D0129">
              <w:t>.</w:t>
            </w:r>
            <w:r>
              <w:fldChar w:fldCharType="begin"/>
            </w:r>
            <w:r>
              <w:instrText xml:space="preserve"> SEQ Equation \* ARABIC \s 1 </w:instrText>
            </w:r>
            <w:r>
              <w:fldChar w:fldCharType="separate"/>
            </w:r>
            <w:r w:rsidR="0006023A">
              <w:rPr>
                <w:noProof/>
              </w:rPr>
              <w:t>10</w:t>
            </w:r>
            <w:r>
              <w:rPr>
                <w:noProof/>
              </w:rPr>
              <w:fldChar w:fldCharType="end"/>
            </w:r>
          </w:p>
        </w:tc>
      </w:tr>
    </w:tbl>
    <w:p w14:paraId="2DF5F450" w14:textId="77777777" w:rsidR="006D0129" w:rsidRDefault="006D0129" w:rsidP="006D0129"/>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6D0129" w14:paraId="547899B8" w14:textId="77777777" w:rsidTr="00665B67">
        <w:trPr>
          <w:trHeight w:val="576"/>
        </w:trPr>
        <w:tc>
          <w:tcPr>
            <w:tcW w:w="720" w:type="dxa"/>
            <w:vAlign w:val="center"/>
          </w:tcPr>
          <w:p w14:paraId="4FAA5DD4" w14:textId="7938A087" w:rsidR="006D0129" w:rsidRDefault="006D0129" w:rsidP="00665B67">
            <w:pPr>
              <w:spacing w:line="240" w:lineRule="auto"/>
              <w:jc w:val="center"/>
            </w:pPr>
          </w:p>
        </w:tc>
        <w:tc>
          <w:tcPr>
            <w:tcW w:w="7920" w:type="dxa"/>
            <w:vAlign w:val="center"/>
          </w:tcPr>
          <w:p w14:paraId="55DE7F45" w14:textId="77777777" w:rsidR="006D0129" w:rsidRPr="003E4C6A" w:rsidRDefault="00077C0B" w:rsidP="00665B67">
            <w:pPr>
              <w:spacing w:line="240" w:lineRule="auto"/>
              <w:jc w:val="center"/>
            </w:pPr>
            <m:oMathPara>
              <m:oMath>
                <m:sSub>
                  <m:sSubPr>
                    <m:ctrlPr>
                      <w:rPr>
                        <w:rFonts w:ascii="Cambria Math" w:hAnsi="Cambria Math"/>
                        <w:i/>
                      </w:rPr>
                    </m:ctrlPr>
                  </m:sSubPr>
                  <m:e>
                    <m:r>
                      <w:rPr>
                        <w:rFonts w:ascii="Cambria Math" w:hAnsi="Cambria Math"/>
                      </w:rPr>
                      <m:t>σ</m:t>
                    </m:r>
                  </m:e>
                  <m:sub>
                    <m:r>
                      <w:rPr>
                        <w:rFonts w:ascii="Cambria Math" w:hAnsi="Cambria Math"/>
                      </w:rPr>
                      <m:t>θ,min</m:t>
                    </m:r>
                  </m:sub>
                </m:sSub>
                <m:r>
                  <w:rPr>
                    <w:rFonts w:ascii="Cambria Math" w:hAnsi="Cambria Math"/>
                  </w:rPr>
                  <m:t>=3</m:t>
                </m:r>
                <m:sSub>
                  <m:sSubPr>
                    <m:ctrlPr>
                      <w:rPr>
                        <w:rFonts w:ascii="Cambria Math" w:hAnsi="Cambria Math"/>
                        <w:i/>
                      </w:rPr>
                    </m:ctrlPr>
                  </m:sSubPr>
                  <m:e>
                    <m:r>
                      <w:rPr>
                        <w:rFonts w:ascii="Cambria Math" w:hAnsi="Cambria Math"/>
                      </w:rPr>
                      <m:t>σ</m:t>
                    </m:r>
                  </m:e>
                  <m:sub>
                    <m:r>
                      <w:rPr>
                        <w:rFonts w:ascii="Cambria Math" w:hAnsi="Cambria Math"/>
                      </w:rPr>
                      <m:t>h</m:t>
                    </m:r>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H</m:t>
                    </m:r>
                  </m:sub>
                </m:sSub>
                <m:r>
                  <w:rPr>
                    <w:rFonts w:ascii="Cambria Math" w:hAnsi="Cambria Math"/>
                  </w:rPr>
                  <m:t xml:space="preserve">- </m:t>
                </m:r>
                <m:sSub>
                  <m:sSubPr>
                    <m:ctrlPr>
                      <w:rPr>
                        <w:rFonts w:ascii="Cambria Math" w:hAnsi="Cambria Math"/>
                        <w:i/>
                      </w:rPr>
                    </m:ctrlPr>
                  </m:sSubPr>
                  <m:e>
                    <m:r>
                      <w:rPr>
                        <w:rFonts w:ascii="Cambria Math" w:hAnsi="Cambria Math"/>
                      </w:rPr>
                      <m:t>P</m:t>
                    </m:r>
                  </m:e>
                  <m:sub>
                    <m:r>
                      <w:rPr>
                        <w:rFonts w:ascii="Cambria Math" w:hAnsi="Cambria Math"/>
                      </w:rPr>
                      <m:t>w</m:t>
                    </m:r>
                  </m:sub>
                </m:sSub>
              </m:oMath>
            </m:oMathPara>
          </w:p>
        </w:tc>
        <w:tc>
          <w:tcPr>
            <w:tcW w:w="720" w:type="dxa"/>
            <w:vAlign w:val="bottom"/>
          </w:tcPr>
          <w:p w14:paraId="53C555C7" w14:textId="1EC741F9" w:rsidR="006D0129"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6D0129">
              <w:t>.</w:t>
            </w:r>
            <w:r>
              <w:fldChar w:fldCharType="begin"/>
            </w:r>
            <w:r>
              <w:instrText xml:space="preserve"> SEQ Equation \* ARABIC \s 1 </w:instrText>
            </w:r>
            <w:r>
              <w:fldChar w:fldCharType="separate"/>
            </w:r>
            <w:r w:rsidR="0006023A">
              <w:rPr>
                <w:noProof/>
              </w:rPr>
              <w:t>11</w:t>
            </w:r>
            <w:r>
              <w:rPr>
                <w:noProof/>
              </w:rPr>
              <w:fldChar w:fldCharType="end"/>
            </w:r>
          </w:p>
        </w:tc>
      </w:tr>
    </w:tbl>
    <w:p w14:paraId="31AE0D4C" w14:textId="77777777" w:rsidR="006D0129" w:rsidRDefault="006D0129" w:rsidP="006D0129"/>
    <w:p w14:paraId="7D40F432" w14:textId="7862E675" w:rsidR="006D0129" w:rsidRDefault="006D0129" w:rsidP="006D0129">
      <w:r>
        <w:t>in which the maximum hoop stress occurs in the direction of the minimum horizontal stress (</w:t>
      </w:r>
      <m:oMath>
        <m:r>
          <w:rPr>
            <w:rFonts w:ascii="Cambria Math" w:hAnsi="Cambria Math"/>
          </w:rPr>
          <m:t>σ=90°</m:t>
        </m:r>
      </m:oMath>
      <w:r>
        <w:rPr>
          <w:rFonts w:eastAsiaTheme="minorEastAsia"/>
        </w:rPr>
        <w:t>) and the minimum hoop stress occurs in the direction of the maximum horizontal stress (</w:t>
      </w:r>
      <m:oMath>
        <m:r>
          <w:rPr>
            <w:rFonts w:ascii="Cambria Math" w:hAnsi="Cambria Math"/>
          </w:rPr>
          <m:t>σ=0°</m:t>
        </m:r>
      </m:oMath>
      <w:r>
        <w:rPr>
          <w:rFonts w:eastAsiaTheme="minorEastAsia"/>
        </w:rPr>
        <w:t>)</w:t>
      </w:r>
      <w:r>
        <w:t xml:space="preserve"> as </w:t>
      </w:r>
      <w:r w:rsidRPr="00133B21">
        <w:t>shown in Figure 2.</w:t>
      </w:r>
      <w:r w:rsidR="00535A03" w:rsidRPr="00133B21">
        <w:t>2</w:t>
      </w:r>
      <w:r w:rsidRPr="00133B21">
        <w:t>.</w:t>
      </w:r>
    </w:p>
    <w:p w14:paraId="3FE52F54" w14:textId="77777777" w:rsidR="006D0129" w:rsidRDefault="006D0129" w:rsidP="00BC23AD">
      <w:pPr>
        <w:pStyle w:val="NoSpacing"/>
      </w:pPr>
      <w:r w:rsidRPr="001E64C9">
        <w:rPr>
          <w:noProof/>
        </w:rPr>
        <w:lastRenderedPageBreak/>
        <w:drawing>
          <wp:inline distT="0" distB="0" distL="0" distR="0" wp14:anchorId="15E00000" wp14:editId="30093D85">
            <wp:extent cx="4225542" cy="2743200"/>
            <wp:effectExtent l="19050" t="19050" r="22860" b="190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4095" b="4769"/>
                    <a:stretch/>
                  </pic:blipFill>
                  <pic:spPr bwMode="auto">
                    <a:xfrm>
                      <a:off x="0" y="0"/>
                      <a:ext cx="4225542" cy="2743200"/>
                    </a:xfrm>
                    <a:prstGeom prst="rect">
                      <a:avLst/>
                    </a:prstGeom>
                    <a:noFill/>
                    <a:ln w="9525" cap="flat" cmpd="sng" algn="ctr">
                      <a:solidFill>
                        <a:sysClr val="window" lastClr="FFFF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6558B72" w14:textId="560C4F60" w:rsidR="006D0129" w:rsidRDefault="006D0129" w:rsidP="00BC23AD">
      <w:pPr>
        <w:pStyle w:val="Caption"/>
      </w:pPr>
      <w:bookmarkStart w:id="11" w:name="_Toc67566185"/>
      <w:r>
        <w:t xml:space="preserve">Figure </w:t>
      </w:r>
      <w:r w:rsidR="00077C0B">
        <w:fldChar w:fldCharType="begin"/>
      </w:r>
      <w:r w:rsidR="00077C0B">
        <w:instrText xml:space="preserve"> STYLEREF 1 \s </w:instrText>
      </w:r>
      <w:r w:rsidR="00077C0B">
        <w:fldChar w:fldCharType="separate"/>
      </w:r>
      <w:r w:rsidR="0006023A">
        <w:rPr>
          <w:noProof/>
        </w:rPr>
        <w:t>2</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2</w:t>
      </w:r>
      <w:r w:rsidR="00077C0B">
        <w:rPr>
          <w:noProof/>
        </w:rPr>
        <w:fldChar w:fldCharType="end"/>
      </w:r>
      <w:r>
        <w:t>: Illustration showing the magnitude of hoop stress around a wellbore.</w:t>
      </w:r>
      <w:bookmarkEnd w:id="11"/>
    </w:p>
    <w:p w14:paraId="0E8C8A85" w14:textId="3537BCD7" w:rsidR="006D0129" w:rsidRDefault="004665B1" w:rsidP="006D0129">
      <w:r>
        <w:tab/>
      </w:r>
      <w:r w:rsidR="006D0129" w:rsidRPr="00133B21">
        <w:t xml:space="preserve">Equations </w:t>
      </w:r>
      <w:r w:rsidR="003F7ED9" w:rsidRPr="00133B21">
        <w:t>2.1-2.4</w:t>
      </w:r>
      <w:r w:rsidR="006D0129" w:rsidRPr="00133B21">
        <w:t xml:space="preserve"> can be</w:t>
      </w:r>
      <w:r w:rsidR="006D0129">
        <w:t xml:space="preserve"> converted to effective stress by </w:t>
      </w:r>
      <w:r w:rsidR="00782634">
        <w:t>including</w:t>
      </w:r>
      <w:r w:rsidR="006D0129">
        <w:t xml:space="preserve"> initial pore pressure (</w:t>
      </w:r>
      <m:oMath>
        <m:sSub>
          <m:sSubPr>
            <m:ctrlPr>
              <w:rPr>
                <w:rFonts w:ascii="Cambria Math" w:hAnsi="Cambria Math"/>
                <w:i/>
              </w:rPr>
            </m:ctrlPr>
          </m:sSubPr>
          <m:e>
            <m:r>
              <w:rPr>
                <w:rFonts w:ascii="Cambria Math" w:hAnsi="Cambria Math"/>
              </w:rPr>
              <m:t>P</m:t>
            </m:r>
          </m:e>
          <m:sub>
            <m:r>
              <w:rPr>
                <w:rFonts w:ascii="Cambria Math" w:hAnsi="Cambria Math"/>
              </w:rPr>
              <m:t>p</m:t>
            </m:r>
          </m:sub>
        </m:sSub>
      </m:oMath>
      <w:r w:rsidR="006D0129">
        <w:t>).</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6D0129" w14:paraId="43EEDCF7" w14:textId="77777777" w:rsidTr="00665B67">
        <w:trPr>
          <w:trHeight w:val="576"/>
        </w:trPr>
        <w:tc>
          <w:tcPr>
            <w:tcW w:w="720" w:type="dxa"/>
            <w:vAlign w:val="center"/>
          </w:tcPr>
          <w:p w14:paraId="40AABA47" w14:textId="0F39B1AE" w:rsidR="006D0129" w:rsidRDefault="006D0129" w:rsidP="00665B67">
            <w:pPr>
              <w:spacing w:line="240" w:lineRule="auto"/>
              <w:jc w:val="center"/>
            </w:pPr>
          </w:p>
        </w:tc>
        <w:tc>
          <w:tcPr>
            <w:tcW w:w="7920" w:type="dxa"/>
            <w:vAlign w:val="center"/>
          </w:tcPr>
          <w:p w14:paraId="70B904D7" w14:textId="77777777" w:rsidR="006D0129" w:rsidRPr="003E4C6A" w:rsidRDefault="00077C0B" w:rsidP="00665B67">
            <w:pPr>
              <w:spacing w:line="240" w:lineRule="auto"/>
              <w:jc w:val="center"/>
            </w:pPr>
            <m:oMathPara>
              <m:oMath>
                <m:sSub>
                  <m:sSubPr>
                    <m:ctrlPr>
                      <w:rPr>
                        <w:rFonts w:ascii="Cambria Math" w:hAnsi="Cambria Math"/>
                        <w:i/>
                      </w:rPr>
                    </m:ctrlPr>
                  </m:sSubPr>
                  <m:e>
                    <m:r>
                      <w:rPr>
                        <w:rFonts w:ascii="Cambria Math" w:hAnsi="Cambria Math"/>
                      </w:rPr>
                      <m:t>σ'</m:t>
                    </m:r>
                  </m:e>
                  <m:sub>
                    <m:r>
                      <w:rPr>
                        <w:rFonts w:ascii="Cambria Math" w:hAnsi="Cambria Math"/>
                      </w:rPr>
                      <m:t>r</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σ</m:t>
                        </m:r>
                      </m:e>
                      <m:sub>
                        <m:r>
                          <w:rPr>
                            <w:rFonts w:ascii="Cambria Math" w:hAnsi="Cambria Math"/>
                          </w:rPr>
                          <m:t>H</m:t>
                        </m:r>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h</m:t>
                        </m:r>
                      </m:sub>
                    </m:sSub>
                  </m:num>
                  <m:den>
                    <m:r>
                      <w:rPr>
                        <w:rFonts w:ascii="Cambria Math" w:hAnsi="Cambria Math"/>
                      </w:rPr>
                      <m:t>2</m:t>
                    </m:r>
                  </m:den>
                </m:f>
                <m:d>
                  <m:dPr>
                    <m:ctrlPr>
                      <w:rPr>
                        <w:rFonts w:ascii="Cambria Math" w:hAnsi="Cambria Math"/>
                        <w:i/>
                      </w:rPr>
                    </m:ctrlPr>
                  </m:dPr>
                  <m:e>
                    <m:r>
                      <w:rPr>
                        <w:rFonts w:ascii="Cambria Math" w:hAnsi="Cambria Math"/>
                      </w:rPr>
                      <m:t>1-</m:t>
                    </m:r>
                    <m:f>
                      <m:fPr>
                        <m:ctrlPr>
                          <w:rPr>
                            <w:rFonts w:ascii="Cambria Math" w:hAnsi="Cambria Math"/>
                            <w:i/>
                          </w:rPr>
                        </m:ctrlPr>
                      </m:fPr>
                      <m:num>
                        <m:sSubSup>
                          <m:sSubSupPr>
                            <m:ctrlPr>
                              <w:rPr>
                                <w:rFonts w:ascii="Cambria Math" w:hAnsi="Cambria Math"/>
                                <w:i/>
                              </w:rPr>
                            </m:ctrlPr>
                          </m:sSubSupPr>
                          <m:e>
                            <m:r>
                              <w:rPr>
                                <w:rFonts w:ascii="Cambria Math" w:hAnsi="Cambria Math"/>
                              </w:rPr>
                              <m:t>R</m:t>
                            </m:r>
                          </m:e>
                          <m:sub>
                            <m:r>
                              <w:rPr>
                                <w:rFonts w:ascii="Cambria Math" w:hAnsi="Cambria Math"/>
                              </w:rPr>
                              <m:t>w</m:t>
                            </m:r>
                          </m:sub>
                          <m:sup>
                            <m:r>
                              <w:rPr>
                                <w:rFonts w:ascii="Cambria Math" w:hAnsi="Cambria Math"/>
                              </w:rPr>
                              <m:t>2</m:t>
                            </m:r>
                          </m:sup>
                        </m:sSubSup>
                      </m:num>
                      <m:den>
                        <m:sSup>
                          <m:sSupPr>
                            <m:ctrlPr>
                              <w:rPr>
                                <w:rFonts w:ascii="Cambria Math" w:hAnsi="Cambria Math"/>
                                <w:i/>
                              </w:rPr>
                            </m:ctrlPr>
                          </m:sSupPr>
                          <m:e>
                            <m:r>
                              <w:rPr>
                                <w:rFonts w:ascii="Cambria Math" w:hAnsi="Cambria Math"/>
                              </w:rPr>
                              <m:t>r</m:t>
                            </m:r>
                          </m:e>
                          <m:sup>
                            <m:r>
                              <w:rPr>
                                <w:rFonts w:ascii="Cambria Math" w:hAnsi="Cambria Math"/>
                              </w:rPr>
                              <m:t>2</m:t>
                            </m:r>
                          </m:sup>
                        </m:sSup>
                      </m:den>
                    </m:f>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σ</m:t>
                        </m:r>
                      </m:e>
                      <m:sub>
                        <m:r>
                          <w:rPr>
                            <w:rFonts w:ascii="Cambria Math" w:hAnsi="Cambria Math"/>
                          </w:rPr>
                          <m:t>H</m:t>
                        </m:r>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h</m:t>
                        </m:r>
                      </m:sub>
                    </m:sSub>
                  </m:num>
                  <m:den>
                    <m:r>
                      <w:rPr>
                        <w:rFonts w:ascii="Cambria Math" w:hAnsi="Cambria Math"/>
                      </w:rPr>
                      <m:t>2</m:t>
                    </m:r>
                  </m:den>
                </m:f>
                <m:d>
                  <m:dPr>
                    <m:ctrlPr>
                      <w:rPr>
                        <w:rFonts w:ascii="Cambria Math" w:hAnsi="Cambria Math"/>
                        <w:i/>
                      </w:rPr>
                    </m:ctrlPr>
                  </m:dPr>
                  <m:e>
                    <m:r>
                      <w:rPr>
                        <w:rFonts w:ascii="Cambria Math" w:hAnsi="Cambria Math"/>
                      </w:rPr>
                      <m:t>1+3</m:t>
                    </m:r>
                    <m:f>
                      <m:fPr>
                        <m:ctrlPr>
                          <w:rPr>
                            <w:rFonts w:ascii="Cambria Math" w:hAnsi="Cambria Math"/>
                            <w:i/>
                          </w:rPr>
                        </m:ctrlPr>
                      </m:fPr>
                      <m:num>
                        <m:sSubSup>
                          <m:sSubSupPr>
                            <m:ctrlPr>
                              <w:rPr>
                                <w:rFonts w:ascii="Cambria Math" w:hAnsi="Cambria Math"/>
                                <w:i/>
                              </w:rPr>
                            </m:ctrlPr>
                          </m:sSubSupPr>
                          <m:e>
                            <m:r>
                              <w:rPr>
                                <w:rFonts w:ascii="Cambria Math" w:hAnsi="Cambria Math"/>
                              </w:rPr>
                              <m:t>R</m:t>
                            </m:r>
                          </m:e>
                          <m:sub>
                            <m:r>
                              <w:rPr>
                                <w:rFonts w:ascii="Cambria Math" w:hAnsi="Cambria Math"/>
                              </w:rPr>
                              <m:t>w</m:t>
                            </m:r>
                          </m:sub>
                          <m:sup>
                            <m:r>
                              <w:rPr>
                                <w:rFonts w:ascii="Cambria Math" w:hAnsi="Cambria Math"/>
                              </w:rPr>
                              <m:t>4</m:t>
                            </m:r>
                          </m:sup>
                        </m:sSubSup>
                      </m:num>
                      <m:den>
                        <m:sSup>
                          <m:sSupPr>
                            <m:ctrlPr>
                              <w:rPr>
                                <w:rFonts w:ascii="Cambria Math" w:hAnsi="Cambria Math"/>
                                <w:i/>
                              </w:rPr>
                            </m:ctrlPr>
                          </m:sSupPr>
                          <m:e>
                            <m:r>
                              <w:rPr>
                                <w:rFonts w:ascii="Cambria Math" w:hAnsi="Cambria Math"/>
                              </w:rPr>
                              <m:t>r</m:t>
                            </m:r>
                          </m:e>
                          <m:sup>
                            <m:r>
                              <w:rPr>
                                <w:rFonts w:ascii="Cambria Math" w:hAnsi="Cambria Math"/>
                              </w:rPr>
                              <m:t>4</m:t>
                            </m:r>
                          </m:sup>
                        </m:sSup>
                      </m:den>
                    </m:f>
                    <m:r>
                      <w:rPr>
                        <w:rFonts w:ascii="Cambria Math" w:hAnsi="Cambria Math"/>
                      </w:rPr>
                      <m:t>-4</m:t>
                    </m:r>
                    <m:f>
                      <m:fPr>
                        <m:ctrlPr>
                          <w:rPr>
                            <w:rFonts w:ascii="Cambria Math" w:hAnsi="Cambria Math"/>
                            <w:i/>
                          </w:rPr>
                        </m:ctrlPr>
                      </m:fPr>
                      <m:num>
                        <m:sSubSup>
                          <m:sSubSupPr>
                            <m:ctrlPr>
                              <w:rPr>
                                <w:rFonts w:ascii="Cambria Math" w:hAnsi="Cambria Math"/>
                                <w:i/>
                              </w:rPr>
                            </m:ctrlPr>
                          </m:sSubSupPr>
                          <m:e>
                            <m:r>
                              <w:rPr>
                                <w:rFonts w:ascii="Cambria Math" w:hAnsi="Cambria Math"/>
                              </w:rPr>
                              <m:t>R</m:t>
                            </m:r>
                          </m:e>
                          <m:sub>
                            <m:r>
                              <w:rPr>
                                <w:rFonts w:ascii="Cambria Math" w:hAnsi="Cambria Math"/>
                              </w:rPr>
                              <m:t>w</m:t>
                            </m:r>
                          </m:sub>
                          <m:sup>
                            <m:r>
                              <w:rPr>
                                <w:rFonts w:ascii="Cambria Math" w:hAnsi="Cambria Math"/>
                              </w:rPr>
                              <m:t>2</m:t>
                            </m:r>
                          </m:sup>
                        </m:sSubSup>
                      </m:num>
                      <m:den>
                        <m:sSup>
                          <m:sSupPr>
                            <m:ctrlPr>
                              <w:rPr>
                                <w:rFonts w:ascii="Cambria Math" w:hAnsi="Cambria Math"/>
                                <w:i/>
                              </w:rPr>
                            </m:ctrlPr>
                          </m:sSupPr>
                          <m:e>
                            <m:r>
                              <w:rPr>
                                <w:rFonts w:ascii="Cambria Math" w:hAnsi="Cambria Math"/>
                              </w:rPr>
                              <m:t>r</m:t>
                            </m:r>
                          </m:e>
                          <m:sup>
                            <m:r>
                              <w:rPr>
                                <w:rFonts w:ascii="Cambria Math" w:hAnsi="Cambria Math"/>
                              </w:rPr>
                              <m:t>2</m:t>
                            </m:r>
                          </m:sup>
                        </m:sSup>
                      </m:den>
                    </m:f>
                  </m:e>
                </m:d>
                <m:r>
                  <w:rPr>
                    <w:rFonts w:ascii="Cambria Math" w:hAnsi="Cambria Math"/>
                  </w:rPr>
                  <m:t>cos2θ+</m:t>
                </m:r>
                <m:sSub>
                  <m:sSubPr>
                    <m:ctrlPr>
                      <w:rPr>
                        <w:rFonts w:ascii="Cambria Math" w:hAnsi="Cambria Math"/>
                        <w:i/>
                      </w:rPr>
                    </m:ctrlPr>
                  </m:sSubPr>
                  <m:e>
                    <m:r>
                      <w:rPr>
                        <w:rFonts w:ascii="Cambria Math" w:hAnsi="Cambria Math"/>
                      </w:rPr>
                      <m:t>(P</m:t>
                    </m:r>
                  </m:e>
                  <m:sub>
                    <m:r>
                      <w:rPr>
                        <w:rFonts w:ascii="Cambria Math" w:hAnsi="Cambria Math"/>
                      </w:rPr>
                      <m:t>w</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p</m:t>
                    </m:r>
                  </m:sub>
                </m:sSub>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R</m:t>
                        </m:r>
                      </m:e>
                      <m:sub>
                        <m:r>
                          <w:rPr>
                            <w:rFonts w:ascii="Cambria Math" w:hAnsi="Cambria Math"/>
                          </w:rPr>
                          <m:t>w</m:t>
                        </m:r>
                      </m:sub>
                      <m:sup>
                        <m:r>
                          <w:rPr>
                            <w:rFonts w:ascii="Cambria Math" w:hAnsi="Cambria Math"/>
                          </w:rPr>
                          <m:t>2</m:t>
                        </m:r>
                      </m:sup>
                    </m:sSubSup>
                  </m:num>
                  <m:den>
                    <m:sSup>
                      <m:sSupPr>
                        <m:ctrlPr>
                          <w:rPr>
                            <w:rFonts w:ascii="Cambria Math" w:hAnsi="Cambria Math"/>
                            <w:i/>
                          </w:rPr>
                        </m:ctrlPr>
                      </m:sSupPr>
                      <m:e>
                        <m:r>
                          <w:rPr>
                            <w:rFonts w:ascii="Cambria Math" w:hAnsi="Cambria Math"/>
                          </w:rPr>
                          <m:t>r</m:t>
                        </m:r>
                      </m:e>
                      <m:sup>
                        <m:r>
                          <w:rPr>
                            <w:rFonts w:ascii="Cambria Math" w:hAnsi="Cambria Math"/>
                          </w:rPr>
                          <m:t>2</m:t>
                        </m:r>
                      </m:sup>
                    </m:sSup>
                  </m:den>
                </m:f>
              </m:oMath>
            </m:oMathPara>
          </w:p>
        </w:tc>
        <w:tc>
          <w:tcPr>
            <w:tcW w:w="720" w:type="dxa"/>
            <w:vAlign w:val="bottom"/>
          </w:tcPr>
          <w:p w14:paraId="04FB9E26" w14:textId="645132AF" w:rsidR="006D0129"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6D0129">
              <w:t>.</w:t>
            </w:r>
            <w:r>
              <w:fldChar w:fldCharType="begin"/>
            </w:r>
            <w:r>
              <w:instrText xml:space="preserve"> SEQ Equation \* ARABIC \s 1 </w:instrText>
            </w:r>
            <w:r>
              <w:fldChar w:fldCharType="separate"/>
            </w:r>
            <w:r w:rsidR="0006023A">
              <w:rPr>
                <w:noProof/>
              </w:rPr>
              <w:t>12</w:t>
            </w:r>
            <w:r>
              <w:rPr>
                <w:noProof/>
              </w:rPr>
              <w:fldChar w:fldCharType="end"/>
            </w:r>
          </w:p>
        </w:tc>
      </w:tr>
    </w:tbl>
    <w:p w14:paraId="3D9FBC4F" w14:textId="77777777" w:rsidR="006D0129" w:rsidRDefault="006D0129" w:rsidP="006D0129"/>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6D0129" w14:paraId="4FECB495" w14:textId="77777777" w:rsidTr="00665B67">
        <w:trPr>
          <w:trHeight w:val="576"/>
        </w:trPr>
        <w:tc>
          <w:tcPr>
            <w:tcW w:w="720" w:type="dxa"/>
            <w:vAlign w:val="center"/>
          </w:tcPr>
          <w:p w14:paraId="3407EE9A" w14:textId="7D4C2D12" w:rsidR="006D0129" w:rsidRDefault="006D0129" w:rsidP="00665B67">
            <w:pPr>
              <w:spacing w:line="240" w:lineRule="auto"/>
              <w:jc w:val="center"/>
            </w:pPr>
          </w:p>
        </w:tc>
        <w:tc>
          <w:tcPr>
            <w:tcW w:w="7920" w:type="dxa"/>
            <w:vAlign w:val="center"/>
          </w:tcPr>
          <w:p w14:paraId="2F5963DC" w14:textId="77777777" w:rsidR="006D0129" w:rsidRPr="003E4C6A" w:rsidRDefault="00077C0B" w:rsidP="00665B67">
            <w:pPr>
              <w:spacing w:line="240" w:lineRule="auto"/>
              <w:jc w:val="center"/>
            </w:pPr>
            <m:oMathPara>
              <m:oMath>
                <m:sSub>
                  <m:sSubPr>
                    <m:ctrlPr>
                      <w:rPr>
                        <w:rFonts w:ascii="Cambria Math" w:hAnsi="Cambria Math"/>
                        <w:i/>
                      </w:rPr>
                    </m:ctrlPr>
                  </m:sSubPr>
                  <m:e>
                    <m:r>
                      <w:rPr>
                        <w:rFonts w:ascii="Cambria Math" w:hAnsi="Cambria Math"/>
                      </w:rPr>
                      <m:t>σ'</m:t>
                    </m:r>
                  </m:e>
                  <m:sub>
                    <m:r>
                      <w:rPr>
                        <w:rFonts w:ascii="Cambria Math" w:hAnsi="Cambria Math"/>
                      </w:rPr>
                      <m:t>θ</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σ</m:t>
                        </m:r>
                      </m:e>
                      <m:sub>
                        <m:r>
                          <w:rPr>
                            <w:rFonts w:ascii="Cambria Math" w:hAnsi="Cambria Math"/>
                          </w:rPr>
                          <m:t>H</m:t>
                        </m:r>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h</m:t>
                        </m:r>
                      </m:sub>
                    </m:sSub>
                  </m:num>
                  <m:den>
                    <m:r>
                      <w:rPr>
                        <w:rFonts w:ascii="Cambria Math" w:hAnsi="Cambria Math"/>
                      </w:rPr>
                      <m:t>2</m:t>
                    </m:r>
                  </m:den>
                </m:f>
                <m:d>
                  <m:dPr>
                    <m:ctrlPr>
                      <w:rPr>
                        <w:rFonts w:ascii="Cambria Math" w:hAnsi="Cambria Math"/>
                        <w:i/>
                      </w:rPr>
                    </m:ctrlPr>
                  </m:dPr>
                  <m:e>
                    <m:r>
                      <w:rPr>
                        <w:rFonts w:ascii="Cambria Math" w:hAnsi="Cambria Math"/>
                      </w:rPr>
                      <m:t>1+</m:t>
                    </m:r>
                    <m:f>
                      <m:fPr>
                        <m:ctrlPr>
                          <w:rPr>
                            <w:rFonts w:ascii="Cambria Math" w:hAnsi="Cambria Math"/>
                            <w:i/>
                          </w:rPr>
                        </m:ctrlPr>
                      </m:fPr>
                      <m:num>
                        <m:sSubSup>
                          <m:sSubSupPr>
                            <m:ctrlPr>
                              <w:rPr>
                                <w:rFonts w:ascii="Cambria Math" w:hAnsi="Cambria Math"/>
                                <w:i/>
                              </w:rPr>
                            </m:ctrlPr>
                          </m:sSubSupPr>
                          <m:e>
                            <m:r>
                              <w:rPr>
                                <w:rFonts w:ascii="Cambria Math" w:hAnsi="Cambria Math"/>
                              </w:rPr>
                              <m:t>R</m:t>
                            </m:r>
                          </m:e>
                          <m:sub>
                            <m:r>
                              <w:rPr>
                                <w:rFonts w:ascii="Cambria Math" w:hAnsi="Cambria Math"/>
                              </w:rPr>
                              <m:t>w</m:t>
                            </m:r>
                          </m:sub>
                          <m:sup>
                            <m:r>
                              <w:rPr>
                                <w:rFonts w:ascii="Cambria Math" w:hAnsi="Cambria Math"/>
                              </w:rPr>
                              <m:t>2</m:t>
                            </m:r>
                          </m:sup>
                        </m:sSubSup>
                      </m:num>
                      <m:den>
                        <m:sSup>
                          <m:sSupPr>
                            <m:ctrlPr>
                              <w:rPr>
                                <w:rFonts w:ascii="Cambria Math" w:hAnsi="Cambria Math"/>
                                <w:i/>
                              </w:rPr>
                            </m:ctrlPr>
                          </m:sSupPr>
                          <m:e>
                            <m:r>
                              <w:rPr>
                                <w:rFonts w:ascii="Cambria Math" w:hAnsi="Cambria Math"/>
                              </w:rPr>
                              <m:t>r</m:t>
                            </m:r>
                          </m:e>
                          <m:sup>
                            <m:r>
                              <w:rPr>
                                <w:rFonts w:ascii="Cambria Math" w:hAnsi="Cambria Math"/>
                              </w:rPr>
                              <m:t>2</m:t>
                            </m:r>
                          </m:sup>
                        </m:sSup>
                      </m:den>
                    </m:f>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σ</m:t>
                        </m:r>
                      </m:e>
                      <m:sub>
                        <m:r>
                          <w:rPr>
                            <w:rFonts w:ascii="Cambria Math" w:hAnsi="Cambria Math"/>
                          </w:rPr>
                          <m:t>H</m:t>
                        </m:r>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h</m:t>
                        </m:r>
                      </m:sub>
                    </m:sSub>
                  </m:num>
                  <m:den>
                    <m:r>
                      <w:rPr>
                        <w:rFonts w:ascii="Cambria Math" w:hAnsi="Cambria Math"/>
                      </w:rPr>
                      <m:t>2</m:t>
                    </m:r>
                  </m:den>
                </m:f>
                <m:d>
                  <m:dPr>
                    <m:ctrlPr>
                      <w:rPr>
                        <w:rFonts w:ascii="Cambria Math" w:hAnsi="Cambria Math"/>
                        <w:i/>
                      </w:rPr>
                    </m:ctrlPr>
                  </m:dPr>
                  <m:e>
                    <m:r>
                      <w:rPr>
                        <w:rFonts w:ascii="Cambria Math" w:hAnsi="Cambria Math"/>
                      </w:rPr>
                      <m:t>1+3</m:t>
                    </m:r>
                    <m:f>
                      <m:fPr>
                        <m:ctrlPr>
                          <w:rPr>
                            <w:rFonts w:ascii="Cambria Math" w:hAnsi="Cambria Math"/>
                            <w:i/>
                          </w:rPr>
                        </m:ctrlPr>
                      </m:fPr>
                      <m:num>
                        <m:sSubSup>
                          <m:sSubSupPr>
                            <m:ctrlPr>
                              <w:rPr>
                                <w:rFonts w:ascii="Cambria Math" w:hAnsi="Cambria Math"/>
                                <w:i/>
                              </w:rPr>
                            </m:ctrlPr>
                          </m:sSubSupPr>
                          <m:e>
                            <m:r>
                              <w:rPr>
                                <w:rFonts w:ascii="Cambria Math" w:hAnsi="Cambria Math"/>
                              </w:rPr>
                              <m:t>R</m:t>
                            </m:r>
                          </m:e>
                          <m:sub>
                            <m:r>
                              <w:rPr>
                                <w:rFonts w:ascii="Cambria Math" w:hAnsi="Cambria Math"/>
                              </w:rPr>
                              <m:t>w</m:t>
                            </m:r>
                          </m:sub>
                          <m:sup>
                            <m:r>
                              <w:rPr>
                                <w:rFonts w:ascii="Cambria Math" w:hAnsi="Cambria Math"/>
                              </w:rPr>
                              <m:t>4</m:t>
                            </m:r>
                          </m:sup>
                        </m:sSubSup>
                      </m:num>
                      <m:den>
                        <m:sSup>
                          <m:sSupPr>
                            <m:ctrlPr>
                              <w:rPr>
                                <w:rFonts w:ascii="Cambria Math" w:hAnsi="Cambria Math"/>
                                <w:i/>
                              </w:rPr>
                            </m:ctrlPr>
                          </m:sSupPr>
                          <m:e>
                            <m:r>
                              <w:rPr>
                                <w:rFonts w:ascii="Cambria Math" w:hAnsi="Cambria Math"/>
                              </w:rPr>
                              <m:t>r</m:t>
                            </m:r>
                          </m:e>
                          <m:sup>
                            <m:r>
                              <w:rPr>
                                <w:rFonts w:ascii="Cambria Math" w:hAnsi="Cambria Math"/>
                              </w:rPr>
                              <m:t>4</m:t>
                            </m:r>
                          </m:sup>
                        </m:sSup>
                      </m:den>
                    </m:f>
                  </m:e>
                </m:d>
                <m:r>
                  <w:rPr>
                    <w:rFonts w:ascii="Cambria Math" w:hAnsi="Cambria Math"/>
                  </w:rPr>
                  <m:t>cos2θ-</m:t>
                </m:r>
                <m:sSub>
                  <m:sSubPr>
                    <m:ctrlPr>
                      <w:rPr>
                        <w:rFonts w:ascii="Cambria Math" w:hAnsi="Cambria Math"/>
                        <w:i/>
                      </w:rPr>
                    </m:ctrlPr>
                  </m:sSubPr>
                  <m:e>
                    <m:r>
                      <w:rPr>
                        <w:rFonts w:ascii="Cambria Math" w:hAnsi="Cambria Math"/>
                      </w:rPr>
                      <m:t>(P</m:t>
                    </m:r>
                  </m:e>
                  <m:sub>
                    <m:r>
                      <w:rPr>
                        <w:rFonts w:ascii="Cambria Math" w:hAnsi="Cambria Math"/>
                      </w:rPr>
                      <m:t>w</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p</m:t>
                    </m:r>
                  </m:sub>
                </m:sSub>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R</m:t>
                        </m:r>
                      </m:e>
                      <m:sub>
                        <m:r>
                          <w:rPr>
                            <w:rFonts w:ascii="Cambria Math" w:hAnsi="Cambria Math"/>
                          </w:rPr>
                          <m:t>w</m:t>
                        </m:r>
                      </m:sub>
                      <m:sup>
                        <m:r>
                          <w:rPr>
                            <w:rFonts w:ascii="Cambria Math" w:hAnsi="Cambria Math"/>
                          </w:rPr>
                          <m:t>2</m:t>
                        </m:r>
                      </m:sup>
                    </m:sSubSup>
                  </m:num>
                  <m:den>
                    <m:sSup>
                      <m:sSupPr>
                        <m:ctrlPr>
                          <w:rPr>
                            <w:rFonts w:ascii="Cambria Math" w:hAnsi="Cambria Math"/>
                            <w:i/>
                          </w:rPr>
                        </m:ctrlPr>
                      </m:sSupPr>
                      <m:e>
                        <m:r>
                          <w:rPr>
                            <w:rFonts w:ascii="Cambria Math" w:hAnsi="Cambria Math"/>
                          </w:rPr>
                          <m:t>r</m:t>
                        </m:r>
                      </m:e>
                      <m:sup>
                        <m:r>
                          <w:rPr>
                            <w:rFonts w:ascii="Cambria Math" w:hAnsi="Cambria Math"/>
                          </w:rPr>
                          <m:t>2</m:t>
                        </m:r>
                      </m:sup>
                    </m:sSup>
                  </m:den>
                </m:f>
              </m:oMath>
            </m:oMathPara>
          </w:p>
        </w:tc>
        <w:tc>
          <w:tcPr>
            <w:tcW w:w="720" w:type="dxa"/>
            <w:vAlign w:val="bottom"/>
          </w:tcPr>
          <w:p w14:paraId="1358C791" w14:textId="4141FEBF" w:rsidR="006D0129"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6D0129">
              <w:t>.</w:t>
            </w:r>
            <w:r>
              <w:fldChar w:fldCharType="begin"/>
            </w:r>
            <w:r>
              <w:instrText xml:space="preserve"> SEQ Equation \* ARABIC \s 1 </w:instrText>
            </w:r>
            <w:r>
              <w:fldChar w:fldCharType="separate"/>
            </w:r>
            <w:r w:rsidR="0006023A">
              <w:rPr>
                <w:noProof/>
              </w:rPr>
              <w:t>13</w:t>
            </w:r>
            <w:r>
              <w:rPr>
                <w:noProof/>
              </w:rPr>
              <w:fldChar w:fldCharType="end"/>
            </w:r>
          </w:p>
        </w:tc>
      </w:tr>
      <w:tr w:rsidR="003F7ED9" w14:paraId="19682528" w14:textId="77777777" w:rsidTr="00665B67">
        <w:trPr>
          <w:trHeight w:val="576"/>
        </w:trPr>
        <w:tc>
          <w:tcPr>
            <w:tcW w:w="720" w:type="dxa"/>
            <w:vAlign w:val="center"/>
          </w:tcPr>
          <w:p w14:paraId="378EA4E7" w14:textId="77777777" w:rsidR="003F7ED9" w:rsidRDefault="003F7ED9" w:rsidP="00665B67">
            <w:pPr>
              <w:spacing w:line="240" w:lineRule="auto"/>
              <w:jc w:val="center"/>
            </w:pPr>
          </w:p>
        </w:tc>
        <w:tc>
          <w:tcPr>
            <w:tcW w:w="7920" w:type="dxa"/>
            <w:vAlign w:val="center"/>
          </w:tcPr>
          <w:p w14:paraId="7658FC05" w14:textId="77777777" w:rsidR="003F7ED9" w:rsidRDefault="003F7ED9" w:rsidP="00665B67">
            <w:pPr>
              <w:spacing w:line="240" w:lineRule="auto"/>
              <w:jc w:val="center"/>
              <w:rPr>
                <w:rFonts w:eastAsia="Calibri" w:cs="Times New Roman"/>
              </w:rPr>
            </w:pPr>
          </w:p>
        </w:tc>
        <w:tc>
          <w:tcPr>
            <w:tcW w:w="720" w:type="dxa"/>
            <w:vAlign w:val="bottom"/>
          </w:tcPr>
          <w:p w14:paraId="4EC93E4E" w14:textId="77777777" w:rsidR="003F7ED9" w:rsidRDefault="003F7ED9" w:rsidP="00BC23AD">
            <w:pPr>
              <w:pStyle w:val="Caption"/>
            </w:pPr>
          </w:p>
        </w:tc>
      </w:tr>
      <w:tr w:rsidR="006D0129" w14:paraId="6B22D71A" w14:textId="77777777" w:rsidTr="00665B67">
        <w:trPr>
          <w:trHeight w:val="576"/>
        </w:trPr>
        <w:tc>
          <w:tcPr>
            <w:tcW w:w="720" w:type="dxa"/>
            <w:vAlign w:val="center"/>
          </w:tcPr>
          <w:p w14:paraId="46D886BB" w14:textId="17117299" w:rsidR="006D0129" w:rsidRDefault="006D0129" w:rsidP="00665B67">
            <w:pPr>
              <w:spacing w:line="240" w:lineRule="auto"/>
              <w:jc w:val="center"/>
            </w:pPr>
          </w:p>
        </w:tc>
        <w:tc>
          <w:tcPr>
            <w:tcW w:w="7920" w:type="dxa"/>
            <w:vAlign w:val="center"/>
          </w:tcPr>
          <w:p w14:paraId="7BB57C29" w14:textId="77777777" w:rsidR="006D0129" w:rsidRPr="003E4C6A" w:rsidRDefault="00077C0B" w:rsidP="00665B67">
            <w:pPr>
              <w:spacing w:line="240" w:lineRule="auto"/>
              <w:jc w:val="center"/>
            </w:pPr>
            <m:oMathPara>
              <m:oMath>
                <m:sSub>
                  <m:sSubPr>
                    <m:ctrlPr>
                      <w:rPr>
                        <w:rFonts w:ascii="Cambria Math" w:hAnsi="Cambria Math"/>
                        <w:i/>
                      </w:rPr>
                    </m:ctrlPr>
                  </m:sSubPr>
                  <m:e>
                    <m:r>
                      <w:rPr>
                        <w:rFonts w:ascii="Cambria Math" w:hAnsi="Cambria Math"/>
                      </w:rPr>
                      <m:t>σ'</m:t>
                    </m:r>
                  </m:e>
                  <m:sub>
                    <m:r>
                      <w:rPr>
                        <w:rFonts w:ascii="Cambria Math" w:hAnsi="Cambria Math"/>
                      </w:rPr>
                      <m:t>z</m:t>
                    </m:r>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v</m:t>
                    </m:r>
                  </m:sub>
                </m:sSub>
                <m:r>
                  <w:rPr>
                    <w:rFonts w:ascii="Cambria Math" w:hAnsi="Cambria Math"/>
                  </w:rPr>
                  <m:t>-2v</m:t>
                </m:r>
                <m:d>
                  <m:dPr>
                    <m:ctrlPr>
                      <w:rPr>
                        <w:rFonts w:ascii="Cambria Math" w:hAnsi="Cambria Math"/>
                        <w:i/>
                      </w:rPr>
                    </m:ctrlPr>
                  </m:dPr>
                  <m:e>
                    <m:sSub>
                      <m:sSubPr>
                        <m:ctrlPr>
                          <w:rPr>
                            <w:rFonts w:ascii="Cambria Math" w:hAnsi="Cambria Math"/>
                            <w:i/>
                          </w:rPr>
                        </m:ctrlPr>
                      </m:sSubPr>
                      <m:e>
                        <m:r>
                          <w:rPr>
                            <w:rFonts w:ascii="Cambria Math" w:hAnsi="Cambria Math"/>
                          </w:rPr>
                          <m:t>σ</m:t>
                        </m:r>
                      </m:e>
                      <m:sub>
                        <m:r>
                          <w:rPr>
                            <w:rFonts w:ascii="Cambria Math" w:hAnsi="Cambria Math"/>
                          </w:rPr>
                          <m:t>H</m:t>
                        </m:r>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h</m:t>
                        </m:r>
                      </m:sub>
                    </m:sSub>
                  </m:e>
                </m:d>
                <m:f>
                  <m:fPr>
                    <m:ctrlPr>
                      <w:rPr>
                        <w:rFonts w:ascii="Cambria Math" w:hAnsi="Cambria Math"/>
                        <w:i/>
                      </w:rPr>
                    </m:ctrlPr>
                  </m:fPr>
                  <m:num>
                    <m:sSubSup>
                      <m:sSubSupPr>
                        <m:ctrlPr>
                          <w:rPr>
                            <w:rFonts w:ascii="Cambria Math" w:hAnsi="Cambria Math"/>
                            <w:i/>
                          </w:rPr>
                        </m:ctrlPr>
                      </m:sSubSupPr>
                      <m:e>
                        <m:r>
                          <w:rPr>
                            <w:rFonts w:ascii="Cambria Math" w:hAnsi="Cambria Math"/>
                          </w:rPr>
                          <m:t>R</m:t>
                        </m:r>
                      </m:e>
                      <m:sub>
                        <m:r>
                          <w:rPr>
                            <w:rFonts w:ascii="Cambria Math" w:hAnsi="Cambria Math"/>
                          </w:rPr>
                          <m:t>w</m:t>
                        </m:r>
                      </m:sub>
                      <m:sup>
                        <m:r>
                          <w:rPr>
                            <w:rFonts w:ascii="Cambria Math" w:hAnsi="Cambria Math"/>
                          </w:rPr>
                          <m:t>2</m:t>
                        </m:r>
                      </m:sup>
                    </m:sSubSup>
                  </m:num>
                  <m:den>
                    <m:sSup>
                      <m:sSupPr>
                        <m:ctrlPr>
                          <w:rPr>
                            <w:rFonts w:ascii="Cambria Math" w:hAnsi="Cambria Math"/>
                            <w:i/>
                          </w:rPr>
                        </m:ctrlPr>
                      </m:sSupPr>
                      <m:e>
                        <m:r>
                          <w:rPr>
                            <w:rFonts w:ascii="Cambria Math" w:hAnsi="Cambria Math"/>
                          </w:rPr>
                          <m:t>r</m:t>
                        </m:r>
                      </m:e>
                      <m:sup>
                        <m:r>
                          <w:rPr>
                            <w:rFonts w:ascii="Cambria Math" w:hAnsi="Cambria Math"/>
                          </w:rPr>
                          <m:t>2</m:t>
                        </m:r>
                      </m:sup>
                    </m:sSup>
                  </m:den>
                </m:f>
                <m:r>
                  <w:rPr>
                    <w:rFonts w:ascii="Cambria Math" w:hAnsi="Cambria Math"/>
                  </w:rPr>
                  <m:t>cos2θ-</m:t>
                </m:r>
                <m:sSub>
                  <m:sSubPr>
                    <m:ctrlPr>
                      <w:rPr>
                        <w:rFonts w:ascii="Cambria Math" w:hAnsi="Cambria Math"/>
                        <w:i/>
                      </w:rPr>
                    </m:ctrlPr>
                  </m:sSubPr>
                  <m:e>
                    <m:r>
                      <w:rPr>
                        <w:rFonts w:ascii="Cambria Math" w:hAnsi="Cambria Math"/>
                      </w:rPr>
                      <m:t>P</m:t>
                    </m:r>
                  </m:e>
                  <m:sub>
                    <m:r>
                      <w:rPr>
                        <w:rFonts w:ascii="Cambria Math" w:hAnsi="Cambria Math"/>
                      </w:rPr>
                      <m:t>p</m:t>
                    </m:r>
                  </m:sub>
                </m:sSub>
              </m:oMath>
            </m:oMathPara>
          </w:p>
        </w:tc>
        <w:tc>
          <w:tcPr>
            <w:tcW w:w="720" w:type="dxa"/>
            <w:vAlign w:val="bottom"/>
          </w:tcPr>
          <w:p w14:paraId="7C6934FD" w14:textId="1AE9DAFE" w:rsidR="006D0129"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6D0129">
              <w:t>.</w:t>
            </w:r>
            <w:r>
              <w:fldChar w:fldCharType="begin"/>
            </w:r>
            <w:r>
              <w:instrText xml:space="preserve"> SEQ Equation \* ARABIC \s 1 </w:instrText>
            </w:r>
            <w:r>
              <w:fldChar w:fldCharType="separate"/>
            </w:r>
            <w:r w:rsidR="0006023A">
              <w:rPr>
                <w:noProof/>
              </w:rPr>
              <w:t>14</w:t>
            </w:r>
            <w:r>
              <w:rPr>
                <w:noProof/>
              </w:rPr>
              <w:fldChar w:fldCharType="end"/>
            </w:r>
          </w:p>
        </w:tc>
      </w:tr>
    </w:tbl>
    <w:p w14:paraId="32A2F0C4" w14:textId="77777777" w:rsidR="006D0129" w:rsidRDefault="006D0129" w:rsidP="006D0129"/>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6D0129" w14:paraId="0A849633" w14:textId="77777777" w:rsidTr="00665B67">
        <w:trPr>
          <w:trHeight w:val="576"/>
        </w:trPr>
        <w:tc>
          <w:tcPr>
            <w:tcW w:w="720" w:type="dxa"/>
            <w:vAlign w:val="center"/>
          </w:tcPr>
          <w:p w14:paraId="2FFB4D78" w14:textId="129C2F94" w:rsidR="006D0129" w:rsidRDefault="006D0129" w:rsidP="00665B67">
            <w:pPr>
              <w:spacing w:line="240" w:lineRule="auto"/>
              <w:jc w:val="center"/>
            </w:pPr>
          </w:p>
        </w:tc>
        <w:tc>
          <w:tcPr>
            <w:tcW w:w="7920" w:type="dxa"/>
            <w:vAlign w:val="center"/>
          </w:tcPr>
          <w:p w14:paraId="56D7CC42" w14:textId="77777777" w:rsidR="006D0129" w:rsidRPr="003E4C6A" w:rsidRDefault="00077C0B" w:rsidP="00665B67">
            <w:pPr>
              <w:spacing w:line="240" w:lineRule="auto"/>
              <w:jc w:val="center"/>
            </w:pPr>
            <m:oMathPara>
              <m:oMath>
                <m:sSub>
                  <m:sSubPr>
                    <m:ctrlPr>
                      <w:rPr>
                        <w:rFonts w:ascii="Cambria Math" w:hAnsi="Cambria Math"/>
                        <w:i/>
                      </w:rPr>
                    </m:ctrlPr>
                  </m:sSubPr>
                  <m:e>
                    <m:r>
                      <w:rPr>
                        <w:rFonts w:ascii="Cambria Math" w:hAnsi="Cambria Math"/>
                      </w:rPr>
                      <m:t>τ'</m:t>
                    </m:r>
                  </m:e>
                  <m:sub>
                    <m:r>
                      <w:rPr>
                        <w:rFonts w:ascii="Cambria Math" w:hAnsi="Cambria Math"/>
                      </w:rPr>
                      <m:t>rθ</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σ</m:t>
                        </m:r>
                      </m:e>
                      <m:sub>
                        <m:r>
                          <w:rPr>
                            <w:rFonts w:ascii="Cambria Math" w:hAnsi="Cambria Math"/>
                          </w:rPr>
                          <m:t>H</m:t>
                        </m:r>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h</m:t>
                        </m:r>
                      </m:sub>
                    </m:sSub>
                  </m:num>
                  <m:den>
                    <m:r>
                      <w:rPr>
                        <w:rFonts w:ascii="Cambria Math" w:hAnsi="Cambria Math"/>
                      </w:rPr>
                      <m:t>2</m:t>
                    </m:r>
                  </m:den>
                </m:f>
                <m:d>
                  <m:dPr>
                    <m:ctrlPr>
                      <w:rPr>
                        <w:rFonts w:ascii="Cambria Math" w:hAnsi="Cambria Math"/>
                        <w:i/>
                      </w:rPr>
                    </m:ctrlPr>
                  </m:dPr>
                  <m:e>
                    <m:r>
                      <w:rPr>
                        <w:rFonts w:ascii="Cambria Math" w:hAnsi="Cambria Math"/>
                      </w:rPr>
                      <m:t>1-3</m:t>
                    </m:r>
                    <m:f>
                      <m:fPr>
                        <m:ctrlPr>
                          <w:rPr>
                            <w:rFonts w:ascii="Cambria Math" w:hAnsi="Cambria Math"/>
                            <w:i/>
                          </w:rPr>
                        </m:ctrlPr>
                      </m:fPr>
                      <m:num>
                        <m:sSubSup>
                          <m:sSubSupPr>
                            <m:ctrlPr>
                              <w:rPr>
                                <w:rFonts w:ascii="Cambria Math" w:hAnsi="Cambria Math"/>
                                <w:i/>
                              </w:rPr>
                            </m:ctrlPr>
                          </m:sSubSupPr>
                          <m:e>
                            <m:r>
                              <w:rPr>
                                <w:rFonts w:ascii="Cambria Math" w:hAnsi="Cambria Math"/>
                              </w:rPr>
                              <m:t>R</m:t>
                            </m:r>
                          </m:e>
                          <m:sub>
                            <m:r>
                              <w:rPr>
                                <w:rFonts w:ascii="Cambria Math" w:hAnsi="Cambria Math"/>
                              </w:rPr>
                              <m:t>w</m:t>
                            </m:r>
                          </m:sub>
                          <m:sup>
                            <m:r>
                              <w:rPr>
                                <w:rFonts w:ascii="Cambria Math" w:hAnsi="Cambria Math"/>
                              </w:rPr>
                              <m:t>4</m:t>
                            </m:r>
                          </m:sup>
                        </m:sSubSup>
                      </m:num>
                      <m:den>
                        <m:sSup>
                          <m:sSupPr>
                            <m:ctrlPr>
                              <w:rPr>
                                <w:rFonts w:ascii="Cambria Math" w:hAnsi="Cambria Math"/>
                                <w:i/>
                              </w:rPr>
                            </m:ctrlPr>
                          </m:sSupPr>
                          <m:e>
                            <m:r>
                              <w:rPr>
                                <w:rFonts w:ascii="Cambria Math" w:hAnsi="Cambria Math"/>
                              </w:rPr>
                              <m:t>r</m:t>
                            </m:r>
                          </m:e>
                          <m:sup>
                            <m:r>
                              <w:rPr>
                                <w:rFonts w:ascii="Cambria Math" w:hAnsi="Cambria Math"/>
                              </w:rPr>
                              <m:t>4</m:t>
                            </m:r>
                          </m:sup>
                        </m:sSup>
                      </m:den>
                    </m:f>
                    <m:r>
                      <w:rPr>
                        <w:rFonts w:ascii="Cambria Math" w:hAnsi="Cambria Math"/>
                      </w:rPr>
                      <m:t>+2</m:t>
                    </m:r>
                    <m:f>
                      <m:fPr>
                        <m:ctrlPr>
                          <w:rPr>
                            <w:rFonts w:ascii="Cambria Math" w:hAnsi="Cambria Math"/>
                            <w:i/>
                          </w:rPr>
                        </m:ctrlPr>
                      </m:fPr>
                      <m:num>
                        <m:sSubSup>
                          <m:sSubSupPr>
                            <m:ctrlPr>
                              <w:rPr>
                                <w:rFonts w:ascii="Cambria Math" w:hAnsi="Cambria Math"/>
                                <w:i/>
                              </w:rPr>
                            </m:ctrlPr>
                          </m:sSubSupPr>
                          <m:e>
                            <m:r>
                              <w:rPr>
                                <w:rFonts w:ascii="Cambria Math" w:hAnsi="Cambria Math"/>
                              </w:rPr>
                              <m:t>R</m:t>
                            </m:r>
                          </m:e>
                          <m:sub>
                            <m:r>
                              <w:rPr>
                                <w:rFonts w:ascii="Cambria Math" w:hAnsi="Cambria Math"/>
                              </w:rPr>
                              <m:t>w</m:t>
                            </m:r>
                          </m:sub>
                          <m:sup>
                            <m:r>
                              <w:rPr>
                                <w:rFonts w:ascii="Cambria Math" w:hAnsi="Cambria Math"/>
                              </w:rPr>
                              <m:t>2</m:t>
                            </m:r>
                          </m:sup>
                        </m:sSubSup>
                      </m:num>
                      <m:den>
                        <m:sSup>
                          <m:sSupPr>
                            <m:ctrlPr>
                              <w:rPr>
                                <w:rFonts w:ascii="Cambria Math" w:hAnsi="Cambria Math"/>
                                <w:i/>
                              </w:rPr>
                            </m:ctrlPr>
                          </m:sSupPr>
                          <m:e>
                            <m:r>
                              <w:rPr>
                                <w:rFonts w:ascii="Cambria Math" w:hAnsi="Cambria Math"/>
                              </w:rPr>
                              <m:t>r</m:t>
                            </m:r>
                          </m:e>
                          <m:sup>
                            <m:r>
                              <w:rPr>
                                <w:rFonts w:ascii="Cambria Math" w:hAnsi="Cambria Math"/>
                              </w:rPr>
                              <m:t>2</m:t>
                            </m:r>
                          </m:sup>
                        </m:sSup>
                      </m:den>
                    </m:f>
                  </m:e>
                </m:d>
                <m:r>
                  <w:rPr>
                    <w:rFonts w:ascii="Cambria Math" w:hAnsi="Cambria Math"/>
                  </w:rPr>
                  <m:t>sin2θ-</m:t>
                </m:r>
                <m:sSub>
                  <m:sSubPr>
                    <m:ctrlPr>
                      <w:rPr>
                        <w:rFonts w:ascii="Cambria Math" w:hAnsi="Cambria Math"/>
                        <w:i/>
                      </w:rPr>
                    </m:ctrlPr>
                  </m:sSubPr>
                  <m:e>
                    <m:r>
                      <w:rPr>
                        <w:rFonts w:ascii="Cambria Math" w:hAnsi="Cambria Math"/>
                      </w:rPr>
                      <m:t>P</m:t>
                    </m:r>
                  </m:e>
                  <m:sub>
                    <m:r>
                      <w:rPr>
                        <w:rFonts w:ascii="Cambria Math" w:hAnsi="Cambria Math"/>
                      </w:rPr>
                      <m:t>p</m:t>
                    </m:r>
                  </m:sub>
                </m:sSub>
              </m:oMath>
            </m:oMathPara>
          </w:p>
        </w:tc>
        <w:tc>
          <w:tcPr>
            <w:tcW w:w="720" w:type="dxa"/>
            <w:vAlign w:val="bottom"/>
          </w:tcPr>
          <w:p w14:paraId="2FC3EDBF" w14:textId="17761615" w:rsidR="006D0129"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6D0129">
              <w:t>.</w:t>
            </w:r>
            <w:r>
              <w:fldChar w:fldCharType="begin"/>
            </w:r>
            <w:r>
              <w:instrText xml:space="preserve"> SEQ Equation \* ARABIC \s 1 </w:instrText>
            </w:r>
            <w:r>
              <w:fldChar w:fldCharType="separate"/>
            </w:r>
            <w:r w:rsidR="0006023A">
              <w:rPr>
                <w:noProof/>
              </w:rPr>
              <w:t>15</w:t>
            </w:r>
            <w:r>
              <w:rPr>
                <w:noProof/>
              </w:rPr>
              <w:fldChar w:fldCharType="end"/>
            </w:r>
          </w:p>
        </w:tc>
      </w:tr>
    </w:tbl>
    <w:p w14:paraId="1B82E5E4" w14:textId="77777777" w:rsidR="006D0129" w:rsidRDefault="006D0129" w:rsidP="006D0129"/>
    <w:p w14:paraId="07BA1A9F" w14:textId="027F24DB" w:rsidR="006D0129" w:rsidRDefault="006D0129" w:rsidP="006D0129">
      <w:r>
        <w:tab/>
      </w:r>
      <w:r w:rsidRPr="00133B21">
        <w:t xml:space="preserve">And Equations </w:t>
      </w:r>
      <w:r w:rsidR="003F7ED9" w:rsidRPr="00133B21">
        <w:t>2.6-2.8</w:t>
      </w:r>
      <w:r w:rsidRPr="00133B21">
        <w:t xml:space="preserve"> and ultimately Equations </w:t>
      </w:r>
      <w:r w:rsidR="00DD7B59" w:rsidRPr="00133B21">
        <w:t>2.10</w:t>
      </w:r>
      <w:r w:rsidRPr="00133B21">
        <w:t xml:space="preserve"> and </w:t>
      </w:r>
      <w:r w:rsidR="00DD7B59" w:rsidRPr="00133B21">
        <w:t>2.11</w:t>
      </w:r>
      <w:r w:rsidRPr="00133B21">
        <w:t>, respectively</w:t>
      </w:r>
      <w:r>
        <w:t>:</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6D0129" w14:paraId="15023819" w14:textId="77777777" w:rsidTr="00665B67">
        <w:trPr>
          <w:trHeight w:val="576"/>
        </w:trPr>
        <w:tc>
          <w:tcPr>
            <w:tcW w:w="720" w:type="dxa"/>
            <w:vAlign w:val="center"/>
          </w:tcPr>
          <w:p w14:paraId="099C017C" w14:textId="29CBF234" w:rsidR="006D0129" w:rsidRDefault="006D0129" w:rsidP="00665B67">
            <w:pPr>
              <w:spacing w:line="240" w:lineRule="auto"/>
              <w:jc w:val="center"/>
            </w:pPr>
          </w:p>
        </w:tc>
        <w:tc>
          <w:tcPr>
            <w:tcW w:w="7920" w:type="dxa"/>
            <w:vAlign w:val="center"/>
          </w:tcPr>
          <w:p w14:paraId="40F19C9B" w14:textId="77777777" w:rsidR="006D0129" w:rsidRPr="003E4C6A" w:rsidRDefault="00077C0B" w:rsidP="00665B67">
            <w:pPr>
              <w:spacing w:line="240" w:lineRule="auto"/>
              <w:jc w:val="center"/>
            </w:pPr>
            <m:oMathPara>
              <m:oMath>
                <m:sSub>
                  <m:sSubPr>
                    <m:ctrlPr>
                      <w:rPr>
                        <w:rFonts w:ascii="Cambria Math" w:hAnsi="Cambria Math"/>
                        <w:i/>
                      </w:rPr>
                    </m:ctrlPr>
                  </m:sSubPr>
                  <m:e>
                    <m:r>
                      <w:rPr>
                        <w:rFonts w:ascii="Cambria Math" w:hAnsi="Cambria Math"/>
                      </w:rPr>
                      <m:t>σ'</m:t>
                    </m:r>
                  </m:e>
                  <m:sub>
                    <m:r>
                      <w:rPr>
                        <w:rFonts w:ascii="Cambria Math" w:hAnsi="Cambria Math"/>
                      </w:rPr>
                      <m:t>r</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w</m:t>
                    </m:r>
                  </m:sub>
                </m:sSub>
                <m:r>
                  <w:rPr>
                    <w:rFonts w:ascii="Cambria Math" w:hAnsi="Cambria Math"/>
                  </w:rPr>
                  <m:t xml:space="preserve">- </m:t>
                </m:r>
                <m:sSub>
                  <m:sSubPr>
                    <m:ctrlPr>
                      <w:rPr>
                        <w:rFonts w:ascii="Cambria Math" w:hAnsi="Cambria Math"/>
                        <w:i/>
                      </w:rPr>
                    </m:ctrlPr>
                  </m:sSubPr>
                  <m:e>
                    <m:r>
                      <w:rPr>
                        <w:rFonts w:ascii="Cambria Math" w:hAnsi="Cambria Math"/>
                      </w:rPr>
                      <m:t>P</m:t>
                    </m:r>
                  </m:e>
                  <m:sub>
                    <m:r>
                      <w:rPr>
                        <w:rFonts w:ascii="Cambria Math" w:hAnsi="Cambria Math"/>
                      </w:rPr>
                      <m:t>p</m:t>
                    </m:r>
                  </m:sub>
                </m:sSub>
              </m:oMath>
            </m:oMathPara>
          </w:p>
        </w:tc>
        <w:tc>
          <w:tcPr>
            <w:tcW w:w="720" w:type="dxa"/>
            <w:vAlign w:val="bottom"/>
          </w:tcPr>
          <w:p w14:paraId="1011C6BF" w14:textId="1CA5BBA7" w:rsidR="006D0129"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6D0129">
              <w:t>.</w:t>
            </w:r>
            <w:r>
              <w:fldChar w:fldCharType="begin"/>
            </w:r>
            <w:r>
              <w:instrText xml:space="preserve"> SEQ Equation \* ARABIC \s 1 </w:instrText>
            </w:r>
            <w:r>
              <w:fldChar w:fldCharType="separate"/>
            </w:r>
            <w:r w:rsidR="0006023A">
              <w:rPr>
                <w:noProof/>
              </w:rPr>
              <w:t>16</w:t>
            </w:r>
            <w:r>
              <w:rPr>
                <w:noProof/>
              </w:rPr>
              <w:fldChar w:fldCharType="end"/>
            </w:r>
          </w:p>
        </w:tc>
      </w:tr>
    </w:tbl>
    <w:p w14:paraId="112EDF17" w14:textId="77777777" w:rsidR="006D0129" w:rsidRDefault="006D0129" w:rsidP="006D0129"/>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6D0129" w14:paraId="148DB98D" w14:textId="77777777" w:rsidTr="00665B67">
        <w:trPr>
          <w:trHeight w:val="576"/>
        </w:trPr>
        <w:tc>
          <w:tcPr>
            <w:tcW w:w="720" w:type="dxa"/>
            <w:vAlign w:val="center"/>
          </w:tcPr>
          <w:p w14:paraId="4E313E2F" w14:textId="7315EB30" w:rsidR="006D0129" w:rsidRDefault="006D0129" w:rsidP="00665B67">
            <w:pPr>
              <w:spacing w:line="240" w:lineRule="auto"/>
              <w:jc w:val="center"/>
            </w:pPr>
          </w:p>
        </w:tc>
        <w:tc>
          <w:tcPr>
            <w:tcW w:w="7920" w:type="dxa"/>
            <w:vAlign w:val="center"/>
          </w:tcPr>
          <w:p w14:paraId="522B8031" w14:textId="77777777" w:rsidR="006D0129" w:rsidRPr="003E4C6A" w:rsidRDefault="00077C0B" w:rsidP="00665B67">
            <w:pPr>
              <w:spacing w:line="240" w:lineRule="auto"/>
              <w:jc w:val="center"/>
            </w:pPr>
            <m:oMathPara>
              <m:oMath>
                <m:sSub>
                  <m:sSubPr>
                    <m:ctrlPr>
                      <w:rPr>
                        <w:rFonts w:ascii="Cambria Math" w:hAnsi="Cambria Math"/>
                        <w:i/>
                      </w:rPr>
                    </m:ctrlPr>
                  </m:sSubPr>
                  <m:e>
                    <m:r>
                      <w:rPr>
                        <w:rFonts w:ascii="Cambria Math" w:hAnsi="Cambria Math"/>
                      </w:rPr>
                      <m:t>σ'</m:t>
                    </m:r>
                  </m:e>
                  <m:sub>
                    <m:r>
                      <w:rPr>
                        <w:rFonts w:ascii="Cambria Math" w:hAnsi="Cambria Math"/>
                      </w:rPr>
                      <m:t>θ</m:t>
                    </m:r>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H</m:t>
                    </m:r>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h</m:t>
                    </m:r>
                  </m:sub>
                </m:sSub>
                <m:r>
                  <w:rPr>
                    <w:rFonts w:ascii="Cambria Math" w:hAnsi="Cambria Math"/>
                  </w:rPr>
                  <m:t>-2</m:t>
                </m:r>
                <m:d>
                  <m:dPr>
                    <m:ctrlPr>
                      <w:rPr>
                        <w:rFonts w:ascii="Cambria Math" w:hAnsi="Cambria Math"/>
                        <w:i/>
                      </w:rPr>
                    </m:ctrlPr>
                  </m:dPr>
                  <m:e>
                    <m:sSub>
                      <m:sSubPr>
                        <m:ctrlPr>
                          <w:rPr>
                            <w:rFonts w:ascii="Cambria Math" w:hAnsi="Cambria Math"/>
                            <w:i/>
                          </w:rPr>
                        </m:ctrlPr>
                      </m:sSubPr>
                      <m:e>
                        <m:r>
                          <w:rPr>
                            <w:rFonts w:ascii="Cambria Math" w:hAnsi="Cambria Math"/>
                          </w:rPr>
                          <m:t>σ</m:t>
                        </m:r>
                      </m:e>
                      <m:sub>
                        <m:r>
                          <w:rPr>
                            <w:rFonts w:ascii="Cambria Math" w:hAnsi="Cambria Math"/>
                          </w:rPr>
                          <m:t>H</m:t>
                        </m:r>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h</m:t>
                        </m:r>
                      </m:sub>
                    </m:sSub>
                  </m:e>
                </m:d>
                <m:r>
                  <w:rPr>
                    <w:rFonts w:ascii="Cambria Math" w:hAnsi="Cambria Math"/>
                  </w:rPr>
                  <m:t>cos2θ-</m:t>
                </m:r>
                <m:sSub>
                  <m:sSubPr>
                    <m:ctrlPr>
                      <w:rPr>
                        <w:rFonts w:ascii="Cambria Math" w:hAnsi="Cambria Math"/>
                        <w:i/>
                      </w:rPr>
                    </m:ctrlPr>
                  </m:sSubPr>
                  <m:e>
                    <m:r>
                      <w:rPr>
                        <w:rFonts w:ascii="Cambria Math" w:hAnsi="Cambria Math"/>
                      </w:rPr>
                      <m:t>P</m:t>
                    </m:r>
                  </m:e>
                  <m:sub>
                    <m:r>
                      <w:rPr>
                        <w:rFonts w:ascii="Cambria Math" w:hAnsi="Cambria Math"/>
                      </w:rPr>
                      <m:t>w</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p</m:t>
                    </m:r>
                  </m:sub>
                </m:sSub>
              </m:oMath>
            </m:oMathPara>
          </w:p>
        </w:tc>
        <w:tc>
          <w:tcPr>
            <w:tcW w:w="720" w:type="dxa"/>
            <w:vAlign w:val="bottom"/>
          </w:tcPr>
          <w:p w14:paraId="69E1BFF3" w14:textId="2A6117E2" w:rsidR="006D0129"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6D0129">
              <w:t>.</w:t>
            </w:r>
            <w:r>
              <w:fldChar w:fldCharType="begin"/>
            </w:r>
            <w:r>
              <w:instrText xml:space="preserve"> SEQ Equation \* ARABIC \s 1 </w:instrText>
            </w:r>
            <w:r>
              <w:fldChar w:fldCharType="separate"/>
            </w:r>
            <w:r w:rsidR="0006023A">
              <w:rPr>
                <w:noProof/>
              </w:rPr>
              <w:t>17</w:t>
            </w:r>
            <w:r>
              <w:rPr>
                <w:noProof/>
              </w:rPr>
              <w:fldChar w:fldCharType="end"/>
            </w:r>
          </w:p>
        </w:tc>
      </w:tr>
    </w:tbl>
    <w:p w14:paraId="1C141BC2" w14:textId="77777777" w:rsidR="006D0129" w:rsidRDefault="006D0129" w:rsidP="006D0129"/>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6D0129" w14:paraId="31E1FEC4" w14:textId="77777777" w:rsidTr="00665B67">
        <w:trPr>
          <w:trHeight w:val="576"/>
        </w:trPr>
        <w:tc>
          <w:tcPr>
            <w:tcW w:w="720" w:type="dxa"/>
            <w:vAlign w:val="center"/>
          </w:tcPr>
          <w:p w14:paraId="4A79AA88" w14:textId="1125353E" w:rsidR="006D0129" w:rsidRDefault="006D0129" w:rsidP="00665B67">
            <w:pPr>
              <w:spacing w:line="240" w:lineRule="auto"/>
              <w:jc w:val="center"/>
            </w:pPr>
          </w:p>
        </w:tc>
        <w:tc>
          <w:tcPr>
            <w:tcW w:w="7920" w:type="dxa"/>
            <w:vAlign w:val="center"/>
          </w:tcPr>
          <w:p w14:paraId="38900111" w14:textId="77777777" w:rsidR="006D0129" w:rsidRPr="003E4C6A" w:rsidRDefault="00077C0B" w:rsidP="00665B67">
            <w:pPr>
              <w:spacing w:line="240" w:lineRule="auto"/>
              <w:jc w:val="center"/>
            </w:pPr>
            <m:oMathPara>
              <m:oMath>
                <m:sSub>
                  <m:sSubPr>
                    <m:ctrlPr>
                      <w:rPr>
                        <w:rFonts w:ascii="Cambria Math" w:hAnsi="Cambria Math"/>
                        <w:i/>
                      </w:rPr>
                    </m:ctrlPr>
                  </m:sSubPr>
                  <m:e>
                    <m:r>
                      <w:rPr>
                        <w:rFonts w:ascii="Cambria Math" w:hAnsi="Cambria Math"/>
                      </w:rPr>
                      <m:t>σ'</m:t>
                    </m:r>
                  </m:e>
                  <m:sub>
                    <m:r>
                      <w:rPr>
                        <w:rFonts w:ascii="Cambria Math" w:hAnsi="Cambria Math"/>
                      </w:rPr>
                      <m:t>z</m:t>
                    </m:r>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v</m:t>
                    </m:r>
                  </m:sub>
                </m:sSub>
                <m:r>
                  <w:rPr>
                    <w:rFonts w:ascii="Cambria Math" w:hAnsi="Cambria Math"/>
                  </w:rPr>
                  <m:t>-2v</m:t>
                </m:r>
                <m:d>
                  <m:dPr>
                    <m:ctrlPr>
                      <w:rPr>
                        <w:rFonts w:ascii="Cambria Math" w:hAnsi="Cambria Math"/>
                        <w:i/>
                      </w:rPr>
                    </m:ctrlPr>
                  </m:dPr>
                  <m:e>
                    <m:sSub>
                      <m:sSubPr>
                        <m:ctrlPr>
                          <w:rPr>
                            <w:rFonts w:ascii="Cambria Math" w:hAnsi="Cambria Math"/>
                            <w:i/>
                          </w:rPr>
                        </m:ctrlPr>
                      </m:sSubPr>
                      <m:e>
                        <m:r>
                          <w:rPr>
                            <w:rFonts w:ascii="Cambria Math" w:hAnsi="Cambria Math"/>
                          </w:rPr>
                          <m:t>σ</m:t>
                        </m:r>
                      </m:e>
                      <m:sub>
                        <m:r>
                          <w:rPr>
                            <w:rFonts w:ascii="Cambria Math" w:hAnsi="Cambria Math"/>
                          </w:rPr>
                          <m:t>H</m:t>
                        </m:r>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h</m:t>
                        </m:r>
                      </m:sub>
                    </m:sSub>
                  </m:e>
                </m:d>
                <m:r>
                  <w:rPr>
                    <w:rFonts w:ascii="Cambria Math" w:hAnsi="Cambria Math"/>
                  </w:rPr>
                  <m:t xml:space="preserve">cos2θ- </m:t>
                </m:r>
                <m:sSub>
                  <m:sSubPr>
                    <m:ctrlPr>
                      <w:rPr>
                        <w:rFonts w:ascii="Cambria Math" w:hAnsi="Cambria Math"/>
                        <w:i/>
                      </w:rPr>
                    </m:ctrlPr>
                  </m:sSubPr>
                  <m:e>
                    <m:r>
                      <w:rPr>
                        <w:rFonts w:ascii="Cambria Math" w:hAnsi="Cambria Math"/>
                      </w:rPr>
                      <m:t>P</m:t>
                    </m:r>
                  </m:e>
                  <m:sub>
                    <m:r>
                      <w:rPr>
                        <w:rFonts w:ascii="Cambria Math" w:hAnsi="Cambria Math"/>
                      </w:rPr>
                      <m:t>p</m:t>
                    </m:r>
                  </m:sub>
                </m:sSub>
              </m:oMath>
            </m:oMathPara>
          </w:p>
        </w:tc>
        <w:tc>
          <w:tcPr>
            <w:tcW w:w="720" w:type="dxa"/>
            <w:vAlign w:val="bottom"/>
          </w:tcPr>
          <w:p w14:paraId="0785C4F7" w14:textId="478B595D" w:rsidR="006D0129"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6D0129">
              <w:t>.</w:t>
            </w:r>
            <w:r>
              <w:fldChar w:fldCharType="begin"/>
            </w:r>
            <w:r>
              <w:instrText xml:space="preserve"> SEQ Equation \* ARABIC \s 1 </w:instrText>
            </w:r>
            <w:r>
              <w:fldChar w:fldCharType="separate"/>
            </w:r>
            <w:r w:rsidR="0006023A">
              <w:rPr>
                <w:noProof/>
              </w:rPr>
              <w:t>18</w:t>
            </w:r>
            <w:r>
              <w:rPr>
                <w:noProof/>
              </w:rPr>
              <w:fldChar w:fldCharType="end"/>
            </w:r>
          </w:p>
        </w:tc>
      </w:tr>
    </w:tbl>
    <w:p w14:paraId="45F7602C" w14:textId="77777777" w:rsidR="006D0129" w:rsidRDefault="006D0129" w:rsidP="006D0129"/>
    <w:p w14:paraId="3E314FF3" w14:textId="77777777" w:rsidR="006D0129" w:rsidRDefault="006D0129" w:rsidP="006D0129">
      <w:r>
        <w:tab/>
        <w:t>With a max and min of:</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6D0129" w14:paraId="04AEF8D0" w14:textId="77777777" w:rsidTr="00665B67">
        <w:trPr>
          <w:trHeight w:val="576"/>
        </w:trPr>
        <w:tc>
          <w:tcPr>
            <w:tcW w:w="720" w:type="dxa"/>
            <w:vAlign w:val="center"/>
          </w:tcPr>
          <w:p w14:paraId="04D50090" w14:textId="716E3552" w:rsidR="006D0129" w:rsidRDefault="006D0129" w:rsidP="00665B67">
            <w:pPr>
              <w:spacing w:line="240" w:lineRule="auto"/>
              <w:jc w:val="center"/>
            </w:pPr>
          </w:p>
        </w:tc>
        <w:tc>
          <w:tcPr>
            <w:tcW w:w="7920" w:type="dxa"/>
            <w:vAlign w:val="center"/>
          </w:tcPr>
          <w:p w14:paraId="7A833B46" w14:textId="77777777" w:rsidR="006D0129" w:rsidRPr="003E4C6A" w:rsidRDefault="00077C0B" w:rsidP="00665B67">
            <w:pPr>
              <w:spacing w:line="240" w:lineRule="auto"/>
              <w:jc w:val="center"/>
            </w:pPr>
            <m:oMathPara>
              <m:oMath>
                <m:sSub>
                  <m:sSubPr>
                    <m:ctrlPr>
                      <w:rPr>
                        <w:rFonts w:ascii="Cambria Math" w:hAnsi="Cambria Math"/>
                        <w:i/>
                      </w:rPr>
                    </m:ctrlPr>
                  </m:sSubPr>
                  <m:e>
                    <m:r>
                      <w:rPr>
                        <w:rFonts w:ascii="Cambria Math" w:hAnsi="Cambria Math"/>
                      </w:rPr>
                      <m:t>σ'</m:t>
                    </m:r>
                  </m:e>
                  <m:sub>
                    <m:r>
                      <w:rPr>
                        <w:rFonts w:ascii="Cambria Math" w:hAnsi="Cambria Math"/>
                      </w:rPr>
                      <m:t>θ,max</m:t>
                    </m:r>
                  </m:sub>
                </m:sSub>
                <m:r>
                  <w:rPr>
                    <w:rFonts w:ascii="Cambria Math" w:hAnsi="Cambria Math"/>
                  </w:rPr>
                  <m:t>=3</m:t>
                </m:r>
                <m:sSub>
                  <m:sSubPr>
                    <m:ctrlPr>
                      <w:rPr>
                        <w:rFonts w:ascii="Cambria Math" w:hAnsi="Cambria Math"/>
                        <w:i/>
                      </w:rPr>
                    </m:ctrlPr>
                  </m:sSubPr>
                  <m:e>
                    <m:r>
                      <w:rPr>
                        <w:rFonts w:ascii="Cambria Math" w:hAnsi="Cambria Math"/>
                      </w:rPr>
                      <m:t>σ</m:t>
                    </m:r>
                  </m:e>
                  <m:sub>
                    <m:r>
                      <w:rPr>
                        <w:rFonts w:ascii="Cambria Math" w:hAnsi="Cambria Math"/>
                      </w:rPr>
                      <m:t>H</m:t>
                    </m:r>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h</m:t>
                    </m:r>
                  </m:sub>
                </m:sSub>
                <m:r>
                  <w:rPr>
                    <w:rFonts w:ascii="Cambria Math" w:hAnsi="Cambria Math"/>
                  </w:rPr>
                  <m:t xml:space="preserve">- </m:t>
                </m:r>
                <m:sSub>
                  <m:sSubPr>
                    <m:ctrlPr>
                      <w:rPr>
                        <w:rFonts w:ascii="Cambria Math" w:hAnsi="Cambria Math"/>
                        <w:i/>
                      </w:rPr>
                    </m:ctrlPr>
                  </m:sSubPr>
                  <m:e>
                    <m:r>
                      <w:rPr>
                        <w:rFonts w:ascii="Cambria Math" w:hAnsi="Cambria Math"/>
                      </w:rPr>
                      <m:t>P</m:t>
                    </m:r>
                  </m:e>
                  <m:sub>
                    <m:r>
                      <w:rPr>
                        <w:rFonts w:ascii="Cambria Math" w:hAnsi="Cambria Math"/>
                      </w:rPr>
                      <m:t>w</m:t>
                    </m:r>
                  </m:sub>
                </m:sSub>
                <m:r>
                  <w:rPr>
                    <w:rFonts w:ascii="Cambria Math" w:hAnsi="Cambria Math"/>
                  </w:rPr>
                  <m:t xml:space="preserve">- </m:t>
                </m:r>
                <m:sSub>
                  <m:sSubPr>
                    <m:ctrlPr>
                      <w:rPr>
                        <w:rFonts w:ascii="Cambria Math" w:hAnsi="Cambria Math"/>
                        <w:i/>
                      </w:rPr>
                    </m:ctrlPr>
                  </m:sSubPr>
                  <m:e>
                    <m:r>
                      <w:rPr>
                        <w:rFonts w:ascii="Cambria Math" w:hAnsi="Cambria Math"/>
                      </w:rPr>
                      <m:t>P</m:t>
                    </m:r>
                  </m:e>
                  <m:sub>
                    <m:r>
                      <w:rPr>
                        <w:rFonts w:ascii="Cambria Math" w:hAnsi="Cambria Math"/>
                      </w:rPr>
                      <m:t>p</m:t>
                    </m:r>
                  </m:sub>
                </m:sSub>
              </m:oMath>
            </m:oMathPara>
          </w:p>
        </w:tc>
        <w:tc>
          <w:tcPr>
            <w:tcW w:w="720" w:type="dxa"/>
            <w:vAlign w:val="bottom"/>
          </w:tcPr>
          <w:p w14:paraId="1785D7A8" w14:textId="369F1FEB" w:rsidR="006D0129"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6D0129">
              <w:t>.</w:t>
            </w:r>
            <w:r>
              <w:fldChar w:fldCharType="begin"/>
            </w:r>
            <w:r>
              <w:instrText xml:space="preserve"> SEQ Equation \* ARABIC \s 1 </w:instrText>
            </w:r>
            <w:r>
              <w:fldChar w:fldCharType="separate"/>
            </w:r>
            <w:r w:rsidR="0006023A">
              <w:rPr>
                <w:noProof/>
              </w:rPr>
              <w:t>19</w:t>
            </w:r>
            <w:r>
              <w:rPr>
                <w:noProof/>
              </w:rPr>
              <w:fldChar w:fldCharType="end"/>
            </w:r>
          </w:p>
        </w:tc>
      </w:tr>
    </w:tbl>
    <w:p w14:paraId="478C008E" w14:textId="77777777" w:rsidR="006D0129" w:rsidRDefault="006D0129" w:rsidP="006D0129"/>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6D0129" w14:paraId="7A08DBB9" w14:textId="77777777" w:rsidTr="00665B67">
        <w:trPr>
          <w:trHeight w:val="576"/>
        </w:trPr>
        <w:tc>
          <w:tcPr>
            <w:tcW w:w="720" w:type="dxa"/>
            <w:vAlign w:val="center"/>
          </w:tcPr>
          <w:p w14:paraId="60FE1BE1" w14:textId="43F8473A" w:rsidR="006D0129" w:rsidRDefault="006D0129" w:rsidP="00665B67">
            <w:pPr>
              <w:spacing w:line="240" w:lineRule="auto"/>
              <w:jc w:val="center"/>
            </w:pPr>
          </w:p>
        </w:tc>
        <w:tc>
          <w:tcPr>
            <w:tcW w:w="7920" w:type="dxa"/>
            <w:vAlign w:val="center"/>
          </w:tcPr>
          <w:p w14:paraId="0F806DD8" w14:textId="77777777" w:rsidR="006D0129" w:rsidRPr="003E4C6A" w:rsidRDefault="00077C0B" w:rsidP="00665B67">
            <w:pPr>
              <w:spacing w:line="240" w:lineRule="auto"/>
              <w:jc w:val="center"/>
            </w:pPr>
            <m:oMathPara>
              <m:oMath>
                <m:sSub>
                  <m:sSubPr>
                    <m:ctrlPr>
                      <w:rPr>
                        <w:rFonts w:ascii="Cambria Math" w:hAnsi="Cambria Math"/>
                        <w:i/>
                      </w:rPr>
                    </m:ctrlPr>
                  </m:sSubPr>
                  <m:e>
                    <m:r>
                      <w:rPr>
                        <w:rFonts w:ascii="Cambria Math" w:hAnsi="Cambria Math"/>
                      </w:rPr>
                      <m:t>σ'</m:t>
                    </m:r>
                  </m:e>
                  <m:sub>
                    <m:r>
                      <w:rPr>
                        <w:rFonts w:ascii="Cambria Math" w:hAnsi="Cambria Math"/>
                      </w:rPr>
                      <m:t>θ,min</m:t>
                    </m:r>
                  </m:sub>
                </m:sSub>
                <m:r>
                  <w:rPr>
                    <w:rFonts w:ascii="Cambria Math" w:hAnsi="Cambria Math"/>
                  </w:rPr>
                  <m:t>=3</m:t>
                </m:r>
                <m:sSub>
                  <m:sSubPr>
                    <m:ctrlPr>
                      <w:rPr>
                        <w:rFonts w:ascii="Cambria Math" w:hAnsi="Cambria Math"/>
                        <w:i/>
                      </w:rPr>
                    </m:ctrlPr>
                  </m:sSubPr>
                  <m:e>
                    <m:r>
                      <w:rPr>
                        <w:rFonts w:ascii="Cambria Math" w:hAnsi="Cambria Math"/>
                      </w:rPr>
                      <m:t>σ</m:t>
                    </m:r>
                  </m:e>
                  <m:sub>
                    <m:r>
                      <w:rPr>
                        <w:rFonts w:ascii="Cambria Math" w:hAnsi="Cambria Math"/>
                      </w:rPr>
                      <m:t>h</m:t>
                    </m:r>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H</m:t>
                    </m:r>
                  </m:sub>
                </m:sSub>
                <m:r>
                  <w:rPr>
                    <w:rFonts w:ascii="Cambria Math" w:hAnsi="Cambria Math"/>
                  </w:rPr>
                  <m:t xml:space="preserve">- </m:t>
                </m:r>
                <m:sSub>
                  <m:sSubPr>
                    <m:ctrlPr>
                      <w:rPr>
                        <w:rFonts w:ascii="Cambria Math" w:hAnsi="Cambria Math"/>
                        <w:i/>
                      </w:rPr>
                    </m:ctrlPr>
                  </m:sSubPr>
                  <m:e>
                    <m:r>
                      <w:rPr>
                        <w:rFonts w:ascii="Cambria Math" w:hAnsi="Cambria Math"/>
                      </w:rPr>
                      <m:t>P</m:t>
                    </m:r>
                  </m:e>
                  <m:sub>
                    <m:r>
                      <w:rPr>
                        <w:rFonts w:ascii="Cambria Math" w:hAnsi="Cambria Math"/>
                      </w:rPr>
                      <m:t>w</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p</m:t>
                    </m:r>
                  </m:sub>
                </m:sSub>
              </m:oMath>
            </m:oMathPara>
          </w:p>
        </w:tc>
        <w:tc>
          <w:tcPr>
            <w:tcW w:w="720" w:type="dxa"/>
            <w:vAlign w:val="bottom"/>
          </w:tcPr>
          <w:p w14:paraId="4D02A88C" w14:textId="57848A38" w:rsidR="006D0129"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6D0129">
              <w:t>.</w:t>
            </w:r>
            <w:r>
              <w:fldChar w:fldCharType="begin"/>
            </w:r>
            <w:r>
              <w:instrText xml:space="preserve"> SEQ Equation \* ARABIC \s 1 </w:instrText>
            </w:r>
            <w:r>
              <w:fldChar w:fldCharType="separate"/>
            </w:r>
            <w:r w:rsidR="0006023A">
              <w:rPr>
                <w:noProof/>
              </w:rPr>
              <w:t>20</w:t>
            </w:r>
            <w:r>
              <w:rPr>
                <w:noProof/>
              </w:rPr>
              <w:fldChar w:fldCharType="end"/>
            </w:r>
          </w:p>
        </w:tc>
      </w:tr>
    </w:tbl>
    <w:p w14:paraId="40E23261" w14:textId="77777777" w:rsidR="006D0129" w:rsidRDefault="006D0129" w:rsidP="006D0129"/>
    <w:p w14:paraId="40B39BEA" w14:textId="3D30F5CB" w:rsidR="006D0129" w:rsidRDefault="006D0129" w:rsidP="006D0129">
      <w:r>
        <w:tab/>
      </w:r>
      <w:r w:rsidRPr="00EC7EFC">
        <w:t>According to the Kirsch analytical equations for anisotropic poro-elastic material with a pressurized open hole, the plot of</w:t>
      </w:r>
      <w:r w:rsidR="008707E1">
        <w:t xml:space="preserve"> the</w:t>
      </w:r>
      <w:r w:rsidRPr="00EC7EFC">
        <w:t xml:space="preserve"> effective hoop and radial stresses versus the ratio of the position, </w:t>
      </w:r>
      <m:oMath>
        <m:r>
          <w:rPr>
            <w:rFonts w:ascii="Cambria Math" w:hAnsi="Cambria Math"/>
          </w:rPr>
          <m:t>r</m:t>
        </m:r>
      </m:oMath>
      <w:r w:rsidRPr="00EC7EFC">
        <w:t xml:space="preserve">, to the wellbore radius, </w:t>
      </w:r>
      <m:oMath>
        <m:sSub>
          <m:sSubPr>
            <m:ctrlPr>
              <w:rPr>
                <w:rFonts w:ascii="Cambria Math" w:hAnsi="Cambria Math"/>
                <w:i/>
              </w:rPr>
            </m:ctrlPr>
          </m:sSubPr>
          <m:e>
            <m:r>
              <w:rPr>
                <w:rFonts w:ascii="Cambria Math" w:hAnsi="Cambria Math"/>
              </w:rPr>
              <m:t>R</m:t>
            </m:r>
          </m:e>
          <m:sub>
            <m:r>
              <w:rPr>
                <w:rFonts w:ascii="Cambria Math" w:hAnsi="Cambria Math"/>
              </w:rPr>
              <m:t>w</m:t>
            </m:r>
          </m:sub>
        </m:sSub>
      </m:oMath>
      <w:r w:rsidRPr="00EC7EFC">
        <w:t>, shows that the stress concentrations around the open hole dissipate into the in-situ stresses</w:t>
      </w:r>
      <w:r w:rsidR="008707E1">
        <w:t>,</w:t>
      </w:r>
      <w:r w:rsidRPr="00EC7EFC">
        <w:t xml:space="preserve"> </w:t>
      </w:r>
      <w:r w:rsidRPr="001E64C9">
        <w:t xml:space="preserve">as </w:t>
      </w:r>
      <w:r w:rsidRPr="00133B21">
        <w:t>illustrated in Figure 2.</w:t>
      </w:r>
      <w:r w:rsidR="00535A03" w:rsidRPr="00133B21">
        <w:t>3</w:t>
      </w:r>
      <w:r>
        <w:t xml:space="preserve">. </w:t>
      </w:r>
    </w:p>
    <w:p w14:paraId="45713055" w14:textId="77777777" w:rsidR="006D0129" w:rsidRDefault="006D0129" w:rsidP="00BC23AD">
      <w:pPr>
        <w:pStyle w:val="NoSpacing"/>
      </w:pPr>
      <w:r w:rsidRPr="004665B1">
        <w:rPr>
          <w:noProof/>
        </w:rPr>
        <w:drawing>
          <wp:inline distT="0" distB="0" distL="0" distR="0" wp14:anchorId="5D53AAD2" wp14:editId="5916F0AE">
            <wp:extent cx="5005912" cy="2743200"/>
            <wp:effectExtent l="0" t="0" r="4445" b="0"/>
            <wp:docPr id="2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rotWithShape="1">
                    <a:blip r:embed="rId15"/>
                    <a:srcRect t="3816" b="4940"/>
                    <a:stretch/>
                  </pic:blipFill>
                  <pic:spPr bwMode="auto">
                    <a:xfrm>
                      <a:off x="0" y="0"/>
                      <a:ext cx="5005912" cy="2743200"/>
                    </a:xfrm>
                    <a:prstGeom prst="rect">
                      <a:avLst/>
                    </a:prstGeom>
                    <a:ln>
                      <a:noFill/>
                    </a:ln>
                    <a:extLst>
                      <a:ext uri="{53640926-AAD7-44D8-BBD7-CCE9431645EC}">
                        <a14:shadowObscured xmlns:a14="http://schemas.microsoft.com/office/drawing/2010/main"/>
                      </a:ext>
                    </a:extLst>
                  </pic:spPr>
                </pic:pic>
              </a:graphicData>
            </a:graphic>
          </wp:inline>
        </w:drawing>
      </w:r>
    </w:p>
    <w:p w14:paraId="2257FBEE" w14:textId="11DFAD18" w:rsidR="006D0129" w:rsidRDefault="006D0129" w:rsidP="00BC23AD">
      <w:pPr>
        <w:pStyle w:val="Caption"/>
      </w:pPr>
      <w:bookmarkStart w:id="12" w:name="_Toc67566186"/>
      <w:r>
        <w:t xml:space="preserve">Figure </w:t>
      </w:r>
      <w:r w:rsidR="00077C0B">
        <w:fldChar w:fldCharType="begin"/>
      </w:r>
      <w:r w:rsidR="00077C0B">
        <w:instrText xml:space="preserve"> STYLEREF 1 \s </w:instrText>
      </w:r>
      <w:r w:rsidR="00077C0B">
        <w:fldChar w:fldCharType="separate"/>
      </w:r>
      <w:r w:rsidR="0006023A">
        <w:rPr>
          <w:noProof/>
        </w:rPr>
        <w:t>2</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3</w:t>
      </w:r>
      <w:r w:rsidR="00077C0B">
        <w:rPr>
          <w:noProof/>
        </w:rPr>
        <w:fldChar w:fldCharType="end"/>
      </w:r>
      <w:r>
        <w:t xml:space="preserve">: </w:t>
      </w:r>
      <w:r w:rsidRPr="00EC7EFC">
        <w:t xml:space="preserve">Kirsch analytical solution of the </w:t>
      </w:r>
      <w:r w:rsidRPr="001E64C9">
        <w:t>effective</w:t>
      </w:r>
      <w:r w:rsidRPr="00EC7EFC">
        <w:t xml:space="preserve"> hoop and radial stress from the wellbore versus the distance away from the wellbore.</w:t>
      </w:r>
      <w:bookmarkEnd w:id="12"/>
      <w:r w:rsidRPr="00EC7EFC">
        <w:t xml:space="preserve">  </w:t>
      </w:r>
    </w:p>
    <w:p w14:paraId="7130D585" w14:textId="77777777" w:rsidR="00535A03" w:rsidRPr="00535A03" w:rsidRDefault="00535A03" w:rsidP="00535A03"/>
    <w:p w14:paraId="107AF323" w14:textId="52ED5389" w:rsidR="00F53DF8" w:rsidRPr="00280C2E" w:rsidRDefault="00F53DF8" w:rsidP="00280C2E">
      <w:pPr>
        <w:rPr>
          <w:b/>
        </w:rPr>
      </w:pPr>
      <w:r w:rsidRPr="00280C2E">
        <w:rPr>
          <w:b/>
        </w:rPr>
        <w:lastRenderedPageBreak/>
        <w:t>Steel Casing</w:t>
      </w:r>
    </w:p>
    <w:p w14:paraId="53DF9486" w14:textId="58658A4E" w:rsidR="001460CC" w:rsidRDefault="009A181D" w:rsidP="00F53DF8">
      <w:r>
        <w:tab/>
        <w:t xml:space="preserve">The steel casing serves several important functions within the wellbore. It prevents collapse of the borehole, isolates unwanted rock formations from fluid fracturing, and hydraulically isolates wellbore fluids from rock formations and in-situ formation fluids (Bourgoyne et al. 1986). </w:t>
      </w:r>
      <w:r w:rsidR="004A2750">
        <w:t xml:space="preserve">Wellbores are drilled like an inverse telescope. The largest sections are drilled in the shallowest depths while the smallest sections are in the deepest depths such that the deeper casings all fit within the next shallowest one. </w:t>
      </w:r>
      <w:r w:rsidR="00B618C5">
        <w:t>The design of</w:t>
      </w:r>
      <w:r w:rsidR="008707E1">
        <w:t xml:space="preserve"> the</w:t>
      </w:r>
      <w:r w:rsidR="00B618C5">
        <w:t xml:space="preserve"> steel casing is based off the </w:t>
      </w:r>
      <w:r w:rsidR="00915068">
        <w:t>mud weight</w:t>
      </w:r>
      <w:r w:rsidR="00B618C5">
        <w:t xml:space="preserve"> window. </w:t>
      </w:r>
    </w:p>
    <w:p w14:paraId="73548F0F" w14:textId="1E796DAE" w:rsidR="009A181D" w:rsidRDefault="00B618C5" w:rsidP="001460CC">
      <w:pPr>
        <w:ind w:firstLine="720"/>
      </w:pPr>
      <w:r>
        <w:t xml:space="preserve">An example of a </w:t>
      </w:r>
      <w:r w:rsidR="00782634">
        <w:t xml:space="preserve">drilling fluid </w:t>
      </w:r>
      <w:r w:rsidR="00915068">
        <w:t>weight</w:t>
      </w:r>
      <w:r>
        <w:t xml:space="preserve"> window with</w:t>
      </w:r>
      <w:r w:rsidR="008707E1">
        <w:t xml:space="preserve"> a</w:t>
      </w:r>
      <w:r>
        <w:t xml:space="preserve"> corresponding casing design is shown </w:t>
      </w:r>
      <w:r w:rsidRPr="00133B21">
        <w:t xml:space="preserve">in Figure </w:t>
      </w:r>
      <w:r w:rsidR="00535A03" w:rsidRPr="00133B21">
        <w:t>2.4</w:t>
      </w:r>
      <w:r w:rsidRPr="00133B21">
        <w:t>.</w:t>
      </w:r>
      <w:r w:rsidR="00E53B91" w:rsidRPr="00133B21">
        <w:t xml:space="preserve"> The </w:t>
      </w:r>
      <w:r w:rsidR="00782634" w:rsidRPr="00133B21">
        <w:t xml:space="preserve">drilling fluid </w:t>
      </w:r>
      <w:r w:rsidR="00915068" w:rsidRPr="00133B21">
        <w:t>weight</w:t>
      </w:r>
      <w:r w:rsidR="00E53B91" w:rsidRPr="00133B21">
        <w:t xml:space="preserve"> window ranges from the formation pore pressure to the formation fracture pressure. If the </w:t>
      </w:r>
      <w:r w:rsidR="00782634" w:rsidRPr="00133B21">
        <w:t xml:space="preserve">drilling fluid </w:t>
      </w:r>
      <w:r w:rsidR="00915068" w:rsidRPr="00133B21">
        <w:t>weight</w:t>
      </w:r>
      <w:r w:rsidR="00E53B91" w:rsidRPr="00133B21">
        <w:t xml:space="preserve"> is below the pore pressure, </w:t>
      </w:r>
      <w:r w:rsidR="00B66AEA" w:rsidRPr="00133B21">
        <w:t>the rock formation</w:t>
      </w:r>
      <w:r w:rsidR="00953221" w:rsidRPr="00133B21">
        <w:t>s</w:t>
      </w:r>
      <w:r w:rsidR="00B66AEA" w:rsidRPr="00133B21">
        <w:t xml:space="preserve"> experience </w:t>
      </w:r>
      <w:r w:rsidR="00DE6127" w:rsidRPr="00133B21">
        <w:t xml:space="preserve">breakouts. If the </w:t>
      </w:r>
      <w:r w:rsidR="00782634" w:rsidRPr="00133B21">
        <w:t xml:space="preserve">drilling fluid </w:t>
      </w:r>
      <w:r w:rsidR="00915068" w:rsidRPr="00133B21">
        <w:t>weight</w:t>
      </w:r>
      <w:r w:rsidR="00DE6127" w:rsidRPr="00133B21">
        <w:t xml:space="preserve"> is above the fracture pressure, the borehole will be fractured. As shown in Figure </w:t>
      </w:r>
      <w:r w:rsidR="00535A03" w:rsidRPr="00133B21">
        <w:t>2.4</w:t>
      </w:r>
      <w:r w:rsidR="00DE6127" w:rsidRPr="00133B21">
        <w:t>, the</w:t>
      </w:r>
      <w:r w:rsidR="00DE6127">
        <w:t xml:space="preserve"> pore pressure and fracture pressure change with depth. A constant </w:t>
      </w:r>
      <w:r w:rsidR="00782634">
        <w:t>drilling fluid</w:t>
      </w:r>
      <w:r w:rsidR="00915068">
        <w:t xml:space="preserve"> weight</w:t>
      </w:r>
      <w:r w:rsidR="00F47924">
        <w:t xml:space="preserve"> that works at 1,000 m</w:t>
      </w:r>
      <w:r w:rsidR="00DE6127">
        <w:t xml:space="preserve"> will caus</w:t>
      </w:r>
      <w:r w:rsidR="00F47924">
        <w:t>e wellbore stability issues at 2,500 m.</w:t>
      </w:r>
      <w:r w:rsidR="00DE6127">
        <w:t xml:space="preserve"> </w:t>
      </w:r>
      <w:r w:rsidR="00915068">
        <w:t>Therefore,</w:t>
      </w:r>
      <w:r w:rsidR="008707E1">
        <w:t xml:space="preserve"> the</w:t>
      </w:r>
      <w:r w:rsidR="00DE6127">
        <w:t xml:space="preserve"> casing is used to isolate shallower formations such that the wellbore will be stable</w:t>
      </w:r>
      <w:r w:rsidR="008707E1">
        <w:t>,</w:t>
      </w:r>
      <w:r w:rsidR="00DE6127">
        <w:t xml:space="preserve"> and the correct </w:t>
      </w:r>
      <w:r w:rsidR="00782634">
        <w:t>drilling fluid</w:t>
      </w:r>
      <w:r w:rsidR="00915068">
        <w:t xml:space="preserve"> weight</w:t>
      </w:r>
      <w:r w:rsidR="00DE6127">
        <w:t xml:space="preserve"> can be used for deeper formations.</w:t>
      </w:r>
      <w:r w:rsidR="00CC47CB">
        <w:t xml:space="preserve"> </w:t>
      </w:r>
    </w:p>
    <w:p w14:paraId="573D547B" w14:textId="2F403BE2" w:rsidR="00E53B91" w:rsidRDefault="00F47924" w:rsidP="00BC23AD">
      <w:pPr>
        <w:pStyle w:val="NoSpacing"/>
      </w:pPr>
      <w:r>
        <w:rPr>
          <w:noProof/>
        </w:rPr>
        <w:lastRenderedPageBreak/>
        <w:drawing>
          <wp:inline distT="0" distB="0" distL="0" distR="0" wp14:anchorId="7AD51A70" wp14:editId="48DBB752">
            <wp:extent cx="5029200" cy="4393576"/>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a:extLst>
                        <a:ext uri="{28A0092B-C50C-407E-A947-70E740481C1C}">
                          <a14:useLocalDpi xmlns:a14="http://schemas.microsoft.com/office/drawing/2010/main" val="0"/>
                        </a:ext>
                      </a:extLst>
                    </a:blip>
                    <a:srcRect r="2966" b="2601"/>
                    <a:stretch/>
                  </pic:blipFill>
                  <pic:spPr bwMode="auto">
                    <a:xfrm>
                      <a:off x="0" y="0"/>
                      <a:ext cx="5029200" cy="4393576"/>
                    </a:xfrm>
                    <a:prstGeom prst="rect">
                      <a:avLst/>
                    </a:prstGeom>
                    <a:noFill/>
                    <a:ln>
                      <a:noFill/>
                    </a:ln>
                    <a:extLst>
                      <a:ext uri="{53640926-AAD7-44D8-BBD7-CCE9431645EC}">
                        <a14:shadowObscured xmlns:a14="http://schemas.microsoft.com/office/drawing/2010/main"/>
                      </a:ext>
                    </a:extLst>
                  </pic:spPr>
                </pic:pic>
              </a:graphicData>
            </a:graphic>
          </wp:inline>
        </w:drawing>
      </w:r>
    </w:p>
    <w:p w14:paraId="56F5653E" w14:textId="6410540C" w:rsidR="00E53B91" w:rsidRDefault="00E53B91" w:rsidP="00BC23AD">
      <w:pPr>
        <w:pStyle w:val="Caption"/>
      </w:pPr>
      <w:bookmarkStart w:id="13" w:name="_Toc67566187"/>
      <w:r>
        <w:t xml:space="preserve">Figure </w:t>
      </w:r>
      <w:r w:rsidR="00077C0B">
        <w:fldChar w:fldCharType="begin"/>
      </w:r>
      <w:r w:rsidR="00077C0B">
        <w:instrText xml:space="preserve"> STYLEREF 1 \s </w:instrText>
      </w:r>
      <w:r w:rsidR="00077C0B">
        <w:fldChar w:fldCharType="separate"/>
      </w:r>
      <w:r w:rsidR="0006023A">
        <w:rPr>
          <w:noProof/>
        </w:rPr>
        <w:t>2</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4</w:t>
      </w:r>
      <w:r w:rsidR="00077C0B">
        <w:rPr>
          <w:noProof/>
        </w:rPr>
        <w:fldChar w:fldCharType="end"/>
      </w:r>
      <w:r>
        <w:t xml:space="preserve">: Example </w:t>
      </w:r>
      <w:r w:rsidR="00E75698">
        <w:t>drilling fluid</w:t>
      </w:r>
      <w:r w:rsidR="00915068">
        <w:t xml:space="preserve"> weight</w:t>
      </w:r>
      <w:r>
        <w:t xml:space="preserve"> window with corresponding casing design</w:t>
      </w:r>
      <w:r w:rsidR="008707E1">
        <w:t xml:space="preserve"> from</w:t>
      </w:r>
      <w:r w:rsidR="00A30957">
        <w:t xml:space="preserve"> GoM</w:t>
      </w:r>
      <w:r w:rsidR="008707E1">
        <w:t xml:space="preserve"> well API 427094116400</w:t>
      </w:r>
      <w:r>
        <w:t>.</w:t>
      </w:r>
      <w:bookmarkEnd w:id="13"/>
    </w:p>
    <w:p w14:paraId="647CA3F5" w14:textId="1011685C" w:rsidR="00E53B91" w:rsidRDefault="00CC47CB" w:rsidP="00F53DF8">
      <w:r>
        <w:tab/>
        <w:t xml:space="preserve">The casing </w:t>
      </w:r>
      <w:r w:rsidR="00782634">
        <w:t xml:space="preserve">is </w:t>
      </w:r>
      <w:r>
        <w:t>design</w:t>
      </w:r>
      <w:r w:rsidR="00782634">
        <w:t>ed</w:t>
      </w:r>
      <w:r>
        <w:t xml:space="preserve"> to </w:t>
      </w:r>
      <w:r w:rsidR="00782634">
        <w:t xml:space="preserve">withstand three </w:t>
      </w:r>
      <w:r>
        <w:t>types of load</w:t>
      </w:r>
      <w:r w:rsidR="00782634">
        <w:t>s</w:t>
      </w:r>
      <w:r>
        <w:t xml:space="preserve">: burst, collapse, and tensile loads (API 2015). Burst loads are the maximum pressure inside the casing and are determined by the </w:t>
      </w:r>
      <w:r w:rsidR="00782634">
        <w:t>drilling fluid</w:t>
      </w:r>
      <w:r w:rsidR="00915068">
        <w:t xml:space="preserve"> weight</w:t>
      </w:r>
      <w:r>
        <w:t>/fracture fluid pressure. Collapse loads are the maximum load the casing can sustain from the outside. Tensile loads are the maximum axial load the casing allow</w:t>
      </w:r>
      <w:r w:rsidR="00782634">
        <w:t>s</w:t>
      </w:r>
      <w:r>
        <w:t xml:space="preserve">. </w:t>
      </w:r>
    </w:p>
    <w:p w14:paraId="28A978C4" w14:textId="7162F99D" w:rsidR="00F53DF8" w:rsidRPr="00280C2E" w:rsidRDefault="00F53DF8" w:rsidP="00280C2E">
      <w:pPr>
        <w:rPr>
          <w:b/>
        </w:rPr>
      </w:pPr>
      <w:r w:rsidRPr="00280C2E">
        <w:rPr>
          <w:b/>
        </w:rPr>
        <w:t>Cement Sheath</w:t>
      </w:r>
    </w:p>
    <w:p w14:paraId="608260FA" w14:textId="47A199D8" w:rsidR="00CB3537" w:rsidRDefault="009A181D" w:rsidP="005A1FEF">
      <w:pPr>
        <w:ind w:firstLine="720"/>
      </w:pPr>
      <w:r>
        <w:t>The annular cement sheath</w:t>
      </w:r>
      <w:r w:rsidR="00D75D4F">
        <w:t xml:space="preserve"> is used to hold the casing in place</w:t>
      </w:r>
      <w:r w:rsidR="00782634">
        <w:t>,</w:t>
      </w:r>
      <w:r w:rsidR="00D75D4F">
        <w:t xml:space="preserve"> to provide stability and zonal isolation between formation fluids (</w:t>
      </w:r>
      <w:r w:rsidR="005A1FEF">
        <w:t>Smith 1984; Smith 1987</w:t>
      </w:r>
      <w:r w:rsidR="006405E7">
        <w:t>; Nelson</w:t>
      </w:r>
      <w:r w:rsidR="006405E7" w:rsidRPr="00EC7EFC">
        <w:t xml:space="preserve"> 19</w:t>
      </w:r>
      <w:r w:rsidR="006405E7">
        <w:t>90</w:t>
      </w:r>
      <w:r w:rsidR="00D75D4F">
        <w:t>).</w:t>
      </w:r>
      <w:r>
        <w:t xml:space="preserve"> </w:t>
      </w:r>
      <w:r w:rsidR="005A1FEF">
        <w:t xml:space="preserve">Cement </w:t>
      </w:r>
      <w:r w:rsidR="00DF7497">
        <w:t xml:space="preserve">involves </w:t>
      </w:r>
      <w:r w:rsidR="005A1FEF">
        <w:t xml:space="preserve">a complicated chemical and thermal process that </w:t>
      </w:r>
      <w:r>
        <w:t xml:space="preserve">involves two </w:t>
      </w:r>
      <w:r w:rsidR="005A1FEF">
        <w:t>phases</w:t>
      </w:r>
      <w:r>
        <w:t>: when the cement is a slurry (liquid), and when the cement is a paste (solid)</w:t>
      </w:r>
      <w:r w:rsidR="005A1FEF">
        <w:t xml:space="preserve"> (</w:t>
      </w:r>
      <w:r w:rsidR="006405E7">
        <w:t xml:space="preserve">Vu et al. 2018; </w:t>
      </w:r>
      <w:r w:rsidR="005A1FEF">
        <w:t>Bois et al. 2019)</w:t>
      </w:r>
      <w:r>
        <w:t xml:space="preserve">. The cement </w:t>
      </w:r>
      <w:r w:rsidR="00D75D4F">
        <w:t>undergoes</w:t>
      </w:r>
      <w:r>
        <w:t xml:space="preserve"> the liquid to solid transition through cement hydration. The following subsections </w:t>
      </w:r>
      <w:r>
        <w:lastRenderedPageBreak/>
        <w:t>discus</w:t>
      </w:r>
      <w:r w:rsidR="00DF7497">
        <w:t>s</w:t>
      </w:r>
      <w:r>
        <w:t xml:space="preserve"> the placement of the cement slurry, </w:t>
      </w:r>
      <w:r w:rsidR="005A1FEF">
        <w:t xml:space="preserve">hydration, shrinkage, and a brief discussion of different additives. </w:t>
      </w:r>
    </w:p>
    <w:p w14:paraId="3DCED0BC" w14:textId="1F6E88FF" w:rsidR="00776E20" w:rsidRPr="00280C2E" w:rsidRDefault="00776E20" w:rsidP="000305A8">
      <w:pPr>
        <w:pStyle w:val="Heading4"/>
      </w:pPr>
      <w:r w:rsidRPr="00280C2E">
        <w:t>Wellbore Cementing Procedures and Materials</w:t>
      </w:r>
    </w:p>
    <w:p w14:paraId="422A8E91" w14:textId="6067CC2A" w:rsidR="00776E20" w:rsidRPr="00EC7EFC" w:rsidRDefault="00776E20" w:rsidP="00776E20">
      <w:pPr>
        <w:ind w:firstLine="720"/>
        <w:rPr>
          <w:rFonts w:cs="Times New Roman"/>
        </w:rPr>
      </w:pPr>
      <w:r w:rsidRPr="00EC7EFC">
        <w:rPr>
          <w:rFonts w:cs="Times New Roman"/>
          <w:szCs w:val="24"/>
        </w:rPr>
        <w:t>Primary cementing is placing cement within the annul</w:t>
      </w:r>
      <w:r w:rsidR="00316FB8">
        <w:rPr>
          <w:rFonts w:cs="Times New Roman"/>
          <w:szCs w:val="24"/>
        </w:rPr>
        <w:t xml:space="preserve">ar </w:t>
      </w:r>
      <w:r w:rsidR="00F161EB">
        <w:rPr>
          <w:rFonts w:cs="Times New Roman"/>
          <w:szCs w:val="24"/>
        </w:rPr>
        <w:t xml:space="preserve">space </w:t>
      </w:r>
      <w:r w:rsidR="00F161EB" w:rsidRPr="00EC7EFC">
        <w:rPr>
          <w:rFonts w:cs="Times New Roman"/>
          <w:szCs w:val="24"/>
        </w:rPr>
        <w:t>between</w:t>
      </w:r>
      <w:r w:rsidRPr="00EC7EFC">
        <w:rPr>
          <w:rFonts w:cs="Times New Roman"/>
          <w:szCs w:val="24"/>
        </w:rPr>
        <w:t xml:space="preserve"> the casing and </w:t>
      </w:r>
      <w:r w:rsidR="00316FB8">
        <w:rPr>
          <w:rFonts w:cs="Times New Roman"/>
          <w:szCs w:val="24"/>
        </w:rPr>
        <w:t xml:space="preserve">the </w:t>
      </w:r>
      <w:r w:rsidRPr="00EC7EFC">
        <w:rPr>
          <w:rFonts w:cs="Times New Roman"/>
          <w:szCs w:val="24"/>
        </w:rPr>
        <w:t xml:space="preserve">formation </w:t>
      </w:r>
      <w:r>
        <w:rPr>
          <w:rFonts w:cs="Times New Roman"/>
          <w:szCs w:val="24"/>
        </w:rPr>
        <w:t xml:space="preserve">(Nelson 1990). </w:t>
      </w:r>
      <w:r>
        <w:rPr>
          <w:rFonts w:cs="Times New Roman"/>
        </w:rPr>
        <w:t>The</w:t>
      </w:r>
      <w:r w:rsidRPr="00EC7EFC">
        <w:rPr>
          <w:rFonts w:cs="Times New Roman"/>
        </w:rPr>
        <w:t xml:space="preserve"> </w:t>
      </w:r>
      <w:r>
        <w:rPr>
          <w:rFonts w:cs="Times New Roman"/>
        </w:rPr>
        <w:t xml:space="preserve">outer </w:t>
      </w:r>
      <w:r w:rsidRPr="00EC7EFC">
        <w:rPr>
          <w:rFonts w:cs="Times New Roman"/>
        </w:rPr>
        <w:t xml:space="preserve">cement sheath has a dual purpose; </w:t>
      </w:r>
      <w:r>
        <w:rPr>
          <w:rFonts w:cs="Times New Roman"/>
        </w:rPr>
        <w:t>it</w:t>
      </w:r>
      <w:r w:rsidRPr="00EC7EFC">
        <w:rPr>
          <w:rFonts w:cs="Times New Roman"/>
        </w:rPr>
        <w:t xml:space="preserve"> supports the casing and provides zonal isolation between formation fl</w:t>
      </w:r>
      <w:r>
        <w:rPr>
          <w:rFonts w:cs="Times New Roman"/>
        </w:rPr>
        <w:t>uids of different zones (Smith 1984; Smith 1987</w:t>
      </w:r>
      <w:r w:rsidR="006405E7">
        <w:rPr>
          <w:rFonts w:cs="Times New Roman"/>
        </w:rPr>
        <w:t>; Nelson</w:t>
      </w:r>
      <w:r w:rsidR="006405E7" w:rsidRPr="00EC7EFC">
        <w:rPr>
          <w:rFonts w:cs="Times New Roman"/>
        </w:rPr>
        <w:t xml:space="preserve"> 1990</w:t>
      </w:r>
      <w:r>
        <w:rPr>
          <w:rFonts w:cs="Times New Roman"/>
        </w:rPr>
        <w:t>). C</w:t>
      </w:r>
      <w:r w:rsidRPr="00EC7EFC">
        <w:rPr>
          <w:rFonts w:cs="Times New Roman"/>
        </w:rPr>
        <w:t xml:space="preserve">ement </w:t>
      </w:r>
      <w:r>
        <w:rPr>
          <w:rFonts w:cs="Times New Roman"/>
        </w:rPr>
        <w:t xml:space="preserve">also </w:t>
      </w:r>
      <w:r w:rsidRPr="00EC7EFC">
        <w:rPr>
          <w:rFonts w:cs="Times New Roman"/>
        </w:rPr>
        <w:t xml:space="preserve">acts as a hydraulic seal in </w:t>
      </w:r>
      <w:r w:rsidR="00C33A4C">
        <w:rPr>
          <w:rFonts w:cs="Times New Roman"/>
        </w:rPr>
        <w:t>annuli</w:t>
      </w:r>
      <w:r w:rsidR="00316FB8">
        <w:rPr>
          <w:rFonts w:cs="Times New Roman"/>
        </w:rPr>
        <w:t xml:space="preserve"> between</w:t>
      </w:r>
      <w:r w:rsidRPr="00EC7EFC">
        <w:rPr>
          <w:rFonts w:cs="Times New Roman"/>
        </w:rPr>
        <w:t xml:space="preserve"> </w:t>
      </w:r>
      <w:r w:rsidR="00316FB8">
        <w:rPr>
          <w:rFonts w:cs="Times New Roman"/>
        </w:rPr>
        <w:t xml:space="preserve">casings or between the casing </w:t>
      </w:r>
      <w:r w:rsidRPr="00EC7EFC">
        <w:rPr>
          <w:rFonts w:cs="Times New Roman"/>
        </w:rPr>
        <w:t xml:space="preserve">and </w:t>
      </w:r>
      <w:r w:rsidR="00316FB8">
        <w:rPr>
          <w:rFonts w:cs="Times New Roman"/>
        </w:rPr>
        <w:t xml:space="preserve">the </w:t>
      </w:r>
      <w:r w:rsidRPr="00EC7EFC">
        <w:rPr>
          <w:rFonts w:cs="Times New Roman"/>
        </w:rPr>
        <w:t xml:space="preserve">formation. This seal needs to be in full contact between the two interfaces to prevent </w:t>
      </w:r>
      <w:r w:rsidR="00316FB8">
        <w:rPr>
          <w:rFonts w:cs="Times New Roman"/>
        </w:rPr>
        <w:t>flow conduits</w:t>
      </w:r>
      <w:r w:rsidR="00316FB8" w:rsidRPr="00EC7EFC">
        <w:rPr>
          <w:rFonts w:cs="Times New Roman"/>
        </w:rPr>
        <w:t xml:space="preserve"> </w:t>
      </w:r>
      <w:r w:rsidRPr="00EC7EFC">
        <w:rPr>
          <w:rFonts w:cs="Times New Roman"/>
        </w:rPr>
        <w:t>from forming</w:t>
      </w:r>
      <w:r w:rsidR="008707E1">
        <w:rPr>
          <w:rFonts w:cs="Times New Roman"/>
        </w:rPr>
        <w:t>,</w:t>
      </w:r>
      <w:r w:rsidRPr="00EC7EFC">
        <w:rPr>
          <w:rFonts w:cs="Times New Roman"/>
        </w:rPr>
        <w:t xml:space="preserve"> thus preventing leak</w:t>
      </w:r>
      <w:r>
        <w:rPr>
          <w:rFonts w:cs="Times New Roman"/>
        </w:rPr>
        <w:t xml:space="preserve">age through the cement sheath. </w:t>
      </w:r>
      <w:r w:rsidRPr="00EC7EFC">
        <w:t xml:space="preserve">The formation of </w:t>
      </w:r>
      <w:r w:rsidR="00316FB8">
        <w:rPr>
          <w:rFonts w:cs="Times New Roman"/>
        </w:rPr>
        <w:t>flow conduits</w:t>
      </w:r>
      <w:r w:rsidRPr="00EC7EFC">
        <w:t xml:space="preserve"> requires additional cementing operations</w:t>
      </w:r>
      <w:r w:rsidR="008707E1">
        <w:t>,</w:t>
      </w:r>
      <w:r w:rsidRPr="00EC7EFC">
        <w:t xml:space="preserve"> which are likely to be costly, </w:t>
      </w:r>
      <w:r w:rsidRPr="001E64C9">
        <w:t>time-consuming</w:t>
      </w:r>
      <w:r w:rsidRPr="00EC7EFC">
        <w:t>, and may damage the wellbore.</w:t>
      </w:r>
      <w:r w:rsidRPr="00EC7EFC">
        <w:rPr>
          <w:rFonts w:cs="Times New Roman"/>
        </w:rPr>
        <w:t xml:space="preserve"> </w:t>
      </w:r>
      <w:r w:rsidRPr="00EC7EFC">
        <w:rPr>
          <w:rFonts w:cs="Times New Roman"/>
        </w:rPr>
        <w:tab/>
      </w:r>
    </w:p>
    <w:p w14:paraId="0FF5B314" w14:textId="63C8B7CD" w:rsidR="00776E20" w:rsidRDefault="00776E20" w:rsidP="009A181D">
      <w:pPr>
        <w:ind w:firstLine="720"/>
        <w:rPr>
          <w:rFonts w:cs="Times New Roman"/>
          <w:szCs w:val="24"/>
        </w:rPr>
      </w:pPr>
      <w:r w:rsidRPr="00EC7EFC">
        <w:rPr>
          <w:rFonts w:cs="Times New Roman"/>
        </w:rPr>
        <w:t xml:space="preserve">The basic process for performing a primary cement job uses a two-plug method after drilling a well section to </w:t>
      </w:r>
      <w:r w:rsidRPr="001E64C9">
        <w:t>the desired</w:t>
      </w:r>
      <w:r w:rsidRPr="00EC7EFC">
        <w:t xml:space="preserve"> depth</w:t>
      </w:r>
      <w:r w:rsidRPr="00EC7EFC">
        <w:rPr>
          <w:rFonts w:cs="Times New Roman"/>
        </w:rPr>
        <w:t xml:space="preserve"> </w:t>
      </w:r>
      <w:r w:rsidR="004F525E" w:rsidRPr="001E64C9">
        <w:rPr>
          <w:rFonts w:cs="Times New Roman"/>
        </w:rPr>
        <w:t>and</w:t>
      </w:r>
      <w:r w:rsidR="004F525E" w:rsidRPr="00EC7EFC">
        <w:rPr>
          <w:rFonts w:cs="Times New Roman"/>
        </w:rPr>
        <w:t xml:space="preserve"> </w:t>
      </w:r>
      <w:r w:rsidR="004F525E" w:rsidRPr="001E64C9">
        <w:rPr>
          <w:rFonts w:cs="Times New Roman"/>
        </w:rPr>
        <w:t>casing</w:t>
      </w:r>
      <w:r w:rsidR="004F525E" w:rsidRPr="00EC7EFC">
        <w:rPr>
          <w:rFonts w:cs="Times New Roman"/>
        </w:rPr>
        <w:t xml:space="preserve"> is inserted into the hole while the drilling fluid</w:t>
      </w:r>
      <w:r w:rsidR="004F525E">
        <w:rPr>
          <w:rFonts w:cs="Times New Roman"/>
        </w:rPr>
        <w:t xml:space="preserve"> remains in the hole </w:t>
      </w:r>
      <w:r>
        <w:rPr>
          <w:rFonts w:cs="Times New Roman"/>
        </w:rPr>
        <w:t xml:space="preserve">(Smith 1987). </w:t>
      </w:r>
      <w:r w:rsidRPr="00EC7EFC">
        <w:rPr>
          <w:rFonts w:cs="Times New Roman"/>
        </w:rPr>
        <w:t xml:space="preserve">The </w:t>
      </w:r>
      <w:r w:rsidR="008707E1">
        <w:rPr>
          <w:rFonts w:cs="Times New Roman"/>
        </w:rPr>
        <w:t xml:space="preserve">primary cement job’s objective </w:t>
      </w:r>
      <w:r w:rsidRPr="00EC7EFC">
        <w:rPr>
          <w:rFonts w:cs="Times New Roman"/>
        </w:rPr>
        <w:t>is to displace drilling flu</w:t>
      </w:r>
      <w:r>
        <w:rPr>
          <w:rFonts w:cs="Times New Roman"/>
        </w:rPr>
        <w:t xml:space="preserve">id and replace it with </w:t>
      </w:r>
      <w:r w:rsidR="004F525E">
        <w:rPr>
          <w:rFonts w:cs="Times New Roman"/>
        </w:rPr>
        <w:t xml:space="preserve">the </w:t>
      </w:r>
      <w:r>
        <w:rPr>
          <w:rFonts w:cs="Times New Roman"/>
        </w:rPr>
        <w:t>cement</w:t>
      </w:r>
      <w:r w:rsidR="004F525E">
        <w:rPr>
          <w:rFonts w:cs="Times New Roman"/>
        </w:rPr>
        <w:t xml:space="preserve"> slurry</w:t>
      </w:r>
      <w:r w:rsidR="00F161EB">
        <w:rPr>
          <w:rFonts w:cs="Times New Roman"/>
        </w:rPr>
        <w:t xml:space="preserve">. </w:t>
      </w:r>
      <w:r w:rsidR="004F525E">
        <w:rPr>
          <w:rFonts w:cs="Times New Roman"/>
        </w:rPr>
        <w:t xml:space="preserve">For the common </w:t>
      </w:r>
      <w:r>
        <w:rPr>
          <w:rFonts w:cs="Times New Roman"/>
        </w:rPr>
        <w:t>two-plug cementing method</w:t>
      </w:r>
      <w:r w:rsidR="00F161EB">
        <w:rPr>
          <w:rFonts w:cs="Times New Roman"/>
        </w:rPr>
        <w:t>,</w:t>
      </w:r>
      <w:r>
        <w:rPr>
          <w:rFonts w:cs="Times New Roman"/>
        </w:rPr>
        <w:t xml:space="preserve"> </w:t>
      </w:r>
      <w:r w:rsidR="00F161EB">
        <w:rPr>
          <w:rFonts w:cs="Times New Roman"/>
        </w:rPr>
        <w:t>t</w:t>
      </w:r>
      <w:r w:rsidRPr="00EC7EFC">
        <w:rPr>
          <w:rFonts w:cs="Times New Roman"/>
        </w:rPr>
        <w:t>wo</w:t>
      </w:r>
      <w:r w:rsidR="00133B21">
        <w:rPr>
          <w:rFonts w:cs="Times New Roman"/>
        </w:rPr>
        <w:t xml:space="preserve"> mechanical</w:t>
      </w:r>
      <w:r w:rsidRPr="00EC7EFC">
        <w:rPr>
          <w:rFonts w:cs="Times New Roman"/>
        </w:rPr>
        <w:t xml:space="preserve"> plugs are used to </w:t>
      </w:r>
      <w:r w:rsidRPr="00EC7EFC">
        <w:rPr>
          <w:rFonts w:cs="Times New Roman"/>
          <w:szCs w:val="24"/>
        </w:rPr>
        <w:t xml:space="preserve">isolate the cement slurry as it </w:t>
      </w:r>
      <w:r w:rsidRPr="001E64C9">
        <w:rPr>
          <w:rFonts w:cs="Times New Roman"/>
          <w:szCs w:val="24"/>
        </w:rPr>
        <w:t>is pumped</w:t>
      </w:r>
      <w:r w:rsidRPr="00EC7EFC">
        <w:rPr>
          <w:rFonts w:cs="Times New Roman"/>
          <w:szCs w:val="24"/>
        </w:rPr>
        <w:t xml:space="preserve"> through the casing and prevent it from</w:t>
      </w:r>
      <w:r>
        <w:rPr>
          <w:rFonts w:cs="Times New Roman"/>
          <w:szCs w:val="24"/>
        </w:rPr>
        <w:t xml:space="preserve"> coming </w:t>
      </w:r>
      <w:r w:rsidRPr="00EC7EFC">
        <w:rPr>
          <w:rFonts w:cs="Times New Roman"/>
          <w:szCs w:val="24"/>
        </w:rPr>
        <w:t>in contact with the drilling fluid</w:t>
      </w:r>
      <w:r>
        <w:rPr>
          <w:rFonts w:cs="Times New Roman"/>
          <w:szCs w:val="24"/>
        </w:rPr>
        <w:t>.</w:t>
      </w:r>
      <w:r w:rsidRPr="00EC7EFC">
        <w:rPr>
          <w:rFonts w:cs="Times New Roman"/>
          <w:szCs w:val="24"/>
        </w:rPr>
        <w:t xml:space="preserve"> One plug is placed between the cement slurry and drilling fluid while the other follows the cement slurry and prevents any displacement fluids from coming in </w:t>
      </w:r>
      <w:r>
        <w:rPr>
          <w:rFonts w:cs="Times New Roman"/>
          <w:szCs w:val="24"/>
        </w:rPr>
        <w:t xml:space="preserve">contact with the slurry. </w:t>
      </w:r>
      <w:r w:rsidRPr="00EC7EFC">
        <w:rPr>
          <w:rFonts w:cs="Times New Roman"/>
          <w:szCs w:val="24"/>
        </w:rPr>
        <w:t xml:space="preserve">If the cement slurry and drilling fluid/displacement fluids </w:t>
      </w:r>
      <w:r>
        <w:rPr>
          <w:rFonts w:cs="Times New Roman"/>
          <w:szCs w:val="24"/>
        </w:rPr>
        <w:t>get mixed</w:t>
      </w:r>
      <w:r w:rsidRPr="00EC7EFC">
        <w:rPr>
          <w:rFonts w:cs="Times New Roman"/>
          <w:szCs w:val="24"/>
        </w:rPr>
        <w:t xml:space="preserve">, the cement slurry </w:t>
      </w:r>
      <w:r w:rsidR="008707E1">
        <w:rPr>
          <w:rFonts w:cs="Times New Roman"/>
          <w:szCs w:val="24"/>
        </w:rPr>
        <w:t>will</w:t>
      </w:r>
      <w:r w:rsidR="008707E1" w:rsidRPr="00EC7EFC">
        <w:rPr>
          <w:rFonts w:cs="Times New Roman"/>
          <w:szCs w:val="24"/>
        </w:rPr>
        <w:t xml:space="preserve"> </w:t>
      </w:r>
      <w:r w:rsidRPr="00EC7EFC">
        <w:rPr>
          <w:rFonts w:cs="Times New Roman"/>
          <w:szCs w:val="24"/>
        </w:rPr>
        <w:t>become contaminated</w:t>
      </w:r>
      <w:r w:rsidR="008707E1">
        <w:rPr>
          <w:rFonts w:cs="Times New Roman"/>
          <w:szCs w:val="24"/>
        </w:rPr>
        <w:t>,</w:t>
      </w:r>
      <w:r w:rsidRPr="00EC7EFC">
        <w:rPr>
          <w:rFonts w:cs="Times New Roman"/>
          <w:szCs w:val="24"/>
        </w:rPr>
        <w:t xml:space="preserve"> </w:t>
      </w:r>
      <w:r w:rsidRPr="001E64C9">
        <w:rPr>
          <w:rFonts w:cs="Times New Roman"/>
          <w:szCs w:val="24"/>
        </w:rPr>
        <w:t>and</w:t>
      </w:r>
      <w:r w:rsidRPr="00EC7EFC">
        <w:rPr>
          <w:rFonts w:cs="Times New Roman"/>
          <w:szCs w:val="24"/>
        </w:rPr>
        <w:t xml:space="preserve"> the mechanical </w:t>
      </w:r>
      <w:r w:rsidRPr="001E64C9">
        <w:rPr>
          <w:rFonts w:cs="Times New Roman"/>
          <w:szCs w:val="24"/>
        </w:rPr>
        <w:t>and/or</w:t>
      </w:r>
      <w:r w:rsidRPr="00EC7EFC">
        <w:rPr>
          <w:rFonts w:cs="Times New Roman"/>
          <w:szCs w:val="24"/>
        </w:rPr>
        <w:t xml:space="preserve"> chemical properties may change</w:t>
      </w:r>
      <w:r>
        <w:rPr>
          <w:rFonts w:cs="Times New Roman"/>
          <w:szCs w:val="24"/>
        </w:rPr>
        <w:t>,</w:t>
      </w:r>
      <w:r w:rsidRPr="00EC7EFC">
        <w:rPr>
          <w:rFonts w:cs="Times New Roman"/>
          <w:szCs w:val="24"/>
        </w:rPr>
        <w:t xml:space="preserve"> potentially </w:t>
      </w:r>
      <w:r>
        <w:rPr>
          <w:rFonts w:cs="Times New Roman"/>
          <w:szCs w:val="24"/>
        </w:rPr>
        <w:t>leading to undesired effects</w:t>
      </w:r>
      <w:r w:rsidR="004F525E">
        <w:rPr>
          <w:rFonts w:cs="Times New Roman"/>
          <w:szCs w:val="24"/>
        </w:rPr>
        <w:t xml:space="preserve"> or </w:t>
      </w:r>
      <w:r w:rsidR="007E7D81">
        <w:rPr>
          <w:rFonts w:cs="Times New Roman"/>
          <w:szCs w:val="24"/>
        </w:rPr>
        <w:t xml:space="preserve">the creation of </w:t>
      </w:r>
      <w:r w:rsidR="004F525E">
        <w:rPr>
          <w:rFonts w:cs="Times New Roman"/>
          <w:szCs w:val="24"/>
        </w:rPr>
        <w:t>flow paths</w:t>
      </w:r>
      <w:r w:rsidR="00F161EB">
        <w:rPr>
          <w:rFonts w:cs="Times New Roman"/>
          <w:szCs w:val="24"/>
        </w:rPr>
        <w:t>.</w:t>
      </w:r>
      <w:r>
        <w:rPr>
          <w:rFonts w:cs="Times New Roman"/>
          <w:szCs w:val="24"/>
        </w:rPr>
        <w:t xml:space="preserve"> </w:t>
      </w:r>
      <w:r w:rsidRPr="00EC7EFC">
        <w:rPr>
          <w:rFonts w:cs="Times New Roman"/>
          <w:szCs w:val="24"/>
        </w:rPr>
        <w:t xml:space="preserve">Enough cement slurry </w:t>
      </w:r>
      <w:r w:rsidRPr="001E64C9">
        <w:rPr>
          <w:rFonts w:cs="Times New Roman"/>
          <w:szCs w:val="24"/>
        </w:rPr>
        <w:t>is pumped</w:t>
      </w:r>
      <w:r w:rsidRPr="00EC7EFC">
        <w:rPr>
          <w:rFonts w:cs="Times New Roman"/>
          <w:szCs w:val="24"/>
        </w:rPr>
        <w:t xml:space="preserve"> such that the annular column </w:t>
      </w:r>
      <w:r w:rsidRPr="001E64C9">
        <w:rPr>
          <w:rFonts w:cs="Times New Roman"/>
          <w:szCs w:val="24"/>
        </w:rPr>
        <w:t>is filled</w:t>
      </w:r>
      <w:r w:rsidRPr="00EC7EFC">
        <w:rPr>
          <w:rFonts w:cs="Times New Roman"/>
          <w:szCs w:val="24"/>
        </w:rPr>
        <w:t xml:space="preserve"> from the bottom of the casing to past an</w:t>
      </w:r>
      <w:r>
        <w:rPr>
          <w:rFonts w:cs="Times New Roman"/>
          <w:szCs w:val="24"/>
        </w:rPr>
        <w:t xml:space="preserve">y production/freshwater zones. </w:t>
      </w:r>
      <w:r w:rsidRPr="00EC7EFC">
        <w:rPr>
          <w:rFonts w:cs="Times New Roman"/>
          <w:szCs w:val="24"/>
        </w:rPr>
        <w:t xml:space="preserve">The cement slurry may </w:t>
      </w:r>
      <w:r w:rsidRPr="001E64C9">
        <w:rPr>
          <w:rFonts w:cs="Times New Roman"/>
          <w:szCs w:val="24"/>
        </w:rPr>
        <w:t>be pumped</w:t>
      </w:r>
      <w:r w:rsidRPr="00EC7EFC">
        <w:rPr>
          <w:rFonts w:cs="Times New Roman"/>
          <w:szCs w:val="24"/>
        </w:rPr>
        <w:t xml:space="preserve"> such that it fills </w:t>
      </w:r>
      <w:r w:rsidRPr="00EC7EFC">
        <w:rPr>
          <w:rFonts w:cs="Times New Roman"/>
          <w:szCs w:val="24"/>
        </w:rPr>
        <w:lastRenderedPageBreak/>
        <w:t>the annular space from the bottom of the casing string to the surface depending on the stabil</w:t>
      </w:r>
      <w:r>
        <w:rPr>
          <w:rFonts w:cs="Times New Roman"/>
          <w:szCs w:val="24"/>
        </w:rPr>
        <w:t>ity and depth of the wellbore. In many wellbores, the annular cement job is cemented partially to the surface, referenced as</w:t>
      </w:r>
      <w:r w:rsidR="008707E1">
        <w:rPr>
          <w:rFonts w:cs="Times New Roman"/>
          <w:szCs w:val="24"/>
        </w:rPr>
        <w:t xml:space="preserve"> the</w:t>
      </w:r>
      <w:r>
        <w:rPr>
          <w:rFonts w:cs="Times New Roman"/>
          <w:szCs w:val="24"/>
        </w:rPr>
        <w:t xml:space="preserve"> top of cement (TOC), per regulatory bodies such as </w:t>
      </w:r>
      <w:r w:rsidR="00C10553">
        <w:rPr>
          <w:rFonts w:cs="Times New Roman"/>
          <w:szCs w:val="24"/>
        </w:rPr>
        <w:t>API Standard 65-2 (2010</w:t>
      </w:r>
      <w:r>
        <w:rPr>
          <w:rFonts w:cs="Times New Roman"/>
          <w:szCs w:val="24"/>
        </w:rPr>
        <w:t xml:space="preserve">). </w:t>
      </w:r>
      <w:r w:rsidRPr="00EC7EFC">
        <w:rPr>
          <w:rFonts w:cs="Times New Roman"/>
          <w:szCs w:val="24"/>
        </w:rPr>
        <w:t xml:space="preserve">Once the slurry </w:t>
      </w:r>
      <w:r w:rsidRPr="001E64C9">
        <w:rPr>
          <w:rFonts w:cs="Times New Roman"/>
          <w:szCs w:val="24"/>
        </w:rPr>
        <w:t>is pumped</w:t>
      </w:r>
      <w:r w:rsidRPr="00EC7EFC">
        <w:rPr>
          <w:rFonts w:cs="Times New Roman"/>
          <w:szCs w:val="24"/>
        </w:rPr>
        <w:t xml:space="preserve"> to the desired locations, the well is left shut</w:t>
      </w:r>
      <w:r w:rsidR="00FB1449">
        <w:rPr>
          <w:rFonts w:cs="Times New Roman"/>
          <w:szCs w:val="24"/>
        </w:rPr>
        <w:t>-</w:t>
      </w:r>
      <w:r w:rsidRPr="00EC7EFC">
        <w:rPr>
          <w:rFonts w:cs="Times New Roman"/>
          <w:szCs w:val="24"/>
        </w:rPr>
        <w:t>in to allow the cement to hydrate and harden</w:t>
      </w:r>
      <w:r>
        <w:rPr>
          <w:rFonts w:cs="Times New Roman"/>
          <w:szCs w:val="24"/>
        </w:rPr>
        <w:t>.</w:t>
      </w:r>
    </w:p>
    <w:p w14:paraId="68653DC0" w14:textId="550A5F6C" w:rsidR="00F53DF8" w:rsidRPr="00280C2E" w:rsidRDefault="00F53DF8" w:rsidP="00280C2E">
      <w:pPr>
        <w:rPr>
          <w:b/>
        </w:rPr>
      </w:pPr>
      <w:r w:rsidRPr="00280C2E">
        <w:rPr>
          <w:b/>
        </w:rPr>
        <w:t xml:space="preserve">Cement </w:t>
      </w:r>
      <w:r w:rsidR="006265F4" w:rsidRPr="00280C2E">
        <w:rPr>
          <w:b/>
        </w:rPr>
        <w:t>H</w:t>
      </w:r>
      <w:r w:rsidRPr="00280C2E">
        <w:rPr>
          <w:b/>
        </w:rPr>
        <w:t xml:space="preserve">ydration </w:t>
      </w:r>
    </w:p>
    <w:p w14:paraId="173927B6" w14:textId="36486013" w:rsidR="008D6A13" w:rsidRDefault="008D6A13" w:rsidP="008D6A13">
      <w:pPr>
        <w:ind w:firstLine="720"/>
      </w:pPr>
      <w:r>
        <w:t>Portland cement powde</w:t>
      </w:r>
      <w:r w:rsidR="00DF6664">
        <w:t>r when mixed with water evolves with time to produce a solid material referred to as cement paste.</w:t>
      </w:r>
      <w:r>
        <w:t xml:space="preserve"> Portland cement is initially made from the mixing of raw materials (such as lime, silica, and alumina) and heated to 1,500 °C to form clinker composed mainly of Alite, Belite, Aluminite, and Ferrite (Bensted and Barnes 2002). The clinker is ground down to specific particle sizes and the resulting product is Portland cement (Bensted and Barnes 2002).  </w:t>
      </w:r>
    </w:p>
    <w:p w14:paraId="06B52951" w14:textId="0B3E1E30" w:rsidR="008D6A13" w:rsidRDefault="008D6A13" w:rsidP="008D6A13">
      <w:pPr>
        <w:ind w:firstLine="720"/>
      </w:pPr>
      <w:r>
        <w:t xml:space="preserve">The </w:t>
      </w:r>
      <w:r w:rsidR="00532B1F">
        <w:t xml:space="preserve">anhydrous </w:t>
      </w:r>
      <w:r>
        <w:t>compounds within Portland cement</w:t>
      </w:r>
      <w:r w:rsidR="008707E1">
        <w:t>,</w:t>
      </w:r>
      <w:r>
        <w:t xml:space="preserve"> </w:t>
      </w:r>
      <w:r w:rsidR="00532B1F">
        <w:t>when mixed with water</w:t>
      </w:r>
      <w:r w:rsidR="008707E1">
        <w:t>,</w:t>
      </w:r>
      <w:r w:rsidR="00532B1F">
        <w:t xml:space="preserve"> </w:t>
      </w:r>
      <w:r>
        <w:t>starts a complex chemical process (</w:t>
      </w:r>
      <w:r w:rsidR="00532B1F">
        <w:t>i.e</w:t>
      </w:r>
      <w:r w:rsidR="00C14771">
        <w:t>.</w:t>
      </w:r>
      <w:r w:rsidR="00532B1F">
        <w:t xml:space="preserve"> </w:t>
      </w:r>
      <w:r>
        <w:t xml:space="preserve">cement hydration) that initially reacts quickly (minutes) and takes a long time to fully react (months to years) (Bensted and Barnes 2002). Hydration of Portland cement creates four main components: remaining anhydrous grains (un-hydrated clinker), high-density calcium silicate hydrate (CSH), low-density CSH (which is composed of Ettringite and other impurities), and portlandite (which is hardened calcium hydroxide) (Bensted and Barnes 2002). Cement hydration results in intergranular and intragranular porosity. The intergranular porosity is due to the volume of the end products (cement hydration products and water) </w:t>
      </w:r>
      <w:r w:rsidR="005B310C">
        <w:t xml:space="preserve">being </w:t>
      </w:r>
      <w:r>
        <w:t xml:space="preserve">smaller than the volume of the initial reactants (Portland cement powder and water). </w:t>
      </w:r>
      <w:r w:rsidR="004B601F">
        <w:t>The pores within the CSH grains initially go to the cavitation pressure of the liquid within the cement once hydration is complete (Ghabezloo et al. 2008;</w:t>
      </w:r>
      <w:r w:rsidR="006405E7">
        <w:t xml:space="preserve"> Saint-Marc et al. 2008;</w:t>
      </w:r>
      <w:r w:rsidR="004B601F">
        <w:t xml:space="preserve"> Bois et al. 2012). Cavitation </w:t>
      </w:r>
      <w:r w:rsidR="004B601F">
        <w:lastRenderedPageBreak/>
        <w:t xml:space="preserve">pressure is defined as the pressure at which a liquid transitions to a gas (i.e. vaporization pressure) (Piau et al. 1995). Bois et al. (2012) developed a model that shows how the cement sheath pore pressure goes to the cavitation pressure once hydration is complete and equalizes with the surrounding rock formation such that the two pressures are </w:t>
      </w:r>
      <w:r w:rsidR="00B85DC4">
        <w:t>equivalent.</w:t>
      </w:r>
      <w:r>
        <w:t xml:space="preserve"> This means that the pore pressure on hydrated cement is equal to the vaporization </w:t>
      </w:r>
      <w:r w:rsidR="00B85DC4">
        <w:t>pressure of the water solution, but i</w:t>
      </w:r>
      <w:r>
        <w:t xml:space="preserve">f the hardened cement has access to outside pressure, which would be available in a permeable rock formation (rock pore pressure), the pressures will “equalize” resulting in the cement pore pressure becoming equal with the surrounding pressure. The time required for the </w:t>
      </w:r>
      <w:r w:rsidR="0046718C">
        <w:t>cement pore pressure being equal to the surrounding rock formation pore pressure</w:t>
      </w:r>
      <w:r w:rsidR="0046718C" w:rsidDel="0046718C">
        <w:t xml:space="preserve"> </w:t>
      </w:r>
      <w:r>
        <w:t xml:space="preserve">is dependent on the permeability of the cement and rock formation. Low permeability systems will require longer time periods for the pressure to equalize (if at all) while high permeability systems will equalize quicker.  </w:t>
      </w:r>
    </w:p>
    <w:p w14:paraId="203CF643" w14:textId="5A3947A6" w:rsidR="008D6A13" w:rsidRPr="00280C2E" w:rsidRDefault="008D6A13" w:rsidP="00280C2E">
      <w:pPr>
        <w:rPr>
          <w:b/>
        </w:rPr>
      </w:pPr>
      <w:r w:rsidRPr="00280C2E">
        <w:rPr>
          <w:b/>
        </w:rPr>
        <w:t>Shrinkage</w:t>
      </w:r>
    </w:p>
    <w:p w14:paraId="739B4F52" w14:textId="66308000" w:rsidR="005F2703" w:rsidRDefault="008D6A13" w:rsidP="008D6A13">
      <w:pPr>
        <w:ind w:firstLine="720"/>
      </w:pPr>
      <w:r>
        <w:t xml:space="preserve">Shrinkage is defined as the dimensional change (volumetric change) in cements after placement (API 10B-5 2010). </w:t>
      </w:r>
      <w:r w:rsidR="005F2703">
        <w:t xml:space="preserve">Cement shrinkage can be thought of as external and/or internal shrinkage. External </w:t>
      </w:r>
      <w:r>
        <w:t>shrinkage can result in debonding and microannuli formation between the cement sheath and the casing and/or rock formation interface</w:t>
      </w:r>
      <w:r w:rsidR="005F2703">
        <w:t xml:space="preserve"> while internal shrinkage can result in</w:t>
      </w:r>
      <w:r>
        <w:t xml:space="preserve"> tensile cracks resulting in increased permeability (</w:t>
      </w:r>
      <w:r w:rsidR="006405E7">
        <w:t xml:space="preserve">Reddy et al. 2007; </w:t>
      </w:r>
      <w:r w:rsidR="005F2703">
        <w:t>API Standard 65-Part 2 2010</w:t>
      </w:r>
      <w:r>
        <w:t xml:space="preserve">). </w:t>
      </w:r>
    </w:p>
    <w:p w14:paraId="14CDB965" w14:textId="2DAC8DEB" w:rsidR="00DE7036" w:rsidRDefault="00DE7036" w:rsidP="00DE7036">
      <w:pPr>
        <w:ind w:firstLine="720"/>
      </w:pPr>
      <w:r>
        <w:t xml:space="preserve">From a geometric standpoint, there are three forms of external shrinkage possible: uniform volumetric, radial volumetric, or axial volumetric. A schematic of shrinkage of a cement plug </w:t>
      </w:r>
      <w:r w:rsidR="000F65E8">
        <w:t xml:space="preserve">is </w:t>
      </w:r>
      <w:r>
        <w:t xml:space="preserve">shown </w:t>
      </w:r>
      <w:r w:rsidRPr="00133B21">
        <w:t>in Figure 2.5</w:t>
      </w:r>
      <w:r w:rsidR="00532B1F" w:rsidRPr="00133B21">
        <w:t>.</w:t>
      </w:r>
    </w:p>
    <w:p w14:paraId="7044B1E3" w14:textId="77777777" w:rsidR="00DE7036" w:rsidRDefault="00DE7036" w:rsidP="00BC23AD">
      <w:pPr>
        <w:pStyle w:val="NoSpacing"/>
      </w:pPr>
      <w:r>
        <w:rPr>
          <w:noProof/>
        </w:rPr>
        <w:lastRenderedPageBreak/>
        <w:drawing>
          <wp:inline distT="0" distB="0" distL="0" distR="0" wp14:anchorId="763BC182" wp14:editId="6D7B89D1">
            <wp:extent cx="4572000" cy="300655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72000" cy="3006556"/>
                    </a:xfrm>
                    <a:prstGeom prst="rect">
                      <a:avLst/>
                    </a:prstGeom>
                    <a:noFill/>
                  </pic:spPr>
                </pic:pic>
              </a:graphicData>
            </a:graphic>
          </wp:inline>
        </w:drawing>
      </w:r>
    </w:p>
    <w:p w14:paraId="334E0A92" w14:textId="40090A68" w:rsidR="00DE7036" w:rsidRDefault="00DE7036" w:rsidP="00BC23AD">
      <w:pPr>
        <w:pStyle w:val="Caption"/>
      </w:pPr>
      <w:bookmarkStart w:id="14" w:name="_Toc67566188"/>
      <w:r>
        <w:t xml:space="preserve">Figure </w:t>
      </w:r>
      <w:r w:rsidR="00077C0B">
        <w:fldChar w:fldCharType="begin"/>
      </w:r>
      <w:r w:rsidR="00077C0B">
        <w:instrText xml:space="preserve"> STYLEREF 1 \s </w:instrText>
      </w:r>
      <w:r w:rsidR="00077C0B">
        <w:fldChar w:fldCharType="separate"/>
      </w:r>
      <w:r w:rsidR="0006023A">
        <w:rPr>
          <w:noProof/>
        </w:rPr>
        <w:t>2</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5</w:t>
      </w:r>
      <w:r w:rsidR="00077C0B">
        <w:rPr>
          <w:noProof/>
        </w:rPr>
        <w:fldChar w:fldCharType="end"/>
      </w:r>
      <w:r>
        <w:t xml:space="preserve">: Schematic </w:t>
      </w:r>
      <w:r w:rsidRPr="003E4C6A">
        <w:t>of uniform, radial, and axial cement shrinkage. Uniform volumetric shrinkage assumes the same percent change in volume of both the radial and axial direction. Radial volumetric shrinkage assumes only volumetric shrinkage in the radial direction. Axial volumetric shrinkage assumes only volumetric shrinkage in the axial direction</w:t>
      </w:r>
      <w:r>
        <w:t>.</w:t>
      </w:r>
      <w:bookmarkEnd w:id="14"/>
    </w:p>
    <w:p w14:paraId="277168F1" w14:textId="6F217BB2" w:rsidR="008D6A13" w:rsidRPr="00280C2E" w:rsidRDefault="008D6A13" w:rsidP="00280C2E">
      <w:pPr>
        <w:rPr>
          <w:b/>
        </w:rPr>
      </w:pPr>
      <w:r w:rsidRPr="00280C2E">
        <w:rPr>
          <w:b/>
        </w:rPr>
        <w:t>Additives</w:t>
      </w:r>
    </w:p>
    <w:p w14:paraId="36BA253B" w14:textId="22C46007" w:rsidR="008D6A13" w:rsidRDefault="006F1294" w:rsidP="00B2023D">
      <w:pPr>
        <w:ind w:firstLine="720"/>
      </w:pPr>
      <w:r>
        <w:t xml:space="preserve">Cement additives are used in </w:t>
      </w:r>
      <w:r w:rsidR="00BD4DDB">
        <w:t xml:space="preserve">cement mixtures to </w:t>
      </w:r>
      <w:r w:rsidR="000F65E8">
        <w:t xml:space="preserve">establish or maintain </w:t>
      </w:r>
      <w:r w:rsidR="00BD4DDB">
        <w:t xml:space="preserve">wellbore integrity given specific downhole conditions. </w:t>
      </w:r>
      <w:r w:rsidR="008D6A13">
        <w:t>Additives can be used in cement slurries for various reasons</w:t>
      </w:r>
      <w:r w:rsidR="003B2A77">
        <w:t xml:space="preserve"> including but not limited to</w:t>
      </w:r>
      <w:r w:rsidR="008D6A13">
        <w:t xml:space="preserve"> increasing or decreasing the slurry density, changing mechanical properties (such as compressive strength, tensile strength, fracture resistance, Young’s modulus, Poisson’s ratio, porosity, permeability, temperature dependence, </w:t>
      </w:r>
      <w:r w:rsidR="00133B21">
        <w:t>etc.</w:t>
      </w:r>
      <w:r w:rsidR="008D6A13">
        <w:t>), accelerating or retarding the setting time, increasing bond strength, altering the fluid rheology, or preventing shrinkage by causing expansion (</w:t>
      </w:r>
      <w:r w:rsidR="006405E7">
        <w:t xml:space="preserve">Jones et al. 2014; Beharie et al. 2015; Bhaisora et al. 2015; Mansour et al. 2017; Ritchie et al. 2019; Ziashahabi et al. 2019; </w:t>
      </w:r>
      <w:r w:rsidR="008D6A13">
        <w:t>Baklushin e</w:t>
      </w:r>
      <w:r w:rsidR="006405E7">
        <w:t>t al. 2019</w:t>
      </w:r>
      <w:r w:rsidR="008D6A13">
        <w:t xml:space="preserve">). </w:t>
      </w:r>
    </w:p>
    <w:p w14:paraId="64BF0A84" w14:textId="66BFF9FB" w:rsidR="00911862" w:rsidRDefault="00F53DF8" w:rsidP="003E1B51">
      <w:pPr>
        <w:pStyle w:val="Heading3"/>
      </w:pPr>
      <w:bookmarkStart w:id="15" w:name="_Toc67566023"/>
      <w:r w:rsidRPr="00FA5A21">
        <w:t>Well Operations</w:t>
      </w:r>
      <w:bookmarkEnd w:id="15"/>
    </w:p>
    <w:p w14:paraId="6DE5FEE7" w14:textId="3781B3E7" w:rsidR="00911862" w:rsidRPr="00911862" w:rsidRDefault="00911862" w:rsidP="000305A8">
      <w:pPr>
        <w:ind w:firstLine="720"/>
      </w:pPr>
      <w:r>
        <w:t xml:space="preserve">After </w:t>
      </w:r>
      <w:r w:rsidR="00B55274">
        <w:t xml:space="preserve">a </w:t>
      </w:r>
      <w:r>
        <w:t>well is constructed</w:t>
      </w:r>
      <w:r w:rsidR="000305A8">
        <w:t xml:space="preserve">, different wellbore operations can alter </w:t>
      </w:r>
      <w:r w:rsidR="00CF19EB">
        <w:t xml:space="preserve">the loads and conditions within the wellbore. Some common operations are </w:t>
      </w:r>
      <w:r>
        <w:t>wellbore fracturing</w:t>
      </w:r>
      <w:r w:rsidR="00CF19EB">
        <w:t xml:space="preserve"> (completions), </w:t>
      </w:r>
      <w:r>
        <w:t>production</w:t>
      </w:r>
      <w:r w:rsidR="00CF19EB">
        <w:t xml:space="preserve">, </w:t>
      </w:r>
      <w:r w:rsidR="00CF19EB">
        <w:lastRenderedPageBreak/>
        <w:t>enhanced oil recovery (EOR), and injection of fluids.</w:t>
      </w:r>
      <w:r>
        <w:t xml:space="preserve"> This </w:t>
      </w:r>
      <w:r w:rsidR="00CF19EB">
        <w:t xml:space="preserve">section briefly outlines the different effects used in relation to wellbore integrity simulations. </w:t>
      </w:r>
    </w:p>
    <w:p w14:paraId="5D58357A" w14:textId="4E29005F" w:rsidR="000D4F5C" w:rsidRPr="00FA5A21" w:rsidRDefault="00FA5A21" w:rsidP="007D3358">
      <w:pPr>
        <w:ind w:firstLine="720"/>
      </w:pPr>
      <w:r>
        <w:t xml:space="preserve">Hydraulic fracturing </w:t>
      </w:r>
      <w:r w:rsidR="00CF19EB">
        <w:t>operation</w:t>
      </w:r>
      <w:r w:rsidR="008E653D">
        <w:t>s</w:t>
      </w:r>
      <w:r w:rsidR="00CF19EB">
        <w:t xml:space="preserve"> </w:t>
      </w:r>
      <w:r w:rsidR="00C326CC">
        <w:t xml:space="preserve">create fractures in reservoir rocks by </w:t>
      </w:r>
      <w:r w:rsidR="000F65E8">
        <w:t>injecting</w:t>
      </w:r>
      <w:r w:rsidR="00C326CC">
        <w:t xml:space="preserve"> liquids at high pressures</w:t>
      </w:r>
      <w:r w:rsidR="00A81FEB">
        <w:t xml:space="preserve"> within the casing to perforations at desired locations</w:t>
      </w:r>
      <w:r w:rsidR="00C326CC">
        <w:t xml:space="preserve">. In a normal faulting stress regime, such as in the GoM, the pressures required are greater than the minimum horizontal stress within the formation (often referred to as rock fracture gradient). Annular cement sheaths are designed that the density is greater than the pore pressure but less than the fracture gradient. </w:t>
      </w:r>
      <w:r w:rsidR="00A81FEB">
        <w:t>So if the cement is in contact with the injected fluids, it can become fractured. The steel casing protects the cement sheath from direct contact, but injected fluid can cause stress changes in the casing which can be transmitted to the cement sheath. W</w:t>
      </w:r>
      <w:r w:rsidR="00C326CC">
        <w:t>ellbore temperatures can</w:t>
      </w:r>
      <w:r w:rsidR="00A81FEB">
        <w:t xml:space="preserve"> also cause stress changes due to thermal equalization of the injected fluid at surface temperatures to the reservoir temperature. </w:t>
      </w:r>
    </w:p>
    <w:p w14:paraId="15022DE2" w14:textId="745D6691" w:rsidR="00CF19EB" w:rsidRDefault="004A2750" w:rsidP="001B36D6">
      <w:pPr>
        <w:ind w:firstLine="720"/>
      </w:pPr>
      <w:r>
        <w:t>Hydrocarbon production occurs after the well is completed in which the subsurface fluids are brought to the surface either through natural pressure driven flow or through artificial lift methods</w:t>
      </w:r>
      <w:r w:rsidR="00FE39D7">
        <w:t xml:space="preserve"> (Jahn et al. 2008)</w:t>
      </w:r>
      <w:r>
        <w:t>.</w:t>
      </w:r>
      <w:r w:rsidR="001B36D6">
        <w:t xml:space="preserve"> As production declines, </w:t>
      </w:r>
      <w:r w:rsidR="000F5E0B">
        <w:t xml:space="preserve">the pressure within the wellbore declines resulting in a change of internal casing pressure. </w:t>
      </w:r>
      <w:r w:rsidR="00DD0005">
        <w:t xml:space="preserve">The wellbore may not be financially viable that the engineers may decide to “shut in” the well where the wellbore is closed off at the Christmas tree or </w:t>
      </w:r>
      <w:r w:rsidR="00133B21">
        <w:t>blowout preventer (</w:t>
      </w:r>
      <w:r w:rsidR="00DD0005">
        <w:t>BOP</w:t>
      </w:r>
      <w:r w:rsidR="00133B21">
        <w:t>)</w:t>
      </w:r>
      <w:r w:rsidR="00DD0005">
        <w:t xml:space="preserve"> stack. The pressure within the well may increase if a greater pressure is within the reservoir than the pressure of the hydrostatic column. If the </w:t>
      </w:r>
      <w:r w:rsidR="0046718C">
        <w:t>shut-in</w:t>
      </w:r>
      <w:r w:rsidR="00DD0005">
        <w:t xml:space="preserve"> pressure is zero, the pressure of the hydrostatic column b</w:t>
      </w:r>
      <w:r w:rsidR="006F1294">
        <w:t>alances any formation pressure</w:t>
      </w:r>
      <w:r w:rsidR="000F65E8">
        <w:t>,</w:t>
      </w:r>
      <w:r w:rsidR="006F1294">
        <w:t xml:space="preserve"> and the well may begin the abandoning process.  </w:t>
      </w:r>
    </w:p>
    <w:p w14:paraId="3316A14E" w14:textId="50E94E64" w:rsidR="000D4F5C" w:rsidRDefault="000F5E0B" w:rsidP="001B36D6">
      <w:pPr>
        <w:ind w:firstLine="720"/>
      </w:pPr>
      <w:r>
        <w:t xml:space="preserve">The requirements for wellbore </w:t>
      </w:r>
      <w:r w:rsidR="00DC2FB6">
        <w:t>P&amp;A</w:t>
      </w:r>
      <w:r>
        <w:t xml:space="preserve"> procedures vary over time and from region to region. Th</w:t>
      </w:r>
      <w:r w:rsidR="00863D68">
        <w:t xml:space="preserve">e overall goal of </w:t>
      </w:r>
      <w:r w:rsidR="005E6764">
        <w:t xml:space="preserve">P&amp;A </w:t>
      </w:r>
      <w:r w:rsidR="00863D68">
        <w:t xml:space="preserve">is to prevent the influx of fluids into or out of the well. The most common </w:t>
      </w:r>
      <w:r w:rsidR="00863D68">
        <w:lastRenderedPageBreak/>
        <w:t xml:space="preserve">barrier used to prevent flow from a well is cement (30 CFR 250.420). </w:t>
      </w:r>
      <w:r w:rsidR="00BA7A49">
        <w:t>C</w:t>
      </w:r>
      <w:r w:rsidR="00863D68">
        <w:t xml:space="preserve">ement has physical and chemical limitations in which leakage pathways can occur due to conditions and events that occur for a specific well. </w:t>
      </w:r>
      <w:r w:rsidR="00133B21">
        <w:t xml:space="preserve">When </w:t>
      </w:r>
      <w:r w:rsidR="00473BC6">
        <w:t>P&amp;A`ing</w:t>
      </w:r>
      <w:r w:rsidR="00133B21">
        <w:t xml:space="preserve"> </w:t>
      </w:r>
      <w:r w:rsidR="00CF19EB">
        <w:t xml:space="preserve">a wellbore, the common assumption is that plugging the casing is sufficient. However, ensuring the cement sheath integrity is intact is critical to prevent leakage. Common wellbore leakage mechanisms are discussed in the following section. </w:t>
      </w:r>
    </w:p>
    <w:p w14:paraId="7604C73E" w14:textId="38D0439D" w:rsidR="00F53DF8" w:rsidRDefault="00F53DF8" w:rsidP="00BA653E">
      <w:pPr>
        <w:pStyle w:val="Heading2"/>
      </w:pPr>
      <w:bookmarkStart w:id="16" w:name="_Toc67566024"/>
      <w:r>
        <w:t>Wellbore leakage</w:t>
      </w:r>
      <w:bookmarkEnd w:id="16"/>
    </w:p>
    <w:p w14:paraId="22F788AF" w14:textId="7139EE1D" w:rsidR="006D0129" w:rsidRPr="00820C9E" w:rsidRDefault="00820C9E" w:rsidP="00820C9E">
      <w:pPr>
        <w:ind w:firstLine="720"/>
      </w:pPr>
      <w:r>
        <w:t xml:space="preserve">Leakage in a wellbore can occur in the casing, annular/plug cement, and/or in the rock formation. The different leakage pathways can be placed into two categories: primary and secondary (Weideman 2014). </w:t>
      </w:r>
      <w:r w:rsidR="006D0129" w:rsidRPr="00EC7EFC">
        <w:rPr>
          <w:szCs w:val="24"/>
        </w:rPr>
        <w:t xml:space="preserve">The primary leakage pathways are pathways that </w:t>
      </w:r>
      <w:r w:rsidR="006D0129" w:rsidRPr="001E64C9">
        <w:rPr>
          <w:szCs w:val="24"/>
        </w:rPr>
        <w:t>are created</w:t>
      </w:r>
      <w:r w:rsidR="006D0129">
        <w:rPr>
          <w:szCs w:val="24"/>
        </w:rPr>
        <w:t xml:space="preserve"> during the cementing job</w:t>
      </w:r>
      <w:r w:rsidR="00AB74C8">
        <w:rPr>
          <w:szCs w:val="24"/>
        </w:rPr>
        <w:t xml:space="preserve"> and </w:t>
      </w:r>
      <w:r w:rsidR="006D0129" w:rsidRPr="00EC7EFC">
        <w:rPr>
          <w:szCs w:val="24"/>
        </w:rPr>
        <w:t>include:</w:t>
      </w:r>
    </w:p>
    <w:p w14:paraId="0D43647D" w14:textId="77777777" w:rsidR="006D0129" w:rsidRPr="00EC7EFC" w:rsidRDefault="006D0129" w:rsidP="00FF2CA0">
      <w:pPr>
        <w:pStyle w:val="ListParagraph"/>
        <w:numPr>
          <w:ilvl w:val="0"/>
          <w:numId w:val="2"/>
        </w:numPr>
        <w:spacing w:after="200" w:line="240" w:lineRule="auto"/>
        <w:rPr>
          <w:rFonts w:cs="Times New Roman"/>
        </w:rPr>
      </w:pPr>
      <w:r w:rsidRPr="001E64C9">
        <w:rPr>
          <w:rFonts w:cs="Times New Roman"/>
        </w:rPr>
        <w:t>An incomplete</w:t>
      </w:r>
      <w:r w:rsidRPr="00EC7EFC">
        <w:rPr>
          <w:rFonts w:cs="Times New Roman"/>
        </w:rPr>
        <w:t xml:space="preserve"> annular cementing job that does not reach the seal layer (Boi</w:t>
      </w:r>
      <w:r>
        <w:rPr>
          <w:rFonts w:cs="Times New Roman"/>
        </w:rPr>
        <w:t>s et al.</w:t>
      </w:r>
      <w:r w:rsidRPr="00EC7EFC">
        <w:rPr>
          <w:rFonts w:cs="Times New Roman"/>
        </w:rPr>
        <w:t xml:space="preserve"> 2011).</w:t>
      </w:r>
    </w:p>
    <w:p w14:paraId="6D72CAC0" w14:textId="77777777" w:rsidR="006D0129" w:rsidRPr="00EC7EFC" w:rsidRDefault="006D0129" w:rsidP="00FF2CA0">
      <w:pPr>
        <w:pStyle w:val="ListParagraph"/>
        <w:numPr>
          <w:ilvl w:val="0"/>
          <w:numId w:val="2"/>
        </w:numPr>
        <w:spacing w:after="200" w:line="240" w:lineRule="auto"/>
        <w:rPr>
          <w:rFonts w:cs="Times New Roman"/>
        </w:rPr>
      </w:pPr>
      <w:r w:rsidRPr="001E64C9">
        <w:rPr>
          <w:rFonts w:cs="Times New Roman"/>
        </w:rPr>
        <w:t>A lack of cement plug or per</w:t>
      </w:r>
      <w:r>
        <w:rPr>
          <w:rFonts w:cs="Times New Roman"/>
        </w:rPr>
        <w:t>manent packer (Watson and Bachu</w:t>
      </w:r>
      <w:r w:rsidRPr="001E64C9">
        <w:rPr>
          <w:rFonts w:cs="Times New Roman"/>
        </w:rPr>
        <w:t xml:space="preserve"> 2009).</w:t>
      </w:r>
    </w:p>
    <w:p w14:paraId="67D9228E" w14:textId="77777777" w:rsidR="006D0129" w:rsidRPr="00EC7EFC" w:rsidRDefault="006D0129" w:rsidP="00FF2CA0">
      <w:pPr>
        <w:pStyle w:val="ListParagraph"/>
        <w:numPr>
          <w:ilvl w:val="0"/>
          <w:numId w:val="2"/>
        </w:numPr>
        <w:spacing w:after="200" w:line="240" w:lineRule="auto"/>
        <w:rPr>
          <w:rFonts w:cs="Times New Roman"/>
        </w:rPr>
      </w:pPr>
      <w:r w:rsidRPr="001E64C9">
        <w:rPr>
          <w:rFonts w:cs="Times New Roman"/>
        </w:rPr>
        <w:t xml:space="preserve">Failure of the casing by </w:t>
      </w:r>
      <w:r>
        <w:rPr>
          <w:rFonts w:cs="Times New Roman"/>
        </w:rPr>
        <w:t>burst or collapse (Cooke et al.</w:t>
      </w:r>
      <w:r w:rsidRPr="001E64C9">
        <w:rPr>
          <w:rFonts w:cs="Times New Roman"/>
        </w:rPr>
        <w:t xml:space="preserve"> 1983).</w:t>
      </w:r>
    </w:p>
    <w:p w14:paraId="100F96B4" w14:textId="0D46AFD5" w:rsidR="006D0129" w:rsidRPr="00EC7EFC" w:rsidRDefault="006D0129" w:rsidP="00FF2CA0">
      <w:pPr>
        <w:pStyle w:val="ListParagraph"/>
        <w:numPr>
          <w:ilvl w:val="0"/>
          <w:numId w:val="2"/>
        </w:numPr>
        <w:spacing w:after="200" w:line="240" w:lineRule="auto"/>
        <w:rPr>
          <w:rFonts w:cs="Times New Roman"/>
        </w:rPr>
      </w:pPr>
      <w:r w:rsidRPr="00EC7EFC">
        <w:rPr>
          <w:rFonts w:cs="Times New Roman"/>
        </w:rPr>
        <w:t xml:space="preserve">Poor cement bonding caused by </w:t>
      </w:r>
      <w:r w:rsidR="00782634">
        <w:rPr>
          <w:rFonts w:cs="Times New Roman"/>
        </w:rPr>
        <w:t xml:space="preserve">drilling fluid </w:t>
      </w:r>
      <w:r w:rsidRPr="001E64C9">
        <w:rPr>
          <w:rFonts w:cs="Times New Roman"/>
        </w:rPr>
        <w:t>cake</w:t>
      </w:r>
      <w:r>
        <w:rPr>
          <w:rFonts w:cs="Times New Roman"/>
        </w:rPr>
        <w:t xml:space="preserve"> (Bois et al.</w:t>
      </w:r>
      <w:r w:rsidRPr="00EC7EFC">
        <w:rPr>
          <w:rFonts w:cs="Times New Roman"/>
        </w:rPr>
        <w:t xml:space="preserve"> 2011).</w:t>
      </w:r>
    </w:p>
    <w:p w14:paraId="41152732" w14:textId="77777777" w:rsidR="006D0129" w:rsidRPr="00EC7EFC" w:rsidRDefault="006D0129" w:rsidP="00FF2CA0">
      <w:pPr>
        <w:pStyle w:val="ListParagraph"/>
        <w:numPr>
          <w:ilvl w:val="0"/>
          <w:numId w:val="2"/>
        </w:numPr>
        <w:spacing w:after="200" w:line="240" w:lineRule="auto"/>
        <w:rPr>
          <w:rFonts w:cs="Times New Roman"/>
        </w:rPr>
      </w:pPr>
      <w:r w:rsidRPr="001E64C9">
        <w:rPr>
          <w:rFonts w:cs="Times New Roman"/>
        </w:rPr>
        <w:t xml:space="preserve">Channeling in the cement (Nelson and </w:t>
      </w:r>
      <w:r>
        <w:rPr>
          <w:rFonts w:cs="Times New Roman"/>
        </w:rPr>
        <w:t>Guillot</w:t>
      </w:r>
      <w:r w:rsidRPr="00EC7EFC">
        <w:rPr>
          <w:rFonts w:cs="Times New Roman"/>
        </w:rPr>
        <w:t xml:space="preserve"> 2006).</w:t>
      </w:r>
    </w:p>
    <w:p w14:paraId="638D7EA8" w14:textId="77777777" w:rsidR="006D0129" w:rsidRPr="00EC7EFC" w:rsidRDefault="006D0129" w:rsidP="00FF2CA0">
      <w:pPr>
        <w:pStyle w:val="ListParagraph"/>
        <w:numPr>
          <w:ilvl w:val="0"/>
          <w:numId w:val="2"/>
        </w:numPr>
        <w:spacing w:after="200" w:line="240" w:lineRule="auto"/>
        <w:rPr>
          <w:rFonts w:cs="Times New Roman"/>
        </w:rPr>
      </w:pPr>
      <w:r w:rsidRPr="001E64C9">
        <w:rPr>
          <w:rFonts w:cs="Times New Roman"/>
        </w:rPr>
        <w:t>Primary permeability in the cement shea</w:t>
      </w:r>
      <w:r>
        <w:rPr>
          <w:rFonts w:cs="Times New Roman"/>
        </w:rPr>
        <w:t>th or cement plug (Cooke et al.</w:t>
      </w:r>
      <w:r w:rsidRPr="001E64C9">
        <w:rPr>
          <w:rFonts w:cs="Times New Roman"/>
        </w:rPr>
        <w:t xml:space="preserve"> 1983).</w:t>
      </w:r>
    </w:p>
    <w:p w14:paraId="4640D689" w14:textId="1BD37D9D" w:rsidR="006D0129" w:rsidRPr="00EC7EFC" w:rsidRDefault="006D0129" w:rsidP="006D0129">
      <w:r w:rsidRPr="00EC7EFC">
        <w:t>The secondary leakage pathways occur aft</w:t>
      </w:r>
      <w:r w:rsidR="00AB74C8">
        <w:t>er the cement job is complete and include:</w:t>
      </w:r>
      <w:r>
        <w:t xml:space="preserve"> </w:t>
      </w:r>
    </w:p>
    <w:p w14:paraId="40732800" w14:textId="77777777" w:rsidR="006D0129" w:rsidRPr="00EC7EFC" w:rsidRDefault="006D0129" w:rsidP="00FF2CA0">
      <w:pPr>
        <w:pStyle w:val="ListParagraph"/>
        <w:numPr>
          <w:ilvl w:val="0"/>
          <w:numId w:val="2"/>
        </w:numPr>
        <w:spacing w:after="200" w:line="240" w:lineRule="auto"/>
        <w:rPr>
          <w:rFonts w:cs="Times New Roman"/>
        </w:rPr>
      </w:pPr>
      <w:r w:rsidRPr="00EC7EFC">
        <w:rPr>
          <w:rFonts w:cs="Times New Roman"/>
        </w:rPr>
        <w:t>Debonding due to tensile stress on the casing/cement and cement/rock int</w:t>
      </w:r>
      <w:r>
        <w:rPr>
          <w:rFonts w:cs="Times New Roman"/>
        </w:rPr>
        <w:t>erfaces (Bois et al.</w:t>
      </w:r>
      <w:r w:rsidRPr="00EC7EFC">
        <w:rPr>
          <w:rFonts w:cs="Times New Roman"/>
        </w:rPr>
        <w:t xml:space="preserve"> 2012)</w:t>
      </w:r>
    </w:p>
    <w:p w14:paraId="1CD266DD" w14:textId="77777777" w:rsidR="006D0129" w:rsidRPr="00EC7EFC" w:rsidRDefault="006D0129" w:rsidP="00FF2CA0">
      <w:pPr>
        <w:pStyle w:val="ListParagraph"/>
        <w:numPr>
          <w:ilvl w:val="0"/>
          <w:numId w:val="2"/>
        </w:numPr>
        <w:spacing w:after="200" w:line="240" w:lineRule="auto"/>
        <w:rPr>
          <w:rFonts w:cs="Times New Roman"/>
        </w:rPr>
      </w:pPr>
      <w:r w:rsidRPr="00EC7EFC">
        <w:rPr>
          <w:rFonts w:cs="Times New Roman"/>
        </w:rPr>
        <w:t xml:space="preserve">Fractures in the cement </w:t>
      </w:r>
      <w:r w:rsidRPr="001E64C9">
        <w:rPr>
          <w:rFonts w:cs="Times New Roman"/>
        </w:rPr>
        <w:t>and/or</w:t>
      </w:r>
      <w:r>
        <w:rPr>
          <w:rFonts w:cs="Times New Roman"/>
        </w:rPr>
        <w:t xml:space="preserve"> rock formation (Bois et al.</w:t>
      </w:r>
      <w:r w:rsidRPr="00EC7EFC">
        <w:rPr>
          <w:rFonts w:cs="Times New Roman"/>
        </w:rPr>
        <w:t xml:space="preserve"> 2012).</w:t>
      </w:r>
    </w:p>
    <w:p w14:paraId="4EC0DE1D" w14:textId="77777777" w:rsidR="006D0129" w:rsidRPr="00EC7EFC" w:rsidRDefault="006D0129" w:rsidP="00FF2CA0">
      <w:pPr>
        <w:pStyle w:val="ListParagraph"/>
        <w:numPr>
          <w:ilvl w:val="0"/>
          <w:numId w:val="2"/>
        </w:numPr>
        <w:spacing w:after="200" w:line="240" w:lineRule="auto"/>
        <w:rPr>
          <w:rFonts w:cs="Times New Roman"/>
        </w:rPr>
      </w:pPr>
      <w:r w:rsidRPr="001E64C9">
        <w:rPr>
          <w:rFonts w:cs="Times New Roman"/>
        </w:rPr>
        <w:t>Chemical dissolution and carbonatio</w:t>
      </w:r>
      <w:r>
        <w:rPr>
          <w:rFonts w:cs="Times New Roman"/>
        </w:rPr>
        <w:t>n of the cement (Nygaard et al.</w:t>
      </w:r>
      <w:r w:rsidRPr="001E64C9">
        <w:rPr>
          <w:rFonts w:cs="Times New Roman"/>
        </w:rPr>
        <w:t xml:space="preserve"> 2011).</w:t>
      </w:r>
    </w:p>
    <w:p w14:paraId="5815D05B" w14:textId="77777777" w:rsidR="006D0129" w:rsidRPr="00EC7EFC" w:rsidRDefault="006D0129" w:rsidP="00FF2CA0">
      <w:pPr>
        <w:pStyle w:val="ListParagraph"/>
        <w:numPr>
          <w:ilvl w:val="0"/>
          <w:numId w:val="2"/>
        </w:numPr>
        <w:spacing w:after="200" w:line="240" w:lineRule="auto"/>
        <w:rPr>
          <w:rFonts w:cs="Times New Roman"/>
        </w:rPr>
      </w:pPr>
      <w:r w:rsidRPr="001E64C9">
        <w:rPr>
          <w:rFonts w:cs="Times New Roman"/>
        </w:rPr>
        <w:t xml:space="preserve">Wear or corrosion of the casing (Watson </w:t>
      </w:r>
      <w:r>
        <w:rPr>
          <w:rFonts w:cs="Times New Roman"/>
        </w:rPr>
        <w:t>and Bachu, 2009; Nygaard et al.</w:t>
      </w:r>
      <w:r w:rsidRPr="001E64C9">
        <w:rPr>
          <w:rFonts w:cs="Times New Roman"/>
        </w:rPr>
        <w:t xml:space="preserve"> 2011).</w:t>
      </w:r>
    </w:p>
    <w:p w14:paraId="57E71A62" w14:textId="6AEACF18" w:rsidR="006D0129" w:rsidRDefault="006D0129" w:rsidP="0001633A">
      <w:pPr>
        <w:ind w:firstLine="360"/>
      </w:pPr>
      <w:r w:rsidRPr="00EC7EFC">
        <w:t xml:space="preserve">The various leakage pathways that can occur in the near wellbore </w:t>
      </w:r>
      <w:r w:rsidRPr="0006499B">
        <w:t>region are shown in Figure 2.</w:t>
      </w:r>
      <w:r w:rsidR="00535A03" w:rsidRPr="0006499B">
        <w:t>6</w:t>
      </w:r>
      <w:r w:rsidR="00AB74C8" w:rsidRPr="0006499B">
        <w:t xml:space="preserve"> and are divided between primary and secondary</w:t>
      </w:r>
      <w:r w:rsidRPr="0006499B">
        <w:t>.</w:t>
      </w:r>
      <w:r w:rsidR="00AB74C8" w:rsidRPr="0006499B">
        <w:t xml:space="preserve"> The subsequent se</w:t>
      </w:r>
      <w:r w:rsidR="00AB74C8">
        <w:t>ctions discuss the leakage mechanisms for the rock formation, casing, and cement sheath.</w:t>
      </w:r>
    </w:p>
    <w:p w14:paraId="57EC0DF2" w14:textId="77777777" w:rsidR="006D0129" w:rsidRDefault="006D0129" w:rsidP="00BC23AD">
      <w:pPr>
        <w:pStyle w:val="NoSpacing"/>
      </w:pPr>
      <w:r w:rsidRPr="001E64C9">
        <w:rPr>
          <w:noProof/>
        </w:rPr>
        <w:lastRenderedPageBreak/>
        <w:drawing>
          <wp:inline distT="0" distB="0" distL="0" distR="0" wp14:anchorId="22FDCEE4" wp14:editId="7DF6D917">
            <wp:extent cx="5943600" cy="3559117"/>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943600" cy="3559117"/>
                    </a:xfrm>
                    <a:prstGeom prst="rect">
                      <a:avLst/>
                    </a:prstGeom>
                  </pic:spPr>
                </pic:pic>
              </a:graphicData>
            </a:graphic>
          </wp:inline>
        </w:drawing>
      </w:r>
    </w:p>
    <w:p w14:paraId="74F8BA6D" w14:textId="2AA9B9EF" w:rsidR="00162E27" w:rsidRDefault="006D0129" w:rsidP="00BC23AD">
      <w:pPr>
        <w:pStyle w:val="Caption"/>
      </w:pPr>
      <w:bookmarkStart w:id="17" w:name="_Toc67566189"/>
      <w:r>
        <w:t xml:space="preserve">Figure </w:t>
      </w:r>
      <w:r w:rsidR="00077C0B">
        <w:fldChar w:fldCharType="begin"/>
      </w:r>
      <w:r w:rsidR="00077C0B">
        <w:instrText xml:space="preserve"> STYLEREF 1 \s </w:instrText>
      </w:r>
      <w:r w:rsidR="00077C0B">
        <w:fldChar w:fldCharType="separate"/>
      </w:r>
      <w:r w:rsidR="0006023A">
        <w:rPr>
          <w:noProof/>
        </w:rPr>
        <w:t>2</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6</w:t>
      </w:r>
      <w:r w:rsidR="00077C0B">
        <w:rPr>
          <w:noProof/>
        </w:rPr>
        <w:fldChar w:fldCharType="end"/>
      </w:r>
      <w:r>
        <w:t>: Primary and secondary leakage pathwa</w:t>
      </w:r>
      <w:r w:rsidR="008E2D58">
        <w:t xml:space="preserve">ys in the near wellbore region. Picture from </w:t>
      </w:r>
      <w:r>
        <w:t xml:space="preserve">Weideman </w:t>
      </w:r>
      <w:r w:rsidR="008E2D58">
        <w:t>(</w:t>
      </w:r>
      <w:r>
        <w:t>2014).</w:t>
      </w:r>
      <w:bookmarkEnd w:id="17"/>
    </w:p>
    <w:p w14:paraId="33228490" w14:textId="6F72C677" w:rsidR="008E2D58" w:rsidRDefault="008E2D58" w:rsidP="008E2D58">
      <w:pPr>
        <w:ind w:firstLine="720"/>
      </w:pPr>
      <w:r>
        <w:t>Steel is a well-studied material. The rock formation has also been studied extensively in the past</w:t>
      </w:r>
      <w:r w:rsidR="007413EC">
        <w:t>,</w:t>
      </w:r>
      <w:r>
        <w:t xml:space="preserve"> however</w:t>
      </w:r>
      <w:r w:rsidR="007413EC">
        <w:t>,</w:t>
      </w:r>
      <w:r>
        <w:t xml:space="preserve"> there are </w:t>
      </w:r>
      <w:r w:rsidR="000F65E8">
        <w:t xml:space="preserve">fewer </w:t>
      </w:r>
      <w:r>
        <w:t>design aspects the engineers can do for long term integrity with respect to</w:t>
      </w:r>
      <w:r w:rsidR="000F65E8">
        <w:t xml:space="preserve"> the</w:t>
      </w:r>
      <w:r>
        <w:t xml:space="preserve"> formation. The cement used when completing and eventually plugging the well is less understood with complications from all the different additives. Therefore, this work focuses on </w:t>
      </w:r>
      <w:r w:rsidR="00BA7A49">
        <w:t>determining if leakage occurs through the cement sheath, specifically</w:t>
      </w:r>
      <w:r w:rsidR="00B759BB">
        <w:t>,</w:t>
      </w:r>
      <w:r w:rsidR="00BA7A49">
        <w:t xml:space="preserve"> secondary leakage mechanisms of debonding and/or fractures.</w:t>
      </w:r>
      <w:r>
        <w:t xml:space="preserve"> </w:t>
      </w:r>
    </w:p>
    <w:p w14:paraId="426F1978" w14:textId="28B364A0" w:rsidR="009C3235" w:rsidRPr="009C3235" w:rsidRDefault="009C3235" w:rsidP="003E1B51">
      <w:pPr>
        <w:pStyle w:val="Heading3"/>
      </w:pPr>
      <w:bookmarkStart w:id="18" w:name="_Toc67566025"/>
      <w:r>
        <w:t>Cement Secondary Failure Mechanisms</w:t>
      </w:r>
      <w:bookmarkEnd w:id="18"/>
    </w:p>
    <w:p w14:paraId="796153C9" w14:textId="61DE4977" w:rsidR="006D0129" w:rsidRDefault="009C3235" w:rsidP="006D0129">
      <w:pPr>
        <w:ind w:firstLine="720"/>
      </w:pPr>
      <w:r>
        <w:t xml:space="preserve">Secondary failure mechanisms of the cement sheath are </w:t>
      </w:r>
      <w:r w:rsidRPr="00133B21">
        <w:t xml:space="preserve">shown in Figure </w:t>
      </w:r>
      <w:r w:rsidR="00195B19" w:rsidRPr="00133B21">
        <w:t>2.</w:t>
      </w:r>
      <w:r w:rsidR="00CF19EB" w:rsidRPr="00133B21">
        <w:t>7</w:t>
      </w:r>
      <w:r w:rsidRPr="00133B21">
        <w:t xml:space="preserve">. Debonding occurs at the cement interface when the effective radial stress is less than the tensile bond strength of the interface as shown in Equation </w:t>
      </w:r>
      <w:r w:rsidR="00CF19EB" w:rsidRPr="00133B21">
        <w:t>2.21</w:t>
      </w:r>
      <w:r w:rsidRPr="00133B21">
        <w:t xml:space="preserve">. </w:t>
      </w:r>
      <w:r w:rsidR="006D0129" w:rsidRPr="00133B21">
        <w:t>Radial cracks occur when the effective hoop stress is less than the tensile strength of the cement as shown in Equation</w:t>
      </w:r>
      <w:r w:rsidR="00CF19EB" w:rsidRPr="00133B21">
        <w:t xml:space="preserve"> 2.22</w:t>
      </w:r>
      <w:r w:rsidR="00300D4C" w:rsidRPr="00133B21">
        <w:t>. S</w:t>
      </w:r>
      <w:r w:rsidR="006D0129" w:rsidRPr="00133B21">
        <w:t xml:space="preserve">hear cracks occur when the effective shear stress is greater than the maximum allowable shear stress of the cement (as </w:t>
      </w:r>
      <w:r w:rsidR="006D0129" w:rsidRPr="00133B21">
        <w:lastRenderedPageBreak/>
        <w:t xml:space="preserve">defined by </w:t>
      </w:r>
      <w:r w:rsidR="00300D4C" w:rsidRPr="00133B21">
        <w:t>the shear failure criteria)</w:t>
      </w:r>
      <w:r w:rsidR="006D0129" w:rsidRPr="00133B21">
        <w:t xml:space="preserve"> as shown in Equation</w:t>
      </w:r>
      <w:r w:rsidR="00CF19EB" w:rsidRPr="00133B21">
        <w:t xml:space="preserve"> 2.23</w:t>
      </w:r>
      <w:r w:rsidR="006D0129" w:rsidRPr="00133B21">
        <w:t xml:space="preserve">. Disking occurs when the effective vertical stress is less than the tensile strength of the cement as shown in Equation </w:t>
      </w:r>
      <w:r w:rsidR="000E0CDA" w:rsidRPr="00133B21">
        <w:t>2.24</w:t>
      </w:r>
      <w:r w:rsidR="00997773" w:rsidRPr="00133B21">
        <w:t>.</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C3235" w14:paraId="5D96B86A" w14:textId="77777777" w:rsidTr="00E74AF7">
        <w:trPr>
          <w:trHeight w:val="576"/>
        </w:trPr>
        <w:tc>
          <w:tcPr>
            <w:tcW w:w="720" w:type="dxa"/>
            <w:vAlign w:val="center"/>
          </w:tcPr>
          <w:p w14:paraId="68E7AFD1" w14:textId="6D111267" w:rsidR="009C3235" w:rsidRDefault="009C3235" w:rsidP="00E74AF7">
            <w:pPr>
              <w:spacing w:line="240" w:lineRule="auto"/>
              <w:jc w:val="center"/>
            </w:pPr>
          </w:p>
        </w:tc>
        <w:tc>
          <w:tcPr>
            <w:tcW w:w="7920" w:type="dxa"/>
            <w:vAlign w:val="center"/>
          </w:tcPr>
          <w:p w14:paraId="1B50D0D3" w14:textId="6E8959C8" w:rsidR="009C3235" w:rsidRPr="00300D4C" w:rsidRDefault="00077C0B" w:rsidP="003F1600">
            <w:pPr>
              <w:spacing w:line="240" w:lineRule="auto"/>
              <w:jc w:val="center"/>
              <w:rPr>
                <w:rFonts w:eastAsiaTheme="minorEastAsia"/>
              </w:rPr>
            </w:pPr>
            <m:oMathPara>
              <m:oMath>
                <m:sSubSup>
                  <m:sSubSupPr>
                    <m:ctrlPr>
                      <w:rPr>
                        <w:rFonts w:ascii="Cambria Math" w:hAnsi="Cambria Math"/>
                        <w:i/>
                      </w:rPr>
                    </m:ctrlPr>
                  </m:sSubSupPr>
                  <m:e>
                    <m:r>
                      <w:rPr>
                        <w:rFonts w:ascii="Cambria Math" w:hAnsi="Cambria Math"/>
                      </w:rPr>
                      <m:t>σ</m:t>
                    </m:r>
                  </m:e>
                  <m:sub>
                    <m:r>
                      <w:rPr>
                        <w:rFonts w:ascii="Cambria Math" w:hAnsi="Cambria Math"/>
                      </w:rPr>
                      <m:t>r</m:t>
                    </m:r>
                  </m:sub>
                  <m:sup>
                    <m:r>
                      <w:rPr>
                        <w:rFonts w:ascii="Cambria Math" w:hAnsi="Cambria Math"/>
                      </w:rPr>
                      <m:t>'</m:t>
                    </m:r>
                  </m:sup>
                </m:sSubSup>
                <m:r>
                  <w:rPr>
                    <w:rFonts w:ascii="Cambria Math" w:hAnsi="Cambria Math"/>
                  </w:rPr>
                  <m:t>≤</m:t>
                </m:r>
                <m:sSup>
                  <m:sSupPr>
                    <m:ctrlPr>
                      <w:rPr>
                        <w:rFonts w:ascii="Cambria Math" w:hAnsi="Cambria Math"/>
                        <w:i/>
                      </w:rPr>
                    </m:ctrlPr>
                  </m:sSupPr>
                  <m:e>
                    <m:r>
                      <w:rPr>
                        <w:rFonts w:ascii="Cambria Math" w:hAnsi="Cambria Math"/>
                      </w:rPr>
                      <m:t>τ</m:t>
                    </m:r>
                  </m:e>
                  <m:sup>
                    <m:r>
                      <w:rPr>
                        <w:rFonts w:ascii="Cambria Math" w:hAnsi="Cambria Math"/>
                      </w:rPr>
                      <m:t>o</m:t>
                    </m:r>
                  </m:sup>
                </m:sSup>
                <m:r>
                  <w:rPr>
                    <w:rFonts w:ascii="Cambria Math" w:hAnsi="Cambria Math"/>
                  </w:rPr>
                  <m:t xml:space="preserve"> </m:t>
                </m:r>
              </m:oMath>
            </m:oMathPara>
          </w:p>
        </w:tc>
        <w:tc>
          <w:tcPr>
            <w:tcW w:w="720" w:type="dxa"/>
            <w:vAlign w:val="bottom"/>
          </w:tcPr>
          <w:p w14:paraId="0667F7B6" w14:textId="6D25AA6A" w:rsidR="009C3235"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9C3235">
              <w:t>.</w:t>
            </w:r>
            <w:r>
              <w:fldChar w:fldCharType="begin"/>
            </w:r>
            <w:r>
              <w:instrText xml:space="preserve"> SEQ Equation \* ARABIC \s 1 </w:instrText>
            </w:r>
            <w:r>
              <w:fldChar w:fldCharType="separate"/>
            </w:r>
            <w:r w:rsidR="0006023A">
              <w:rPr>
                <w:noProof/>
              </w:rPr>
              <w:t>21</w:t>
            </w:r>
            <w:r>
              <w:rPr>
                <w:noProof/>
              </w:rPr>
              <w:fldChar w:fldCharType="end"/>
            </w:r>
          </w:p>
        </w:tc>
      </w:tr>
    </w:tbl>
    <w:p w14:paraId="242D0CAF" w14:textId="7A93AB5E" w:rsidR="009C3235" w:rsidRDefault="009C3235" w:rsidP="009C3235"/>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6D0129" w14:paraId="655E098A" w14:textId="77777777" w:rsidTr="00665B67">
        <w:trPr>
          <w:trHeight w:val="576"/>
        </w:trPr>
        <w:tc>
          <w:tcPr>
            <w:tcW w:w="720" w:type="dxa"/>
            <w:vAlign w:val="center"/>
          </w:tcPr>
          <w:p w14:paraId="102535C9" w14:textId="3592F65F" w:rsidR="006D0129" w:rsidRDefault="006D0129" w:rsidP="00665B67">
            <w:pPr>
              <w:spacing w:line="240" w:lineRule="auto"/>
              <w:jc w:val="center"/>
            </w:pPr>
          </w:p>
        </w:tc>
        <w:tc>
          <w:tcPr>
            <w:tcW w:w="7920" w:type="dxa"/>
            <w:vAlign w:val="center"/>
          </w:tcPr>
          <w:p w14:paraId="081D1F30" w14:textId="75933899" w:rsidR="006D0129" w:rsidRPr="00300D4C" w:rsidRDefault="00077C0B" w:rsidP="00300D4C">
            <w:pPr>
              <w:spacing w:line="240" w:lineRule="auto"/>
              <w:jc w:val="center"/>
              <w:rPr>
                <w:rFonts w:eastAsiaTheme="minorEastAsia"/>
              </w:rPr>
            </w:pPr>
            <m:oMathPara>
              <m:oMath>
                <m:sSubSup>
                  <m:sSubSupPr>
                    <m:ctrlPr>
                      <w:rPr>
                        <w:rFonts w:ascii="Cambria Math" w:hAnsi="Cambria Math"/>
                        <w:i/>
                      </w:rPr>
                    </m:ctrlPr>
                  </m:sSubSupPr>
                  <m:e>
                    <m:r>
                      <w:rPr>
                        <w:rFonts w:ascii="Cambria Math" w:hAnsi="Cambria Math"/>
                      </w:rPr>
                      <m:t>σ</m:t>
                    </m:r>
                  </m:e>
                  <m:sub>
                    <m:r>
                      <w:rPr>
                        <w:rFonts w:ascii="Cambria Math" w:hAnsi="Cambria Math"/>
                      </w:rPr>
                      <m:t>θ</m:t>
                    </m:r>
                  </m:sub>
                  <m:sup>
                    <m:r>
                      <w:rPr>
                        <w:rFonts w:ascii="Cambria Math" w:hAnsi="Cambria Math"/>
                      </w:rPr>
                      <m:t>'</m:t>
                    </m:r>
                  </m:sup>
                </m:sSubSup>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o</m:t>
                    </m:r>
                  </m:sub>
                </m:sSub>
              </m:oMath>
            </m:oMathPara>
          </w:p>
        </w:tc>
        <w:tc>
          <w:tcPr>
            <w:tcW w:w="720" w:type="dxa"/>
            <w:vAlign w:val="bottom"/>
          </w:tcPr>
          <w:p w14:paraId="60422A4F" w14:textId="5563741F" w:rsidR="006D0129"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6D0129">
              <w:t>.</w:t>
            </w:r>
            <w:r>
              <w:fldChar w:fldCharType="begin"/>
            </w:r>
            <w:r>
              <w:instrText xml:space="preserve"> SEQ Equation \* ARABIC \s 1 </w:instrText>
            </w:r>
            <w:r>
              <w:fldChar w:fldCharType="separate"/>
            </w:r>
            <w:r w:rsidR="0006023A">
              <w:rPr>
                <w:noProof/>
              </w:rPr>
              <w:t>22</w:t>
            </w:r>
            <w:r>
              <w:rPr>
                <w:noProof/>
              </w:rPr>
              <w:fldChar w:fldCharType="end"/>
            </w:r>
          </w:p>
        </w:tc>
      </w:tr>
    </w:tbl>
    <w:p w14:paraId="63A0E21A" w14:textId="77777777" w:rsidR="006D0129" w:rsidRDefault="006D0129" w:rsidP="006D0129">
      <w:pPr>
        <w:ind w:firstLine="720"/>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6D0129" w14:paraId="7AA44723" w14:textId="77777777" w:rsidTr="00665B67">
        <w:trPr>
          <w:trHeight w:val="576"/>
        </w:trPr>
        <w:tc>
          <w:tcPr>
            <w:tcW w:w="720" w:type="dxa"/>
            <w:vAlign w:val="center"/>
          </w:tcPr>
          <w:p w14:paraId="2E0ED9A9" w14:textId="7E8499F3" w:rsidR="006D0129" w:rsidRDefault="006D0129" w:rsidP="00665B67">
            <w:pPr>
              <w:spacing w:line="240" w:lineRule="auto"/>
              <w:jc w:val="center"/>
            </w:pPr>
          </w:p>
        </w:tc>
        <w:tc>
          <w:tcPr>
            <w:tcW w:w="7920" w:type="dxa"/>
            <w:vAlign w:val="center"/>
          </w:tcPr>
          <w:p w14:paraId="27BF1DA5" w14:textId="3EB2757B" w:rsidR="006D0129" w:rsidRPr="00300D4C" w:rsidRDefault="00077C0B" w:rsidP="00300D4C">
            <w:pPr>
              <w:spacing w:line="240" w:lineRule="auto"/>
              <w:jc w:val="center"/>
              <w:rPr>
                <w:rFonts w:eastAsiaTheme="minorEastAsia"/>
              </w:rPr>
            </w:pPr>
            <m:oMathPara>
              <m:oMath>
                <m:sSub>
                  <m:sSubPr>
                    <m:ctrlPr>
                      <w:rPr>
                        <w:rFonts w:ascii="Cambria Math" w:hAnsi="Cambria Math"/>
                        <w:i/>
                      </w:rPr>
                    </m:ctrlPr>
                  </m:sSubPr>
                  <m:e>
                    <m:r>
                      <w:rPr>
                        <w:rFonts w:ascii="Cambria Math" w:hAnsi="Cambria Math"/>
                      </w:rPr>
                      <m:t>τ</m:t>
                    </m:r>
                  </m:e>
                  <m:sub>
                    <m:r>
                      <w:rPr>
                        <w:rFonts w:ascii="Cambria Math" w:hAnsi="Cambria Math"/>
                      </w:rPr>
                      <m:t>f</m:t>
                    </m:r>
                  </m:sub>
                </m:sSub>
                <m:r>
                  <w:rPr>
                    <w:rFonts w:ascii="Cambria Math" w:hAnsi="Cambria Math"/>
                  </w:rPr>
                  <m:t>≥</m:t>
                </m:r>
                <m:sSub>
                  <m:sSubPr>
                    <m:ctrlPr>
                      <w:rPr>
                        <w:rFonts w:ascii="Cambria Math" w:hAnsi="Cambria Math"/>
                        <w:i/>
                      </w:rPr>
                    </m:ctrlPr>
                  </m:sSubPr>
                  <m:e>
                    <m:r>
                      <w:rPr>
                        <w:rFonts w:ascii="Cambria Math" w:hAnsi="Cambria Math"/>
                      </w:rPr>
                      <m:t>τ</m:t>
                    </m:r>
                  </m:e>
                  <m:sub>
                    <m:r>
                      <w:rPr>
                        <w:rFonts w:ascii="Cambria Math" w:hAnsi="Cambria Math"/>
                      </w:rPr>
                      <m:t>criteria</m:t>
                    </m:r>
                  </m:sub>
                </m:sSub>
              </m:oMath>
            </m:oMathPara>
          </w:p>
        </w:tc>
        <w:tc>
          <w:tcPr>
            <w:tcW w:w="720" w:type="dxa"/>
            <w:vAlign w:val="bottom"/>
          </w:tcPr>
          <w:p w14:paraId="69E1130A" w14:textId="6A85F7D2" w:rsidR="006D0129"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6D0129">
              <w:t>.</w:t>
            </w:r>
            <w:r>
              <w:fldChar w:fldCharType="begin"/>
            </w:r>
            <w:r>
              <w:instrText xml:space="preserve"> SEQ Equation \* ARABIC \s 1 </w:instrText>
            </w:r>
            <w:r>
              <w:fldChar w:fldCharType="separate"/>
            </w:r>
            <w:r w:rsidR="0006023A">
              <w:rPr>
                <w:noProof/>
              </w:rPr>
              <w:t>23</w:t>
            </w:r>
            <w:r>
              <w:rPr>
                <w:noProof/>
              </w:rPr>
              <w:fldChar w:fldCharType="end"/>
            </w:r>
          </w:p>
        </w:tc>
      </w:tr>
    </w:tbl>
    <w:p w14:paraId="0B4A081F" w14:textId="77777777" w:rsidR="006D0129" w:rsidRDefault="006D0129" w:rsidP="006D0129">
      <w:pPr>
        <w:ind w:firstLine="720"/>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6D0129" w14:paraId="55F4602E" w14:textId="77777777" w:rsidTr="00665B67">
        <w:trPr>
          <w:trHeight w:val="576"/>
        </w:trPr>
        <w:tc>
          <w:tcPr>
            <w:tcW w:w="720" w:type="dxa"/>
            <w:vAlign w:val="center"/>
          </w:tcPr>
          <w:p w14:paraId="32265139" w14:textId="1F03430C" w:rsidR="006D0129" w:rsidRDefault="006D0129" w:rsidP="00665B67">
            <w:pPr>
              <w:spacing w:line="240" w:lineRule="auto"/>
              <w:jc w:val="center"/>
            </w:pPr>
          </w:p>
        </w:tc>
        <w:tc>
          <w:tcPr>
            <w:tcW w:w="7920" w:type="dxa"/>
            <w:vAlign w:val="center"/>
          </w:tcPr>
          <w:p w14:paraId="362EEA37" w14:textId="51D3D024" w:rsidR="006D0129" w:rsidRPr="00300D4C" w:rsidRDefault="00077C0B" w:rsidP="00300D4C">
            <w:pPr>
              <w:spacing w:line="240" w:lineRule="auto"/>
              <w:jc w:val="center"/>
              <w:rPr>
                <w:rFonts w:eastAsiaTheme="minorEastAsia"/>
              </w:rPr>
            </w:pPr>
            <m:oMathPara>
              <m:oMath>
                <m:sSubSup>
                  <m:sSubSupPr>
                    <m:ctrlPr>
                      <w:rPr>
                        <w:rFonts w:ascii="Cambria Math" w:hAnsi="Cambria Math"/>
                        <w:i/>
                      </w:rPr>
                    </m:ctrlPr>
                  </m:sSubSupPr>
                  <m:e>
                    <m:r>
                      <w:rPr>
                        <w:rFonts w:ascii="Cambria Math" w:hAnsi="Cambria Math"/>
                      </w:rPr>
                      <m:t>σ</m:t>
                    </m:r>
                  </m:e>
                  <m:sub>
                    <m:r>
                      <w:rPr>
                        <w:rFonts w:ascii="Cambria Math" w:hAnsi="Cambria Math"/>
                      </w:rPr>
                      <m:t>v</m:t>
                    </m:r>
                  </m:sub>
                  <m:sup>
                    <m:r>
                      <w:rPr>
                        <w:rFonts w:ascii="Cambria Math" w:hAnsi="Cambria Math"/>
                      </w:rPr>
                      <m:t>'</m:t>
                    </m:r>
                  </m:sup>
                </m:sSubSup>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o</m:t>
                    </m:r>
                  </m:sub>
                </m:sSub>
              </m:oMath>
            </m:oMathPara>
          </w:p>
        </w:tc>
        <w:tc>
          <w:tcPr>
            <w:tcW w:w="720" w:type="dxa"/>
            <w:vAlign w:val="bottom"/>
          </w:tcPr>
          <w:p w14:paraId="40DC13E7" w14:textId="116CFB16" w:rsidR="006D0129"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6D0129">
              <w:t>.</w:t>
            </w:r>
            <w:r>
              <w:fldChar w:fldCharType="begin"/>
            </w:r>
            <w:r>
              <w:instrText xml:space="preserve"> SEQ Equation \* ARABIC \s 1 </w:instrText>
            </w:r>
            <w:r>
              <w:fldChar w:fldCharType="separate"/>
            </w:r>
            <w:r w:rsidR="0006023A">
              <w:rPr>
                <w:noProof/>
              </w:rPr>
              <w:t>24</w:t>
            </w:r>
            <w:r>
              <w:rPr>
                <w:noProof/>
              </w:rPr>
              <w:fldChar w:fldCharType="end"/>
            </w:r>
          </w:p>
        </w:tc>
      </w:tr>
    </w:tbl>
    <w:p w14:paraId="1B1AA7B2" w14:textId="65FAE85B" w:rsidR="006D0129" w:rsidRDefault="006D0129" w:rsidP="006D0129">
      <w:pPr>
        <w:ind w:firstLine="720"/>
      </w:pPr>
    </w:p>
    <w:p w14:paraId="68A0091D" w14:textId="77777777" w:rsidR="006D0129" w:rsidRDefault="006D0129" w:rsidP="00BC23AD">
      <w:pPr>
        <w:pStyle w:val="NoSpacing"/>
      </w:pPr>
      <w:r w:rsidRPr="00997773">
        <w:rPr>
          <w:noProof/>
        </w:rPr>
        <w:drawing>
          <wp:inline distT="0" distB="0" distL="0" distR="0" wp14:anchorId="13022C21" wp14:editId="5563A6DC">
            <wp:extent cx="4572000" cy="2791206"/>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72000" cy="2791206"/>
                    </a:xfrm>
                    <a:prstGeom prst="rect">
                      <a:avLst/>
                    </a:prstGeom>
                    <a:noFill/>
                  </pic:spPr>
                </pic:pic>
              </a:graphicData>
            </a:graphic>
          </wp:inline>
        </w:drawing>
      </w:r>
    </w:p>
    <w:p w14:paraId="5E8A993D" w14:textId="08DCD9D0" w:rsidR="006D0129" w:rsidRDefault="006D0129" w:rsidP="00BC23AD">
      <w:pPr>
        <w:pStyle w:val="Caption"/>
      </w:pPr>
      <w:bookmarkStart w:id="19" w:name="_Toc67566190"/>
      <w:r>
        <w:t xml:space="preserve">Figure </w:t>
      </w:r>
      <w:r w:rsidR="00077C0B">
        <w:fldChar w:fldCharType="begin"/>
      </w:r>
      <w:r w:rsidR="00077C0B">
        <w:instrText xml:space="preserve"> STYLEREF 1 \s </w:instrText>
      </w:r>
      <w:r w:rsidR="00077C0B">
        <w:fldChar w:fldCharType="separate"/>
      </w:r>
      <w:r w:rsidR="0006023A">
        <w:rPr>
          <w:noProof/>
        </w:rPr>
        <w:t>2</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7</w:t>
      </w:r>
      <w:r w:rsidR="00077C0B">
        <w:rPr>
          <w:noProof/>
        </w:rPr>
        <w:fldChar w:fldCharType="end"/>
      </w:r>
      <w:r>
        <w:t xml:space="preserve"> A: Failure mechanisms within the cement sheath showing inner and outer debonding, radial cracks, and shear cracks. B: Failure mechanism within the cement sheath showing disking.</w:t>
      </w:r>
      <w:bookmarkEnd w:id="19"/>
    </w:p>
    <w:p w14:paraId="1D0A03F5" w14:textId="416CBF36" w:rsidR="006D0129" w:rsidRDefault="006D0129" w:rsidP="009C3235">
      <w:pPr>
        <w:ind w:firstLine="720"/>
      </w:pPr>
      <w:r>
        <w:t>Since physically investigating</w:t>
      </w:r>
      <w:r w:rsidR="009C3235">
        <w:t xml:space="preserve"> which secondary leakage mechanism occurs in offshore wells is not </w:t>
      </w:r>
      <w:r w:rsidR="000F65E8">
        <w:t xml:space="preserve">expected </w:t>
      </w:r>
      <w:r w:rsidR="009C3235">
        <w:t xml:space="preserve">due to cost and </w:t>
      </w:r>
      <w:r w:rsidR="00551E69">
        <w:t>difficult conditions</w:t>
      </w:r>
      <w:r w:rsidR="009C3235">
        <w:t>,</w:t>
      </w:r>
      <w:r>
        <w:t xml:space="preserve"> numerical methods</w:t>
      </w:r>
      <w:r w:rsidR="009C3235">
        <w:t xml:space="preserve"> have been used to predict wh</w:t>
      </w:r>
      <w:r w:rsidR="00F646C8">
        <w:t>ich mechanisms are most likely.</w:t>
      </w:r>
      <w:r>
        <w:t xml:space="preserve"> FEA models replicating the short and long term behavior of wellbores show that debonding is the predominant failure mechanism</w:t>
      </w:r>
      <w:r w:rsidR="00435194">
        <w:t xml:space="preserve"> (</w:t>
      </w:r>
      <w:r w:rsidR="00FF3468">
        <w:t xml:space="preserve">Zhang et al. </w:t>
      </w:r>
      <w:r w:rsidR="00FF3468">
        <w:lastRenderedPageBreak/>
        <w:t xml:space="preserve">2017; Crain et al. 2018; Bois et al. 2019; </w:t>
      </w:r>
      <w:r w:rsidR="00195B19">
        <w:t>Patel and Salehi 2019</w:t>
      </w:r>
      <w:r w:rsidR="00435194">
        <w:t>)</w:t>
      </w:r>
      <w:r>
        <w:t xml:space="preserve">. </w:t>
      </w:r>
      <w:r w:rsidR="00435194">
        <w:t xml:space="preserve">The theory and physics behind cement sheath debonding </w:t>
      </w:r>
      <w:r w:rsidR="000F65E8">
        <w:t xml:space="preserve">are </w:t>
      </w:r>
      <w:r w:rsidR="00435194">
        <w:t>discussed in the following section.</w:t>
      </w:r>
    </w:p>
    <w:p w14:paraId="061AA933" w14:textId="085598AF" w:rsidR="00F53DF8" w:rsidRPr="00280C2E" w:rsidRDefault="00F53DF8" w:rsidP="00661D90">
      <w:pPr>
        <w:pStyle w:val="Heading4"/>
      </w:pPr>
      <w:r w:rsidRPr="00280C2E">
        <w:t>Debonding</w:t>
      </w:r>
    </w:p>
    <w:p w14:paraId="1625415B" w14:textId="54D320B2" w:rsidR="009C3DFF" w:rsidRDefault="00997773" w:rsidP="00997773">
      <w:pPr>
        <w:ind w:firstLine="720"/>
      </w:pPr>
      <w:r>
        <w:t>Three different types of debonding that can occur</w:t>
      </w:r>
      <w:r w:rsidR="00EA6FF2">
        <w:t xml:space="preserve"> in wellbore cement sheaths</w:t>
      </w:r>
      <w:r>
        <w:t xml:space="preserve">: tensile, shear, and hydraulic (Opedal et al. 2019). </w:t>
      </w:r>
      <w:r w:rsidR="008D6A13">
        <w:t xml:space="preserve">Tensile bond strength is the force required to initiate perpendicular movement between the cement to the casing and/or formation. Shear bond strength is the force required to initiate parallel movement between the cement to the casing and/or formation. Finally, hydraulic bond strength is the fluid force required to propagate fluid flow </w:t>
      </w:r>
      <w:r w:rsidR="008D6A13" w:rsidRPr="00133B21">
        <w:t xml:space="preserve">between the cement and adjacent material. </w:t>
      </w:r>
      <w:r w:rsidRPr="00133B21">
        <w:t>A schematic of each bonding mechanism is shown in Figure 2.</w:t>
      </w:r>
      <w:r w:rsidR="00EA6FF2" w:rsidRPr="00133B21">
        <w:t>8</w:t>
      </w:r>
      <w:r w:rsidRPr="00133B21">
        <w:t>.</w:t>
      </w:r>
    </w:p>
    <w:p w14:paraId="1C15F041" w14:textId="77777777" w:rsidR="009C3DFF" w:rsidRDefault="009C3DFF" w:rsidP="00BC23AD">
      <w:pPr>
        <w:pStyle w:val="NoSpacing"/>
      </w:pPr>
      <w:r>
        <w:rPr>
          <w:noProof/>
        </w:rPr>
        <w:drawing>
          <wp:inline distT="0" distB="0" distL="0" distR="0" wp14:anchorId="164162B6" wp14:editId="6574A25A">
            <wp:extent cx="5669280" cy="26273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69280" cy="2627300"/>
                    </a:xfrm>
                    <a:prstGeom prst="rect">
                      <a:avLst/>
                    </a:prstGeom>
                    <a:noFill/>
                  </pic:spPr>
                </pic:pic>
              </a:graphicData>
            </a:graphic>
          </wp:inline>
        </w:drawing>
      </w:r>
    </w:p>
    <w:p w14:paraId="10AEA01E" w14:textId="6F6CE24E" w:rsidR="009C3DFF" w:rsidRDefault="009C3DFF" w:rsidP="00BC23AD">
      <w:pPr>
        <w:pStyle w:val="Caption"/>
      </w:pPr>
      <w:bookmarkStart w:id="20" w:name="_Toc67566191"/>
      <w:r>
        <w:t xml:space="preserve">Figure </w:t>
      </w:r>
      <w:r w:rsidR="00077C0B">
        <w:fldChar w:fldCharType="begin"/>
      </w:r>
      <w:r w:rsidR="00077C0B">
        <w:instrText xml:space="preserve"> STYLEREF 1 \s </w:instrText>
      </w:r>
      <w:r w:rsidR="00077C0B">
        <w:fldChar w:fldCharType="separate"/>
      </w:r>
      <w:r w:rsidR="0006023A">
        <w:rPr>
          <w:noProof/>
        </w:rPr>
        <w:t>2</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8</w:t>
      </w:r>
      <w:r w:rsidR="00077C0B">
        <w:rPr>
          <w:noProof/>
        </w:rPr>
        <w:fldChar w:fldCharType="end"/>
      </w:r>
      <w:r>
        <w:t>: Schematic of the three bond strengths: tensile, shear, and hydraulic.</w:t>
      </w:r>
      <w:bookmarkEnd w:id="20"/>
    </w:p>
    <w:p w14:paraId="3DB8C68A" w14:textId="385DC16C" w:rsidR="00E36E88" w:rsidRDefault="00044156" w:rsidP="006D5A2B">
      <w:pPr>
        <w:ind w:firstLine="720"/>
      </w:pPr>
      <w:r>
        <w:t xml:space="preserve">Tensile bond strength has been measured experimentally through different methods. </w:t>
      </w:r>
      <w:r w:rsidR="00E36E88" w:rsidRPr="004C0DD3">
        <w:t xml:space="preserve">Cerasi and Stroisz </w:t>
      </w:r>
      <w:r w:rsidR="00E36E88">
        <w:t>(</w:t>
      </w:r>
      <w:r w:rsidR="00E36E88" w:rsidRPr="004C0DD3">
        <w:t>2015</w:t>
      </w:r>
      <w:r w:rsidR="00E36E88">
        <w:t xml:space="preserve">) performed direct tensile bond strength experiments with cement/Berea sandstone samples to replicate the cement to formation bonding. These direct tensile bond strength experiments consisted of curing cement directly on top of a sandstone core. A tensile </w:t>
      </w:r>
      <w:r w:rsidR="000F7A3D">
        <w:t>apparatus is</w:t>
      </w:r>
      <w:r w:rsidR="00E36E88">
        <w:t xml:space="preserve"> connected to one end of the sample while the other end is fixed in place. The force versus </w:t>
      </w:r>
      <w:r w:rsidR="00E36E88">
        <w:lastRenderedPageBreak/>
        <w:t>displacement of the test is recorded</w:t>
      </w:r>
      <w:r w:rsidR="000F65E8">
        <w:t>,</w:t>
      </w:r>
      <w:r w:rsidR="00E36E88">
        <w:t xml:space="preserve"> and the tensile bond strength can be calculated </w:t>
      </w:r>
      <w:r w:rsidR="00061EC9">
        <w:t>from</w:t>
      </w:r>
      <w:r w:rsidR="00E36E88">
        <w:t xml:space="preserve"> the maximum force and the surface area of the bond. Cerasi and Stroisz’s (2015) results showed that failure occurs in the sandstone</w:t>
      </w:r>
      <w:r w:rsidR="000F65E8">
        <w:t>,</w:t>
      </w:r>
      <w:r w:rsidR="00E36E88">
        <w:t xml:space="preserve"> not the cement/sandstone interface. This result indicates that the cement/sandstone tensile bond strength is stronger than the strength of the sandstone. Cerasi and Stroisz’s (2016) experiments were expanded by Stroisz et al. (2019) to investigate the bond strength between the cement/shale interface and concluded that when the cement is bonded with shale, the failure occurs at the interface. This result determined that the strength of shale is stronger than the tensile bond strength of the cement/shale interface. </w:t>
      </w:r>
      <w:r w:rsidR="006D5A2B">
        <w:t>A</w:t>
      </w:r>
      <w:r w:rsidR="00E36E88">
        <w:t xml:space="preserve"> limitation </w:t>
      </w:r>
      <w:r w:rsidR="000F65E8">
        <w:t xml:space="preserve">of </w:t>
      </w:r>
      <w:r w:rsidR="00E36E88">
        <w:t>the experiments performed by Cerasi and Stroisz (201</w:t>
      </w:r>
      <w:r w:rsidR="006D5A2B">
        <w:t>5) and Stroisz et al. (2019) are</w:t>
      </w:r>
      <w:r w:rsidR="00E36E88">
        <w:t xml:space="preserve"> that they are performed at atmospheric conditions. Many </w:t>
      </w:r>
      <w:r w:rsidR="006D5A2B">
        <w:t>variables</w:t>
      </w:r>
      <w:r w:rsidR="00E36E88">
        <w:t xml:space="preserve"> such as access to free water, confinement pressure, and temperature can all play a factor in the bond strength.</w:t>
      </w:r>
    </w:p>
    <w:p w14:paraId="72CA7E5C" w14:textId="3D728BAB" w:rsidR="009650AF" w:rsidRDefault="009650AF" w:rsidP="009650AF">
      <w:pPr>
        <w:ind w:firstLine="720"/>
      </w:pPr>
      <w:r>
        <w:t>The previous experimen</w:t>
      </w:r>
      <w:r w:rsidR="006D5A2B">
        <w:t>ts by Cerasi and Stroisz (2016) a</w:t>
      </w:r>
      <w:r w:rsidR="00015E05">
        <w:t>n</w:t>
      </w:r>
      <w:r w:rsidR="006D5A2B">
        <w:t>d</w:t>
      </w:r>
      <w:r>
        <w:t xml:space="preserve"> Stroisz et al. (2019) investigated tensile bond strengths</w:t>
      </w:r>
      <w:r w:rsidR="00644923">
        <w:t>, but the</w:t>
      </w:r>
      <w:r>
        <w:t xml:space="preserve"> researchers did not consider shear bond strength measurements. One such experiment to determine shear bond strength is the push</w:t>
      </w:r>
      <w:r w:rsidR="000F65E8">
        <w:t>-</w:t>
      </w:r>
      <w:r>
        <w:t>out test. Push</w:t>
      </w:r>
      <w:r w:rsidR="000F65E8">
        <w:t>-</w:t>
      </w:r>
      <w:r>
        <w:t xml:space="preserve">out tests are </w:t>
      </w:r>
      <w:r w:rsidRPr="00133B21">
        <w:t>performed such that cement</w:t>
      </w:r>
      <w:r>
        <w:t xml:space="preserve"> slurry is placed around a steel pipe </w:t>
      </w:r>
      <w:r w:rsidR="006D5A2B">
        <w:t>in order for it to bond</w:t>
      </w:r>
      <w:r>
        <w:t xml:space="preserve"> circumferentially around the pipe. Once the cement hardens, the pipe is pushed downwards while the force and displacements are measured. The shear bond strength can be determined based o</w:t>
      </w:r>
      <w:r w:rsidR="000F65E8">
        <w:t>n</w:t>
      </w:r>
      <w:r>
        <w:t xml:space="preserve"> the maximum force and the surface area of the bond. Lavrov et al. (2019) performed push out tests with various dimensions of steel pipe (10 mm to 33.6 mm) and determined that as the size of the steel pipe increases, the shear bond strength decreases. </w:t>
      </w:r>
      <w:r w:rsidR="006D5A2B">
        <w:t xml:space="preserve">This result contradicts </w:t>
      </w:r>
      <w:r w:rsidR="0046718C">
        <w:t xml:space="preserve">the assumption that </w:t>
      </w:r>
      <w:r w:rsidR="006D5A2B">
        <w:t xml:space="preserve">bond strength </w:t>
      </w:r>
      <w:r w:rsidR="0046718C">
        <w:t xml:space="preserve">is size independent and can be </w:t>
      </w:r>
      <w:r w:rsidR="006D5A2B">
        <w:t xml:space="preserve">normalized to surface area (psi or MPa). </w:t>
      </w:r>
      <w:r>
        <w:t xml:space="preserve">Lavrov et al. (2019) hypothesized that cement shrinkage may be a contributing factor to their results. The authors created FEA models of cement shrinkage within the pipe and determined that cement </w:t>
      </w:r>
      <w:r>
        <w:lastRenderedPageBreak/>
        <w:t xml:space="preserve">shrinkage does not account for the change in bond strength with respect to pipe diameter. Therefore, Lavrov et al. (2019) </w:t>
      </w:r>
      <w:r w:rsidR="0046718C">
        <w:t xml:space="preserve">concluded </w:t>
      </w:r>
      <w:r>
        <w:t>that the push out test cannot be used to determine shear bond strength measurement</w:t>
      </w:r>
      <w:r w:rsidR="00644923">
        <w:t>, but</w:t>
      </w:r>
      <w:r>
        <w:t xml:space="preserve"> it can be used to compare </w:t>
      </w:r>
      <w:r w:rsidR="0046718C">
        <w:t xml:space="preserve">relative change </w:t>
      </w:r>
      <w:r>
        <w:t>between different cement mixtures or surface conditions (pipe material).</w:t>
      </w:r>
    </w:p>
    <w:p w14:paraId="5D5E8F19" w14:textId="49D0862C" w:rsidR="009650AF" w:rsidRDefault="009650AF" w:rsidP="009650AF">
      <w:pPr>
        <w:ind w:firstLine="720"/>
      </w:pPr>
      <w:r>
        <w:t xml:space="preserve">Carter and Evans (1964) performed experiments to measure shear and hydraulic bond strengths of cement to casing. The authors defined the shear bond as the force required to initiate pipe movement from the cement sheath divided by the cement to casing contact surface area. The hydraulic bond strength was defined as the pressure required to cause leakage at the pipe and cement interface using both water and gases (nitrogen and compressed air). The authors showed that the hydraulic water bond strength is significantly higher than both nitrogen gas bond strength and shear bond strength as </w:t>
      </w:r>
      <w:r w:rsidRPr="00133B21">
        <w:t>shown in Table 2.1. An</w:t>
      </w:r>
      <w:r>
        <w:t xml:space="preserve"> interesting observation is that gas hydraulic bond strength is extremely low, especially during the early cement curing.</w:t>
      </w:r>
    </w:p>
    <w:p w14:paraId="0FA49FB5" w14:textId="1AED5622" w:rsidR="009650AF" w:rsidRDefault="009650AF" w:rsidP="00BC23AD">
      <w:pPr>
        <w:pStyle w:val="Caption"/>
      </w:pPr>
      <w:bookmarkStart w:id="21" w:name="_Toc67566085"/>
      <w:r>
        <w:t xml:space="preserve">Table </w:t>
      </w:r>
      <w:r w:rsidR="00077C0B">
        <w:fldChar w:fldCharType="begin"/>
      </w:r>
      <w:r w:rsidR="00077C0B">
        <w:instrText xml:space="preserve"> STYLEREF 1 \s </w:instrText>
      </w:r>
      <w:r w:rsidR="00077C0B">
        <w:fldChar w:fldCharType="separate"/>
      </w:r>
      <w:r w:rsidR="0006023A">
        <w:rPr>
          <w:noProof/>
        </w:rPr>
        <w:t>2</w:t>
      </w:r>
      <w:r w:rsidR="00077C0B">
        <w:rPr>
          <w:noProof/>
        </w:rPr>
        <w:fldChar w:fldCharType="end"/>
      </w:r>
      <w:r w:rsidR="00DD1F74">
        <w:t>.</w:t>
      </w:r>
      <w:r w:rsidR="00077C0B">
        <w:fldChar w:fldCharType="begin"/>
      </w:r>
      <w:r w:rsidR="00077C0B">
        <w:instrText xml:space="preserve"> SEQ Table \* ARABIC \s 1 </w:instrText>
      </w:r>
      <w:r w:rsidR="00077C0B">
        <w:fldChar w:fldCharType="separate"/>
      </w:r>
      <w:r w:rsidR="0006023A">
        <w:rPr>
          <w:noProof/>
        </w:rPr>
        <w:t>1</w:t>
      </w:r>
      <w:r w:rsidR="00077C0B">
        <w:rPr>
          <w:noProof/>
        </w:rPr>
        <w:fldChar w:fldCharType="end"/>
      </w:r>
      <w:r>
        <w:t>: Hydraulic and shear bond strengths from Carter and Evans (1964) with at different curing ages.</w:t>
      </w:r>
      <w:bookmarkEnd w:id="21"/>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
        <w:gridCol w:w="1872"/>
        <w:gridCol w:w="2592"/>
        <w:gridCol w:w="1440"/>
      </w:tblGrid>
      <w:tr w:rsidR="009650AF" w14:paraId="5F4FCDDD" w14:textId="77777777" w:rsidTr="009650AF">
        <w:trPr>
          <w:jc w:val="center"/>
        </w:trPr>
        <w:tc>
          <w:tcPr>
            <w:tcW w:w="816" w:type="dxa"/>
            <w:tcBorders>
              <w:bottom w:val="single" w:sz="4" w:space="0" w:color="auto"/>
            </w:tcBorders>
          </w:tcPr>
          <w:p w14:paraId="398F8C44" w14:textId="77777777" w:rsidR="009650AF" w:rsidRDefault="009650AF" w:rsidP="009650AF">
            <w:pPr>
              <w:spacing w:line="240" w:lineRule="auto"/>
              <w:jc w:val="center"/>
            </w:pPr>
            <w:r>
              <w:t>Time days</w:t>
            </w:r>
          </w:p>
        </w:tc>
        <w:tc>
          <w:tcPr>
            <w:tcW w:w="1872" w:type="dxa"/>
            <w:tcBorders>
              <w:bottom w:val="single" w:sz="4" w:space="0" w:color="auto"/>
            </w:tcBorders>
          </w:tcPr>
          <w:p w14:paraId="5304D84E" w14:textId="77777777" w:rsidR="009650AF" w:rsidRDefault="009650AF" w:rsidP="009650AF">
            <w:pPr>
              <w:spacing w:line="240" w:lineRule="auto"/>
              <w:jc w:val="center"/>
            </w:pPr>
            <w:r>
              <w:t>Water Hydraulic psig [MPa]</w:t>
            </w:r>
          </w:p>
        </w:tc>
        <w:tc>
          <w:tcPr>
            <w:tcW w:w="2592" w:type="dxa"/>
            <w:tcBorders>
              <w:bottom w:val="single" w:sz="4" w:space="0" w:color="auto"/>
            </w:tcBorders>
          </w:tcPr>
          <w:p w14:paraId="7BEB0CBD" w14:textId="77777777" w:rsidR="009650AF" w:rsidRPr="00BA653E" w:rsidRDefault="009650AF" w:rsidP="009650AF">
            <w:pPr>
              <w:spacing w:line="240" w:lineRule="auto"/>
              <w:jc w:val="center"/>
              <w:rPr>
                <w:lang w:val="nb-NO"/>
              </w:rPr>
            </w:pPr>
            <w:r w:rsidRPr="00BA653E">
              <w:rPr>
                <w:lang w:val="nb-NO"/>
              </w:rPr>
              <w:t>Nitrogen Gas Hydraulic psig [MPa]</w:t>
            </w:r>
          </w:p>
        </w:tc>
        <w:tc>
          <w:tcPr>
            <w:tcW w:w="1440" w:type="dxa"/>
            <w:tcBorders>
              <w:bottom w:val="single" w:sz="4" w:space="0" w:color="auto"/>
            </w:tcBorders>
          </w:tcPr>
          <w:p w14:paraId="035497CA" w14:textId="77777777" w:rsidR="009650AF" w:rsidRDefault="009650AF" w:rsidP="009650AF">
            <w:pPr>
              <w:spacing w:line="240" w:lineRule="auto"/>
              <w:jc w:val="center"/>
            </w:pPr>
            <w:r>
              <w:t>Shear     psig [MPa]</w:t>
            </w:r>
          </w:p>
        </w:tc>
      </w:tr>
      <w:tr w:rsidR="009650AF" w14:paraId="69F0047C" w14:textId="77777777" w:rsidTr="009650AF">
        <w:trPr>
          <w:jc w:val="center"/>
        </w:trPr>
        <w:tc>
          <w:tcPr>
            <w:tcW w:w="816" w:type="dxa"/>
            <w:tcBorders>
              <w:top w:val="single" w:sz="4" w:space="0" w:color="auto"/>
            </w:tcBorders>
          </w:tcPr>
          <w:p w14:paraId="13997AF2" w14:textId="77777777" w:rsidR="009650AF" w:rsidRDefault="009650AF" w:rsidP="009650AF">
            <w:pPr>
              <w:spacing w:line="240" w:lineRule="auto"/>
              <w:jc w:val="center"/>
            </w:pPr>
            <w:r>
              <w:t>1</w:t>
            </w:r>
          </w:p>
        </w:tc>
        <w:tc>
          <w:tcPr>
            <w:tcW w:w="1872" w:type="dxa"/>
            <w:tcBorders>
              <w:top w:val="single" w:sz="4" w:space="0" w:color="auto"/>
            </w:tcBorders>
          </w:tcPr>
          <w:p w14:paraId="020E505D" w14:textId="77777777" w:rsidR="009650AF" w:rsidRDefault="009650AF" w:rsidP="009650AF">
            <w:pPr>
              <w:spacing w:line="240" w:lineRule="auto"/>
              <w:jc w:val="center"/>
            </w:pPr>
            <w:r>
              <w:t>200 [1.38]</w:t>
            </w:r>
          </w:p>
        </w:tc>
        <w:tc>
          <w:tcPr>
            <w:tcW w:w="2592" w:type="dxa"/>
            <w:tcBorders>
              <w:top w:val="single" w:sz="4" w:space="0" w:color="auto"/>
            </w:tcBorders>
          </w:tcPr>
          <w:p w14:paraId="7A2DA6F8" w14:textId="77777777" w:rsidR="009650AF" w:rsidRDefault="009650AF" w:rsidP="009650AF">
            <w:pPr>
              <w:spacing w:line="240" w:lineRule="auto"/>
              <w:jc w:val="center"/>
            </w:pPr>
            <w:r>
              <w:t>15 [0.10]</w:t>
            </w:r>
          </w:p>
        </w:tc>
        <w:tc>
          <w:tcPr>
            <w:tcW w:w="1440" w:type="dxa"/>
            <w:tcBorders>
              <w:top w:val="single" w:sz="4" w:space="0" w:color="auto"/>
            </w:tcBorders>
          </w:tcPr>
          <w:p w14:paraId="446B7839" w14:textId="77777777" w:rsidR="009650AF" w:rsidRDefault="009650AF" w:rsidP="009650AF">
            <w:pPr>
              <w:spacing w:line="240" w:lineRule="auto"/>
              <w:jc w:val="center"/>
            </w:pPr>
            <w:r>
              <w:t>59 [0.41]</w:t>
            </w:r>
          </w:p>
        </w:tc>
      </w:tr>
      <w:tr w:rsidR="009650AF" w14:paraId="5B7F5DB3" w14:textId="77777777" w:rsidTr="009650AF">
        <w:trPr>
          <w:jc w:val="center"/>
        </w:trPr>
        <w:tc>
          <w:tcPr>
            <w:tcW w:w="816" w:type="dxa"/>
          </w:tcPr>
          <w:p w14:paraId="37E90AD3" w14:textId="77777777" w:rsidR="009650AF" w:rsidRDefault="009650AF" w:rsidP="009650AF">
            <w:pPr>
              <w:spacing w:line="240" w:lineRule="auto"/>
              <w:jc w:val="center"/>
            </w:pPr>
            <w:r>
              <w:t>2</w:t>
            </w:r>
          </w:p>
        </w:tc>
        <w:tc>
          <w:tcPr>
            <w:tcW w:w="1872" w:type="dxa"/>
          </w:tcPr>
          <w:p w14:paraId="02510B36" w14:textId="77777777" w:rsidR="009650AF" w:rsidRDefault="009650AF" w:rsidP="009650AF">
            <w:pPr>
              <w:spacing w:line="240" w:lineRule="auto"/>
              <w:jc w:val="center"/>
            </w:pPr>
            <w:r>
              <w:t>170 [1.17]</w:t>
            </w:r>
          </w:p>
        </w:tc>
        <w:tc>
          <w:tcPr>
            <w:tcW w:w="2592" w:type="dxa"/>
          </w:tcPr>
          <w:p w14:paraId="7A27BFD3" w14:textId="77777777" w:rsidR="009650AF" w:rsidRDefault="009650AF" w:rsidP="009650AF">
            <w:pPr>
              <w:spacing w:line="240" w:lineRule="auto"/>
              <w:jc w:val="center"/>
            </w:pPr>
            <w:r>
              <w:t>10 [0.07]</w:t>
            </w:r>
          </w:p>
        </w:tc>
        <w:tc>
          <w:tcPr>
            <w:tcW w:w="1440" w:type="dxa"/>
          </w:tcPr>
          <w:p w14:paraId="61F6FE1C" w14:textId="77777777" w:rsidR="009650AF" w:rsidRDefault="009650AF" w:rsidP="009650AF">
            <w:pPr>
              <w:spacing w:line="240" w:lineRule="auto"/>
              <w:jc w:val="center"/>
            </w:pPr>
            <w:r>
              <w:t>48 [0.33]</w:t>
            </w:r>
          </w:p>
        </w:tc>
      </w:tr>
      <w:tr w:rsidR="009650AF" w14:paraId="31CFDB30" w14:textId="77777777" w:rsidTr="009650AF">
        <w:trPr>
          <w:jc w:val="center"/>
        </w:trPr>
        <w:tc>
          <w:tcPr>
            <w:tcW w:w="816" w:type="dxa"/>
          </w:tcPr>
          <w:p w14:paraId="403A7A96" w14:textId="77777777" w:rsidR="009650AF" w:rsidRDefault="009650AF" w:rsidP="009650AF">
            <w:pPr>
              <w:spacing w:line="240" w:lineRule="auto"/>
              <w:jc w:val="center"/>
            </w:pPr>
            <w:r>
              <w:t>3</w:t>
            </w:r>
          </w:p>
        </w:tc>
        <w:tc>
          <w:tcPr>
            <w:tcW w:w="1872" w:type="dxa"/>
          </w:tcPr>
          <w:p w14:paraId="1E7DAF2D" w14:textId="77777777" w:rsidR="009650AF" w:rsidRDefault="009650AF" w:rsidP="009650AF">
            <w:pPr>
              <w:spacing w:line="240" w:lineRule="auto"/>
              <w:jc w:val="center"/>
            </w:pPr>
            <w:r>
              <w:t>210 [1.45]</w:t>
            </w:r>
          </w:p>
        </w:tc>
        <w:tc>
          <w:tcPr>
            <w:tcW w:w="2592" w:type="dxa"/>
          </w:tcPr>
          <w:p w14:paraId="56B60D4A" w14:textId="77777777" w:rsidR="009650AF" w:rsidRDefault="009650AF" w:rsidP="009650AF">
            <w:pPr>
              <w:spacing w:line="240" w:lineRule="auto"/>
              <w:jc w:val="center"/>
            </w:pPr>
            <w:r>
              <w:t>30 [0.21]</w:t>
            </w:r>
          </w:p>
        </w:tc>
        <w:tc>
          <w:tcPr>
            <w:tcW w:w="1440" w:type="dxa"/>
          </w:tcPr>
          <w:p w14:paraId="2128B5B6" w14:textId="77777777" w:rsidR="009650AF" w:rsidRDefault="009650AF" w:rsidP="009650AF">
            <w:pPr>
              <w:spacing w:line="240" w:lineRule="auto"/>
              <w:jc w:val="center"/>
            </w:pPr>
            <w:r>
              <w:t>57 [0.40]</w:t>
            </w:r>
          </w:p>
        </w:tc>
      </w:tr>
      <w:tr w:rsidR="009650AF" w14:paraId="78C70406" w14:textId="77777777" w:rsidTr="009650AF">
        <w:trPr>
          <w:jc w:val="center"/>
        </w:trPr>
        <w:tc>
          <w:tcPr>
            <w:tcW w:w="816" w:type="dxa"/>
          </w:tcPr>
          <w:p w14:paraId="0E1892A3" w14:textId="77777777" w:rsidR="009650AF" w:rsidRDefault="009650AF" w:rsidP="009650AF">
            <w:pPr>
              <w:spacing w:line="240" w:lineRule="auto"/>
              <w:jc w:val="center"/>
            </w:pPr>
            <w:r>
              <w:t>4</w:t>
            </w:r>
          </w:p>
        </w:tc>
        <w:tc>
          <w:tcPr>
            <w:tcW w:w="1872" w:type="dxa"/>
          </w:tcPr>
          <w:p w14:paraId="5FBE34A8" w14:textId="77777777" w:rsidR="009650AF" w:rsidRDefault="009650AF" w:rsidP="009650AF">
            <w:pPr>
              <w:spacing w:line="240" w:lineRule="auto"/>
              <w:jc w:val="center"/>
            </w:pPr>
            <w:r>
              <w:t>250 [1.72]</w:t>
            </w:r>
          </w:p>
        </w:tc>
        <w:tc>
          <w:tcPr>
            <w:tcW w:w="2592" w:type="dxa"/>
          </w:tcPr>
          <w:p w14:paraId="1EF6E8C6" w14:textId="77777777" w:rsidR="009650AF" w:rsidRDefault="009650AF" w:rsidP="009650AF">
            <w:pPr>
              <w:spacing w:line="240" w:lineRule="auto"/>
              <w:jc w:val="center"/>
            </w:pPr>
            <w:r>
              <w:t>40 [0.28]</w:t>
            </w:r>
          </w:p>
        </w:tc>
        <w:tc>
          <w:tcPr>
            <w:tcW w:w="1440" w:type="dxa"/>
          </w:tcPr>
          <w:p w14:paraId="014CC24F" w14:textId="77777777" w:rsidR="009650AF" w:rsidRDefault="009650AF" w:rsidP="009650AF">
            <w:pPr>
              <w:spacing w:line="240" w:lineRule="auto"/>
              <w:jc w:val="center"/>
            </w:pPr>
            <w:r>
              <w:t>59 [0.41]</w:t>
            </w:r>
          </w:p>
        </w:tc>
      </w:tr>
      <w:tr w:rsidR="009650AF" w14:paraId="035D9815" w14:textId="77777777" w:rsidTr="009650AF">
        <w:trPr>
          <w:jc w:val="center"/>
        </w:trPr>
        <w:tc>
          <w:tcPr>
            <w:tcW w:w="816" w:type="dxa"/>
          </w:tcPr>
          <w:p w14:paraId="05F24448" w14:textId="77777777" w:rsidR="009650AF" w:rsidRDefault="009650AF" w:rsidP="009650AF">
            <w:pPr>
              <w:spacing w:line="240" w:lineRule="auto"/>
              <w:jc w:val="center"/>
            </w:pPr>
            <w:r>
              <w:t>5</w:t>
            </w:r>
          </w:p>
        </w:tc>
        <w:tc>
          <w:tcPr>
            <w:tcW w:w="1872" w:type="dxa"/>
          </w:tcPr>
          <w:p w14:paraId="3A3244F7" w14:textId="77777777" w:rsidR="009650AF" w:rsidRDefault="009650AF" w:rsidP="009650AF">
            <w:pPr>
              <w:spacing w:line="240" w:lineRule="auto"/>
              <w:jc w:val="center"/>
            </w:pPr>
            <w:r>
              <w:t>270 [1.86]</w:t>
            </w:r>
          </w:p>
        </w:tc>
        <w:tc>
          <w:tcPr>
            <w:tcW w:w="2592" w:type="dxa"/>
          </w:tcPr>
          <w:p w14:paraId="358C8429" w14:textId="77777777" w:rsidR="009650AF" w:rsidRDefault="009650AF" w:rsidP="009650AF">
            <w:pPr>
              <w:spacing w:line="240" w:lineRule="auto"/>
              <w:jc w:val="center"/>
            </w:pPr>
            <w:r>
              <w:t>55 [0.38]</w:t>
            </w:r>
          </w:p>
        </w:tc>
        <w:tc>
          <w:tcPr>
            <w:tcW w:w="1440" w:type="dxa"/>
          </w:tcPr>
          <w:p w14:paraId="6AB6D6DC" w14:textId="77777777" w:rsidR="009650AF" w:rsidRDefault="009650AF" w:rsidP="009650AF">
            <w:pPr>
              <w:spacing w:line="240" w:lineRule="auto"/>
              <w:jc w:val="center"/>
            </w:pPr>
            <w:r>
              <w:t>61 [0.42]</w:t>
            </w:r>
          </w:p>
        </w:tc>
      </w:tr>
    </w:tbl>
    <w:p w14:paraId="38A00F28" w14:textId="77777777" w:rsidR="009650AF" w:rsidRDefault="009650AF" w:rsidP="009650AF">
      <w:pPr>
        <w:ind w:firstLine="720"/>
      </w:pPr>
      <w:r>
        <w:t xml:space="preserve"> </w:t>
      </w:r>
    </w:p>
    <w:p w14:paraId="6F724DD7" w14:textId="44FE3961" w:rsidR="009650AF" w:rsidRDefault="009650AF" w:rsidP="009650AF">
      <w:pPr>
        <w:ind w:firstLine="720"/>
      </w:pPr>
      <w:r>
        <w:t xml:space="preserve">A limitation to the experiments performed by all of the researchers discussed in this section is that they quantified bond strength as a single parameter. As described by Wang and Taleghani (2014), bond strength, fracture energy (related to fracture toughness), and the failure damage process are required to get the complete picture for the mechanism of the debonding process. Debonding can be described numerically by the traction separation law which is discussed in greater detail in the subsequent section.  </w:t>
      </w:r>
    </w:p>
    <w:p w14:paraId="0F2128EB" w14:textId="77777777" w:rsidR="009650AF" w:rsidRPr="00280C2E" w:rsidRDefault="009650AF" w:rsidP="009650AF">
      <w:pPr>
        <w:rPr>
          <w:b/>
        </w:rPr>
      </w:pPr>
      <w:r w:rsidRPr="00280C2E">
        <w:rPr>
          <w:b/>
        </w:rPr>
        <w:lastRenderedPageBreak/>
        <w:t>Traction Separation Law</w:t>
      </w:r>
    </w:p>
    <w:p w14:paraId="062B83EF" w14:textId="51642E9A" w:rsidR="009650AF" w:rsidRPr="00334626" w:rsidRDefault="009650AF" w:rsidP="009650AF">
      <w:pPr>
        <w:rPr>
          <w:rFonts w:cs="Times New Roman"/>
        </w:rPr>
      </w:pPr>
      <w:r>
        <w:tab/>
        <w:t xml:space="preserve">The traction separation law can be used to simulate cement sheath debonding by relating the fracture surface tractions to material separation (Turon et al. 2006). In </w:t>
      </w:r>
      <w:r>
        <w:rPr>
          <w:rFonts w:cs="Times New Roman"/>
        </w:rPr>
        <w:t>fracture mechanics, three modes of separation (debonding) can occur: Mode I, Mode II, and Mode III or a combination of these (</w:t>
      </w:r>
      <w:r>
        <w:t>SIMULIA 2016; ANSYS 2019)</w:t>
      </w:r>
      <w:r>
        <w:rPr>
          <w:rFonts w:cs="Times New Roman"/>
        </w:rPr>
        <w:t>.</w:t>
      </w:r>
      <w:r w:rsidRPr="000C6455">
        <w:rPr>
          <w:rFonts w:cs="Times New Roman"/>
        </w:rPr>
        <w:t xml:space="preserve"> </w:t>
      </w:r>
      <w:r>
        <w:rPr>
          <w:rFonts w:cs="Times New Roman"/>
        </w:rPr>
        <w:t xml:space="preserve">Mode I separation is tensile debonding, Mode II separation is shear debonding, and Mode III separation is a mixture of Mode I and Mode II. </w:t>
      </w:r>
      <w:r w:rsidR="00FE36D5">
        <w:rPr>
          <w:rFonts w:cs="Times New Roman"/>
        </w:rPr>
        <w:t xml:space="preserve">To replicate </w:t>
      </w:r>
      <w:r>
        <w:rPr>
          <w:rFonts w:cs="Times New Roman"/>
        </w:rPr>
        <w:t xml:space="preserve">tensile and hydraulic debonding, Mode I separation is </w:t>
      </w:r>
      <w:r w:rsidR="0046718C">
        <w:rPr>
          <w:rFonts w:cs="Times New Roman"/>
        </w:rPr>
        <w:t>assumed</w:t>
      </w:r>
      <w:r>
        <w:rPr>
          <w:rFonts w:cs="Times New Roman"/>
        </w:rPr>
        <w:t xml:space="preserve">. A graphical representation of Mode I </w:t>
      </w:r>
      <w:r w:rsidRPr="00133B21">
        <w:rPr>
          <w:rFonts w:cs="Times New Roman"/>
        </w:rPr>
        <w:t xml:space="preserve">separation is shown in Figure 2.9. </w:t>
      </w:r>
      <w:r w:rsidRPr="00133B21">
        <w:t>At point 0 in Figure 2.9, the two surfaces have no separation and are in “bonded” contact.  The two surfaces experience linear elastic loading (from points 0 to 2) with a slope being that of the normal contact stiffness (</w:t>
      </w:r>
      <m:oMath>
        <m:sSub>
          <m:sSubPr>
            <m:ctrlPr>
              <w:rPr>
                <w:rFonts w:ascii="Cambria Math" w:hAnsi="Cambria Math"/>
                <w:i/>
              </w:rPr>
            </m:ctrlPr>
          </m:sSubPr>
          <m:e>
            <m:r>
              <w:rPr>
                <w:rFonts w:ascii="Cambria Math" w:hAnsi="Cambria Math"/>
              </w:rPr>
              <m:t>k</m:t>
            </m:r>
          </m:e>
          <m:sub>
            <m:r>
              <w:rPr>
                <w:rFonts w:ascii="Cambria Math" w:hAnsi="Cambria Math"/>
              </w:rPr>
              <m:t>c</m:t>
            </m:r>
          </m:sub>
        </m:sSub>
      </m:oMath>
      <w:r>
        <w:t>).  Once the maximum normal contact stress (</w:t>
      </w:r>
      <m:oMath>
        <m:sSub>
          <m:sSubPr>
            <m:ctrlPr>
              <w:rPr>
                <w:rFonts w:ascii="Cambria Math" w:hAnsi="Cambria Math"/>
                <w:i/>
              </w:rPr>
            </m:ctrlPr>
          </m:sSubPr>
          <m:e>
            <m:r>
              <w:rPr>
                <w:rFonts w:ascii="Cambria Math" w:hAnsi="Cambria Math"/>
              </w:rPr>
              <m:t>τ</m:t>
            </m:r>
          </m:e>
          <m:sub>
            <m:r>
              <w:rPr>
                <w:rFonts w:ascii="Cambria Math" w:hAnsi="Cambria Math"/>
              </w:rPr>
              <m:t>max</m:t>
            </m:r>
          </m:sub>
        </m:sSub>
      </m:oMath>
      <w:r>
        <w:t>) is reached (point 2), debonding starts to occur with plastic separation until the normal contact stress reaches zero (points 2 to 4).  After point 4, further separation occurs without any normal contact stress (point 5).</w:t>
      </w:r>
      <w:r>
        <w:rPr>
          <w:rFonts w:cs="Times New Roman"/>
        </w:rPr>
        <w:t xml:space="preserve"> </w:t>
      </w:r>
      <w:r w:rsidRPr="000C6455">
        <w:rPr>
          <w:rFonts w:cs="Times New Roman"/>
        </w:rPr>
        <w:t>The area under the traction-separation curve is the critical fracture energy</w:t>
      </w:r>
      <w:r>
        <w:rPr>
          <w:rFonts w:cs="Times New Roman"/>
        </w:rPr>
        <w:t xml:space="preserve"> (</w:t>
      </w:r>
      <m:oMath>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c</m:t>
            </m:r>
          </m:sub>
        </m:sSub>
      </m:oMath>
      <w:r>
        <w:rPr>
          <w:rFonts w:cs="Times New Roman"/>
        </w:rPr>
        <w:t>)</w:t>
      </w:r>
      <w:r w:rsidRPr="000C6455">
        <w:rPr>
          <w:rFonts w:cs="Times New Roman"/>
        </w:rPr>
        <w:t>, which is the energy re</w:t>
      </w:r>
      <w:r>
        <w:rPr>
          <w:rFonts w:cs="Times New Roman"/>
        </w:rPr>
        <w:t>leased during debonding</w:t>
      </w:r>
      <w:r>
        <w:t xml:space="preserve">. </w:t>
      </w:r>
    </w:p>
    <w:p w14:paraId="4E712304" w14:textId="77777777" w:rsidR="009650AF" w:rsidRDefault="009650AF" w:rsidP="00BC23AD">
      <w:pPr>
        <w:pStyle w:val="NoSpacing"/>
      </w:pPr>
      <w:r w:rsidRPr="009A3F67">
        <w:rPr>
          <w:noProof/>
        </w:rPr>
        <w:lastRenderedPageBreak/>
        <w:drawing>
          <wp:inline distT="0" distB="0" distL="0" distR="0" wp14:anchorId="17F25827" wp14:editId="472C8D62">
            <wp:extent cx="4114800" cy="3952140"/>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21"/>
                    <a:srcRect l="16561"/>
                    <a:stretch/>
                  </pic:blipFill>
                  <pic:spPr>
                    <a:xfrm>
                      <a:off x="0" y="0"/>
                      <a:ext cx="4114800" cy="3952140"/>
                    </a:xfrm>
                    <a:prstGeom prst="rect">
                      <a:avLst/>
                    </a:prstGeom>
                  </pic:spPr>
                </pic:pic>
              </a:graphicData>
            </a:graphic>
          </wp:inline>
        </w:drawing>
      </w:r>
    </w:p>
    <w:p w14:paraId="65593D52" w14:textId="3D8AD2A1" w:rsidR="009650AF" w:rsidRPr="00466384" w:rsidRDefault="009650AF" w:rsidP="00BC23AD">
      <w:pPr>
        <w:pStyle w:val="Caption"/>
      </w:pPr>
      <w:bookmarkStart w:id="22" w:name="_Toc67566192"/>
      <w:r>
        <w:t xml:space="preserve">Figure </w:t>
      </w:r>
      <w:r w:rsidR="00077C0B">
        <w:fldChar w:fldCharType="begin"/>
      </w:r>
      <w:r w:rsidR="00077C0B">
        <w:instrText xml:space="preserve"> STYLEREF 1 \s </w:instrText>
      </w:r>
      <w:r w:rsidR="00077C0B">
        <w:fldChar w:fldCharType="separate"/>
      </w:r>
      <w:r w:rsidR="0006023A">
        <w:rPr>
          <w:noProof/>
        </w:rPr>
        <w:t>2</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9</w:t>
      </w:r>
      <w:r w:rsidR="00077C0B">
        <w:rPr>
          <w:noProof/>
        </w:rPr>
        <w:fldChar w:fldCharType="end"/>
      </w:r>
      <w:r>
        <w:t>: Mode I debonding (top) with the corresponding traction separation law (bottom).</w:t>
      </w:r>
      <w:bookmarkEnd w:id="22"/>
    </w:p>
    <w:p w14:paraId="2B927012" w14:textId="554E905F" w:rsidR="009650AF" w:rsidRDefault="009650AF" w:rsidP="009650AF">
      <w:pPr>
        <w:ind w:firstLine="720"/>
      </w:pPr>
      <w:r>
        <w:t>To numerically replicate the traction separation law, the following parameters are required: peak tensile stress (</w:t>
      </w:r>
      <m:oMath>
        <m:sSub>
          <m:sSubPr>
            <m:ctrlPr>
              <w:rPr>
                <w:rFonts w:ascii="Cambria Math" w:hAnsi="Cambria Math"/>
                <w:i/>
              </w:rPr>
            </m:ctrlPr>
          </m:sSubPr>
          <m:e>
            <m:r>
              <w:rPr>
                <w:rFonts w:ascii="Cambria Math" w:hAnsi="Cambria Math"/>
              </w:rPr>
              <m:t>τ</m:t>
            </m:r>
          </m:e>
          <m:sub>
            <m:r>
              <w:rPr>
                <w:rFonts w:ascii="Cambria Math" w:hAnsi="Cambria Math"/>
              </w:rPr>
              <m:t>max</m:t>
            </m:r>
          </m:sub>
        </m:sSub>
      </m:oMath>
      <w:r>
        <w:t>), critical [fracture] energy (</w:t>
      </w:r>
      <m:oMath>
        <m:sSub>
          <m:sSubPr>
            <m:ctrlPr>
              <w:rPr>
                <w:rFonts w:ascii="Cambria Math" w:hAnsi="Cambria Math"/>
                <w:i/>
              </w:rPr>
            </m:ctrlPr>
          </m:sSubPr>
          <m:e>
            <m:r>
              <w:rPr>
                <w:rFonts w:ascii="Cambria Math" w:hAnsi="Cambria Math"/>
              </w:rPr>
              <m:t>G</m:t>
            </m:r>
          </m:e>
          <m:sub>
            <m:r>
              <w:rPr>
                <w:rFonts w:ascii="Cambria Math" w:hAnsi="Cambria Math"/>
              </w:rPr>
              <m:t>c</m:t>
            </m:r>
          </m:sub>
        </m:sSub>
      </m:oMath>
      <w:r>
        <w:t xml:space="preserve"> ), complete separation distance (</w:t>
      </w:r>
      <m:oMath>
        <m:sSub>
          <m:sSubPr>
            <m:ctrlPr>
              <w:rPr>
                <w:rFonts w:ascii="Cambria Math" w:hAnsi="Cambria Math"/>
                <w:i/>
              </w:rPr>
            </m:ctrlPr>
          </m:sSubPr>
          <m:e>
            <m:r>
              <w:rPr>
                <w:rFonts w:ascii="Cambria Math" w:hAnsi="Cambria Math"/>
              </w:rPr>
              <m:t>δ</m:t>
            </m:r>
          </m:e>
          <m:sub>
            <m:r>
              <w:rPr>
                <w:rFonts w:ascii="Cambria Math" w:hAnsi="Cambria Math"/>
              </w:rPr>
              <m:t>f</m:t>
            </m:r>
          </m:sub>
        </m:sSub>
      </m:oMath>
      <w:r>
        <w:t>), and contact stiffness (</w:t>
      </w:r>
      <m:oMath>
        <m:sSub>
          <m:sSubPr>
            <m:ctrlPr>
              <w:rPr>
                <w:rFonts w:ascii="Cambria Math" w:hAnsi="Cambria Math"/>
                <w:i/>
              </w:rPr>
            </m:ctrlPr>
          </m:sSubPr>
          <m:e>
            <m:r>
              <w:rPr>
                <w:rFonts w:ascii="Cambria Math" w:hAnsi="Cambria Math"/>
              </w:rPr>
              <m:t>k</m:t>
            </m:r>
          </m:e>
          <m:sub>
            <m:r>
              <w:rPr>
                <w:rFonts w:ascii="Cambria Math" w:hAnsi="Cambria Math"/>
              </w:rPr>
              <m:t>c</m:t>
            </m:r>
          </m:sub>
        </m:sSub>
      </m:oMath>
      <w:r>
        <w:t xml:space="preserve">). However, not all of these parameters are easy to determine in the lab. The most common parameter is the peak tensile stress which is the maximum stress the material can take before complete separation. The peak tensile stress is the value reported by researchers such as Carter and Evans (1964). The critical energy is the total amount of mechanical energy required to cause complete separation. The complete separation distance is the gap width at which the materials are not in contact. The contact stiffness (i.e. shape of the triangle) determines if the debonding mechanism has a linear elastic loading phase (point 0 to 2) or if the bond experiences only plastic separation (point 2 to 4). An example of these two traction separation triangles is </w:t>
      </w:r>
      <w:r w:rsidRPr="00133B21">
        <w:t>shown in Figure 2.10 in which</w:t>
      </w:r>
      <w:r>
        <w:t xml:space="preserve"> the dashed line represents a mechanism with a linear elastic loading </w:t>
      </w:r>
      <w:r>
        <w:lastRenderedPageBreak/>
        <w:t>phase (intrinsic traction separation law). The solid line represents a mechanism that does not have the linear elastic loading phase; the mechanism is only completely bonded or experiencing plastic separation [extrinsic traction separation law] (Alfano et al. 2007). The distinction of the type of traction separation law is important in the numerical models. The default in ANSYS is extrinsic in which the contact stiffness is automatically determined to be an infinitely high number (ANSYS 2019).</w:t>
      </w:r>
    </w:p>
    <w:p w14:paraId="2BE230FE" w14:textId="77777777" w:rsidR="009650AF" w:rsidRDefault="009650AF" w:rsidP="00BC23AD">
      <w:pPr>
        <w:pStyle w:val="NoSpacing"/>
      </w:pPr>
      <w:r>
        <w:rPr>
          <w:noProof/>
        </w:rPr>
        <w:drawing>
          <wp:inline distT="0" distB="0" distL="0" distR="0" wp14:anchorId="1338D1CE" wp14:editId="04B1E513">
            <wp:extent cx="3749040" cy="263251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3715"/>
                    <a:stretch/>
                  </pic:blipFill>
                  <pic:spPr bwMode="auto">
                    <a:xfrm>
                      <a:off x="0" y="0"/>
                      <a:ext cx="3749040" cy="2632516"/>
                    </a:xfrm>
                    <a:prstGeom prst="rect">
                      <a:avLst/>
                    </a:prstGeom>
                    <a:noFill/>
                    <a:ln>
                      <a:noFill/>
                    </a:ln>
                    <a:extLst>
                      <a:ext uri="{53640926-AAD7-44D8-BBD7-CCE9431645EC}">
                        <a14:shadowObscured xmlns:a14="http://schemas.microsoft.com/office/drawing/2010/main"/>
                      </a:ext>
                    </a:extLst>
                  </pic:spPr>
                </pic:pic>
              </a:graphicData>
            </a:graphic>
          </wp:inline>
        </w:drawing>
      </w:r>
    </w:p>
    <w:p w14:paraId="1F7E3A92" w14:textId="2DFCB47F" w:rsidR="009650AF" w:rsidRDefault="009650AF" w:rsidP="00BC23AD">
      <w:pPr>
        <w:pStyle w:val="Caption"/>
      </w:pPr>
      <w:bookmarkStart w:id="23" w:name="_Toc67566193"/>
      <w:r>
        <w:t xml:space="preserve">Figure </w:t>
      </w:r>
      <w:r w:rsidR="00077C0B">
        <w:fldChar w:fldCharType="begin"/>
      </w:r>
      <w:r w:rsidR="00077C0B">
        <w:instrText xml:space="preserve"> STYLEREF 1 \s </w:instrText>
      </w:r>
      <w:r w:rsidR="00077C0B">
        <w:fldChar w:fldCharType="separate"/>
      </w:r>
      <w:r w:rsidR="0006023A">
        <w:rPr>
          <w:noProof/>
        </w:rPr>
        <w:t>2</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10</w:t>
      </w:r>
      <w:r w:rsidR="00077C0B">
        <w:rPr>
          <w:noProof/>
        </w:rPr>
        <w:fldChar w:fldCharType="end"/>
      </w:r>
      <w:r>
        <w:t>: Traction separation law (CZM) showing extrinsic (solid line) versus intrinsic (dotted line) behavior.</w:t>
      </w:r>
      <w:bookmarkEnd w:id="23"/>
    </w:p>
    <w:p w14:paraId="51ACB24E" w14:textId="77777777" w:rsidR="00133B21" w:rsidRDefault="00133B21" w:rsidP="009650AF">
      <w:pPr>
        <w:ind w:firstLine="720"/>
      </w:pPr>
    </w:p>
    <w:p w14:paraId="4899B2A7" w14:textId="1C719E55" w:rsidR="009650AF" w:rsidRDefault="009650AF" w:rsidP="009650AF">
      <w:pPr>
        <w:ind w:firstLine="720"/>
        <w:rPr>
          <w:rFonts w:eastAsiaTheme="minorEastAsia"/>
        </w:rPr>
      </w:pPr>
      <w:r>
        <w:t xml:space="preserve">Three parameters are required to describe an extrinsic traction separation law: </w:t>
      </w:r>
      <m:oMath>
        <m:sSub>
          <m:sSubPr>
            <m:ctrlPr>
              <w:rPr>
                <w:rFonts w:ascii="Cambria Math" w:hAnsi="Cambria Math"/>
                <w:i/>
              </w:rPr>
            </m:ctrlPr>
          </m:sSubPr>
          <m:e>
            <m:r>
              <w:rPr>
                <w:rFonts w:ascii="Cambria Math" w:hAnsi="Cambria Math"/>
              </w:rPr>
              <m:t>τ</m:t>
            </m:r>
          </m:e>
          <m:sub>
            <m:r>
              <w:rPr>
                <w:rFonts w:ascii="Cambria Math" w:hAnsi="Cambria Math"/>
              </w:rPr>
              <m:t>max</m:t>
            </m:r>
          </m:sub>
        </m:sSub>
        <m:r>
          <w:rPr>
            <w:rFonts w:ascii="Cambria Math" w:hAnsi="Cambria Math"/>
          </w:rPr>
          <m:t xml:space="preserve">, </m:t>
        </m:r>
        <m:sSub>
          <m:sSubPr>
            <m:ctrlPr>
              <w:rPr>
                <w:rFonts w:ascii="Cambria Math" w:hAnsi="Cambria Math"/>
                <w:i/>
              </w:rPr>
            </m:ctrlPr>
          </m:sSubPr>
          <m:e>
            <m:r>
              <w:rPr>
                <w:rFonts w:ascii="Cambria Math" w:hAnsi="Cambria Math"/>
              </w:rPr>
              <m:t>G</m:t>
            </m:r>
          </m:e>
          <m:sub>
            <m:r>
              <w:rPr>
                <w:rFonts w:ascii="Cambria Math" w:hAnsi="Cambria Math"/>
              </w:rPr>
              <m:t>c</m:t>
            </m:r>
          </m:sub>
        </m:sSub>
        <m:r>
          <w:rPr>
            <w:rFonts w:ascii="Cambria Math" w:hAnsi="Cambria Math"/>
          </w:rPr>
          <m:t xml:space="preserve">, </m:t>
        </m:r>
        <m:r>
          <m:rPr>
            <m:sty m:val="p"/>
          </m:rPr>
          <w:rPr>
            <w:rFonts w:ascii="Cambria Math" w:hAnsi="Cambria Math"/>
          </w:rPr>
          <m:t>and</m:t>
        </m:r>
        <m:r>
          <w:rPr>
            <w:rFonts w:ascii="Cambria Math" w:hAnsi="Cambria Math"/>
          </w:rPr>
          <m:t xml:space="preserve"> </m:t>
        </m:r>
        <m:sSub>
          <m:sSubPr>
            <m:ctrlPr>
              <w:rPr>
                <w:rFonts w:ascii="Cambria Math" w:hAnsi="Cambria Math"/>
                <w:i/>
              </w:rPr>
            </m:ctrlPr>
          </m:sSubPr>
          <m:e>
            <m:r>
              <w:rPr>
                <w:rFonts w:ascii="Cambria Math" w:hAnsi="Cambria Math"/>
              </w:rPr>
              <m:t>δ</m:t>
            </m:r>
          </m:e>
          <m:sub>
            <m:r>
              <w:rPr>
                <w:rFonts w:ascii="Cambria Math" w:hAnsi="Cambria Math"/>
              </w:rPr>
              <m:t>f</m:t>
            </m:r>
          </m:sub>
        </m:sSub>
      </m:oMath>
      <w:r>
        <w:rPr>
          <w:rFonts w:eastAsiaTheme="minorEastAsia"/>
        </w:rPr>
        <w:t xml:space="preserve">. All three parameters are related to each other by simple triangle geometry shown </w:t>
      </w:r>
      <w:r w:rsidRPr="00133B21">
        <w:rPr>
          <w:rFonts w:eastAsiaTheme="minorEastAsia"/>
        </w:rPr>
        <w:t>in Equation 2.25. Therefore</w:t>
      </w:r>
      <w:r>
        <w:rPr>
          <w:rFonts w:eastAsiaTheme="minorEastAsia"/>
        </w:rPr>
        <w:t>, only two parameters are required for input.</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50AF" w14:paraId="5C0CA63D" w14:textId="77777777" w:rsidTr="009650AF">
        <w:trPr>
          <w:trHeight w:val="576"/>
        </w:trPr>
        <w:tc>
          <w:tcPr>
            <w:tcW w:w="720" w:type="dxa"/>
            <w:vAlign w:val="center"/>
          </w:tcPr>
          <w:p w14:paraId="4B6792AC" w14:textId="77777777" w:rsidR="009650AF" w:rsidRDefault="009650AF" w:rsidP="009650AF">
            <w:pPr>
              <w:spacing w:line="240" w:lineRule="auto"/>
              <w:jc w:val="center"/>
            </w:pPr>
          </w:p>
        </w:tc>
        <w:tc>
          <w:tcPr>
            <w:tcW w:w="7920" w:type="dxa"/>
            <w:vAlign w:val="center"/>
          </w:tcPr>
          <w:p w14:paraId="5F72C0CD" w14:textId="77777777" w:rsidR="009650AF" w:rsidRPr="003E4C6A" w:rsidRDefault="009650AF" w:rsidP="009650AF">
            <w:pPr>
              <w:spacing w:line="240" w:lineRule="auto"/>
              <w:jc w:val="center"/>
            </w:pPr>
            <m:oMathPara>
              <m:oMath>
                <m:r>
                  <w:rPr>
                    <w:rFonts w:ascii="Cambria Math" w:hAnsi="Cambria Math"/>
                  </w:rPr>
                  <m:t>Area=</m:t>
                </m:r>
                <m:f>
                  <m:fPr>
                    <m:ctrlPr>
                      <w:rPr>
                        <w:rFonts w:ascii="Cambria Math" w:hAnsi="Cambria Math"/>
                        <w:i/>
                      </w:rPr>
                    </m:ctrlPr>
                  </m:fPr>
                  <m:num>
                    <m:r>
                      <w:rPr>
                        <w:rFonts w:ascii="Cambria Math" w:hAnsi="Cambria Math"/>
                      </w:rPr>
                      <m:t>base∙height</m:t>
                    </m:r>
                  </m:num>
                  <m:den>
                    <m:r>
                      <w:rPr>
                        <w:rFonts w:ascii="Cambria Math" w:hAnsi="Cambria Math"/>
                      </w:rPr>
                      <m:t>2</m:t>
                    </m:r>
                  </m:den>
                </m:f>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c</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δ</m:t>
                        </m:r>
                      </m:e>
                      <m:sub>
                        <m:r>
                          <w:rPr>
                            <w:rFonts w:ascii="Cambria Math" w:hAnsi="Cambria Math"/>
                          </w:rPr>
                          <m:t>f</m:t>
                        </m:r>
                      </m:sub>
                    </m:sSub>
                    <m:r>
                      <w:rPr>
                        <w:rFonts w:ascii="Cambria Math" w:hAnsi="Cambria Math"/>
                      </w:rPr>
                      <m:t>∙</m:t>
                    </m:r>
                    <m:sSub>
                      <m:sSubPr>
                        <m:ctrlPr>
                          <w:rPr>
                            <w:rFonts w:ascii="Cambria Math" w:hAnsi="Cambria Math"/>
                            <w:i/>
                          </w:rPr>
                        </m:ctrlPr>
                      </m:sSubPr>
                      <m:e>
                        <m:r>
                          <w:rPr>
                            <w:rFonts w:ascii="Cambria Math" w:hAnsi="Cambria Math"/>
                          </w:rPr>
                          <m:t>τ</m:t>
                        </m:r>
                      </m:e>
                      <m:sub>
                        <m:r>
                          <w:rPr>
                            <w:rFonts w:ascii="Cambria Math" w:hAnsi="Cambria Math"/>
                          </w:rPr>
                          <m:t>max</m:t>
                        </m:r>
                      </m:sub>
                    </m:sSub>
                  </m:num>
                  <m:den>
                    <m:r>
                      <w:rPr>
                        <w:rFonts w:ascii="Cambria Math" w:hAnsi="Cambria Math"/>
                      </w:rPr>
                      <m:t>2</m:t>
                    </m:r>
                  </m:den>
                </m:f>
              </m:oMath>
            </m:oMathPara>
          </w:p>
        </w:tc>
        <w:tc>
          <w:tcPr>
            <w:tcW w:w="720" w:type="dxa"/>
            <w:vAlign w:val="center"/>
          </w:tcPr>
          <w:p w14:paraId="505B5D07" w14:textId="4270B9F3" w:rsidR="009650AF"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9650AF">
              <w:t>.</w:t>
            </w:r>
            <w:r>
              <w:fldChar w:fldCharType="begin"/>
            </w:r>
            <w:r>
              <w:instrText xml:space="preserve"> SEQ Equation \* ARABIC \s 1 </w:instrText>
            </w:r>
            <w:r>
              <w:fldChar w:fldCharType="separate"/>
            </w:r>
            <w:r w:rsidR="0006023A">
              <w:rPr>
                <w:noProof/>
              </w:rPr>
              <w:t>25</w:t>
            </w:r>
            <w:r>
              <w:rPr>
                <w:noProof/>
              </w:rPr>
              <w:fldChar w:fldCharType="end"/>
            </w:r>
          </w:p>
        </w:tc>
      </w:tr>
    </w:tbl>
    <w:p w14:paraId="6C52640C" w14:textId="77777777" w:rsidR="009650AF" w:rsidRDefault="009650AF" w:rsidP="009650AF">
      <w:pPr>
        <w:ind w:firstLine="720"/>
        <w:rPr>
          <w:rFonts w:eastAsiaTheme="minorEastAsia"/>
        </w:rPr>
      </w:pPr>
    </w:p>
    <w:p w14:paraId="2FD52429" w14:textId="24E3443B" w:rsidR="009650AF" w:rsidRDefault="009650AF" w:rsidP="009650AF">
      <w:pPr>
        <w:ind w:firstLine="720"/>
      </w:pPr>
      <w:r>
        <w:t xml:space="preserve">   It is important to note that when authors describe the traction separation law, some use the term fracture toughness, </w:t>
      </w:r>
      <m:oMath>
        <m:sSub>
          <m:sSubPr>
            <m:ctrlPr>
              <w:rPr>
                <w:rFonts w:ascii="Cambria Math" w:hAnsi="Cambria Math"/>
                <w:i/>
              </w:rPr>
            </m:ctrlPr>
          </m:sSubPr>
          <m:e>
            <m:r>
              <w:rPr>
                <w:rFonts w:ascii="Cambria Math" w:hAnsi="Cambria Math"/>
              </w:rPr>
              <m:t>K</m:t>
            </m:r>
          </m:e>
          <m:sub>
            <m:r>
              <w:rPr>
                <w:rFonts w:ascii="Cambria Math" w:hAnsi="Cambria Math"/>
              </w:rPr>
              <m:t>IC</m:t>
            </m:r>
          </m:sub>
        </m:sSub>
      </m:oMath>
      <w:r>
        <w:rPr>
          <w:rFonts w:eastAsiaTheme="minorEastAsia"/>
        </w:rPr>
        <w:t xml:space="preserve"> instead of the fra</w:t>
      </w:r>
      <w:r w:rsidR="00FE36D5">
        <w:rPr>
          <w:rFonts w:eastAsiaTheme="minorEastAsia"/>
        </w:rPr>
        <w:t>c</w:t>
      </w:r>
      <w:r>
        <w:rPr>
          <w:rFonts w:eastAsiaTheme="minorEastAsia"/>
        </w:rPr>
        <w:t xml:space="preserve">ture energy </w:t>
      </w:r>
      <m:oMath>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c</m:t>
            </m:r>
          </m:sub>
        </m:sSub>
      </m:oMath>
      <w:r>
        <w:rPr>
          <w:rFonts w:eastAsiaTheme="minorEastAsia"/>
        </w:rPr>
        <w:t xml:space="preserve"> (Feng et al. 2017; Kumar et al. 2017; Jiang et al. 2020; Xu et al. 2020)</w:t>
      </w:r>
      <w:r>
        <w:t>. Fracture toughness is related to the fracture energy (</w:t>
      </w:r>
      <m:oMath>
        <m:sSub>
          <m:sSubPr>
            <m:ctrlPr>
              <w:rPr>
                <w:rFonts w:ascii="Cambria Math" w:hAnsi="Cambria Math"/>
                <w:i/>
              </w:rPr>
            </m:ctrlPr>
          </m:sSubPr>
          <m:e>
            <m:r>
              <w:rPr>
                <w:rFonts w:ascii="Cambria Math" w:hAnsi="Cambria Math"/>
              </w:rPr>
              <m:t>G</m:t>
            </m:r>
          </m:e>
          <m:sub>
            <m:r>
              <w:rPr>
                <w:rFonts w:ascii="Cambria Math" w:hAnsi="Cambria Math"/>
              </w:rPr>
              <m:t>c</m:t>
            </m:r>
          </m:sub>
        </m:sSub>
      </m:oMath>
      <w:r>
        <w:t xml:space="preserve">) in </w:t>
      </w:r>
      <w:r>
        <w:lastRenderedPageBreak/>
        <w:t xml:space="preserve">the traction separation </w:t>
      </w:r>
      <w:r w:rsidRPr="00133B21">
        <w:t xml:space="preserve">law by Equation 2.26 where </w:t>
      </w:r>
      <m:oMath>
        <m:r>
          <w:rPr>
            <w:rFonts w:ascii="Cambria Math" w:hAnsi="Cambria Math"/>
          </w:rPr>
          <m:t>E</m:t>
        </m:r>
      </m:oMath>
      <w:r>
        <w:t xml:space="preserve"> is the Young’s modulus and </w:t>
      </w:r>
      <m:oMath>
        <m:r>
          <w:rPr>
            <w:rFonts w:ascii="Cambria Math" w:hAnsi="Cambria Math"/>
          </w:rPr>
          <m:t>v</m:t>
        </m:r>
      </m:oMath>
      <w:r>
        <w:t xml:space="preserve"> is the Poisson’s ratio of the material (Kumar et al. 2017).</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50AF" w14:paraId="08E2862E" w14:textId="77777777" w:rsidTr="009650AF">
        <w:trPr>
          <w:trHeight w:val="576"/>
        </w:trPr>
        <w:tc>
          <w:tcPr>
            <w:tcW w:w="720" w:type="dxa"/>
            <w:vAlign w:val="center"/>
          </w:tcPr>
          <w:p w14:paraId="1ED8FFDB" w14:textId="77777777" w:rsidR="009650AF" w:rsidRDefault="009650AF" w:rsidP="009650AF">
            <w:pPr>
              <w:spacing w:line="240" w:lineRule="auto"/>
              <w:jc w:val="center"/>
            </w:pPr>
          </w:p>
        </w:tc>
        <w:tc>
          <w:tcPr>
            <w:tcW w:w="7920" w:type="dxa"/>
            <w:vAlign w:val="center"/>
          </w:tcPr>
          <w:p w14:paraId="05DC2890" w14:textId="77777777" w:rsidR="009650AF" w:rsidRPr="003E4C6A" w:rsidRDefault="00077C0B" w:rsidP="009650AF">
            <w:pPr>
              <w:spacing w:line="240" w:lineRule="auto"/>
              <w:jc w:val="center"/>
            </w:pPr>
            <m:oMathPara>
              <m:oMath>
                <m:sSub>
                  <m:sSubPr>
                    <m:ctrlPr>
                      <w:rPr>
                        <w:rFonts w:ascii="Cambria Math" w:hAnsi="Cambria Math"/>
                        <w:i/>
                        <w:iCs/>
                      </w:rPr>
                    </m:ctrlPr>
                  </m:sSubPr>
                  <m:e>
                    <m:r>
                      <w:rPr>
                        <w:rFonts w:ascii="Cambria Math" w:hAnsi="Cambria Math"/>
                      </w:rPr>
                      <m:t>G</m:t>
                    </m:r>
                  </m:e>
                  <m:sub>
                    <m:r>
                      <w:rPr>
                        <w:rFonts w:ascii="Cambria Math" w:hAnsi="Cambria Math"/>
                      </w:rPr>
                      <m:t>c</m:t>
                    </m:r>
                  </m:sub>
                </m:sSub>
                <m:r>
                  <w:rPr>
                    <w:rFonts w:ascii="Cambria Math" w:hAnsi="Cambria Math"/>
                  </w:rPr>
                  <m:t>=</m:t>
                </m:r>
                <m:f>
                  <m:fPr>
                    <m:ctrlPr>
                      <w:rPr>
                        <w:rFonts w:ascii="Cambria Math" w:hAnsi="Cambria Math"/>
                        <w:i/>
                        <w:iCs/>
                      </w:rPr>
                    </m:ctrlPr>
                  </m:fPr>
                  <m:num>
                    <m:sSubSup>
                      <m:sSubSupPr>
                        <m:ctrlPr>
                          <w:rPr>
                            <w:rFonts w:ascii="Cambria Math" w:hAnsi="Cambria Math"/>
                            <w:i/>
                            <w:iCs/>
                          </w:rPr>
                        </m:ctrlPr>
                      </m:sSubSupPr>
                      <m:e>
                        <m:r>
                          <w:rPr>
                            <w:rFonts w:ascii="Cambria Math" w:hAnsi="Cambria Math"/>
                          </w:rPr>
                          <m:t>K</m:t>
                        </m:r>
                      </m:e>
                      <m:sub>
                        <m:r>
                          <w:rPr>
                            <w:rFonts w:ascii="Cambria Math" w:hAnsi="Cambria Math"/>
                          </w:rPr>
                          <m:t>IC</m:t>
                        </m:r>
                      </m:sub>
                      <m:sup>
                        <m:r>
                          <w:rPr>
                            <w:rFonts w:ascii="Cambria Math" w:hAnsi="Cambria Math"/>
                          </w:rPr>
                          <m:t>2</m:t>
                        </m:r>
                      </m:sup>
                    </m:sSubSup>
                  </m:num>
                  <m:den>
                    <m:r>
                      <w:rPr>
                        <w:rFonts w:ascii="Cambria Math" w:hAnsi="Cambria Math"/>
                      </w:rPr>
                      <m:t>E</m:t>
                    </m:r>
                  </m:den>
                </m:f>
                <m:d>
                  <m:dPr>
                    <m:ctrlPr>
                      <w:rPr>
                        <w:rFonts w:ascii="Cambria Math" w:hAnsi="Cambria Math"/>
                        <w:i/>
                        <w:iCs/>
                      </w:rPr>
                    </m:ctrlPr>
                  </m:dPr>
                  <m:e>
                    <m:r>
                      <w:rPr>
                        <w:rFonts w:ascii="Cambria Math" w:hAnsi="Cambria Math"/>
                      </w:rPr>
                      <m:t>1-</m:t>
                    </m:r>
                    <m:sSup>
                      <m:sSupPr>
                        <m:ctrlPr>
                          <w:rPr>
                            <w:rFonts w:ascii="Cambria Math" w:hAnsi="Cambria Math"/>
                            <w:i/>
                            <w:iCs/>
                          </w:rPr>
                        </m:ctrlPr>
                      </m:sSupPr>
                      <m:e>
                        <m:r>
                          <w:rPr>
                            <w:rFonts w:ascii="Cambria Math" w:hAnsi="Cambria Math"/>
                          </w:rPr>
                          <m:t>v</m:t>
                        </m:r>
                      </m:e>
                      <m:sup>
                        <m:r>
                          <w:rPr>
                            <w:rFonts w:ascii="Cambria Math" w:hAnsi="Cambria Math"/>
                          </w:rPr>
                          <m:t>2</m:t>
                        </m:r>
                      </m:sup>
                    </m:sSup>
                  </m:e>
                </m:d>
              </m:oMath>
            </m:oMathPara>
          </w:p>
        </w:tc>
        <w:tc>
          <w:tcPr>
            <w:tcW w:w="720" w:type="dxa"/>
            <w:vAlign w:val="bottom"/>
          </w:tcPr>
          <w:p w14:paraId="6A0CD209" w14:textId="40057C41" w:rsidR="009650AF"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9650AF">
              <w:t>.</w:t>
            </w:r>
            <w:r>
              <w:fldChar w:fldCharType="begin"/>
            </w:r>
            <w:r>
              <w:instrText xml:space="preserve"> SEQ Equation \* ARABIC </w:instrText>
            </w:r>
            <w:r>
              <w:instrText xml:space="preserve">\s 1 </w:instrText>
            </w:r>
            <w:r>
              <w:fldChar w:fldCharType="separate"/>
            </w:r>
            <w:r w:rsidR="0006023A">
              <w:rPr>
                <w:noProof/>
              </w:rPr>
              <w:t>26</w:t>
            </w:r>
            <w:r>
              <w:rPr>
                <w:noProof/>
              </w:rPr>
              <w:fldChar w:fldCharType="end"/>
            </w:r>
          </w:p>
        </w:tc>
      </w:tr>
    </w:tbl>
    <w:p w14:paraId="75423D31" w14:textId="77777777" w:rsidR="009650AF" w:rsidRDefault="009650AF" w:rsidP="009650AF"/>
    <w:p w14:paraId="093280A2" w14:textId="77777777" w:rsidR="009650AF" w:rsidRDefault="009650AF" w:rsidP="009650AF">
      <w:r>
        <w:tab/>
        <w:t xml:space="preserve">To determine the correct coefficients for the traction separation law, </w:t>
      </w:r>
      <w:r w:rsidRPr="00501E4E">
        <w:rPr>
          <w:rFonts w:cs="Times New Roman"/>
        </w:rPr>
        <w:t xml:space="preserve">Wang and </w:t>
      </w:r>
      <w:r>
        <w:rPr>
          <w:rFonts w:cs="Times New Roman"/>
        </w:rPr>
        <w:t>Taleghani (2014</w:t>
      </w:r>
      <w:r w:rsidRPr="00501E4E">
        <w:rPr>
          <w:rFonts w:cs="Times New Roman"/>
        </w:rPr>
        <w:t xml:space="preserve">) </w:t>
      </w:r>
      <w:r>
        <w:rPr>
          <w:rFonts w:cs="Times New Roman"/>
        </w:rPr>
        <w:t xml:space="preserve">performed a numerical </w:t>
      </w:r>
      <w:r w:rsidRPr="00133B21">
        <w:rPr>
          <w:rFonts w:cs="Times New Roman"/>
        </w:rPr>
        <w:t xml:space="preserve">analysis of the shear bond test data from Carter and Evans (1964). An example of their analysis is </w:t>
      </w:r>
      <w:r w:rsidRPr="00133B21">
        <w:t>shown in Figure 2.11. The authors converted the load versus time data (Figure 2.11A) into stress versus displacement data (Figure 2.11B). The load is converted to stress by dividing the load by the surface area. The time is converted to displacement by multiplying the time by the strain rate. To get the traction separation law coefficients, the maximum bond strength (Figure 2.9 point 2) is the maximum stress from Figure 2.11. The critical energy of the bond is determined by calculating the area under the stress versus displacement</w:t>
      </w:r>
      <w:r>
        <w:t xml:space="preserve"> curve by taking the integral of the best fit line or by performing a Riemann sum calculation. </w:t>
      </w:r>
    </w:p>
    <w:p w14:paraId="717D75D4" w14:textId="77777777" w:rsidR="009650AF" w:rsidRDefault="009650AF" w:rsidP="00BC23AD">
      <w:pPr>
        <w:pStyle w:val="NoSpacing"/>
      </w:pPr>
      <w:r>
        <w:rPr>
          <w:noProof/>
        </w:rPr>
        <w:drawing>
          <wp:inline distT="0" distB="0" distL="0" distR="0" wp14:anchorId="6AA4702E" wp14:editId="41708960">
            <wp:extent cx="5943600" cy="1782490"/>
            <wp:effectExtent l="0" t="0" r="0" b="825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1782490"/>
                    </a:xfrm>
                    <a:prstGeom prst="rect">
                      <a:avLst/>
                    </a:prstGeom>
                    <a:noFill/>
                  </pic:spPr>
                </pic:pic>
              </a:graphicData>
            </a:graphic>
          </wp:inline>
        </w:drawing>
      </w:r>
    </w:p>
    <w:p w14:paraId="751E41F2" w14:textId="176A6B57" w:rsidR="009650AF" w:rsidRDefault="009650AF" w:rsidP="00BC23AD">
      <w:pPr>
        <w:pStyle w:val="Caption"/>
      </w:pPr>
      <w:bookmarkStart w:id="24" w:name="_Toc67566194"/>
      <w:r>
        <w:t xml:space="preserve">Figure </w:t>
      </w:r>
      <w:r w:rsidR="00077C0B">
        <w:fldChar w:fldCharType="begin"/>
      </w:r>
      <w:r w:rsidR="00077C0B">
        <w:instrText xml:space="preserve"> STYLEREF 1 \s </w:instrText>
      </w:r>
      <w:r w:rsidR="00077C0B">
        <w:fldChar w:fldCharType="separate"/>
      </w:r>
      <w:r w:rsidR="0006023A">
        <w:rPr>
          <w:noProof/>
        </w:rPr>
        <w:t>2</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11</w:t>
      </w:r>
      <w:r w:rsidR="00077C0B">
        <w:rPr>
          <w:noProof/>
        </w:rPr>
        <w:fldChar w:fldCharType="end"/>
      </w:r>
      <w:r>
        <w:t>: A) Example of a load versus time data acquired in bond test experiments. B) Analyzed experimental data in terms of stress versus displacement data.</w:t>
      </w:r>
      <w:bookmarkEnd w:id="24"/>
    </w:p>
    <w:p w14:paraId="2CE8E8B4" w14:textId="77777777" w:rsidR="00133B21" w:rsidRDefault="009650AF" w:rsidP="009650AF">
      <w:pPr>
        <w:rPr>
          <w:rFonts w:eastAsiaTheme="minorEastAsia"/>
        </w:rPr>
      </w:pPr>
      <w:r>
        <w:tab/>
        <w:t xml:space="preserve">The Mode I traction separation law parameters determined by Wang and Taleghani (2014) are </w:t>
      </w:r>
      <m:oMath>
        <m:sSub>
          <m:sSubPr>
            <m:ctrlPr>
              <w:rPr>
                <w:rFonts w:ascii="Cambria Math" w:hAnsi="Cambria Math"/>
                <w:i/>
              </w:rPr>
            </m:ctrlPr>
          </m:sSubPr>
          <m:e>
            <m:r>
              <w:rPr>
                <w:rFonts w:ascii="Cambria Math" w:hAnsi="Cambria Math"/>
              </w:rPr>
              <m:t>τ</m:t>
            </m:r>
          </m:e>
          <m:sub>
            <m:r>
              <w:rPr>
                <w:rFonts w:ascii="Cambria Math" w:hAnsi="Cambria Math"/>
              </w:rPr>
              <m:t>max</m:t>
            </m:r>
          </m:sub>
        </m:sSub>
        <m:r>
          <w:rPr>
            <w:rFonts w:ascii="Cambria Math" w:hAnsi="Cambria Math"/>
          </w:rPr>
          <m:t xml:space="preserve">=0.5 </m:t>
        </m:r>
        <m:r>
          <m:rPr>
            <m:sty m:val="p"/>
          </m:rPr>
          <w:rPr>
            <w:rFonts w:ascii="Cambria Math" w:hAnsi="Cambria Math"/>
          </w:rPr>
          <m:t xml:space="preserve">MPa, </m:t>
        </m:r>
        <m:sSub>
          <m:sSubPr>
            <m:ctrlPr>
              <w:rPr>
                <w:rFonts w:ascii="Cambria Math" w:hAnsi="Cambria Math"/>
                <w:i/>
              </w:rPr>
            </m:ctrlPr>
          </m:sSubPr>
          <m:e>
            <m:r>
              <w:rPr>
                <w:rFonts w:ascii="Cambria Math" w:hAnsi="Cambria Math"/>
              </w:rPr>
              <m:t>G</m:t>
            </m:r>
          </m:e>
          <m:sub>
            <m:r>
              <w:rPr>
                <w:rFonts w:ascii="Cambria Math" w:hAnsi="Cambria Math"/>
              </w:rPr>
              <m:t>c</m:t>
            </m:r>
          </m:sub>
        </m:sSub>
        <m:r>
          <w:rPr>
            <w:rFonts w:ascii="Cambria Math" w:hAnsi="Cambria Math"/>
          </w:rPr>
          <m:t xml:space="preserve">=100 </m:t>
        </m:r>
        <m:r>
          <m:rPr>
            <m:sty m:val="p"/>
          </m:rPr>
          <w:rPr>
            <w:rFonts w:ascii="Cambria Math" w:hAnsi="Cambria Math"/>
          </w:rPr>
          <m:t>J/</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2</m:t>
            </m:r>
          </m:sup>
        </m:sSup>
      </m:oMath>
      <w:r>
        <w:rPr>
          <w:rFonts w:eastAsiaTheme="minorEastAsia"/>
        </w:rPr>
        <w:t xml:space="preserve">, and </w:t>
      </w:r>
      <m:oMath>
        <m:sSub>
          <m:sSubPr>
            <m:ctrlPr>
              <w:rPr>
                <w:rFonts w:ascii="Cambria Math" w:hAnsi="Cambria Math"/>
                <w:i/>
              </w:rPr>
            </m:ctrlPr>
          </m:sSubPr>
          <m:e>
            <m:r>
              <w:rPr>
                <w:rFonts w:ascii="Cambria Math" w:hAnsi="Cambria Math"/>
              </w:rPr>
              <m:t>δ</m:t>
            </m:r>
          </m:e>
          <m:sub>
            <m:r>
              <w:rPr>
                <w:rFonts w:ascii="Cambria Math" w:hAnsi="Cambria Math"/>
              </w:rPr>
              <m:t>f</m:t>
            </m:r>
          </m:sub>
        </m:sSub>
        <m:r>
          <w:rPr>
            <w:rFonts w:ascii="Cambria Math" w:hAnsi="Cambria Math"/>
          </w:rPr>
          <m:t xml:space="preserve">=400 </m:t>
        </m:r>
        <m:r>
          <m:rPr>
            <m:sty m:val="p"/>
          </m:rPr>
          <w:rPr>
            <w:rFonts w:ascii="Cambria Math" w:hAnsi="Cambria Math"/>
          </w:rPr>
          <m:t>μm</m:t>
        </m:r>
      </m:oMath>
      <w:r>
        <w:rPr>
          <w:rFonts w:eastAsiaTheme="minorEastAsia"/>
        </w:rPr>
        <w:t>.</w:t>
      </w:r>
      <w:r>
        <w:rPr>
          <w:rFonts w:eastAsiaTheme="minorEastAsia"/>
        </w:rPr>
        <w:tab/>
      </w:r>
    </w:p>
    <w:p w14:paraId="24D4CB8A" w14:textId="7A48F10D" w:rsidR="009650AF" w:rsidRDefault="009650AF" w:rsidP="009650AF">
      <w:r>
        <w:tab/>
      </w:r>
    </w:p>
    <w:p w14:paraId="129132E5" w14:textId="1A658EBA" w:rsidR="009650AF" w:rsidRDefault="009650AF" w:rsidP="009650AF">
      <w:pPr>
        <w:pStyle w:val="Heading2"/>
      </w:pPr>
      <w:bookmarkStart w:id="25" w:name="_Toc67566026"/>
      <w:r>
        <w:lastRenderedPageBreak/>
        <w:t>Modeling of Leakage</w:t>
      </w:r>
      <w:bookmarkEnd w:id="25"/>
    </w:p>
    <w:p w14:paraId="675A32C9" w14:textId="7ED5C4CB" w:rsidR="009650AF" w:rsidRDefault="009650AF" w:rsidP="009650AF">
      <w:pPr>
        <w:ind w:firstLine="720"/>
      </w:pPr>
      <w:r>
        <w:t>Numerically estimating the fluid flow of hydrocarbons in wellbore cement and along the cement sheath interfaces is a complicated mechanical and chemical process in which some assumptions have to be made. Predicting the dissolution and precipitation of minerals that occur due to chemical reactions of cement with various fluids and gasses within the leakage pathways are not well quantified (Bois et al. 2013). Therefore, experiments and analytical equations have been used to relate flow rates, pressure drops, and leakage pathway sizes to get a generalized idea of leakage patterns in the cement sheath. The following sections discuss the theoretical background of simplifying cased wellbore leakage with classical fluid mechanics analytical equations for geometries related to cased wellbores</w:t>
      </w:r>
      <w:r w:rsidR="00FE36D5">
        <w:t>:</w:t>
      </w:r>
      <w:r>
        <w:t xml:space="preserve"> circular</w:t>
      </w:r>
      <w:r w:rsidR="00FE36D5">
        <w:t>,</w:t>
      </w:r>
      <w:r>
        <w:t xml:space="preserve"> annular, and irregular geometries. Circular flow relates to flow within the casing (pipe) presented in de Nevers (2005), Bird et al. (2007), Kleinstreuer (2010), and White (2011). Annular flow represents a uniform microannuli in the cement sheath. Irregular geometries are simplified to parallel plate flow in which the width and height are variable to represent fractures.</w:t>
      </w:r>
    </w:p>
    <w:p w14:paraId="0A5B40AF" w14:textId="77777777" w:rsidR="009650AF" w:rsidRDefault="009650AF" w:rsidP="009650AF">
      <w:pPr>
        <w:pStyle w:val="Heading3"/>
      </w:pPr>
      <w:bookmarkStart w:id="26" w:name="_Toc67566027"/>
      <w:r>
        <w:t>Circular Flow</w:t>
      </w:r>
      <w:bookmarkEnd w:id="26"/>
    </w:p>
    <w:p w14:paraId="69CD301F" w14:textId="647E3AB4" w:rsidR="009650AF" w:rsidRDefault="009650AF" w:rsidP="009650AF">
      <w:pPr>
        <w:ind w:firstLine="720"/>
      </w:pPr>
      <w:r>
        <w:t xml:space="preserve">To model flow for a cased wellbore, the simple case would be to develop the equations of state for a </w:t>
      </w:r>
      <w:r w:rsidR="00045AB0">
        <w:t>cylinder for</w:t>
      </w:r>
      <w:r>
        <w:t xml:space="preserve"> incompressible fluids assuming laminar flow in a pipe in which the pressure force exerted on the pipe is equal to the change in pressure (</w:t>
      </w:r>
      <m:oMath>
        <m:r>
          <w:rPr>
            <w:rFonts w:ascii="Cambria Math" w:hAnsi="Cambria Math"/>
          </w:rPr>
          <m:t>ΔP</m:t>
        </m:r>
      </m:oMath>
      <w:r>
        <w:t>) times the cross sectional area (</w:t>
      </w:r>
      <m:oMath>
        <m:r>
          <w:rPr>
            <w:rFonts w:ascii="Cambria Math" w:hAnsi="Cambria Math"/>
          </w:rPr>
          <m:t>π</m:t>
        </m:r>
        <m:sSup>
          <m:sSupPr>
            <m:ctrlPr>
              <w:rPr>
                <w:rFonts w:ascii="Cambria Math" w:hAnsi="Cambria Math"/>
                <w:i/>
              </w:rPr>
            </m:ctrlPr>
          </m:sSupPr>
          <m:e>
            <m:r>
              <w:rPr>
                <w:rFonts w:ascii="Cambria Math" w:hAnsi="Cambria Math"/>
              </w:rPr>
              <m:t>r</m:t>
            </m:r>
          </m:e>
          <m:sup>
            <m:r>
              <w:rPr>
                <w:rFonts w:ascii="Cambria Math" w:hAnsi="Cambria Math"/>
              </w:rPr>
              <m:t>2</m:t>
            </m:r>
          </m:sup>
        </m:sSup>
      </m:oMath>
      <w:r>
        <w:t>).</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50AF" w14:paraId="7DDE8F2E" w14:textId="77777777" w:rsidTr="009650AF">
        <w:trPr>
          <w:trHeight w:val="576"/>
        </w:trPr>
        <w:tc>
          <w:tcPr>
            <w:tcW w:w="720" w:type="dxa"/>
            <w:vAlign w:val="center"/>
          </w:tcPr>
          <w:p w14:paraId="7FBBF817" w14:textId="77777777" w:rsidR="009650AF" w:rsidRDefault="009650AF" w:rsidP="009650AF">
            <w:pPr>
              <w:spacing w:line="240" w:lineRule="auto"/>
              <w:jc w:val="center"/>
            </w:pPr>
          </w:p>
        </w:tc>
        <w:tc>
          <w:tcPr>
            <w:tcW w:w="7920" w:type="dxa"/>
            <w:vAlign w:val="center"/>
          </w:tcPr>
          <w:p w14:paraId="69297A99" w14:textId="77777777" w:rsidR="009650AF" w:rsidRPr="003E4C6A" w:rsidRDefault="009650AF" w:rsidP="009650AF">
            <w:pPr>
              <w:spacing w:line="240" w:lineRule="auto"/>
              <w:jc w:val="center"/>
            </w:pPr>
            <m:oMathPara>
              <m:oMath>
                <m:r>
                  <w:rPr>
                    <w:rFonts w:ascii="Cambria Math" w:hAnsi="Cambria Math"/>
                  </w:rPr>
                  <m:t>Pressure Force=π</m:t>
                </m:r>
                <m:sSup>
                  <m:sSupPr>
                    <m:ctrlPr>
                      <w:rPr>
                        <w:rFonts w:ascii="Cambria Math" w:hAnsi="Cambria Math"/>
                        <w:i/>
                      </w:rPr>
                    </m:ctrlPr>
                  </m:sSupPr>
                  <m:e>
                    <m:r>
                      <w:rPr>
                        <w:rFonts w:ascii="Cambria Math" w:hAnsi="Cambria Math"/>
                      </w:rPr>
                      <m:t>r</m:t>
                    </m:r>
                  </m:e>
                  <m:sup>
                    <m:r>
                      <w:rPr>
                        <w:rFonts w:ascii="Cambria Math" w:hAnsi="Cambria Math"/>
                      </w:rPr>
                      <m:t>2</m:t>
                    </m:r>
                  </m:sup>
                </m:sSup>
                <m:d>
                  <m:dPr>
                    <m:ctrlPr>
                      <w:rPr>
                        <w:rFonts w:ascii="Cambria Math" w:hAnsi="Cambria Math"/>
                        <w:i/>
                      </w:rPr>
                    </m:ctrlPr>
                  </m:dPr>
                  <m:e>
                    <m:r>
                      <m:rPr>
                        <m:sty m:val="p"/>
                      </m:rPr>
                      <w:rPr>
                        <w:rFonts w:ascii="Cambria Math" w:hAnsi="Cambria Math"/>
                      </w:rPr>
                      <m:t>Δ</m:t>
                    </m:r>
                    <m:r>
                      <w:rPr>
                        <w:rFonts w:ascii="Cambria Math" w:hAnsi="Cambria Math"/>
                      </w:rPr>
                      <m:t>P</m:t>
                    </m:r>
                  </m:e>
                </m:d>
              </m:oMath>
            </m:oMathPara>
          </w:p>
        </w:tc>
        <w:tc>
          <w:tcPr>
            <w:tcW w:w="720" w:type="dxa"/>
            <w:vAlign w:val="bottom"/>
          </w:tcPr>
          <w:p w14:paraId="77511D50" w14:textId="3D00A30F" w:rsidR="009650AF"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9650AF">
              <w:t>.</w:t>
            </w:r>
            <w:r>
              <w:fldChar w:fldCharType="begin"/>
            </w:r>
            <w:r>
              <w:instrText xml:space="preserve"> SEQ Equation \* ARABIC \s 1 </w:instrText>
            </w:r>
            <w:r>
              <w:fldChar w:fldCharType="separate"/>
            </w:r>
            <w:r w:rsidR="0006023A">
              <w:rPr>
                <w:noProof/>
              </w:rPr>
              <w:t>27</w:t>
            </w:r>
            <w:r>
              <w:rPr>
                <w:noProof/>
              </w:rPr>
              <w:fldChar w:fldCharType="end"/>
            </w:r>
          </w:p>
        </w:tc>
      </w:tr>
    </w:tbl>
    <w:p w14:paraId="5E27C122" w14:textId="77777777" w:rsidR="009650AF" w:rsidRDefault="009650AF" w:rsidP="009650AF">
      <w:pPr>
        <w:ind w:firstLine="720"/>
      </w:pPr>
    </w:p>
    <w:p w14:paraId="36292512" w14:textId="77777777" w:rsidR="009650AF" w:rsidRDefault="009650AF" w:rsidP="009650AF">
      <w:pPr>
        <w:ind w:firstLine="720"/>
      </w:pPr>
      <w:r>
        <w:lastRenderedPageBreak/>
        <w:t>The shear force exerted on the pipe is equal to the force in the opposite direction of the pressure gradient which is in the flow direction. The shear force is equal to the circumference (</w:t>
      </w:r>
      <m:oMath>
        <m:r>
          <w:rPr>
            <w:rFonts w:ascii="Cambria Math" w:hAnsi="Cambria Math"/>
          </w:rPr>
          <m:t>2πr</m:t>
        </m:r>
      </m:oMath>
      <w:r>
        <w:t>) times the length (</w:t>
      </w:r>
      <m:oMath>
        <m:r>
          <w:rPr>
            <w:rFonts w:ascii="Cambria Math" w:hAnsi="Cambria Math"/>
          </w:rPr>
          <m:t>Δx</m:t>
        </m:r>
      </m:oMath>
      <w:r>
        <w:t>) times the shear stress (</w:t>
      </w:r>
      <m:oMath>
        <m:r>
          <w:rPr>
            <w:rFonts w:ascii="Cambria Math" w:hAnsi="Cambria Math"/>
          </w:rPr>
          <m:t>τ</m:t>
        </m:r>
      </m:oMath>
      <w:r>
        <w:t xml:space="preserve">). </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50AF" w14:paraId="030C1474" w14:textId="77777777" w:rsidTr="009650AF">
        <w:trPr>
          <w:trHeight w:val="576"/>
        </w:trPr>
        <w:tc>
          <w:tcPr>
            <w:tcW w:w="720" w:type="dxa"/>
            <w:vAlign w:val="center"/>
          </w:tcPr>
          <w:p w14:paraId="637FF6B5" w14:textId="77777777" w:rsidR="009650AF" w:rsidRDefault="009650AF" w:rsidP="009650AF">
            <w:pPr>
              <w:spacing w:line="240" w:lineRule="auto"/>
              <w:jc w:val="center"/>
            </w:pPr>
          </w:p>
        </w:tc>
        <w:tc>
          <w:tcPr>
            <w:tcW w:w="7920" w:type="dxa"/>
            <w:vAlign w:val="center"/>
          </w:tcPr>
          <w:p w14:paraId="3F286F6C" w14:textId="77777777" w:rsidR="009650AF" w:rsidRPr="003E4C6A" w:rsidRDefault="009650AF" w:rsidP="009650AF">
            <w:pPr>
              <w:spacing w:line="240" w:lineRule="auto"/>
              <w:jc w:val="center"/>
            </w:pPr>
            <m:oMathPara>
              <m:oMath>
                <m:r>
                  <w:rPr>
                    <w:rFonts w:ascii="Cambria Math" w:hAnsi="Cambria Math"/>
                  </w:rPr>
                  <m:t>Shear Force=2πr∙</m:t>
                </m:r>
                <m:r>
                  <m:rPr>
                    <m:sty m:val="p"/>
                  </m:rPr>
                  <w:rPr>
                    <w:rFonts w:ascii="Cambria Math" w:hAnsi="Cambria Math"/>
                  </w:rPr>
                  <m:t>Δ</m:t>
                </m:r>
                <m:r>
                  <w:rPr>
                    <w:rFonts w:ascii="Cambria Math" w:hAnsi="Cambria Math"/>
                  </w:rPr>
                  <m:t>x∙τ</m:t>
                </m:r>
              </m:oMath>
            </m:oMathPara>
          </w:p>
        </w:tc>
        <w:tc>
          <w:tcPr>
            <w:tcW w:w="720" w:type="dxa"/>
            <w:vAlign w:val="bottom"/>
          </w:tcPr>
          <w:p w14:paraId="0D474AC5" w14:textId="5B7ABC8B" w:rsidR="009650AF"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9650AF">
              <w:t>.</w:t>
            </w:r>
            <w:r>
              <w:fldChar w:fldCharType="begin"/>
            </w:r>
            <w:r>
              <w:instrText xml:space="preserve"> SEQ Equation \* ARABIC \s 1 </w:instrText>
            </w:r>
            <w:r>
              <w:fldChar w:fldCharType="separate"/>
            </w:r>
            <w:r w:rsidR="0006023A">
              <w:rPr>
                <w:noProof/>
              </w:rPr>
              <w:t>28</w:t>
            </w:r>
            <w:r>
              <w:rPr>
                <w:noProof/>
              </w:rPr>
              <w:fldChar w:fldCharType="end"/>
            </w:r>
          </w:p>
        </w:tc>
      </w:tr>
    </w:tbl>
    <w:p w14:paraId="0179520E" w14:textId="77777777" w:rsidR="009650AF" w:rsidRDefault="009650AF" w:rsidP="009650AF">
      <w:pPr>
        <w:ind w:firstLine="720"/>
      </w:pPr>
    </w:p>
    <w:p w14:paraId="264D8123" w14:textId="77777777" w:rsidR="009650AF" w:rsidRDefault="009650AF" w:rsidP="009650AF">
      <w:pPr>
        <w:ind w:firstLine="720"/>
      </w:pPr>
      <w:r>
        <w:t xml:space="preserve">Since pressure and shear are the only forces in the x-direction, the sum of the forces has to be equal to zero. </w:t>
      </w:r>
      <w:r w:rsidRPr="00133B21">
        <w:t xml:space="preserve">Combining Equations 2.27 and 2.28 and solving for </w:t>
      </w:r>
      <m:oMath>
        <m:r>
          <w:rPr>
            <w:rFonts w:ascii="Cambria Math" w:hAnsi="Cambria Math"/>
          </w:rPr>
          <m:t>τ</m:t>
        </m:r>
      </m:oMath>
      <w:r w:rsidRPr="00133B21">
        <w:t xml:space="preserve"> result in Equation 2.29.</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50AF" w14:paraId="27F945E5" w14:textId="77777777" w:rsidTr="009650AF">
        <w:trPr>
          <w:trHeight w:val="576"/>
        </w:trPr>
        <w:tc>
          <w:tcPr>
            <w:tcW w:w="720" w:type="dxa"/>
            <w:vAlign w:val="center"/>
          </w:tcPr>
          <w:p w14:paraId="065FDFF9" w14:textId="77777777" w:rsidR="009650AF" w:rsidRDefault="009650AF" w:rsidP="009650AF">
            <w:pPr>
              <w:spacing w:line="240" w:lineRule="auto"/>
              <w:jc w:val="center"/>
            </w:pPr>
          </w:p>
        </w:tc>
        <w:tc>
          <w:tcPr>
            <w:tcW w:w="7920" w:type="dxa"/>
            <w:vAlign w:val="center"/>
          </w:tcPr>
          <w:p w14:paraId="272005FF" w14:textId="77777777" w:rsidR="009650AF" w:rsidRPr="003E4C6A" w:rsidRDefault="009650AF" w:rsidP="009650AF">
            <w:pPr>
              <w:spacing w:line="240" w:lineRule="auto"/>
              <w:jc w:val="center"/>
            </w:pPr>
            <m:oMathPara>
              <m:oMath>
                <m:r>
                  <w:rPr>
                    <w:rFonts w:ascii="Cambria Math" w:hAnsi="Cambria Math"/>
                  </w:rPr>
                  <m:t>τ=-</m:t>
                </m:r>
                <m:f>
                  <m:fPr>
                    <m:ctrlPr>
                      <w:rPr>
                        <w:rFonts w:ascii="Cambria Math" w:hAnsi="Cambria Math"/>
                        <w:i/>
                      </w:rPr>
                    </m:ctrlPr>
                  </m:fPr>
                  <m:num>
                    <m:r>
                      <w:rPr>
                        <w:rFonts w:ascii="Cambria Math" w:hAnsi="Cambria Math"/>
                      </w:rPr>
                      <m:t>r</m:t>
                    </m:r>
                    <m:r>
                      <m:rPr>
                        <m:sty m:val="p"/>
                      </m:rPr>
                      <w:rPr>
                        <w:rFonts w:ascii="Cambria Math" w:hAnsi="Cambria Math"/>
                      </w:rPr>
                      <m:t>Δ</m:t>
                    </m:r>
                    <m:r>
                      <w:rPr>
                        <w:rFonts w:ascii="Cambria Math" w:hAnsi="Cambria Math"/>
                      </w:rPr>
                      <m:t>P</m:t>
                    </m:r>
                  </m:num>
                  <m:den>
                    <m:r>
                      <w:rPr>
                        <w:rFonts w:ascii="Cambria Math" w:hAnsi="Cambria Math"/>
                      </w:rPr>
                      <m:t>2</m:t>
                    </m:r>
                    <m:r>
                      <m:rPr>
                        <m:sty m:val="p"/>
                      </m:rPr>
                      <w:rPr>
                        <w:rFonts w:ascii="Cambria Math" w:hAnsi="Cambria Math"/>
                      </w:rPr>
                      <m:t>Δ</m:t>
                    </m:r>
                    <m:r>
                      <w:rPr>
                        <w:rFonts w:ascii="Cambria Math" w:hAnsi="Cambria Math"/>
                      </w:rPr>
                      <m:t>x</m:t>
                    </m:r>
                  </m:den>
                </m:f>
              </m:oMath>
            </m:oMathPara>
          </w:p>
        </w:tc>
        <w:tc>
          <w:tcPr>
            <w:tcW w:w="720" w:type="dxa"/>
            <w:vAlign w:val="bottom"/>
          </w:tcPr>
          <w:p w14:paraId="1292E21E" w14:textId="786A581B" w:rsidR="009650AF"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9650AF">
              <w:t>.</w:t>
            </w:r>
            <w:r>
              <w:fldChar w:fldCharType="begin"/>
            </w:r>
            <w:r>
              <w:instrText xml:space="preserve"> SEQ Equation \* ARABIC \s 1 </w:instrText>
            </w:r>
            <w:r>
              <w:fldChar w:fldCharType="separate"/>
            </w:r>
            <w:r w:rsidR="0006023A">
              <w:rPr>
                <w:noProof/>
              </w:rPr>
              <w:t>29</w:t>
            </w:r>
            <w:r>
              <w:rPr>
                <w:noProof/>
              </w:rPr>
              <w:fldChar w:fldCharType="end"/>
            </w:r>
          </w:p>
        </w:tc>
      </w:tr>
    </w:tbl>
    <w:p w14:paraId="20FB2BBC" w14:textId="77777777" w:rsidR="009650AF" w:rsidRDefault="009650AF" w:rsidP="009650AF">
      <w:pPr>
        <w:ind w:firstLine="720"/>
      </w:pPr>
    </w:p>
    <w:p w14:paraId="5EC99CB4" w14:textId="77777777" w:rsidR="009650AF" w:rsidRDefault="009650AF" w:rsidP="009650AF">
      <w:pPr>
        <w:ind w:firstLine="720"/>
      </w:pPr>
      <w:r>
        <w:t xml:space="preserve">For a </w:t>
      </w:r>
      <w:r w:rsidRPr="00133B21">
        <w:t>Newtonian fluid in laminar motion, the shear stress is equal to the viscosity and the velocity gradient. Then Equation 2.29 becomes</w:t>
      </w:r>
      <w:r>
        <w:t xml:space="preserve">, </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50AF" w14:paraId="01735B52" w14:textId="77777777" w:rsidTr="009650AF">
        <w:trPr>
          <w:trHeight w:val="576"/>
        </w:trPr>
        <w:tc>
          <w:tcPr>
            <w:tcW w:w="720" w:type="dxa"/>
            <w:vAlign w:val="center"/>
          </w:tcPr>
          <w:p w14:paraId="778D9FEF" w14:textId="77777777" w:rsidR="009650AF" w:rsidRDefault="009650AF" w:rsidP="009650AF">
            <w:pPr>
              <w:spacing w:line="240" w:lineRule="auto"/>
              <w:jc w:val="center"/>
            </w:pPr>
          </w:p>
        </w:tc>
        <w:tc>
          <w:tcPr>
            <w:tcW w:w="7920" w:type="dxa"/>
            <w:vAlign w:val="center"/>
          </w:tcPr>
          <w:p w14:paraId="0F3D839F" w14:textId="77777777" w:rsidR="009650AF" w:rsidRPr="003E4C6A" w:rsidRDefault="009650AF" w:rsidP="009650AF">
            <w:pPr>
              <w:spacing w:line="240" w:lineRule="auto"/>
              <w:jc w:val="center"/>
            </w:pPr>
            <m:oMathPara>
              <m:oMath>
                <m:r>
                  <w:rPr>
                    <w:rFonts w:ascii="Cambria Math" w:hAnsi="Cambria Math"/>
                  </w:rPr>
                  <m:t>μ</m:t>
                </m:r>
                <m:f>
                  <m:fPr>
                    <m:ctrlPr>
                      <w:rPr>
                        <w:rFonts w:ascii="Cambria Math" w:hAnsi="Cambria Math"/>
                        <w:i/>
                      </w:rPr>
                    </m:ctrlPr>
                  </m:fPr>
                  <m:num>
                    <m:r>
                      <w:rPr>
                        <w:rFonts w:ascii="Cambria Math" w:hAnsi="Cambria Math"/>
                      </w:rPr>
                      <m:t>dV</m:t>
                    </m:r>
                  </m:num>
                  <m:den>
                    <m:r>
                      <w:rPr>
                        <w:rFonts w:ascii="Cambria Math" w:hAnsi="Cambria Math"/>
                      </w:rPr>
                      <m:t>dr</m:t>
                    </m:r>
                  </m:den>
                </m:f>
                <m:r>
                  <w:rPr>
                    <w:rFonts w:ascii="Cambria Math" w:hAnsi="Cambria Math"/>
                  </w:rPr>
                  <m:t>=-</m:t>
                </m:r>
                <m:f>
                  <m:fPr>
                    <m:ctrlPr>
                      <w:rPr>
                        <w:rFonts w:ascii="Cambria Math" w:hAnsi="Cambria Math"/>
                        <w:i/>
                      </w:rPr>
                    </m:ctrlPr>
                  </m:fPr>
                  <m:num>
                    <m:r>
                      <w:rPr>
                        <w:rFonts w:ascii="Cambria Math" w:hAnsi="Cambria Math"/>
                      </w:rPr>
                      <m:t>r</m:t>
                    </m:r>
                    <m:r>
                      <m:rPr>
                        <m:sty m:val="p"/>
                      </m:rPr>
                      <w:rPr>
                        <w:rFonts w:ascii="Cambria Math" w:hAnsi="Cambria Math"/>
                      </w:rPr>
                      <m:t>Δ</m:t>
                    </m:r>
                    <m:r>
                      <w:rPr>
                        <w:rFonts w:ascii="Cambria Math" w:hAnsi="Cambria Math"/>
                      </w:rPr>
                      <m:t>P</m:t>
                    </m:r>
                  </m:num>
                  <m:den>
                    <m:r>
                      <w:rPr>
                        <w:rFonts w:ascii="Cambria Math" w:hAnsi="Cambria Math"/>
                      </w:rPr>
                      <m:t>2</m:t>
                    </m:r>
                    <m:r>
                      <m:rPr>
                        <m:sty m:val="p"/>
                      </m:rPr>
                      <w:rPr>
                        <w:rFonts w:ascii="Cambria Math" w:hAnsi="Cambria Math"/>
                      </w:rPr>
                      <m:t>Δ</m:t>
                    </m:r>
                    <m:r>
                      <w:rPr>
                        <w:rFonts w:ascii="Cambria Math" w:hAnsi="Cambria Math"/>
                      </w:rPr>
                      <m:t>x</m:t>
                    </m:r>
                  </m:den>
                </m:f>
              </m:oMath>
            </m:oMathPara>
          </w:p>
        </w:tc>
        <w:tc>
          <w:tcPr>
            <w:tcW w:w="720" w:type="dxa"/>
            <w:vAlign w:val="bottom"/>
          </w:tcPr>
          <w:p w14:paraId="45EF1E8A" w14:textId="61BB7425" w:rsidR="009650AF"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9650AF">
              <w:t>.</w:t>
            </w:r>
            <w:r>
              <w:fldChar w:fldCharType="begin"/>
            </w:r>
            <w:r>
              <w:instrText xml:space="preserve"> SEQ Equation \* ARABIC \s 1 </w:instrText>
            </w:r>
            <w:r>
              <w:fldChar w:fldCharType="separate"/>
            </w:r>
            <w:r w:rsidR="0006023A">
              <w:rPr>
                <w:noProof/>
              </w:rPr>
              <w:t>30</w:t>
            </w:r>
            <w:r>
              <w:rPr>
                <w:noProof/>
              </w:rPr>
              <w:fldChar w:fldCharType="end"/>
            </w:r>
          </w:p>
        </w:tc>
      </w:tr>
    </w:tbl>
    <w:p w14:paraId="4182FB55" w14:textId="77777777" w:rsidR="009650AF" w:rsidRDefault="009650AF" w:rsidP="009650AF">
      <w:pPr>
        <w:ind w:firstLine="720"/>
      </w:pPr>
    </w:p>
    <w:p w14:paraId="58F0BB9A" w14:textId="77777777" w:rsidR="009650AF" w:rsidRDefault="009650AF" w:rsidP="009650AF">
      <w:pPr>
        <w:ind w:firstLine="720"/>
      </w:pPr>
      <w:r w:rsidRPr="00133B21">
        <w:t>Integrating Equation 2.30 with respect to the radius of the pipe (</w:t>
      </w:r>
      <m:oMath>
        <m:r>
          <w:rPr>
            <w:rFonts w:ascii="Cambria Math" w:hAnsi="Cambria Math"/>
          </w:rPr>
          <m:t>r</m:t>
        </m:r>
      </m:oMath>
      <w:r w:rsidRPr="00133B21">
        <w:t>) results in Equation 2.31</w:t>
      </w:r>
      <w:r>
        <w:t>.</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50AF" w14:paraId="693D1E20" w14:textId="77777777" w:rsidTr="009650AF">
        <w:trPr>
          <w:trHeight w:val="576"/>
        </w:trPr>
        <w:tc>
          <w:tcPr>
            <w:tcW w:w="720" w:type="dxa"/>
            <w:vAlign w:val="center"/>
          </w:tcPr>
          <w:p w14:paraId="2659F271" w14:textId="77777777" w:rsidR="009650AF" w:rsidRDefault="009650AF" w:rsidP="009650AF">
            <w:pPr>
              <w:spacing w:line="240" w:lineRule="auto"/>
              <w:jc w:val="center"/>
            </w:pPr>
          </w:p>
        </w:tc>
        <w:tc>
          <w:tcPr>
            <w:tcW w:w="7920" w:type="dxa"/>
            <w:vAlign w:val="center"/>
          </w:tcPr>
          <w:p w14:paraId="63B69750" w14:textId="77777777" w:rsidR="009650AF" w:rsidRPr="003E4C6A" w:rsidRDefault="009650AF" w:rsidP="009650AF">
            <w:pPr>
              <w:spacing w:line="240" w:lineRule="auto"/>
              <w:jc w:val="center"/>
            </w:pPr>
            <m:oMathPara>
              <m:oMath>
                <m:r>
                  <w:rPr>
                    <w:rFonts w:ascii="Cambria Math" w:hAnsi="Cambria Math"/>
                  </w:rPr>
                  <m:t>V=-</m:t>
                </m:r>
                <m:f>
                  <m:fPr>
                    <m:ctrlPr>
                      <w:rPr>
                        <w:rFonts w:ascii="Cambria Math" w:hAnsi="Cambria Math"/>
                        <w:i/>
                      </w:rPr>
                    </m:ctrlPr>
                  </m:fPr>
                  <m:num>
                    <m:sSup>
                      <m:sSupPr>
                        <m:ctrlPr>
                          <w:rPr>
                            <w:rFonts w:ascii="Cambria Math" w:hAnsi="Cambria Math"/>
                            <w:i/>
                          </w:rPr>
                        </m:ctrlPr>
                      </m:sSupPr>
                      <m:e>
                        <m:r>
                          <w:rPr>
                            <w:rFonts w:ascii="Cambria Math" w:hAnsi="Cambria Math"/>
                          </w:rPr>
                          <m:t>r</m:t>
                        </m:r>
                      </m:e>
                      <m:sup>
                        <m:r>
                          <w:rPr>
                            <w:rFonts w:ascii="Cambria Math" w:hAnsi="Cambria Math"/>
                          </w:rPr>
                          <m:t>2</m:t>
                        </m:r>
                      </m:sup>
                    </m:sSup>
                    <m:r>
                      <m:rPr>
                        <m:sty m:val="p"/>
                      </m:rPr>
                      <w:rPr>
                        <w:rFonts w:ascii="Cambria Math" w:hAnsi="Cambria Math"/>
                      </w:rPr>
                      <m:t>Δ</m:t>
                    </m:r>
                    <m:r>
                      <w:rPr>
                        <w:rFonts w:ascii="Cambria Math" w:hAnsi="Cambria Math"/>
                      </w:rPr>
                      <m:t>P</m:t>
                    </m:r>
                  </m:num>
                  <m:den>
                    <m:r>
                      <w:rPr>
                        <w:rFonts w:ascii="Cambria Math" w:hAnsi="Cambria Math"/>
                      </w:rPr>
                      <m:t>4μ</m:t>
                    </m:r>
                    <m:r>
                      <m:rPr>
                        <m:sty m:val="p"/>
                      </m:rPr>
                      <w:rPr>
                        <w:rFonts w:ascii="Cambria Math" w:hAnsi="Cambria Math"/>
                      </w:rPr>
                      <m:t>Δ</m:t>
                    </m:r>
                    <m:r>
                      <w:rPr>
                        <w:rFonts w:ascii="Cambria Math" w:hAnsi="Cambria Math"/>
                      </w:rPr>
                      <m:t>x</m:t>
                    </m:r>
                  </m:den>
                </m:f>
                <m:r>
                  <w:rPr>
                    <w:rFonts w:ascii="Cambria Math" w:hAnsi="Cambria Math"/>
                  </w:rPr>
                  <m:t>+C1</m:t>
                </m:r>
              </m:oMath>
            </m:oMathPara>
          </w:p>
        </w:tc>
        <w:tc>
          <w:tcPr>
            <w:tcW w:w="720" w:type="dxa"/>
            <w:vAlign w:val="bottom"/>
          </w:tcPr>
          <w:p w14:paraId="6ED7D617" w14:textId="69454762" w:rsidR="009650AF"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9650AF">
              <w:t>.</w:t>
            </w:r>
            <w:r>
              <w:fldChar w:fldCharType="begin"/>
            </w:r>
            <w:r>
              <w:instrText xml:space="preserve"> SEQ Equation \* ARAB</w:instrText>
            </w:r>
            <w:r>
              <w:instrText xml:space="preserve">IC \s 1 </w:instrText>
            </w:r>
            <w:r>
              <w:fldChar w:fldCharType="separate"/>
            </w:r>
            <w:r w:rsidR="0006023A">
              <w:rPr>
                <w:noProof/>
              </w:rPr>
              <w:t>31</w:t>
            </w:r>
            <w:r>
              <w:rPr>
                <w:noProof/>
              </w:rPr>
              <w:fldChar w:fldCharType="end"/>
            </w:r>
          </w:p>
        </w:tc>
      </w:tr>
    </w:tbl>
    <w:p w14:paraId="68B98F82" w14:textId="77777777" w:rsidR="009650AF" w:rsidRDefault="009650AF" w:rsidP="009650AF">
      <w:pPr>
        <w:ind w:firstLine="720"/>
      </w:pPr>
    </w:p>
    <w:p w14:paraId="31C35EEB" w14:textId="77777777" w:rsidR="009650AF" w:rsidRDefault="009650AF" w:rsidP="009650AF">
      <w:pPr>
        <w:ind w:firstLine="720"/>
        <w:rPr>
          <w:rFonts w:eastAsiaTheme="minorEastAsia"/>
        </w:rPr>
      </w:pPr>
      <w:r>
        <w:t xml:space="preserve">Assuming no slip condition (slip flow), </w:t>
      </w:r>
      <m:oMath>
        <m:r>
          <w:rPr>
            <w:rFonts w:ascii="Cambria Math" w:hAnsi="Cambria Math"/>
          </w:rPr>
          <m:t>V=0</m:t>
        </m:r>
      </m:oMath>
      <w:r>
        <w:t xml:space="preserve"> when </w:t>
      </w:r>
      <m:oMath>
        <m:r>
          <w:rPr>
            <w:rFonts w:ascii="Cambria Math" w:hAnsi="Cambria Math"/>
          </w:rPr>
          <m:t>r=</m:t>
        </m:r>
        <m:sSub>
          <m:sSubPr>
            <m:ctrlPr>
              <w:rPr>
                <w:rFonts w:ascii="Cambria Math" w:hAnsi="Cambria Math"/>
                <w:i/>
              </w:rPr>
            </m:ctrlPr>
          </m:sSubPr>
          <m:e>
            <m:r>
              <w:rPr>
                <w:rFonts w:ascii="Cambria Math" w:hAnsi="Cambria Math"/>
              </w:rPr>
              <m:t>r</m:t>
            </m:r>
          </m:e>
          <m:sub>
            <m:r>
              <w:rPr>
                <w:rFonts w:ascii="Cambria Math" w:hAnsi="Cambria Math"/>
              </w:rPr>
              <m:t>o</m:t>
            </m:r>
          </m:sub>
        </m:sSub>
      </m:oMath>
      <w:r>
        <w:rPr>
          <w:rFonts w:eastAsiaTheme="minorEastAsia"/>
        </w:rPr>
        <w:t xml:space="preserve"> results in,</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50AF" w14:paraId="5B01931E" w14:textId="77777777" w:rsidTr="009650AF">
        <w:trPr>
          <w:trHeight w:val="576"/>
        </w:trPr>
        <w:tc>
          <w:tcPr>
            <w:tcW w:w="720" w:type="dxa"/>
            <w:vAlign w:val="center"/>
          </w:tcPr>
          <w:p w14:paraId="2F1D3E68" w14:textId="77777777" w:rsidR="009650AF" w:rsidRDefault="009650AF" w:rsidP="009650AF">
            <w:pPr>
              <w:spacing w:line="240" w:lineRule="auto"/>
              <w:jc w:val="center"/>
            </w:pPr>
          </w:p>
        </w:tc>
        <w:tc>
          <w:tcPr>
            <w:tcW w:w="7920" w:type="dxa"/>
            <w:vAlign w:val="center"/>
          </w:tcPr>
          <w:p w14:paraId="0FEFD7E1" w14:textId="77777777" w:rsidR="009650AF" w:rsidRPr="003E4C6A" w:rsidRDefault="009650AF" w:rsidP="009650AF">
            <w:pPr>
              <w:spacing w:line="240" w:lineRule="auto"/>
              <w:jc w:val="center"/>
            </w:pPr>
            <m:oMathPara>
              <m:oMath>
                <m:r>
                  <w:rPr>
                    <w:rFonts w:ascii="Cambria Math" w:hAnsi="Cambria Math"/>
                  </w:rPr>
                  <m:t>0=-</m:t>
                </m:r>
                <m:f>
                  <m:fPr>
                    <m:ctrlPr>
                      <w:rPr>
                        <w:rFonts w:ascii="Cambria Math" w:hAnsi="Cambria Math"/>
                        <w:i/>
                      </w:rPr>
                    </m:ctrlPr>
                  </m:fPr>
                  <m:num>
                    <m:sSubSup>
                      <m:sSubSupPr>
                        <m:ctrlPr>
                          <w:rPr>
                            <w:rFonts w:ascii="Cambria Math" w:hAnsi="Cambria Math"/>
                            <w:i/>
                          </w:rPr>
                        </m:ctrlPr>
                      </m:sSubSupPr>
                      <m:e>
                        <m:r>
                          <w:rPr>
                            <w:rFonts w:ascii="Cambria Math" w:hAnsi="Cambria Math"/>
                          </w:rPr>
                          <m:t>r</m:t>
                        </m:r>
                      </m:e>
                      <m:sub>
                        <m:r>
                          <w:rPr>
                            <w:rFonts w:ascii="Cambria Math" w:hAnsi="Cambria Math"/>
                          </w:rPr>
                          <m:t>o</m:t>
                        </m:r>
                      </m:sub>
                      <m:sup>
                        <m:r>
                          <w:rPr>
                            <w:rFonts w:ascii="Cambria Math" w:hAnsi="Cambria Math"/>
                          </w:rPr>
                          <m:t>2</m:t>
                        </m:r>
                      </m:sup>
                    </m:sSubSup>
                    <m:r>
                      <m:rPr>
                        <m:sty m:val="p"/>
                      </m:rPr>
                      <w:rPr>
                        <w:rFonts w:ascii="Cambria Math" w:hAnsi="Cambria Math"/>
                      </w:rPr>
                      <m:t>Δ</m:t>
                    </m:r>
                    <m:r>
                      <w:rPr>
                        <w:rFonts w:ascii="Cambria Math" w:hAnsi="Cambria Math"/>
                      </w:rPr>
                      <m:t>P</m:t>
                    </m:r>
                  </m:num>
                  <m:den>
                    <m:r>
                      <w:rPr>
                        <w:rFonts w:ascii="Cambria Math" w:hAnsi="Cambria Math"/>
                      </w:rPr>
                      <m:t>4μ</m:t>
                    </m:r>
                    <m:r>
                      <m:rPr>
                        <m:sty m:val="p"/>
                      </m:rPr>
                      <w:rPr>
                        <w:rFonts w:ascii="Cambria Math" w:hAnsi="Cambria Math"/>
                      </w:rPr>
                      <m:t>Δ</m:t>
                    </m:r>
                    <m:r>
                      <w:rPr>
                        <w:rFonts w:ascii="Cambria Math" w:hAnsi="Cambria Math"/>
                      </w:rPr>
                      <m:t>x</m:t>
                    </m:r>
                  </m:den>
                </m:f>
                <m:r>
                  <w:rPr>
                    <w:rFonts w:ascii="Cambria Math" w:hAnsi="Cambria Math"/>
                  </w:rPr>
                  <m:t>+C1</m:t>
                </m:r>
              </m:oMath>
            </m:oMathPara>
          </w:p>
        </w:tc>
        <w:tc>
          <w:tcPr>
            <w:tcW w:w="720" w:type="dxa"/>
            <w:vAlign w:val="bottom"/>
          </w:tcPr>
          <w:p w14:paraId="7F3979C6" w14:textId="75903C3F" w:rsidR="009650AF"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9650AF">
              <w:t>.</w:t>
            </w:r>
            <w:r>
              <w:fldChar w:fldCharType="begin"/>
            </w:r>
            <w:r>
              <w:instrText xml:space="preserve"> SEQ Equation \* ARABIC \s 1 </w:instrText>
            </w:r>
            <w:r>
              <w:fldChar w:fldCharType="separate"/>
            </w:r>
            <w:r w:rsidR="0006023A">
              <w:rPr>
                <w:noProof/>
              </w:rPr>
              <w:t>32</w:t>
            </w:r>
            <w:r>
              <w:rPr>
                <w:noProof/>
              </w:rPr>
              <w:fldChar w:fldCharType="end"/>
            </w:r>
          </w:p>
        </w:tc>
      </w:tr>
    </w:tbl>
    <w:p w14:paraId="6675DF35" w14:textId="77777777" w:rsidR="009650AF" w:rsidRDefault="009650AF" w:rsidP="009650AF">
      <w:pPr>
        <w:ind w:firstLine="720"/>
      </w:pPr>
    </w:p>
    <w:p w14:paraId="5300D104" w14:textId="77777777" w:rsidR="009650AF" w:rsidRPr="00133B21" w:rsidRDefault="009650AF" w:rsidP="009650AF">
      <w:pPr>
        <w:ind w:firstLine="720"/>
      </w:pPr>
      <w:r w:rsidRPr="00133B21">
        <w:t>Equating Equations 2.31 and 2.32 results in Equation 2.33.</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50AF" w:rsidRPr="00133B21" w14:paraId="486907AF" w14:textId="77777777" w:rsidTr="009650AF">
        <w:trPr>
          <w:trHeight w:val="576"/>
        </w:trPr>
        <w:tc>
          <w:tcPr>
            <w:tcW w:w="720" w:type="dxa"/>
            <w:vAlign w:val="center"/>
          </w:tcPr>
          <w:p w14:paraId="615F5B58" w14:textId="77777777" w:rsidR="009650AF" w:rsidRPr="00133B21" w:rsidRDefault="009650AF" w:rsidP="009650AF">
            <w:pPr>
              <w:spacing w:line="240" w:lineRule="auto"/>
              <w:jc w:val="center"/>
            </w:pPr>
          </w:p>
        </w:tc>
        <w:tc>
          <w:tcPr>
            <w:tcW w:w="7920" w:type="dxa"/>
            <w:vAlign w:val="center"/>
          </w:tcPr>
          <w:p w14:paraId="22403775" w14:textId="77777777" w:rsidR="009650AF" w:rsidRPr="00133B21" w:rsidRDefault="009650AF" w:rsidP="009650AF">
            <w:pPr>
              <w:spacing w:line="240" w:lineRule="auto"/>
              <w:jc w:val="center"/>
            </w:pPr>
            <m:oMathPara>
              <m:oMath>
                <m:r>
                  <w:rPr>
                    <w:rFonts w:ascii="Cambria Math" w:hAnsi="Cambria Math"/>
                  </w:rPr>
                  <m:t>V=</m:t>
                </m:r>
                <m:f>
                  <m:fPr>
                    <m:ctrlPr>
                      <w:rPr>
                        <w:rFonts w:ascii="Cambria Math" w:hAnsi="Cambria Math"/>
                        <w:i/>
                      </w:rPr>
                    </m:ctrlPr>
                  </m:fPr>
                  <m:num>
                    <m:sSubSup>
                      <m:sSubSupPr>
                        <m:ctrlPr>
                          <w:rPr>
                            <w:rFonts w:ascii="Cambria Math" w:hAnsi="Cambria Math"/>
                            <w:i/>
                          </w:rPr>
                        </m:ctrlPr>
                      </m:sSubSupPr>
                      <m:e>
                        <m:r>
                          <w:rPr>
                            <w:rFonts w:ascii="Cambria Math" w:hAnsi="Cambria Math"/>
                          </w:rPr>
                          <m:t>r</m:t>
                        </m:r>
                      </m:e>
                      <m:sub>
                        <m:r>
                          <w:rPr>
                            <w:rFonts w:ascii="Cambria Math" w:hAnsi="Cambria Math"/>
                          </w:rPr>
                          <m:t>o</m:t>
                        </m:r>
                      </m:sub>
                      <m:sup>
                        <m:r>
                          <w:rPr>
                            <w:rFonts w:ascii="Cambria Math" w:hAnsi="Cambria Math"/>
                          </w:rPr>
                          <m:t>2</m:t>
                        </m:r>
                      </m:sup>
                    </m:sSubSup>
                    <m:r>
                      <w:rPr>
                        <w:rFonts w:ascii="Cambria Math" w:hAnsi="Cambria Math"/>
                      </w:rPr>
                      <m:t>-</m:t>
                    </m:r>
                    <m:sSup>
                      <m:sSupPr>
                        <m:ctrlPr>
                          <w:rPr>
                            <w:rFonts w:ascii="Cambria Math" w:hAnsi="Cambria Math"/>
                            <w:i/>
                          </w:rPr>
                        </m:ctrlPr>
                      </m:sSupPr>
                      <m:e>
                        <m:r>
                          <w:rPr>
                            <w:rFonts w:ascii="Cambria Math" w:hAnsi="Cambria Math"/>
                          </w:rPr>
                          <m:t>r</m:t>
                        </m:r>
                      </m:e>
                      <m:sup>
                        <m:r>
                          <w:rPr>
                            <w:rFonts w:ascii="Cambria Math" w:hAnsi="Cambria Math"/>
                          </w:rPr>
                          <m:t>2</m:t>
                        </m:r>
                      </m:sup>
                    </m:sSup>
                  </m:num>
                  <m:den>
                    <m:r>
                      <w:rPr>
                        <w:rFonts w:ascii="Cambria Math" w:hAnsi="Cambria Math"/>
                      </w:rPr>
                      <m:t>4μ</m:t>
                    </m:r>
                  </m:den>
                </m:f>
                <m:f>
                  <m:fPr>
                    <m:ctrlPr>
                      <w:rPr>
                        <w:rFonts w:ascii="Cambria Math" w:hAnsi="Cambria Math"/>
                        <w:i/>
                      </w:rPr>
                    </m:ctrlPr>
                  </m:fPr>
                  <m:num>
                    <m:r>
                      <m:rPr>
                        <m:sty m:val="p"/>
                      </m:rPr>
                      <w:rPr>
                        <w:rFonts w:ascii="Cambria Math" w:hAnsi="Cambria Math"/>
                      </w:rPr>
                      <m:t>Δ</m:t>
                    </m:r>
                    <m:r>
                      <w:rPr>
                        <w:rFonts w:ascii="Cambria Math" w:hAnsi="Cambria Math"/>
                      </w:rPr>
                      <m:t>P</m:t>
                    </m:r>
                  </m:num>
                  <m:den>
                    <m:r>
                      <m:rPr>
                        <m:sty m:val="p"/>
                      </m:rPr>
                      <w:rPr>
                        <w:rFonts w:ascii="Cambria Math" w:hAnsi="Cambria Math"/>
                      </w:rPr>
                      <m:t>Δ</m:t>
                    </m:r>
                    <m:r>
                      <w:rPr>
                        <w:rFonts w:ascii="Cambria Math" w:hAnsi="Cambria Math"/>
                      </w:rPr>
                      <m:t>x</m:t>
                    </m:r>
                  </m:den>
                </m:f>
              </m:oMath>
            </m:oMathPara>
          </w:p>
        </w:tc>
        <w:tc>
          <w:tcPr>
            <w:tcW w:w="720" w:type="dxa"/>
            <w:vAlign w:val="bottom"/>
          </w:tcPr>
          <w:p w14:paraId="149C39FB" w14:textId="28DE8273" w:rsidR="009650AF" w:rsidRPr="00133B21"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9650AF" w:rsidRPr="00133B21">
              <w:t>.</w:t>
            </w:r>
            <w:r>
              <w:fldChar w:fldCharType="begin"/>
            </w:r>
            <w:r>
              <w:instrText xml:space="preserve"> SEQ Equation \* ARABIC \s 1 </w:instrText>
            </w:r>
            <w:r>
              <w:fldChar w:fldCharType="separate"/>
            </w:r>
            <w:r w:rsidR="0006023A">
              <w:rPr>
                <w:noProof/>
              </w:rPr>
              <w:t>33</w:t>
            </w:r>
            <w:r>
              <w:rPr>
                <w:noProof/>
              </w:rPr>
              <w:fldChar w:fldCharType="end"/>
            </w:r>
          </w:p>
        </w:tc>
      </w:tr>
    </w:tbl>
    <w:p w14:paraId="00589294" w14:textId="77777777" w:rsidR="009650AF" w:rsidRPr="00133B21" w:rsidRDefault="009650AF" w:rsidP="009650AF">
      <w:pPr>
        <w:ind w:firstLine="720"/>
      </w:pPr>
    </w:p>
    <w:p w14:paraId="60FBEE9D" w14:textId="77777777" w:rsidR="009650AF" w:rsidRDefault="009650AF" w:rsidP="009650AF">
      <w:pPr>
        <w:ind w:firstLine="720"/>
      </w:pPr>
      <w:r w:rsidRPr="00133B21">
        <w:lastRenderedPageBreak/>
        <w:t xml:space="preserve">The maximum velocity is when </w:t>
      </w:r>
      <m:oMath>
        <m:r>
          <w:rPr>
            <w:rFonts w:ascii="Cambria Math" w:hAnsi="Cambria Math"/>
          </w:rPr>
          <m:t>r=0</m:t>
        </m:r>
      </m:oMath>
      <w:r w:rsidRPr="00133B21">
        <w:t>. Then Equation 2.33 reduces to Equation 2.34 and is shown schematically in Figure 2.12.</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50AF" w14:paraId="5F7A94ED" w14:textId="77777777" w:rsidTr="009650AF">
        <w:trPr>
          <w:trHeight w:val="576"/>
        </w:trPr>
        <w:tc>
          <w:tcPr>
            <w:tcW w:w="720" w:type="dxa"/>
            <w:vAlign w:val="center"/>
          </w:tcPr>
          <w:p w14:paraId="3BFDD561" w14:textId="77777777" w:rsidR="009650AF" w:rsidRDefault="009650AF" w:rsidP="009650AF">
            <w:pPr>
              <w:spacing w:line="240" w:lineRule="auto"/>
              <w:jc w:val="center"/>
            </w:pPr>
          </w:p>
        </w:tc>
        <w:tc>
          <w:tcPr>
            <w:tcW w:w="7920" w:type="dxa"/>
            <w:vAlign w:val="center"/>
          </w:tcPr>
          <w:p w14:paraId="13EFB206" w14:textId="77777777" w:rsidR="009650AF" w:rsidRPr="003E4C6A" w:rsidRDefault="00077C0B" w:rsidP="009650AF">
            <w:pPr>
              <w:spacing w:line="240" w:lineRule="auto"/>
              <w:jc w:val="center"/>
            </w:pPr>
            <m:oMathPara>
              <m:oMath>
                <m:sSub>
                  <m:sSubPr>
                    <m:ctrlPr>
                      <w:rPr>
                        <w:rFonts w:ascii="Cambria Math" w:hAnsi="Cambria Math"/>
                        <w:i/>
                      </w:rPr>
                    </m:ctrlPr>
                  </m:sSubPr>
                  <m:e>
                    <m:r>
                      <w:rPr>
                        <w:rFonts w:ascii="Cambria Math" w:hAnsi="Cambria Math"/>
                      </w:rPr>
                      <m:t>V</m:t>
                    </m:r>
                  </m:e>
                  <m:sub>
                    <m:r>
                      <w:rPr>
                        <w:rFonts w:ascii="Cambria Math" w:hAnsi="Cambria Math"/>
                      </w:rPr>
                      <m:t>max</m:t>
                    </m:r>
                  </m:sub>
                </m:sSub>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r</m:t>
                        </m:r>
                      </m:e>
                      <m:sub>
                        <m:r>
                          <w:rPr>
                            <w:rFonts w:ascii="Cambria Math" w:hAnsi="Cambria Math"/>
                          </w:rPr>
                          <m:t>o</m:t>
                        </m:r>
                      </m:sub>
                      <m:sup>
                        <m:r>
                          <w:rPr>
                            <w:rFonts w:ascii="Cambria Math" w:hAnsi="Cambria Math"/>
                          </w:rPr>
                          <m:t>2</m:t>
                        </m:r>
                      </m:sup>
                    </m:sSubSup>
                  </m:num>
                  <m:den>
                    <m:r>
                      <w:rPr>
                        <w:rFonts w:ascii="Cambria Math" w:hAnsi="Cambria Math"/>
                      </w:rPr>
                      <m:t>4μ</m:t>
                    </m:r>
                  </m:den>
                </m:f>
                <m:f>
                  <m:fPr>
                    <m:ctrlPr>
                      <w:rPr>
                        <w:rFonts w:ascii="Cambria Math" w:hAnsi="Cambria Math"/>
                        <w:i/>
                      </w:rPr>
                    </m:ctrlPr>
                  </m:fPr>
                  <m:num>
                    <m:r>
                      <m:rPr>
                        <m:sty m:val="p"/>
                      </m:rPr>
                      <w:rPr>
                        <w:rFonts w:ascii="Cambria Math" w:hAnsi="Cambria Math"/>
                      </w:rPr>
                      <m:t>Δ</m:t>
                    </m:r>
                    <m:r>
                      <w:rPr>
                        <w:rFonts w:ascii="Cambria Math" w:hAnsi="Cambria Math"/>
                      </w:rPr>
                      <m:t>P</m:t>
                    </m:r>
                  </m:num>
                  <m:den>
                    <m:r>
                      <m:rPr>
                        <m:sty m:val="p"/>
                      </m:rPr>
                      <w:rPr>
                        <w:rFonts w:ascii="Cambria Math" w:hAnsi="Cambria Math"/>
                      </w:rPr>
                      <m:t>Δ</m:t>
                    </m:r>
                    <m:r>
                      <w:rPr>
                        <w:rFonts w:ascii="Cambria Math" w:hAnsi="Cambria Math"/>
                      </w:rPr>
                      <m:t>x</m:t>
                    </m:r>
                  </m:den>
                </m:f>
              </m:oMath>
            </m:oMathPara>
          </w:p>
        </w:tc>
        <w:tc>
          <w:tcPr>
            <w:tcW w:w="720" w:type="dxa"/>
            <w:vAlign w:val="bottom"/>
          </w:tcPr>
          <w:p w14:paraId="6D8D441A" w14:textId="23C89D02" w:rsidR="009650AF"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9650AF">
              <w:t>.</w:t>
            </w:r>
            <w:r>
              <w:fldChar w:fldCharType="begin"/>
            </w:r>
            <w:r>
              <w:instrText xml:space="preserve"> SEQ Equation \* ARABIC \s 1 </w:instrText>
            </w:r>
            <w:r>
              <w:fldChar w:fldCharType="separate"/>
            </w:r>
            <w:r w:rsidR="0006023A">
              <w:rPr>
                <w:noProof/>
              </w:rPr>
              <w:t>34</w:t>
            </w:r>
            <w:r>
              <w:rPr>
                <w:noProof/>
              </w:rPr>
              <w:fldChar w:fldCharType="end"/>
            </w:r>
          </w:p>
        </w:tc>
      </w:tr>
    </w:tbl>
    <w:p w14:paraId="7CB02F1F" w14:textId="77777777" w:rsidR="009650AF" w:rsidRDefault="009650AF" w:rsidP="009650AF">
      <w:pPr>
        <w:ind w:firstLine="720"/>
      </w:pPr>
    </w:p>
    <w:p w14:paraId="0E0CAF1A" w14:textId="77777777" w:rsidR="009650AF" w:rsidRDefault="009650AF" w:rsidP="00BC23AD">
      <w:pPr>
        <w:pStyle w:val="NoSpacing"/>
      </w:pPr>
      <w:r>
        <w:rPr>
          <w:noProof/>
        </w:rPr>
        <w:drawing>
          <wp:inline distT="0" distB="0" distL="0" distR="0" wp14:anchorId="1552FA99" wp14:editId="2B648771">
            <wp:extent cx="5486400" cy="23474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86400" cy="2347430"/>
                    </a:xfrm>
                    <a:prstGeom prst="rect">
                      <a:avLst/>
                    </a:prstGeom>
                    <a:noFill/>
                  </pic:spPr>
                </pic:pic>
              </a:graphicData>
            </a:graphic>
          </wp:inline>
        </w:drawing>
      </w:r>
    </w:p>
    <w:p w14:paraId="17A62F38" w14:textId="58F266EC" w:rsidR="009650AF" w:rsidRDefault="009650AF" w:rsidP="00BC23AD">
      <w:pPr>
        <w:pStyle w:val="Caption"/>
      </w:pPr>
      <w:bookmarkStart w:id="27" w:name="_Toc67566195"/>
      <w:r>
        <w:t xml:space="preserve">Figure </w:t>
      </w:r>
      <w:r w:rsidR="00077C0B">
        <w:fldChar w:fldCharType="begin"/>
      </w:r>
      <w:r w:rsidR="00077C0B">
        <w:instrText xml:space="preserve"> STYLEREF 1 \s </w:instrText>
      </w:r>
      <w:r w:rsidR="00077C0B">
        <w:fldChar w:fldCharType="separate"/>
      </w:r>
      <w:r w:rsidR="0006023A">
        <w:rPr>
          <w:noProof/>
        </w:rPr>
        <w:t>2</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12</w:t>
      </w:r>
      <w:r w:rsidR="00077C0B">
        <w:rPr>
          <w:noProof/>
        </w:rPr>
        <w:fldChar w:fldCharType="end"/>
      </w:r>
      <w:r>
        <w:t>: Velocity profile in a circular pipe with laminar flow.</w:t>
      </w:r>
      <w:bookmarkEnd w:id="27"/>
    </w:p>
    <w:p w14:paraId="5D6E48B7" w14:textId="77777777" w:rsidR="009650AF" w:rsidRDefault="009650AF" w:rsidP="009650AF">
      <w:pPr>
        <w:ind w:firstLine="720"/>
      </w:pPr>
      <w:r w:rsidRPr="00D63FF8">
        <w:t>Equation 2.33 results</w:t>
      </w:r>
      <w:r>
        <w:t xml:space="preserve"> in the velocity profile given a specific location (</w:t>
      </w:r>
      <m:oMath>
        <m:r>
          <w:rPr>
            <w:rFonts w:ascii="Cambria Math" w:hAnsi="Cambria Math"/>
          </w:rPr>
          <m:t>r</m:t>
        </m:r>
      </m:oMath>
      <w:r>
        <w:t>) within the pipe. For leakage in a cased wellbore, scientists are more interested in the volumetric flow rate (</w:t>
      </w:r>
      <m:oMath>
        <m:r>
          <w:rPr>
            <w:rFonts w:ascii="Cambria Math" w:hAnsi="Cambria Math"/>
          </w:rPr>
          <m:t>Q</m:t>
        </m:r>
      </m:oMath>
      <w:r>
        <w:t>) than the local velocity (</w:t>
      </w:r>
      <m:oMath>
        <m:r>
          <w:rPr>
            <w:rFonts w:ascii="Cambria Math" w:hAnsi="Cambria Math"/>
          </w:rPr>
          <m:t>V</m:t>
        </m:r>
      </m:oMath>
      <w:r>
        <w:t>). To determine the volumetric flow rate of a uniform velocity flow, the local velocity is multiplied by the cross-sectional area perpendicular to the flow (</w:t>
      </w:r>
      <m:oMath>
        <m:r>
          <w:rPr>
            <w:rFonts w:ascii="Cambria Math" w:hAnsi="Cambria Math"/>
          </w:rPr>
          <m:t>2πr</m:t>
        </m:r>
      </m:oMath>
      <w:r>
        <w:t xml:space="preserve">). Since the velocity of laminar flow is not uniform (parabolic, as </w:t>
      </w:r>
      <w:r w:rsidRPr="00D63FF8">
        <w:t>shown in Figure 2.12), an integral is performed across the pipe cross section resulting in the volumetric flow for the pipe</w:t>
      </w:r>
      <w:r>
        <w:t xml:space="preserve">. </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50AF" w14:paraId="026F6E74" w14:textId="77777777" w:rsidTr="009650AF">
        <w:trPr>
          <w:trHeight w:val="576"/>
        </w:trPr>
        <w:tc>
          <w:tcPr>
            <w:tcW w:w="720" w:type="dxa"/>
            <w:vAlign w:val="center"/>
          </w:tcPr>
          <w:p w14:paraId="6AE8785C" w14:textId="77777777" w:rsidR="009650AF" w:rsidRDefault="009650AF" w:rsidP="009650AF">
            <w:pPr>
              <w:spacing w:line="240" w:lineRule="auto"/>
              <w:jc w:val="center"/>
            </w:pPr>
          </w:p>
        </w:tc>
        <w:tc>
          <w:tcPr>
            <w:tcW w:w="7920" w:type="dxa"/>
            <w:vAlign w:val="center"/>
          </w:tcPr>
          <w:p w14:paraId="735E4021" w14:textId="77777777" w:rsidR="009650AF" w:rsidRPr="003E4C6A" w:rsidRDefault="009650AF" w:rsidP="009650AF">
            <w:pPr>
              <w:spacing w:line="240" w:lineRule="auto"/>
              <w:jc w:val="center"/>
            </w:pPr>
            <m:oMathPara>
              <m:oMath>
                <m:r>
                  <w:rPr>
                    <w:rFonts w:ascii="Cambria Math" w:hAnsi="Cambria Math"/>
                  </w:rPr>
                  <m:t xml:space="preserve">Q= </m:t>
                </m:r>
                <m:nary>
                  <m:naryPr>
                    <m:limLoc m:val="subSup"/>
                    <m:ctrlPr>
                      <w:rPr>
                        <w:rFonts w:ascii="Cambria Math" w:hAnsi="Cambria Math"/>
                        <w:i/>
                      </w:rPr>
                    </m:ctrlPr>
                  </m:naryPr>
                  <m:sub>
                    <m:r>
                      <w:rPr>
                        <w:rFonts w:ascii="Cambria Math" w:hAnsi="Cambria Math"/>
                      </w:rPr>
                      <m:t>tube</m:t>
                    </m:r>
                  </m:sub>
                  <m:sup>
                    <m:r>
                      <w:rPr>
                        <w:rFonts w:ascii="Cambria Math" w:hAnsi="Cambria Math"/>
                      </w:rPr>
                      <m:t xml:space="preserve"> </m:t>
                    </m:r>
                  </m:sup>
                  <m:e>
                    <m:r>
                      <w:rPr>
                        <w:rFonts w:ascii="Cambria Math" w:hAnsi="Cambria Math"/>
                      </w:rPr>
                      <m:t>V da</m:t>
                    </m:r>
                  </m:e>
                </m:nary>
                <m:r>
                  <w:rPr>
                    <w:rFonts w:ascii="Cambria Math" w:hAnsi="Cambria Math"/>
                  </w:rPr>
                  <m:t xml:space="preserve">= </m:t>
                </m:r>
                <m:nary>
                  <m:naryPr>
                    <m:limLoc m:val="subSup"/>
                    <m:ctrlPr>
                      <w:rPr>
                        <w:rFonts w:ascii="Cambria Math" w:hAnsi="Cambria Math"/>
                        <w:i/>
                      </w:rPr>
                    </m:ctrlPr>
                  </m:naryPr>
                  <m:sub>
                    <m:r>
                      <w:rPr>
                        <w:rFonts w:ascii="Cambria Math" w:hAnsi="Cambria Math"/>
                      </w:rPr>
                      <m:t>r=0</m:t>
                    </m:r>
                  </m:sub>
                  <m:sup>
                    <m:r>
                      <w:rPr>
                        <w:rFonts w:ascii="Cambria Math" w:hAnsi="Cambria Math"/>
                      </w:rPr>
                      <m:t xml:space="preserve">r= </m:t>
                    </m:r>
                    <m:sSub>
                      <m:sSubPr>
                        <m:ctrlPr>
                          <w:rPr>
                            <w:rFonts w:ascii="Cambria Math" w:hAnsi="Cambria Math"/>
                            <w:i/>
                          </w:rPr>
                        </m:ctrlPr>
                      </m:sSubPr>
                      <m:e>
                        <m:r>
                          <w:rPr>
                            <w:rFonts w:ascii="Cambria Math" w:hAnsi="Cambria Math"/>
                          </w:rPr>
                          <m:t>r</m:t>
                        </m:r>
                      </m:e>
                      <m:sub>
                        <m:r>
                          <w:rPr>
                            <w:rFonts w:ascii="Cambria Math" w:hAnsi="Cambria Math"/>
                          </w:rPr>
                          <m:t>o</m:t>
                        </m:r>
                      </m:sub>
                    </m:sSub>
                  </m:sup>
                  <m:e>
                    <m:f>
                      <m:fPr>
                        <m:ctrlPr>
                          <w:rPr>
                            <w:rFonts w:ascii="Cambria Math" w:hAnsi="Cambria Math"/>
                            <w:i/>
                          </w:rPr>
                        </m:ctrlPr>
                      </m:fPr>
                      <m:num>
                        <m:sSubSup>
                          <m:sSubSupPr>
                            <m:ctrlPr>
                              <w:rPr>
                                <w:rFonts w:ascii="Cambria Math" w:hAnsi="Cambria Math"/>
                                <w:i/>
                              </w:rPr>
                            </m:ctrlPr>
                          </m:sSubSupPr>
                          <m:e>
                            <m:r>
                              <w:rPr>
                                <w:rFonts w:ascii="Cambria Math" w:hAnsi="Cambria Math"/>
                              </w:rPr>
                              <m:t>r</m:t>
                            </m:r>
                          </m:e>
                          <m:sub>
                            <m:r>
                              <w:rPr>
                                <w:rFonts w:ascii="Cambria Math" w:hAnsi="Cambria Math"/>
                              </w:rPr>
                              <m:t>o</m:t>
                            </m:r>
                          </m:sub>
                          <m:sup>
                            <m:r>
                              <w:rPr>
                                <w:rFonts w:ascii="Cambria Math" w:hAnsi="Cambria Math"/>
                              </w:rPr>
                              <m:t>2</m:t>
                            </m:r>
                          </m:sup>
                        </m:sSubSup>
                        <m:r>
                          <w:rPr>
                            <w:rFonts w:ascii="Cambria Math" w:hAnsi="Cambria Math"/>
                          </w:rPr>
                          <m:t>-</m:t>
                        </m:r>
                        <m:sSup>
                          <m:sSupPr>
                            <m:ctrlPr>
                              <w:rPr>
                                <w:rFonts w:ascii="Cambria Math" w:hAnsi="Cambria Math"/>
                                <w:i/>
                              </w:rPr>
                            </m:ctrlPr>
                          </m:sSupPr>
                          <m:e>
                            <m:r>
                              <w:rPr>
                                <w:rFonts w:ascii="Cambria Math" w:hAnsi="Cambria Math"/>
                              </w:rPr>
                              <m:t>r</m:t>
                            </m:r>
                          </m:e>
                          <m:sup>
                            <m:r>
                              <w:rPr>
                                <w:rFonts w:ascii="Cambria Math" w:hAnsi="Cambria Math"/>
                              </w:rPr>
                              <m:t>2</m:t>
                            </m:r>
                          </m:sup>
                        </m:sSup>
                      </m:num>
                      <m:den>
                        <m:r>
                          <w:rPr>
                            <w:rFonts w:ascii="Cambria Math" w:hAnsi="Cambria Math"/>
                          </w:rPr>
                          <m:t>4μ</m:t>
                        </m:r>
                      </m:den>
                    </m:f>
                  </m:e>
                </m:nary>
                <m:f>
                  <m:fPr>
                    <m:ctrlPr>
                      <w:rPr>
                        <w:rFonts w:ascii="Cambria Math" w:hAnsi="Cambria Math"/>
                        <w:i/>
                      </w:rPr>
                    </m:ctrlPr>
                  </m:fPr>
                  <m:num>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P</m:t>
                            </m:r>
                          </m:e>
                          <m:sub>
                            <m:r>
                              <w:rPr>
                                <w:rFonts w:ascii="Cambria Math" w:hAnsi="Cambria Math"/>
                              </w:rPr>
                              <m:t>2</m:t>
                            </m:r>
                          </m:sub>
                        </m:sSub>
                      </m:e>
                    </m:d>
                  </m:num>
                  <m:den>
                    <m:r>
                      <m:rPr>
                        <m:sty m:val="p"/>
                      </m:rPr>
                      <w:rPr>
                        <w:rFonts w:ascii="Cambria Math" w:hAnsi="Cambria Math"/>
                      </w:rPr>
                      <m:t>Δ</m:t>
                    </m:r>
                    <m:r>
                      <w:rPr>
                        <w:rFonts w:ascii="Cambria Math" w:hAnsi="Cambria Math"/>
                      </w:rPr>
                      <m:t>x</m:t>
                    </m:r>
                  </m:den>
                </m:f>
                <m:r>
                  <w:rPr>
                    <w:rFonts w:ascii="Cambria Math" w:hAnsi="Cambria Math"/>
                  </w:rPr>
                  <m:t>2πr dr=</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P</m:t>
                        </m:r>
                      </m:e>
                      <m:sub>
                        <m:r>
                          <w:rPr>
                            <w:rFonts w:ascii="Cambria Math" w:hAnsi="Cambria Math"/>
                          </w:rPr>
                          <m:t>2</m:t>
                        </m:r>
                      </m:sub>
                    </m:sSub>
                  </m:num>
                  <m:den>
                    <m:r>
                      <m:rPr>
                        <m:sty m:val="p"/>
                      </m:rPr>
                      <w:rPr>
                        <w:rFonts w:ascii="Cambria Math" w:hAnsi="Cambria Math"/>
                      </w:rPr>
                      <m:t>Δ</m:t>
                    </m:r>
                    <m:r>
                      <w:rPr>
                        <w:rFonts w:ascii="Cambria Math" w:hAnsi="Cambria Math"/>
                      </w:rPr>
                      <m:t>x</m:t>
                    </m:r>
                  </m:den>
                </m:f>
                <m:f>
                  <m:fPr>
                    <m:ctrlPr>
                      <w:rPr>
                        <w:rFonts w:ascii="Cambria Math" w:hAnsi="Cambria Math"/>
                        <w:i/>
                      </w:rPr>
                    </m:ctrlPr>
                  </m:fPr>
                  <m:num>
                    <m:r>
                      <w:rPr>
                        <w:rFonts w:ascii="Cambria Math" w:hAnsi="Cambria Math"/>
                      </w:rPr>
                      <m:t>π</m:t>
                    </m:r>
                  </m:num>
                  <m:den>
                    <m:r>
                      <w:rPr>
                        <w:rFonts w:ascii="Cambria Math" w:hAnsi="Cambria Math"/>
                      </w:rPr>
                      <m:t>μ</m:t>
                    </m:r>
                  </m:den>
                </m:f>
                <m:f>
                  <m:fPr>
                    <m:ctrlPr>
                      <w:rPr>
                        <w:rFonts w:ascii="Cambria Math" w:hAnsi="Cambria Math"/>
                        <w:i/>
                      </w:rPr>
                    </m:ctrlPr>
                  </m:fPr>
                  <m:num>
                    <m:sSubSup>
                      <m:sSubSupPr>
                        <m:ctrlPr>
                          <w:rPr>
                            <w:rFonts w:ascii="Cambria Math" w:hAnsi="Cambria Math"/>
                            <w:i/>
                          </w:rPr>
                        </m:ctrlPr>
                      </m:sSubSupPr>
                      <m:e>
                        <m:r>
                          <w:rPr>
                            <w:rFonts w:ascii="Cambria Math" w:hAnsi="Cambria Math"/>
                          </w:rPr>
                          <m:t>r</m:t>
                        </m:r>
                      </m:e>
                      <m:sub>
                        <m:r>
                          <w:rPr>
                            <w:rFonts w:ascii="Cambria Math" w:hAnsi="Cambria Math"/>
                          </w:rPr>
                          <m:t>o</m:t>
                        </m:r>
                      </m:sub>
                      <m:sup>
                        <m:r>
                          <w:rPr>
                            <w:rFonts w:ascii="Cambria Math" w:hAnsi="Cambria Math"/>
                          </w:rPr>
                          <m:t>4</m:t>
                        </m:r>
                      </m:sup>
                    </m:sSubSup>
                  </m:num>
                  <m:den>
                    <m:r>
                      <w:rPr>
                        <w:rFonts w:ascii="Cambria Math" w:hAnsi="Cambria Math"/>
                      </w:rPr>
                      <m:t>8</m:t>
                    </m:r>
                  </m:den>
                </m:f>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P</m:t>
                        </m:r>
                      </m:e>
                      <m:sub>
                        <m:r>
                          <w:rPr>
                            <w:rFonts w:ascii="Cambria Math" w:hAnsi="Cambria Math"/>
                          </w:rPr>
                          <m:t>2</m:t>
                        </m:r>
                      </m:sub>
                    </m:sSub>
                  </m:num>
                  <m:den>
                    <m:r>
                      <m:rPr>
                        <m:sty m:val="p"/>
                      </m:rPr>
                      <w:rPr>
                        <w:rFonts w:ascii="Cambria Math" w:hAnsi="Cambria Math"/>
                      </w:rPr>
                      <m:t>Δ</m:t>
                    </m:r>
                    <m:r>
                      <w:rPr>
                        <w:rFonts w:ascii="Cambria Math" w:hAnsi="Cambria Math"/>
                      </w:rPr>
                      <m:t>x</m:t>
                    </m:r>
                  </m:den>
                </m:f>
                <m:f>
                  <m:fPr>
                    <m:ctrlPr>
                      <w:rPr>
                        <w:rFonts w:ascii="Cambria Math" w:hAnsi="Cambria Math"/>
                        <w:i/>
                      </w:rPr>
                    </m:ctrlPr>
                  </m:fPr>
                  <m:num>
                    <m:r>
                      <w:rPr>
                        <w:rFonts w:ascii="Cambria Math" w:hAnsi="Cambria Math"/>
                      </w:rPr>
                      <m:t>π</m:t>
                    </m:r>
                  </m:num>
                  <m:den>
                    <m:r>
                      <w:rPr>
                        <w:rFonts w:ascii="Cambria Math" w:hAnsi="Cambria Math"/>
                      </w:rPr>
                      <m:t>μ</m:t>
                    </m:r>
                  </m:den>
                </m:f>
                <m:f>
                  <m:fPr>
                    <m:ctrlPr>
                      <w:rPr>
                        <w:rFonts w:ascii="Cambria Math" w:hAnsi="Cambria Math"/>
                        <w:i/>
                      </w:rPr>
                    </m:ctrlPr>
                  </m:fPr>
                  <m:num>
                    <m:sSubSup>
                      <m:sSubSupPr>
                        <m:ctrlPr>
                          <w:rPr>
                            <w:rFonts w:ascii="Cambria Math" w:hAnsi="Cambria Math"/>
                            <w:i/>
                          </w:rPr>
                        </m:ctrlPr>
                      </m:sSubSupPr>
                      <m:e>
                        <m:r>
                          <w:rPr>
                            <w:rFonts w:ascii="Cambria Math" w:hAnsi="Cambria Math"/>
                          </w:rPr>
                          <m:t>D</m:t>
                        </m:r>
                      </m:e>
                      <m:sub>
                        <m:r>
                          <w:rPr>
                            <w:rFonts w:ascii="Cambria Math" w:hAnsi="Cambria Math"/>
                          </w:rPr>
                          <m:t>o</m:t>
                        </m:r>
                      </m:sub>
                      <m:sup>
                        <m:r>
                          <w:rPr>
                            <w:rFonts w:ascii="Cambria Math" w:hAnsi="Cambria Math"/>
                          </w:rPr>
                          <m:t>4</m:t>
                        </m:r>
                      </m:sup>
                    </m:sSubSup>
                  </m:num>
                  <m:den>
                    <m:r>
                      <w:rPr>
                        <w:rFonts w:ascii="Cambria Math" w:hAnsi="Cambria Math"/>
                      </w:rPr>
                      <m:t>128</m:t>
                    </m:r>
                  </m:den>
                </m:f>
              </m:oMath>
            </m:oMathPara>
          </w:p>
        </w:tc>
        <w:tc>
          <w:tcPr>
            <w:tcW w:w="720" w:type="dxa"/>
            <w:vAlign w:val="center"/>
          </w:tcPr>
          <w:p w14:paraId="01CF229C" w14:textId="579AAE30" w:rsidR="009650AF"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9650AF">
              <w:t>.</w:t>
            </w:r>
            <w:r>
              <w:fldChar w:fldCharType="begin"/>
            </w:r>
            <w:r>
              <w:instrText xml:space="preserve"> SEQ Equation \* ARABIC \s 1 </w:instrText>
            </w:r>
            <w:r>
              <w:fldChar w:fldCharType="separate"/>
            </w:r>
            <w:r w:rsidR="0006023A">
              <w:rPr>
                <w:noProof/>
              </w:rPr>
              <w:t>35</w:t>
            </w:r>
            <w:r>
              <w:rPr>
                <w:noProof/>
              </w:rPr>
              <w:fldChar w:fldCharType="end"/>
            </w:r>
          </w:p>
        </w:tc>
      </w:tr>
    </w:tbl>
    <w:p w14:paraId="07ECF8F7" w14:textId="77777777" w:rsidR="009650AF" w:rsidRDefault="009650AF" w:rsidP="009650AF">
      <w:pPr>
        <w:ind w:firstLine="720"/>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50AF" w14:paraId="2C08F9B3" w14:textId="77777777" w:rsidTr="009650AF">
        <w:trPr>
          <w:trHeight w:val="576"/>
        </w:trPr>
        <w:tc>
          <w:tcPr>
            <w:tcW w:w="720" w:type="dxa"/>
            <w:vAlign w:val="center"/>
          </w:tcPr>
          <w:p w14:paraId="2917D546" w14:textId="77777777" w:rsidR="009650AF" w:rsidRDefault="009650AF" w:rsidP="009650AF">
            <w:pPr>
              <w:spacing w:line="240" w:lineRule="auto"/>
              <w:jc w:val="center"/>
            </w:pPr>
          </w:p>
        </w:tc>
        <w:tc>
          <w:tcPr>
            <w:tcW w:w="7920" w:type="dxa"/>
            <w:vAlign w:val="center"/>
          </w:tcPr>
          <w:p w14:paraId="125D9D77" w14:textId="77777777" w:rsidR="009650AF" w:rsidRPr="003E4C6A" w:rsidRDefault="009650AF" w:rsidP="009650AF">
            <w:pPr>
              <w:spacing w:line="240" w:lineRule="auto"/>
              <w:jc w:val="center"/>
            </w:pPr>
            <m:oMathPara>
              <m:oMath>
                <m:r>
                  <w:rPr>
                    <w:rFonts w:ascii="Cambria Math" w:hAnsi="Cambria Math"/>
                  </w:rPr>
                  <m:t>Q=</m:t>
                </m:r>
                <m:f>
                  <m:fPr>
                    <m:ctrlPr>
                      <w:rPr>
                        <w:rFonts w:ascii="Cambria Math" w:hAnsi="Cambria Math"/>
                        <w:i/>
                      </w:rPr>
                    </m:ctrlPr>
                  </m:fPr>
                  <m:num>
                    <m:r>
                      <m:rPr>
                        <m:sty m:val="p"/>
                      </m:rPr>
                      <w:rPr>
                        <w:rFonts w:ascii="Cambria Math" w:hAnsi="Cambria Math"/>
                      </w:rPr>
                      <m:t>Δ</m:t>
                    </m:r>
                    <m:r>
                      <w:rPr>
                        <w:rFonts w:ascii="Cambria Math" w:hAnsi="Cambria Math"/>
                      </w:rPr>
                      <m:t>P</m:t>
                    </m:r>
                  </m:num>
                  <m:den>
                    <m:r>
                      <m:rPr>
                        <m:sty m:val="p"/>
                      </m:rPr>
                      <w:rPr>
                        <w:rFonts w:ascii="Cambria Math" w:hAnsi="Cambria Math"/>
                      </w:rPr>
                      <m:t>Δ</m:t>
                    </m:r>
                    <m:r>
                      <w:rPr>
                        <w:rFonts w:ascii="Cambria Math" w:hAnsi="Cambria Math"/>
                      </w:rPr>
                      <m:t>x</m:t>
                    </m:r>
                  </m:den>
                </m:f>
                <m:f>
                  <m:fPr>
                    <m:ctrlPr>
                      <w:rPr>
                        <w:rFonts w:ascii="Cambria Math" w:hAnsi="Cambria Math"/>
                        <w:i/>
                      </w:rPr>
                    </m:ctrlPr>
                  </m:fPr>
                  <m:num>
                    <m:r>
                      <w:rPr>
                        <w:rFonts w:ascii="Cambria Math" w:hAnsi="Cambria Math"/>
                      </w:rPr>
                      <m:t>π</m:t>
                    </m:r>
                  </m:num>
                  <m:den>
                    <m:r>
                      <w:rPr>
                        <w:rFonts w:ascii="Cambria Math" w:hAnsi="Cambria Math"/>
                      </w:rPr>
                      <m:t>μ</m:t>
                    </m:r>
                  </m:den>
                </m:f>
                <m:f>
                  <m:fPr>
                    <m:ctrlPr>
                      <w:rPr>
                        <w:rFonts w:ascii="Cambria Math" w:hAnsi="Cambria Math"/>
                        <w:i/>
                      </w:rPr>
                    </m:ctrlPr>
                  </m:fPr>
                  <m:num>
                    <m:sSubSup>
                      <m:sSubSupPr>
                        <m:ctrlPr>
                          <w:rPr>
                            <w:rFonts w:ascii="Cambria Math" w:hAnsi="Cambria Math"/>
                            <w:i/>
                          </w:rPr>
                        </m:ctrlPr>
                      </m:sSubSupPr>
                      <m:e>
                        <m:r>
                          <w:rPr>
                            <w:rFonts w:ascii="Cambria Math" w:hAnsi="Cambria Math"/>
                          </w:rPr>
                          <m:t>r</m:t>
                        </m:r>
                      </m:e>
                      <m:sub>
                        <m:r>
                          <w:rPr>
                            <w:rFonts w:ascii="Cambria Math" w:hAnsi="Cambria Math"/>
                          </w:rPr>
                          <m:t>o</m:t>
                        </m:r>
                      </m:sub>
                      <m:sup>
                        <m:r>
                          <w:rPr>
                            <w:rFonts w:ascii="Cambria Math" w:hAnsi="Cambria Math"/>
                          </w:rPr>
                          <m:t>4</m:t>
                        </m:r>
                      </m:sup>
                    </m:sSubSup>
                  </m:num>
                  <m:den>
                    <m:r>
                      <w:rPr>
                        <w:rFonts w:ascii="Cambria Math" w:hAnsi="Cambria Math"/>
                      </w:rPr>
                      <m:t>8</m:t>
                    </m:r>
                  </m:den>
                </m:f>
              </m:oMath>
            </m:oMathPara>
          </w:p>
        </w:tc>
        <w:tc>
          <w:tcPr>
            <w:tcW w:w="720" w:type="dxa"/>
            <w:vAlign w:val="bottom"/>
          </w:tcPr>
          <w:p w14:paraId="2C6EA6FD" w14:textId="5021CCA2" w:rsidR="009650AF"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9650AF">
              <w:t>.</w:t>
            </w:r>
            <w:r>
              <w:fldChar w:fldCharType="begin"/>
            </w:r>
            <w:r>
              <w:instrText xml:space="preserve"> SEQ Equation \* ARABIC \s 1 </w:instrText>
            </w:r>
            <w:r>
              <w:fldChar w:fldCharType="separate"/>
            </w:r>
            <w:r w:rsidR="0006023A">
              <w:rPr>
                <w:noProof/>
              </w:rPr>
              <w:t>36</w:t>
            </w:r>
            <w:r>
              <w:rPr>
                <w:noProof/>
              </w:rPr>
              <w:fldChar w:fldCharType="end"/>
            </w:r>
          </w:p>
        </w:tc>
      </w:tr>
    </w:tbl>
    <w:p w14:paraId="6F600DEF" w14:textId="77777777" w:rsidR="009650AF" w:rsidRDefault="009650AF" w:rsidP="009650AF">
      <w:pPr>
        <w:ind w:firstLine="720"/>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50AF" w14:paraId="53107EC9" w14:textId="77777777" w:rsidTr="009650AF">
        <w:trPr>
          <w:trHeight w:val="576"/>
        </w:trPr>
        <w:tc>
          <w:tcPr>
            <w:tcW w:w="720" w:type="dxa"/>
            <w:vAlign w:val="center"/>
          </w:tcPr>
          <w:p w14:paraId="530375B8" w14:textId="77777777" w:rsidR="009650AF" w:rsidRDefault="009650AF" w:rsidP="009650AF">
            <w:pPr>
              <w:spacing w:line="240" w:lineRule="auto"/>
              <w:jc w:val="center"/>
            </w:pPr>
          </w:p>
        </w:tc>
        <w:tc>
          <w:tcPr>
            <w:tcW w:w="7920" w:type="dxa"/>
            <w:vAlign w:val="center"/>
          </w:tcPr>
          <w:p w14:paraId="46C80343" w14:textId="77777777" w:rsidR="009650AF" w:rsidRPr="003E4C6A" w:rsidRDefault="009650AF" w:rsidP="009650AF">
            <w:pPr>
              <w:spacing w:line="240" w:lineRule="auto"/>
              <w:jc w:val="center"/>
            </w:pPr>
            <m:oMathPara>
              <m:oMath>
                <m:r>
                  <w:rPr>
                    <w:rFonts w:ascii="Cambria Math" w:hAnsi="Cambria Math"/>
                  </w:rPr>
                  <m:t xml:space="preserve">Q= </m:t>
                </m:r>
                <m:f>
                  <m:fPr>
                    <m:ctrlPr>
                      <w:rPr>
                        <w:rFonts w:ascii="Cambria Math" w:hAnsi="Cambria Math"/>
                        <w:i/>
                      </w:rPr>
                    </m:ctrlPr>
                  </m:fPr>
                  <m:num>
                    <m:r>
                      <m:rPr>
                        <m:sty m:val="p"/>
                      </m:rPr>
                      <w:rPr>
                        <w:rFonts w:ascii="Cambria Math" w:hAnsi="Cambria Math"/>
                      </w:rPr>
                      <m:t>Δ</m:t>
                    </m:r>
                    <m:r>
                      <w:rPr>
                        <w:rFonts w:ascii="Cambria Math" w:hAnsi="Cambria Math"/>
                      </w:rPr>
                      <m:t>P</m:t>
                    </m:r>
                  </m:num>
                  <m:den>
                    <m:r>
                      <m:rPr>
                        <m:sty m:val="p"/>
                      </m:rPr>
                      <w:rPr>
                        <w:rFonts w:ascii="Cambria Math" w:hAnsi="Cambria Math"/>
                      </w:rPr>
                      <m:t>Δ</m:t>
                    </m:r>
                    <m:r>
                      <w:rPr>
                        <w:rFonts w:ascii="Cambria Math" w:hAnsi="Cambria Math"/>
                      </w:rPr>
                      <m:t>x</m:t>
                    </m:r>
                  </m:den>
                </m:f>
                <m:f>
                  <m:fPr>
                    <m:ctrlPr>
                      <w:rPr>
                        <w:rFonts w:ascii="Cambria Math" w:hAnsi="Cambria Math"/>
                        <w:i/>
                      </w:rPr>
                    </m:ctrlPr>
                  </m:fPr>
                  <m:num>
                    <m:r>
                      <w:rPr>
                        <w:rFonts w:ascii="Cambria Math" w:hAnsi="Cambria Math"/>
                      </w:rPr>
                      <m:t>π</m:t>
                    </m:r>
                  </m:num>
                  <m:den>
                    <m:r>
                      <w:rPr>
                        <w:rFonts w:ascii="Cambria Math" w:hAnsi="Cambria Math"/>
                      </w:rPr>
                      <m:t>μ</m:t>
                    </m:r>
                  </m:den>
                </m:f>
                <m:f>
                  <m:fPr>
                    <m:ctrlPr>
                      <w:rPr>
                        <w:rFonts w:ascii="Cambria Math" w:hAnsi="Cambria Math"/>
                        <w:i/>
                      </w:rPr>
                    </m:ctrlPr>
                  </m:fPr>
                  <m:num>
                    <m:sSubSup>
                      <m:sSubSupPr>
                        <m:ctrlPr>
                          <w:rPr>
                            <w:rFonts w:ascii="Cambria Math" w:hAnsi="Cambria Math"/>
                            <w:i/>
                          </w:rPr>
                        </m:ctrlPr>
                      </m:sSubSupPr>
                      <m:e>
                        <m:r>
                          <w:rPr>
                            <w:rFonts w:ascii="Cambria Math" w:hAnsi="Cambria Math"/>
                          </w:rPr>
                          <m:t>D</m:t>
                        </m:r>
                      </m:e>
                      <m:sub>
                        <m:r>
                          <w:rPr>
                            <w:rFonts w:ascii="Cambria Math" w:hAnsi="Cambria Math"/>
                          </w:rPr>
                          <m:t>o</m:t>
                        </m:r>
                      </m:sub>
                      <m:sup>
                        <m:r>
                          <w:rPr>
                            <w:rFonts w:ascii="Cambria Math" w:hAnsi="Cambria Math"/>
                          </w:rPr>
                          <m:t>4</m:t>
                        </m:r>
                      </m:sup>
                    </m:sSubSup>
                  </m:num>
                  <m:den>
                    <m:r>
                      <w:rPr>
                        <w:rFonts w:ascii="Cambria Math" w:hAnsi="Cambria Math"/>
                      </w:rPr>
                      <m:t>128</m:t>
                    </m:r>
                  </m:den>
                </m:f>
              </m:oMath>
            </m:oMathPara>
          </w:p>
        </w:tc>
        <w:tc>
          <w:tcPr>
            <w:tcW w:w="720" w:type="dxa"/>
            <w:vAlign w:val="bottom"/>
          </w:tcPr>
          <w:p w14:paraId="0231FF01" w14:textId="50C5470F" w:rsidR="009650AF"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9650AF">
              <w:t>.</w:t>
            </w:r>
            <w:r>
              <w:fldChar w:fldCharType="begin"/>
            </w:r>
            <w:r>
              <w:instrText xml:space="preserve"> SEQ Equation \* ARABIC \s 1 </w:instrText>
            </w:r>
            <w:r>
              <w:fldChar w:fldCharType="separate"/>
            </w:r>
            <w:r w:rsidR="0006023A">
              <w:rPr>
                <w:noProof/>
              </w:rPr>
              <w:t>37</w:t>
            </w:r>
            <w:r>
              <w:rPr>
                <w:noProof/>
              </w:rPr>
              <w:fldChar w:fldCharType="end"/>
            </w:r>
          </w:p>
        </w:tc>
      </w:tr>
    </w:tbl>
    <w:p w14:paraId="3ADCD26B" w14:textId="77777777" w:rsidR="009650AF" w:rsidRDefault="009650AF" w:rsidP="009650AF">
      <w:pPr>
        <w:ind w:firstLine="720"/>
      </w:pPr>
    </w:p>
    <w:p w14:paraId="448124D8" w14:textId="77777777" w:rsidR="009650AF" w:rsidRDefault="009650AF" w:rsidP="009650AF">
      <w:pPr>
        <w:ind w:firstLine="720"/>
      </w:pPr>
      <w:r>
        <w:t xml:space="preserve">The resulting </w:t>
      </w:r>
      <w:r w:rsidRPr="00D63FF8">
        <w:t>equations (Equation 2.36 and 2.37) are the Hagen-Poiseuille equation for laminar flow through a circular tube. The only difference is Equation 2.36 is in terms of the pipe radius (</w:t>
      </w:r>
      <m:oMath>
        <m:sSub>
          <m:sSubPr>
            <m:ctrlPr>
              <w:rPr>
                <w:rFonts w:ascii="Cambria Math" w:hAnsi="Cambria Math"/>
                <w:i/>
              </w:rPr>
            </m:ctrlPr>
          </m:sSubPr>
          <m:e>
            <m:r>
              <w:rPr>
                <w:rFonts w:ascii="Cambria Math" w:hAnsi="Cambria Math"/>
              </w:rPr>
              <m:t>r</m:t>
            </m:r>
          </m:e>
          <m:sub>
            <m:r>
              <w:rPr>
                <w:rFonts w:ascii="Cambria Math" w:hAnsi="Cambria Math"/>
              </w:rPr>
              <m:t>o</m:t>
            </m:r>
          </m:sub>
        </m:sSub>
      </m:oMath>
      <w:r w:rsidRPr="00D63FF8">
        <w:rPr>
          <w:rFonts w:eastAsiaTheme="minorEastAsia"/>
        </w:rPr>
        <w:t>)</w:t>
      </w:r>
      <w:r w:rsidRPr="00D63FF8">
        <w:t xml:space="preserve"> and Equation 2.37</w:t>
      </w:r>
      <w:r>
        <w:t xml:space="preserve"> is in terms of the pipe diameter (</w:t>
      </w:r>
      <m:oMath>
        <m:sSub>
          <m:sSubPr>
            <m:ctrlPr>
              <w:rPr>
                <w:rFonts w:ascii="Cambria Math" w:hAnsi="Cambria Math"/>
                <w:i/>
              </w:rPr>
            </m:ctrlPr>
          </m:sSubPr>
          <m:e>
            <m:r>
              <w:rPr>
                <w:rFonts w:ascii="Cambria Math" w:hAnsi="Cambria Math"/>
              </w:rPr>
              <m:t>D</m:t>
            </m:r>
          </m:e>
          <m:sub>
            <m:r>
              <w:rPr>
                <w:rFonts w:ascii="Cambria Math" w:hAnsi="Cambria Math"/>
              </w:rPr>
              <m:t>o</m:t>
            </m:r>
          </m:sub>
        </m:sSub>
      </m:oMath>
      <w:r>
        <w:rPr>
          <w:rFonts w:eastAsiaTheme="minorEastAsia"/>
        </w:rPr>
        <w:t>)</w:t>
      </w:r>
      <w:r>
        <w:t>. It should be noted that small errors in measurements in the pipe diameter (or radius) result in large errors in flow rates since the dimension is to the 4</w:t>
      </w:r>
      <w:r w:rsidRPr="009C072F">
        <w:rPr>
          <w:vertAlign w:val="superscript"/>
        </w:rPr>
        <w:t>th</w:t>
      </w:r>
      <w:r>
        <w:t xml:space="preserve"> power.</w:t>
      </w:r>
    </w:p>
    <w:p w14:paraId="296F415F" w14:textId="77777777" w:rsidR="009650AF" w:rsidRDefault="009650AF" w:rsidP="009650AF">
      <w:pPr>
        <w:ind w:firstLine="720"/>
      </w:pPr>
      <w:r>
        <w:t>The assumptions are:</w:t>
      </w:r>
    </w:p>
    <w:p w14:paraId="2C2B9741" w14:textId="77777777" w:rsidR="009650AF" w:rsidRDefault="009650AF" w:rsidP="00FF2CA0">
      <w:pPr>
        <w:pStyle w:val="ListParagraph"/>
        <w:numPr>
          <w:ilvl w:val="0"/>
          <w:numId w:val="19"/>
        </w:numPr>
        <w:spacing w:line="240" w:lineRule="auto"/>
        <w:ind w:left="936"/>
      </w:pPr>
      <w:r>
        <w:t>The flow is laminar (i.e. Reynolds number (</w:t>
      </w:r>
      <m:oMath>
        <m:sSub>
          <m:sSubPr>
            <m:ctrlPr>
              <w:rPr>
                <w:rFonts w:ascii="Cambria Math" w:hAnsi="Cambria Math"/>
                <w:i/>
              </w:rPr>
            </m:ctrlPr>
          </m:sSubPr>
          <m:e>
            <m:r>
              <w:rPr>
                <w:rFonts w:ascii="Cambria Math" w:hAnsi="Cambria Math"/>
              </w:rPr>
              <m:t>N</m:t>
            </m:r>
          </m:e>
          <m:sub>
            <m:r>
              <w:rPr>
                <w:rFonts w:ascii="Cambria Math" w:hAnsi="Cambria Math"/>
              </w:rPr>
              <m:t>Re</m:t>
            </m:r>
          </m:sub>
        </m:sSub>
      </m:oMath>
      <w:r>
        <w:t>) must be less than 2,100).</w:t>
      </w:r>
    </w:p>
    <w:p w14:paraId="1F5665DE" w14:textId="77777777" w:rsidR="009650AF" w:rsidRDefault="009650AF" w:rsidP="00FF2CA0">
      <w:pPr>
        <w:pStyle w:val="ListParagraph"/>
        <w:numPr>
          <w:ilvl w:val="0"/>
          <w:numId w:val="19"/>
        </w:numPr>
        <w:spacing w:line="240" w:lineRule="auto"/>
        <w:ind w:left="936"/>
      </w:pPr>
      <w:r>
        <w:t>Density (</w:t>
      </w:r>
      <m:oMath>
        <m:r>
          <w:rPr>
            <w:rFonts w:ascii="Cambria Math" w:hAnsi="Cambria Math"/>
          </w:rPr>
          <m:t>ρ</m:t>
        </m:r>
      </m:oMath>
      <w:r>
        <w:t>) of the fluid is constant (incompressible flow).</w:t>
      </w:r>
    </w:p>
    <w:p w14:paraId="508EB38A" w14:textId="77777777" w:rsidR="009650AF" w:rsidRDefault="009650AF" w:rsidP="00FF2CA0">
      <w:pPr>
        <w:pStyle w:val="ListParagraph"/>
        <w:numPr>
          <w:ilvl w:val="0"/>
          <w:numId w:val="19"/>
        </w:numPr>
        <w:spacing w:line="240" w:lineRule="auto"/>
        <w:ind w:left="936"/>
      </w:pPr>
      <w:r>
        <w:t>Flow is steady state.</w:t>
      </w:r>
    </w:p>
    <w:p w14:paraId="0D8A9053" w14:textId="77777777" w:rsidR="009650AF" w:rsidRDefault="009650AF" w:rsidP="00FF2CA0">
      <w:pPr>
        <w:pStyle w:val="ListParagraph"/>
        <w:numPr>
          <w:ilvl w:val="0"/>
          <w:numId w:val="19"/>
        </w:numPr>
        <w:spacing w:line="240" w:lineRule="auto"/>
        <w:ind w:left="936"/>
      </w:pPr>
      <w:r>
        <w:t>Fluid is Newtonian (i.e. water, basic oils, gases: molecular weight &lt; 400; [Kleinstreuer 2010]).</w:t>
      </w:r>
    </w:p>
    <w:p w14:paraId="17CF75CE" w14:textId="77777777" w:rsidR="009650AF" w:rsidRDefault="009650AF" w:rsidP="00FF2CA0">
      <w:pPr>
        <w:pStyle w:val="ListParagraph"/>
        <w:numPr>
          <w:ilvl w:val="0"/>
          <w:numId w:val="19"/>
        </w:numPr>
        <w:spacing w:line="240" w:lineRule="auto"/>
        <w:ind w:left="936"/>
      </w:pPr>
      <w:r>
        <w:t>End effects are neglected.</w:t>
      </w:r>
    </w:p>
    <w:p w14:paraId="0CE7156A" w14:textId="77777777" w:rsidR="009650AF" w:rsidRDefault="009650AF" w:rsidP="00FF2CA0">
      <w:pPr>
        <w:pStyle w:val="ListParagraph"/>
        <w:numPr>
          <w:ilvl w:val="0"/>
          <w:numId w:val="19"/>
        </w:numPr>
        <w:spacing w:line="240" w:lineRule="auto"/>
        <w:ind w:left="936"/>
      </w:pPr>
      <w:r>
        <w:t>The fluid behaves as a continuum.</w:t>
      </w:r>
    </w:p>
    <w:p w14:paraId="182D321E" w14:textId="77777777" w:rsidR="009650AF" w:rsidRDefault="009650AF" w:rsidP="00FF2CA0">
      <w:pPr>
        <w:pStyle w:val="ListParagraph"/>
        <w:numPr>
          <w:ilvl w:val="0"/>
          <w:numId w:val="19"/>
        </w:numPr>
        <w:spacing w:line="240" w:lineRule="auto"/>
        <w:ind w:left="936"/>
      </w:pPr>
      <w:r>
        <w:t>There is no slip at the wall.</w:t>
      </w:r>
    </w:p>
    <w:p w14:paraId="18E85BA1" w14:textId="77777777" w:rsidR="009650AF" w:rsidRDefault="009650AF" w:rsidP="00FF2CA0">
      <w:pPr>
        <w:pStyle w:val="ListParagraph"/>
        <w:numPr>
          <w:ilvl w:val="0"/>
          <w:numId w:val="19"/>
        </w:numPr>
        <w:spacing w:line="240" w:lineRule="auto"/>
        <w:ind w:left="936"/>
      </w:pPr>
      <w:r>
        <w:t>The system is isothermal. Temperature dependent properties such as viscosity (</w:t>
      </w:r>
      <m:oMath>
        <m:r>
          <w:rPr>
            <w:rFonts w:ascii="Cambria Math" w:hAnsi="Cambria Math"/>
          </w:rPr>
          <m:t>μ</m:t>
        </m:r>
      </m:oMath>
      <w:r>
        <w:t>) and density (</w:t>
      </w:r>
      <m:oMath>
        <m:r>
          <w:rPr>
            <w:rFonts w:ascii="Cambria Math" w:hAnsi="Cambria Math"/>
          </w:rPr>
          <m:t>ρ</m:t>
        </m:r>
      </m:oMath>
      <w:r>
        <w:t>) are constant.</w:t>
      </w:r>
    </w:p>
    <w:p w14:paraId="250FE1D8" w14:textId="797061F0" w:rsidR="009650AF" w:rsidRDefault="009650AF" w:rsidP="009650AF"/>
    <w:p w14:paraId="6D57D157" w14:textId="77777777" w:rsidR="009650AF" w:rsidRDefault="009650AF" w:rsidP="009650AF">
      <w:pPr>
        <w:pStyle w:val="Heading3"/>
      </w:pPr>
      <w:bookmarkStart w:id="28" w:name="_Toc67566028"/>
      <w:r>
        <w:t>Annular Flow</w:t>
      </w:r>
      <w:bookmarkEnd w:id="28"/>
    </w:p>
    <w:p w14:paraId="5D06E772" w14:textId="77777777" w:rsidR="009650AF" w:rsidRDefault="009650AF" w:rsidP="009650AF">
      <w:pPr>
        <w:ind w:left="720"/>
      </w:pPr>
      <w:r>
        <w:t>For an annulus with a large gap, the flow rate is defined as:</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50AF" w14:paraId="41830032" w14:textId="77777777" w:rsidTr="009650AF">
        <w:trPr>
          <w:trHeight w:val="1152"/>
        </w:trPr>
        <w:tc>
          <w:tcPr>
            <w:tcW w:w="720" w:type="dxa"/>
            <w:vAlign w:val="center"/>
          </w:tcPr>
          <w:p w14:paraId="6CE9EF88" w14:textId="77777777" w:rsidR="009650AF" w:rsidRDefault="009650AF" w:rsidP="009650AF">
            <w:pPr>
              <w:spacing w:line="240" w:lineRule="auto"/>
              <w:jc w:val="center"/>
            </w:pPr>
          </w:p>
        </w:tc>
        <w:tc>
          <w:tcPr>
            <w:tcW w:w="7920" w:type="dxa"/>
            <w:vAlign w:val="center"/>
          </w:tcPr>
          <w:p w14:paraId="65971C8E" w14:textId="77777777" w:rsidR="009650AF" w:rsidRPr="003E4C6A" w:rsidRDefault="009650AF" w:rsidP="009650AF">
            <w:pPr>
              <w:spacing w:line="240" w:lineRule="auto"/>
              <w:jc w:val="center"/>
            </w:pPr>
            <m:oMathPara>
              <m:oMath>
                <m:r>
                  <w:rPr>
                    <w:rFonts w:ascii="Cambria Math" w:hAnsi="Cambria Math"/>
                  </w:rPr>
                  <m:t>Q=</m:t>
                </m:r>
                <m:d>
                  <m:dPr>
                    <m:ctrlPr>
                      <w:rPr>
                        <w:rFonts w:ascii="Cambria Math" w:hAnsi="Cambria Math"/>
                        <w:i/>
                      </w:rPr>
                    </m:ctrlPr>
                  </m:dPr>
                  <m:e>
                    <m:f>
                      <m:fPr>
                        <m:ctrlPr>
                          <w:rPr>
                            <w:rFonts w:ascii="Cambria Math" w:hAnsi="Cambria Math"/>
                            <w:i/>
                          </w:rPr>
                        </m:ctrlPr>
                      </m:fPr>
                      <m:num>
                        <m:r>
                          <m:rPr>
                            <m:sty m:val="p"/>
                          </m:rPr>
                          <w:rPr>
                            <w:rFonts w:ascii="Cambria Math" w:hAnsi="Cambria Math"/>
                          </w:rPr>
                          <m:t>Δ</m:t>
                        </m:r>
                        <m:r>
                          <w:rPr>
                            <w:rFonts w:ascii="Cambria Math" w:hAnsi="Cambria Math"/>
                          </w:rPr>
                          <m:t>P</m:t>
                        </m:r>
                      </m:num>
                      <m:den>
                        <m:r>
                          <m:rPr>
                            <m:sty m:val="p"/>
                          </m:rPr>
                          <w:rPr>
                            <w:rFonts w:ascii="Cambria Math" w:hAnsi="Cambria Math"/>
                          </w:rPr>
                          <m:t>Δ</m:t>
                        </m:r>
                        <m:r>
                          <w:rPr>
                            <w:rFonts w:ascii="Cambria Math" w:hAnsi="Cambria Math"/>
                          </w:rPr>
                          <m:t>x</m:t>
                        </m:r>
                      </m:den>
                    </m:f>
                    <m:f>
                      <m:fPr>
                        <m:ctrlPr>
                          <w:rPr>
                            <w:rFonts w:ascii="Cambria Math" w:hAnsi="Cambria Math"/>
                            <w:i/>
                          </w:rPr>
                        </m:ctrlPr>
                      </m:fPr>
                      <m:num>
                        <m:r>
                          <w:rPr>
                            <w:rFonts w:ascii="Cambria Math" w:hAnsi="Cambria Math"/>
                          </w:rPr>
                          <m:t>1</m:t>
                        </m:r>
                      </m:num>
                      <m:den>
                        <m:r>
                          <w:rPr>
                            <w:rFonts w:ascii="Cambria Math" w:hAnsi="Cambria Math"/>
                          </w:rPr>
                          <m:t>μ</m:t>
                        </m:r>
                      </m:den>
                    </m:f>
                  </m:e>
                </m:d>
                <m:f>
                  <m:fPr>
                    <m:ctrlPr>
                      <w:rPr>
                        <w:rFonts w:ascii="Cambria Math" w:hAnsi="Cambria Math"/>
                        <w:i/>
                      </w:rPr>
                    </m:ctrlPr>
                  </m:fPr>
                  <m:num>
                    <m:r>
                      <w:rPr>
                        <w:rFonts w:ascii="Cambria Math" w:hAnsi="Cambria Math"/>
                      </w:rPr>
                      <m:t>π</m:t>
                    </m:r>
                  </m:num>
                  <m:den>
                    <m:r>
                      <w:rPr>
                        <w:rFonts w:ascii="Cambria Math" w:hAnsi="Cambria Math"/>
                      </w:rPr>
                      <m:t>128</m:t>
                    </m:r>
                  </m:den>
                </m:f>
                <m:r>
                  <w:rPr>
                    <w:rFonts w:ascii="Cambria Math" w:hAnsi="Cambria Math"/>
                  </w:rPr>
                  <m:t xml:space="preserve"> </m:t>
                </m:r>
                <m:d>
                  <m:dPr>
                    <m:ctrlPr>
                      <w:rPr>
                        <w:rFonts w:ascii="Cambria Math" w:hAnsi="Cambria Math"/>
                        <w:i/>
                      </w:rPr>
                    </m:ctrlPr>
                  </m:dPr>
                  <m:e>
                    <m:sSubSup>
                      <m:sSubSupPr>
                        <m:ctrlPr>
                          <w:rPr>
                            <w:rFonts w:ascii="Cambria Math" w:hAnsi="Cambria Math"/>
                            <w:i/>
                          </w:rPr>
                        </m:ctrlPr>
                      </m:sSubSupPr>
                      <m:e>
                        <m:r>
                          <w:rPr>
                            <w:rFonts w:ascii="Cambria Math" w:hAnsi="Cambria Math"/>
                          </w:rPr>
                          <m:t>D</m:t>
                        </m:r>
                      </m:e>
                      <m:sub>
                        <m:r>
                          <w:rPr>
                            <w:rFonts w:ascii="Cambria Math" w:hAnsi="Cambria Math"/>
                          </w:rPr>
                          <m:t>0</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D</m:t>
                        </m:r>
                      </m:e>
                      <m:sub>
                        <m:r>
                          <w:rPr>
                            <w:rFonts w:ascii="Cambria Math" w:hAnsi="Cambria Math"/>
                          </w:rPr>
                          <m:t>i</m:t>
                        </m:r>
                      </m:sub>
                      <m:sup>
                        <m:r>
                          <w:rPr>
                            <w:rFonts w:ascii="Cambria Math" w:hAnsi="Cambria Math"/>
                          </w:rPr>
                          <m:t>2</m:t>
                        </m:r>
                      </m:sup>
                    </m:sSubSup>
                  </m:e>
                </m:d>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D</m:t>
                        </m:r>
                      </m:e>
                      <m:sub>
                        <m:r>
                          <w:rPr>
                            <w:rFonts w:ascii="Cambria Math" w:hAnsi="Cambria Math"/>
                          </w:rPr>
                          <m:t>0</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D</m:t>
                        </m:r>
                      </m:e>
                      <m:sub>
                        <m:r>
                          <w:rPr>
                            <w:rFonts w:ascii="Cambria Math" w:hAnsi="Cambria Math"/>
                          </w:rPr>
                          <m:t>i</m:t>
                        </m:r>
                      </m:sub>
                      <m:sup>
                        <m:r>
                          <w:rPr>
                            <w:rFonts w:ascii="Cambria Math" w:hAnsi="Cambria Math"/>
                          </w:rPr>
                          <m:t>2</m:t>
                        </m:r>
                      </m:sup>
                    </m:sSubSup>
                    <m:r>
                      <w:rPr>
                        <w:rFonts w:ascii="Cambria Math" w:hAnsi="Cambria Math"/>
                      </w:rPr>
                      <m:t xml:space="preserve">- </m:t>
                    </m:r>
                    <m:f>
                      <m:fPr>
                        <m:ctrlPr>
                          <w:rPr>
                            <w:rFonts w:ascii="Cambria Math" w:hAnsi="Cambria Math"/>
                            <w:i/>
                          </w:rPr>
                        </m:ctrlPr>
                      </m:fPr>
                      <m:num>
                        <m:sSubSup>
                          <m:sSubSupPr>
                            <m:ctrlPr>
                              <w:rPr>
                                <w:rFonts w:ascii="Cambria Math" w:hAnsi="Cambria Math"/>
                                <w:i/>
                              </w:rPr>
                            </m:ctrlPr>
                          </m:sSubSupPr>
                          <m:e>
                            <m:r>
                              <w:rPr>
                                <w:rFonts w:ascii="Cambria Math" w:hAnsi="Cambria Math"/>
                              </w:rPr>
                              <m:t>D</m:t>
                            </m:r>
                          </m:e>
                          <m:sub>
                            <m:r>
                              <w:rPr>
                                <w:rFonts w:ascii="Cambria Math" w:hAnsi="Cambria Math"/>
                              </w:rPr>
                              <m:t>0</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D</m:t>
                            </m:r>
                          </m:e>
                          <m:sub>
                            <m:r>
                              <w:rPr>
                                <w:rFonts w:ascii="Cambria Math" w:hAnsi="Cambria Math"/>
                              </w:rPr>
                              <m:t>i</m:t>
                            </m:r>
                          </m:sub>
                          <m:sup>
                            <m:r>
                              <w:rPr>
                                <w:rFonts w:ascii="Cambria Math" w:hAnsi="Cambria Math"/>
                              </w:rPr>
                              <m:t>2</m:t>
                            </m:r>
                          </m:sup>
                        </m:sSubSup>
                      </m:num>
                      <m:den>
                        <m:func>
                          <m:funcPr>
                            <m:ctrlPr>
                              <w:rPr>
                                <w:rFonts w:ascii="Cambria Math" w:hAnsi="Cambria Math"/>
                                <w:i/>
                              </w:rPr>
                            </m:ctrlPr>
                          </m:funcPr>
                          <m:fName>
                            <m:r>
                              <m:rPr>
                                <m:sty m:val="p"/>
                              </m:rPr>
                              <w:rPr>
                                <w:rFonts w:ascii="Cambria Math" w:hAnsi="Cambria Math"/>
                              </w:rPr>
                              <m:t>ln</m:t>
                            </m:r>
                          </m:fName>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o</m:t>
                                        </m:r>
                                      </m:sub>
                                    </m:sSub>
                                  </m:num>
                                  <m:den>
                                    <m:sSub>
                                      <m:sSubPr>
                                        <m:ctrlPr>
                                          <w:rPr>
                                            <w:rFonts w:ascii="Cambria Math" w:hAnsi="Cambria Math"/>
                                            <w:i/>
                                          </w:rPr>
                                        </m:ctrlPr>
                                      </m:sSubPr>
                                      <m:e>
                                        <m:r>
                                          <w:rPr>
                                            <w:rFonts w:ascii="Cambria Math" w:hAnsi="Cambria Math"/>
                                          </w:rPr>
                                          <m:t>D</m:t>
                                        </m:r>
                                      </m:e>
                                      <m:sub>
                                        <m:r>
                                          <w:rPr>
                                            <w:rFonts w:ascii="Cambria Math" w:hAnsi="Cambria Math"/>
                                          </w:rPr>
                                          <m:t>i</m:t>
                                        </m:r>
                                      </m:sub>
                                    </m:sSub>
                                  </m:den>
                                </m:f>
                              </m:e>
                            </m:d>
                          </m:e>
                        </m:func>
                      </m:den>
                    </m:f>
                  </m:e>
                </m:d>
                <m:r>
                  <w:rPr>
                    <w:rFonts w:ascii="Cambria Math" w:hAnsi="Cambria Math"/>
                  </w:rPr>
                  <m:t xml:space="preserve"> </m:t>
                </m:r>
              </m:oMath>
            </m:oMathPara>
          </w:p>
        </w:tc>
        <w:tc>
          <w:tcPr>
            <w:tcW w:w="720" w:type="dxa"/>
            <w:vAlign w:val="bottom"/>
          </w:tcPr>
          <w:p w14:paraId="712F6001" w14:textId="5046A232" w:rsidR="009650AF"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9650AF">
              <w:t>.</w:t>
            </w:r>
            <w:r>
              <w:fldChar w:fldCharType="begin"/>
            </w:r>
            <w:r>
              <w:instrText xml:space="preserve"> SEQ Equation \* ARABIC \s 1 </w:instrText>
            </w:r>
            <w:r>
              <w:fldChar w:fldCharType="separate"/>
            </w:r>
            <w:r w:rsidR="0006023A">
              <w:rPr>
                <w:noProof/>
              </w:rPr>
              <w:t>38</w:t>
            </w:r>
            <w:r>
              <w:rPr>
                <w:noProof/>
              </w:rPr>
              <w:fldChar w:fldCharType="end"/>
            </w:r>
          </w:p>
        </w:tc>
      </w:tr>
    </w:tbl>
    <w:p w14:paraId="59AB657D" w14:textId="77777777" w:rsidR="009650AF" w:rsidRDefault="009650AF" w:rsidP="009650AF">
      <w:pPr>
        <w:ind w:left="720"/>
      </w:pPr>
    </w:p>
    <w:p w14:paraId="1F6158C2" w14:textId="77777777" w:rsidR="009650AF" w:rsidRPr="00D63FF8" w:rsidRDefault="009650AF" w:rsidP="009650AF">
      <w:pPr>
        <w:ind w:firstLine="720"/>
      </w:pPr>
      <w:r>
        <w:t xml:space="preserve">in which </w:t>
      </w:r>
      <m:oMath>
        <m:sSub>
          <m:sSubPr>
            <m:ctrlPr>
              <w:rPr>
                <w:rFonts w:ascii="Cambria Math" w:hAnsi="Cambria Math"/>
                <w:i/>
              </w:rPr>
            </m:ctrlPr>
          </m:sSubPr>
          <m:e>
            <m:r>
              <w:rPr>
                <w:rFonts w:ascii="Cambria Math" w:hAnsi="Cambria Math"/>
              </w:rPr>
              <m:t>D</m:t>
            </m:r>
          </m:e>
          <m:sub>
            <m:r>
              <w:rPr>
                <w:rFonts w:ascii="Cambria Math" w:hAnsi="Cambria Math"/>
              </w:rPr>
              <m:t>o</m:t>
            </m:r>
          </m:sub>
        </m:sSub>
      </m:oMath>
      <w:r>
        <w:rPr>
          <w:rFonts w:eastAsiaTheme="minorEastAsia"/>
        </w:rPr>
        <w:t xml:space="preserve"> is the diameter of the outside edge of the annulus (inner diameter of the outside pipe) and </w:t>
      </w:r>
      <m:oMath>
        <m:sSub>
          <m:sSubPr>
            <m:ctrlPr>
              <w:rPr>
                <w:rFonts w:ascii="Cambria Math" w:hAnsi="Cambria Math"/>
                <w:i/>
              </w:rPr>
            </m:ctrlPr>
          </m:sSubPr>
          <m:e>
            <m:r>
              <w:rPr>
                <w:rFonts w:ascii="Cambria Math" w:hAnsi="Cambria Math"/>
              </w:rPr>
              <m:t>D</m:t>
            </m:r>
          </m:e>
          <m:sub>
            <m:r>
              <w:rPr>
                <w:rFonts w:ascii="Cambria Math" w:hAnsi="Cambria Math"/>
              </w:rPr>
              <m:t>i</m:t>
            </m:r>
          </m:sub>
        </m:sSub>
      </m:oMath>
      <w:r>
        <w:t xml:space="preserve"> is the diameter of the inner edge of the annulus (outer diameter of the inside pipe). When the spacing in the annulus </w:t>
      </w:r>
      <w:r w:rsidRPr="00D63FF8">
        <w:t xml:space="preserve">becomes small (i.e. </w:t>
      </w:r>
      <m:oMath>
        <m:sSub>
          <m:sSubPr>
            <m:ctrlPr>
              <w:rPr>
                <w:rFonts w:ascii="Cambria Math" w:hAnsi="Cambria Math"/>
                <w:i/>
              </w:rPr>
            </m:ctrlPr>
          </m:sSubPr>
          <m:e>
            <m:r>
              <w:rPr>
                <w:rFonts w:ascii="Cambria Math" w:hAnsi="Cambria Math"/>
              </w:rPr>
              <m:t>D</m:t>
            </m:r>
          </m:e>
          <m:sub>
            <m:r>
              <w:rPr>
                <w:rFonts w:ascii="Cambria Math" w:hAnsi="Cambria Math"/>
              </w:rPr>
              <m:t>i</m:t>
            </m:r>
          </m:sub>
        </m:sSub>
        <m:r>
          <w:rPr>
            <w:rFonts w:ascii="Cambria Math" w:hAnsi="Cambria Math"/>
          </w:rPr>
          <m:t xml:space="preserve"> → </m:t>
        </m:r>
        <m:sSub>
          <m:sSubPr>
            <m:ctrlPr>
              <w:rPr>
                <w:rFonts w:ascii="Cambria Math" w:hAnsi="Cambria Math"/>
                <w:i/>
              </w:rPr>
            </m:ctrlPr>
          </m:sSubPr>
          <m:e>
            <m:r>
              <w:rPr>
                <w:rFonts w:ascii="Cambria Math" w:hAnsi="Cambria Math"/>
              </w:rPr>
              <m:t>D</m:t>
            </m:r>
          </m:e>
          <m:sub>
            <m:r>
              <w:rPr>
                <w:rFonts w:ascii="Cambria Math" w:hAnsi="Cambria Math"/>
              </w:rPr>
              <m:t>o</m:t>
            </m:r>
          </m:sub>
        </m:sSub>
      </m:oMath>
      <w:r w:rsidRPr="00D63FF8">
        <w:t>), Equation 2.38 reduces to,</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50AF" w:rsidRPr="00D63FF8" w14:paraId="2F323517" w14:textId="77777777" w:rsidTr="009650AF">
        <w:trPr>
          <w:trHeight w:val="576"/>
        </w:trPr>
        <w:tc>
          <w:tcPr>
            <w:tcW w:w="720" w:type="dxa"/>
            <w:vAlign w:val="center"/>
          </w:tcPr>
          <w:p w14:paraId="7496D6FA" w14:textId="77777777" w:rsidR="009650AF" w:rsidRPr="00D63FF8" w:rsidRDefault="009650AF" w:rsidP="009650AF">
            <w:pPr>
              <w:spacing w:line="240" w:lineRule="auto"/>
              <w:jc w:val="center"/>
            </w:pPr>
          </w:p>
        </w:tc>
        <w:tc>
          <w:tcPr>
            <w:tcW w:w="7920" w:type="dxa"/>
            <w:vAlign w:val="center"/>
          </w:tcPr>
          <w:p w14:paraId="59C2201E" w14:textId="77777777" w:rsidR="009650AF" w:rsidRPr="00D63FF8" w:rsidRDefault="009650AF" w:rsidP="009650AF">
            <w:pPr>
              <w:spacing w:line="240" w:lineRule="auto"/>
              <w:jc w:val="center"/>
            </w:pPr>
            <m:oMathPara>
              <m:oMath>
                <m:r>
                  <w:rPr>
                    <w:rFonts w:ascii="Cambria Math" w:hAnsi="Cambria Math"/>
                  </w:rPr>
                  <m:t>Q=</m:t>
                </m:r>
                <m:d>
                  <m:dPr>
                    <m:ctrlPr>
                      <w:rPr>
                        <w:rFonts w:ascii="Cambria Math" w:hAnsi="Cambria Math"/>
                        <w:i/>
                      </w:rPr>
                    </m:ctrlPr>
                  </m:dPr>
                  <m:e>
                    <m:f>
                      <m:fPr>
                        <m:ctrlPr>
                          <w:rPr>
                            <w:rFonts w:ascii="Cambria Math" w:hAnsi="Cambria Math"/>
                            <w:i/>
                          </w:rPr>
                        </m:ctrlPr>
                      </m:fPr>
                      <m:num>
                        <m:r>
                          <m:rPr>
                            <m:sty m:val="p"/>
                          </m:rPr>
                          <w:rPr>
                            <w:rFonts w:ascii="Cambria Math" w:hAnsi="Cambria Math"/>
                          </w:rPr>
                          <m:t>Δ</m:t>
                        </m:r>
                        <m:r>
                          <w:rPr>
                            <w:rFonts w:ascii="Cambria Math" w:hAnsi="Cambria Math"/>
                          </w:rPr>
                          <m:t>P</m:t>
                        </m:r>
                      </m:num>
                      <m:den>
                        <m:r>
                          <m:rPr>
                            <m:sty m:val="p"/>
                          </m:rPr>
                          <w:rPr>
                            <w:rFonts w:ascii="Cambria Math" w:hAnsi="Cambria Math"/>
                          </w:rPr>
                          <m:t>Δ</m:t>
                        </m:r>
                        <m:r>
                          <w:rPr>
                            <w:rFonts w:ascii="Cambria Math" w:hAnsi="Cambria Math"/>
                          </w:rPr>
                          <m:t>x</m:t>
                        </m:r>
                      </m:den>
                    </m:f>
                    <m:f>
                      <m:fPr>
                        <m:ctrlPr>
                          <w:rPr>
                            <w:rFonts w:ascii="Cambria Math" w:hAnsi="Cambria Math"/>
                            <w:i/>
                          </w:rPr>
                        </m:ctrlPr>
                      </m:fPr>
                      <m:num>
                        <m:r>
                          <w:rPr>
                            <w:rFonts w:ascii="Cambria Math" w:hAnsi="Cambria Math"/>
                          </w:rPr>
                          <m:t>1</m:t>
                        </m:r>
                      </m:num>
                      <m:den>
                        <m:r>
                          <w:rPr>
                            <w:rFonts w:ascii="Cambria Math" w:hAnsi="Cambria Math"/>
                          </w:rPr>
                          <m:t>μ</m:t>
                        </m:r>
                      </m:den>
                    </m:f>
                  </m:e>
                </m:d>
                <m:f>
                  <m:fPr>
                    <m:ctrlPr>
                      <w:rPr>
                        <w:rFonts w:ascii="Cambria Math" w:hAnsi="Cambria Math"/>
                        <w:i/>
                      </w:rPr>
                    </m:ctrlPr>
                  </m:fPr>
                  <m:num>
                    <m:r>
                      <w:rPr>
                        <w:rFonts w:ascii="Cambria Math" w:hAnsi="Cambria Math"/>
                      </w:rPr>
                      <m:t>1</m:t>
                    </m:r>
                  </m:num>
                  <m:den>
                    <m:r>
                      <w:rPr>
                        <w:rFonts w:ascii="Cambria Math" w:hAnsi="Cambria Math"/>
                      </w:rPr>
                      <m:t>12</m:t>
                    </m:r>
                  </m:den>
                </m:f>
                <m:r>
                  <w:rPr>
                    <w:rFonts w:ascii="Cambria Math" w:hAnsi="Cambria Math"/>
                  </w:rPr>
                  <m:t>πD</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o</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i</m:t>
                                </m:r>
                              </m:sub>
                            </m:sSub>
                          </m:num>
                          <m:den>
                            <m:r>
                              <w:rPr>
                                <w:rFonts w:ascii="Cambria Math" w:hAnsi="Cambria Math"/>
                              </w:rPr>
                              <m:t>2</m:t>
                            </m:r>
                          </m:den>
                        </m:f>
                      </m:e>
                    </m:d>
                  </m:e>
                  <m:sup>
                    <m:r>
                      <w:rPr>
                        <w:rFonts w:ascii="Cambria Math" w:hAnsi="Cambria Math"/>
                      </w:rPr>
                      <m:t>3</m:t>
                    </m:r>
                  </m:sup>
                </m:sSup>
              </m:oMath>
            </m:oMathPara>
          </w:p>
        </w:tc>
        <w:tc>
          <w:tcPr>
            <w:tcW w:w="720" w:type="dxa"/>
            <w:vAlign w:val="bottom"/>
          </w:tcPr>
          <w:p w14:paraId="0756FCF0" w14:textId="13D78997" w:rsidR="009650AF" w:rsidRPr="00D63FF8"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9650AF" w:rsidRPr="00D63FF8">
              <w:t>.</w:t>
            </w:r>
            <w:r>
              <w:fldChar w:fldCharType="begin"/>
            </w:r>
            <w:r>
              <w:instrText xml:space="preserve"> SEQ Equation \* ARABIC</w:instrText>
            </w:r>
            <w:r>
              <w:instrText xml:space="preserve"> \s 1 </w:instrText>
            </w:r>
            <w:r>
              <w:fldChar w:fldCharType="separate"/>
            </w:r>
            <w:r w:rsidR="0006023A">
              <w:rPr>
                <w:noProof/>
              </w:rPr>
              <w:t>39</w:t>
            </w:r>
            <w:r>
              <w:rPr>
                <w:noProof/>
              </w:rPr>
              <w:fldChar w:fldCharType="end"/>
            </w:r>
          </w:p>
        </w:tc>
      </w:tr>
    </w:tbl>
    <w:p w14:paraId="342B8C26" w14:textId="77777777" w:rsidR="009650AF" w:rsidRPr="00D63FF8" w:rsidRDefault="009650AF" w:rsidP="009650AF">
      <w:pPr>
        <w:ind w:left="720"/>
      </w:pPr>
    </w:p>
    <w:p w14:paraId="05AC4AA6" w14:textId="77777777" w:rsidR="009650AF" w:rsidRDefault="009650AF" w:rsidP="009650AF">
      <w:pPr>
        <w:ind w:firstLine="720"/>
      </w:pPr>
      <w:r w:rsidRPr="00D63FF8">
        <w:t>Rearranging Equation 2.39 in terms of radii for the difference between the annulus results in Equation 2.40.</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50AF" w14:paraId="59C2BBAD" w14:textId="77777777" w:rsidTr="009650AF">
        <w:trPr>
          <w:trHeight w:val="576"/>
        </w:trPr>
        <w:tc>
          <w:tcPr>
            <w:tcW w:w="720" w:type="dxa"/>
            <w:vAlign w:val="center"/>
          </w:tcPr>
          <w:p w14:paraId="3DB888AA" w14:textId="77777777" w:rsidR="009650AF" w:rsidRDefault="009650AF" w:rsidP="009650AF">
            <w:pPr>
              <w:spacing w:line="240" w:lineRule="auto"/>
              <w:jc w:val="center"/>
            </w:pPr>
          </w:p>
        </w:tc>
        <w:tc>
          <w:tcPr>
            <w:tcW w:w="7920" w:type="dxa"/>
            <w:vAlign w:val="center"/>
          </w:tcPr>
          <w:p w14:paraId="6B5FAABC" w14:textId="77777777" w:rsidR="009650AF" w:rsidRPr="003E4C6A" w:rsidRDefault="009650AF" w:rsidP="009650AF">
            <w:pPr>
              <w:spacing w:line="240" w:lineRule="auto"/>
              <w:jc w:val="center"/>
            </w:pPr>
            <m:oMathPara>
              <m:oMath>
                <m:r>
                  <w:rPr>
                    <w:rFonts w:ascii="Cambria Math" w:hAnsi="Cambria Math"/>
                  </w:rPr>
                  <m:t>Q=</m:t>
                </m:r>
                <m:d>
                  <m:dPr>
                    <m:ctrlPr>
                      <w:rPr>
                        <w:rFonts w:ascii="Cambria Math" w:hAnsi="Cambria Math"/>
                        <w:i/>
                      </w:rPr>
                    </m:ctrlPr>
                  </m:dPr>
                  <m:e>
                    <m:f>
                      <m:fPr>
                        <m:ctrlPr>
                          <w:rPr>
                            <w:rFonts w:ascii="Cambria Math" w:hAnsi="Cambria Math"/>
                            <w:i/>
                          </w:rPr>
                        </m:ctrlPr>
                      </m:fPr>
                      <m:num>
                        <m:r>
                          <m:rPr>
                            <m:sty m:val="p"/>
                          </m:rPr>
                          <w:rPr>
                            <w:rFonts w:ascii="Cambria Math" w:hAnsi="Cambria Math"/>
                          </w:rPr>
                          <m:t>Δ</m:t>
                        </m:r>
                        <m:r>
                          <w:rPr>
                            <w:rFonts w:ascii="Cambria Math" w:hAnsi="Cambria Math"/>
                          </w:rPr>
                          <m:t>P</m:t>
                        </m:r>
                      </m:num>
                      <m:den>
                        <m:r>
                          <m:rPr>
                            <m:sty m:val="p"/>
                          </m:rPr>
                          <w:rPr>
                            <w:rFonts w:ascii="Cambria Math" w:hAnsi="Cambria Math"/>
                          </w:rPr>
                          <m:t>Δ</m:t>
                        </m:r>
                        <m:r>
                          <w:rPr>
                            <w:rFonts w:ascii="Cambria Math" w:hAnsi="Cambria Math"/>
                          </w:rPr>
                          <m:t>x</m:t>
                        </m:r>
                      </m:den>
                    </m:f>
                    <m:f>
                      <m:fPr>
                        <m:ctrlPr>
                          <w:rPr>
                            <w:rFonts w:ascii="Cambria Math" w:hAnsi="Cambria Math"/>
                            <w:i/>
                          </w:rPr>
                        </m:ctrlPr>
                      </m:fPr>
                      <m:num>
                        <m:r>
                          <w:rPr>
                            <w:rFonts w:ascii="Cambria Math" w:hAnsi="Cambria Math"/>
                          </w:rPr>
                          <m:t>1</m:t>
                        </m:r>
                      </m:num>
                      <m:den>
                        <m:r>
                          <w:rPr>
                            <w:rFonts w:ascii="Cambria Math" w:hAnsi="Cambria Math"/>
                          </w:rPr>
                          <m:t>μ</m:t>
                        </m:r>
                      </m:den>
                    </m:f>
                  </m:e>
                </m:d>
                <m:f>
                  <m:fPr>
                    <m:ctrlPr>
                      <w:rPr>
                        <w:rFonts w:ascii="Cambria Math" w:hAnsi="Cambria Math"/>
                        <w:i/>
                      </w:rPr>
                    </m:ctrlPr>
                  </m:fPr>
                  <m:num>
                    <m:r>
                      <w:rPr>
                        <w:rFonts w:ascii="Cambria Math" w:hAnsi="Cambria Math"/>
                      </w:rPr>
                      <m:t>1</m:t>
                    </m:r>
                  </m:num>
                  <m:den>
                    <m:r>
                      <w:rPr>
                        <w:rFonts w:ascii="Cambria Math" w:hAnsi="Cambria Math"/>
                      </w:rPr>
                      <m:t>12</m:t>
                    </m:r>
                  </m:den>
                </m:f>
                <m:r>
                  <w:rPr>
                    <w:rFonts w:ascii="Cambria Math" w:hAnsi="Cambria Math"/>
                  </w:rPr>
                  <m:t>πD</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o</m:t>
                                </m:r>
                              </m:sub>
                            </m:sSub>
                          </m:num>
                          <m:den>
                            <m:r>
                              <w:rPr>
                                <w:rFonts w:ascii="Cambria Math" w:hAnsi="Cambria Math"/>
                              </w:rPr>
                              <m:t>2</m:t>
                            </m:r>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i</m:t>
                                </m:r>
                              </m:sub>
                            </m:sSub>
                          </m:num>
                          <m:den>
                            <m:r>
                              <w:rPr>
                                <w:rFonts w:ascii="Cambria Math" w:hAnsi="Cambria Math"/>
                              </w:rPr>
                              <m:t>2</m:t>
                            </m:r>
                          </m:den>
                        </m:f>
                      </m:e>
                    </m:d>
                  </m:e>
                  <m:sup>
                    <m:r>
                      <w:rPr>
                        <w:rFonts w:ascii="Cambria Math" w:hAnsi="Cambria Math"/>
                      </w:rPr>
                      <m:t>3</m:t>
                    </m:r>
                  </m:sup>
                </m:sSup>
                <m:r>
                  <w:rPr>
                    <w:rFonts w:ascii="Cambria Math" w:hAnsi="Cambria Math"/>
                  </w:rPr>
                  <m:t xml:space="preserve">= </m:t>
                </m:r>
                <m:d>
                  <m:dPr>
                    <m:ctrlPr>
                      <w:rPr>
                        <w:rFonts w:ascii="Cambria Math" w:hAnsi="Cambria Math"/>
                        <w:i/>
                      </w:rPr>
                    </m:ctrlPr>
                  </m:dPr>
                  <m:e>
                    <m:f>
                      <m:fPr>
                        <m:ctrlPr>
                          <w:rPr>
                            <w:rFonts w:ascii="Cambria Math" w:hAnsi="Cambria Math"/>
                            <w:i/>
                          </w:rPr>
                        </m:ctrlPr>
                      </m:fPr>
                      <m:num>
                        <m:r>
                          <m:rPr>
                            <m:sty m:val="p"/>
                          </m:rPr>
                          <w:rPr>
                            <w:rFonts w:ascii="Cambria Math" w:hAnsi="Cambria Math"/>
                          </w:rPr>
                          <m:t>Δ</m:t>
                        </m:r>
                        <m:r>
                          <w:rPr>
                            <w:rFonts w:ascii="Cambria Math" w:hAnsi="Cambria Math"/>
                          </w:rPr>
                          <m:t>P</m:t>
                        </m:r>
                      </m:num>
                      <m:den>
                        <m:r>
                          <m:rPr>
                            <m:sty m:val="p"/>
                          </m:rPr>
                          <w:rPr>
                            <w:rFonts w:ascii="Cambria Math" w:hAnsi="Cambria Math"/>
                          </w:rPr>
                          <m:t>Δ</m:t>
                        </m:r>
                        <m:r>
                          <w:rPr>
                            <w:rFonts w:ascii="Cambria Math" w:hAnsi="Cambria Math"/>
                          </w:rPr>
                          <m:t>x</m:t>
                        </m:r>
                      </m:den>
                    </m:f>
                    <m:f>
                      <m:fPr>
                        <m:ctrlPr>
                          <w:rPr>
                            <w:rFonts w:ascii="Cambria Math" w:hAnsi="Cambria Math"/>
                            <w:i/>
                          </w:rPr>
                        </m:ctrlPr>
                      </m:fPr>
                      <m:num>
                        <m:r>
                          <w:rPr>
                            <w:rFonts w:ascii="Cambria Math" w:hAnsi="Cambria Math"/>
                          </w:rPr>
                          <m:t>1</m:t>
                        </m:r>
                      </m:num>
                      <m:den>
                        <m:r>
                          <w:rPr>
                            <w:rFonts w:ascii="Cambria Math" w:hAnsi="Cambria Math"/>
                          </w:rPr>
                          <m:t>μ</m:t>
                        </m:r>
                      </m:den>
                    </m:f>
                  </m:e>
                </m:d>
                <m:f>
                  <m:fPr>
                    <m:ctrlPr>
                      <w:rPr>
                        <w:rFonts w:ascii="Cambria Math" w:hAnsi="Cambria Math"/>
                        <w:i/>
                      </w:rPr>
                    </m:ctrlPr>
                  </m:fPr>
                  <m:num>
                    <m:r>
                      <w:rPr>
                        <w:rFonts w:ascii="Cambria Math" w:hAnsi="Cambria Math"/>
                      </w:rPr>
                      <m:t>1</m:t>
                    </m:r>
                  </m:num>
                  <m:den>
                    <m:r>
                      <w:rPr>
                        <w:rFonts w:ascii="Cambria Math" w:hAnsi="Cambria Math"/>
                      </w:rPr>
                      <m:t>12</m:t>
                    </m:r>
                  </m:den>
                </m:f>
                <m:r>
                  <w:rPr>
                    <w:rFonts w:ascii="Cambria Math" w:hAnsi="Cambria Math"/>
                  </w:rPr>
                  <m:t>πD</m:t>
                </m:r>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o</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i</m:t>
                            </m:r>
                          </m:sub>
                        </m:sSub>
                      </m:e>
                    </m:d>
                  </m:e>
                  <m:sup>
                    <m:r>
                      <w:rPr>
                        <w:rFonts w:ascii="Cambria Math" w:hAnsi="Cambria Math"/>
                      </w:rPr>
                      <m:t>3</m:t>
                    </m:r>
                  </m:sup>
                </m:sSup>
              </m:oMath>
            </m:oMathPara>
          </w:p>
        </w:tc>
        <w:tc>
          <w:tcPr>
            <w:tcW w:w="720" w:type="dxa"/>
            <w:vAlign w:val="bottom"/>
          </w:tcPr>
          <w:p w14:paraId="5025EB5A" w14:textId="312E7CB0" w:rsidR="009650AF"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9650AF">
              <w:t>.</w:t>
            </w:r>
            <w:r>
              <w:fldChar w:fldCharType="begin"/>
            </w:r>
            <w:r>
              <w:instrText xml:space="preserve"> SEQ Equation \* ARABIC \s 1 </w:instrText>
            </w:r>
            <w:r>
              <w:fldChar w:fldCharType="separate"/>
            </w:r>
            <w:r w:rsidR="0006023A">
              <w:rPr>
                <w:noProof/>
              </w:rPr>
              <w:t>40</w:t>
            </w:r>
            <w:r>
              <w:rPr>
                <w:noProof/>
              </w:rPr>
              <w:fldChar w:fldCharType="end"/>
            </w:r>
          </w:p>
        </w:tc>
      </w:tr>
    </w:tbl>
    <w:p w14:paraId="1EA6CFD7" w14:textId="77777777" w:rsidR="009650AF" w:rsidRDefault="009650AF" w:rsidP="009650AF">
      <w:pPr>
        <w:ind w:left="720"/>
      </w:pPr>
    </w:p>
    <w:p w14:paraId="0080257B" w14:textId="77777777" w:rsidR="009650AF" w:rsidRDefault="009650AF" w:rsidP="009650AF">
      <w:pPr>
        <w:ind w:left="720"/>
      </w:pPr>
      <w:r>
        <w:t xml:space="preserve">Defining the difference between the radii as a gap width (microannuli, </w:t>
      </w:r>
      <m:oMath>
        <m:r>
          <w:rPr>
            <w:rFonts w:ascii="Cambria Math" w:hAnsi="Cambria Math"/>
          </w:rPr>
          <m:t>w</m:t>
        </m:r>
      </m:oMath>
      <w:r>
        <w:t>),</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50AF" w14:paraId="0DE06B82" w14:textId="77777777" w:rsidTr="009650AF">
        <w:trPr>
          <w:trHeight w:val="576"/>
        </w:trPr>
        <w:tc>
          <w:tcPr>
            <w:tcW w:w="720" w:type="dxa"/>
            <w:vAlign w:val="center"/>
          </w:tcPr>
          <w:p w14:paraId="4F2A7FE7" w14:textId="77777777" w:rsidR="009650AF" w:rsidRDefault="009650AF" w:rsidP="009650AF">
            <w:pPr>
              <w:spacing w:line="240" w:lineRule="auto"/>
              <w:jc w:val="center"/>
            </w:pPr>
          </w:p>
        </w:tc>
        <w:tc>
          <w:tcPr>
            <w:tcW w:w="7920" w:type="dxa"/>
            <w:vAlign w:val="center"/>
          </w:tcPr>
          <w:p w14:paraId="2C799ECE" w14:textId="77777777" w:rsidR="009650AF" w:rsidRPr="003E4C6A" w:rsidRDefault="009650AF" w:rsidP="009650AF">
            <w:pPr>
              <w:spacing w:line="240" w:lineRule="auto"/>
              <w:jc w:val="center"/>
            </w:pPr>
            <m:oMathPara>
              <m:oMath>
                <m:r>
                  <w:rPr>
                    <w:rFonts w:ascii="Cambria Math" w:hAnsi="Cambria Math"/>
                  </w:rPr>
                  <m:t>Q=</m:t>
                </m:r>
                <m:f>
                  <m:fPr>
                    <m:ctrlPr>
                      <w:rPr>
                        <w:rFonts w:ascii="Cambria Math" w:hAnsi="Cambria Math"/>
                        <w:i/>
                      </w:rPr>
                    </m:ctrlPr>
                  </m:fPr>
                  <m:num>
                    <m:r>
                      <m:rPr>
                        <m:sty m:val="p"/>
                      </m:rPr>
                      <w:rPr>
                        <w:rFonts w:ascii="Cambria Math" w:hAnsi="Cambria Math"/>
                      </w:rPr>
                      <m:t>Δ</m:t>
                    </m:r>
                    <m:r>
                      <w:rPr>
                        <w:rFonts w:ascii="Cambria Math" w:hAnsi="Cambria Math"/>
                      </w:rPr>
                      <m:t>P</m:t>
                    </m:r>
                  </m:num>
                  <m:den>
                    <m:r>
                      <m:rPr>
                        <m:sty m:val="p"/>
                      </m:rPr>
                      <w:rPr>
                        <w:rFonts w:ascii="Cambria Math" w:hAnsi="Cambria Math"/>
                      </w:rPr>
                      <m:t>Δ</m:t>
                    </m:r>
                    <m:r>
                      <w:rPr>
                        <w:rFonts w:ascii="Cambria Math" w:hAnsi="Cambria Math"/>
                      </w:rPr>
                      <m:t>x</m:t>
                    </m:r>
                  </m:den>
                </m:f>
                <m:f>
                  <m:fPr>
                    <m:ctrlPr>
                      <w:rPr>
                        <w:rFonts w:ascii="Cambria Math" w:hAnsi="Cambria Math"/>
                        <w:i/>
                      </w:rPr>
                    </m:ctrlPr>
                  </m:fPr>
                  <m:num>
                    <m:r>
                      <w:rPr>
                        <w:rFonts w:ascii="Cambria Math" w:hAnsi="Cambria Math"/>
                      </w:rPr>
                      <m:t>πD</m:t>
                    </m:r>
                    <m:sSup>
                      <m:sSupPr>
                        <m:ctrlPr>
                          <w:rPr>
                            <w:rFonts w:ascii="Cambria Math" w:hAnsi="Cambria Math"/>
                            <w:i/>
                          </w:rPr>
                        </m:ctrlPr>
                      </m:sSupPr>
                      <m:e>
                        <m:r>
                          <w:rPr>
                            <w:rFonts w:ascii="Cambria Math" w:hAnsi="Cambria Math"/>
                          </w:rPr>
                          <m:t>w</m:t>
                        </m:r>
                      </m:e>
                      <m:sup>
                        <m:r>
                          <w:rPr>
                            <w:rFonts w:ascii="Cambria Math" w:hAnsi="Cambria Math"/>
                          </w:rPr>
                          <m:t>3</m:t>
                        </m:r>
                      </m:sup>
                    </m:sSup>
                  </m:num>
                  <m:den>
                    <m:r>
                      <w:rPr>
                        <w:rFonts w:ascii="Cambria Math" w:hAnsi="Cambria Math"/>
                      </w:rPr>
                      <m:t>12μ</m:t>
                    </m:r>
                  </m:den>
                </m:f>
              </m:oMath>
            </m:oMathPara>
          </w:p>
        </w:tc>
        <w:tc>
          <w:tcPr>
            <w:tcW w:w="720" w:type="dxa"/>
            <w:vAlign w:val="bottom"/>
          </w:tcPr>
          <w:p w14:paraId="50CE1AA1" w14:textId="081E49D7" w:rsidR="009650AF"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9650AF">
              <w:t>.</w:t>
            </w:r>
            <w:r>
              <w:fldChar w:fldCharType="begin"/>
            </w:r>
            <w:r>
              <w:instrText xml:space="preserve"> SEQ Equation \* ARABIC \s 1 </w:instrText>
            </w:r>
            <w:r>
              <w:fldChar w:fldCharType="separate"/>
            </w:r>
            <w:r w:rsidR="0006023A">
              <w:rPr>
                <w:noProof/>
              </w:rPr>
              <w:t>41</w:t>
            </w:r>
            <w:r>
              <w:rPr>
                <w:noProof/>
              </w:rPr>
              <w:fldChar w:fldCharType="end"/>
            </w:r>
          </w:p>
        </w:tc>
      </w:tr>
    </w:tbl>
    <w:p w14:paraId="7589059B" w14:textId="77777777" w:rsidR="009650AF" w:rsidRDefault="009650AF" w:rsidP="009650AF">
      <w:pPr>
        <w:ind w:left="720"/>
      </w:pPr>
    </w:p>
    <w:p w14:paraId="24A91208" w14:textId="77777777" w:rsidR="009650AF" w:rsidRDefault="009650AF" w:rsidP="009650AF">
      <w:r w:rsidRPr="00D63FF8">
        <w:t xml:space="preserve">Equation 2.39 (or 2.40) is useful for determination of any variable in which the annulus (microannuli) is known. For problems in which the microannuli is not known, Equation 2.41 is useful as shown in Aas et al. </w:t>
      </w:r>
      <w:r w:rsidRPr="00D63FF8">
        <w:rPr>
          <w:lang w:val="nb-NO"/>
        </w:rPr>
        <w:t>(2016), Lavrov and Torsaeter (2018), Stormont et al. (2018)</w:t>
      </w:r>
      <w:r w:rsidRPr="00BA653E">
        <w:rPr>
          <w:lang w:val="nb-NO"/>
        </w:rPr>
        <w:t xml:space="preserve"> and Skadsem et al. </w:t>
      </w:r>
      <w:r>
        <w:t>(2019).</w:t>
      </w:r>
    </w:p>
    <w:p w14:paraId="0525872A" w14:textId="77777777" w:rsidR="009650AF" w:rsidRDefault="009650AF" w:rsidP="009650AF">
      <w:pPr>
        <w:pStyle w:val="Heading3"/>
      </w:pPr>
      <w:bookmarkStart w:id="29" w:name="_Toc67566029"/>
      <w:r>
        <w:t>Slot Flow</w:t>
      </w:r>
      <w:bookmarkEnd w:id="29"/>
    </w:p>
    <w:p w14:paraId="0BBF09F6" w14:textId="6A2BD274" w:rsidR="009650AF" w:rsidRDefault="009650AF" w:rsidP="009650AF">
      <w:pPr>
        <w:ind w:firstLine="720"/>
      </w:pPr>
      <w:r>
        <w:t xml:space="preserve">As </w:t>
      </w:r>
      <w:r w:rsidRPr="00D63FF8">
        <w:t>shown by Equation 2.40, many laminar flow problems can be simplified by converting them to equivalent straight or planar problems. In fluid modeling, leakage can occur within thin slots. The following derivation represents slot flow shown in Figure 2.13.</w:t>
      </w:r>
      <w:r>
        <w:t xml:space="preserve"> </w:t>
      </w:r>
    </w:p>
    <w:p w14:paraId="3AEDE295" w14:textId="77777777" w:rsidR="009650AF" w:rsidRDefault="009650AF" w:rsidP="00BC23AD">
      <w:pPr>
        <w:pStyle w:val="NoSpacing"/>
      </w:pPr>
      <w:r>
        <w:rPr>
          <w:noProof/>
        </w:rPr>
        <w:lastRenderedPageBreak/>
        <w:drawing>
          <wp:inline distT="0" distB="0" distL="0" distR="0" wp14:anchorId="4AACB4F2" wp14:editId="5EA678E9">
            <wp:extent cx="4572000" cy="1949929"/>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72000" cy="1949929"/>
                    </a:xfrm>
                    <a:prstGeom prst="rect">
                      <a:avLst/>
                    </a:prstGeom>
                    <a:noFill/>
                  </pic:spPr>
                </pic:pic>
              </a:graphicData>
            </a:graphic>
          </wp:inline>
        </w:drawing>
      </w:r>
    </w:p>
    <w:p w14:paraId="531A3B28" w14:textId="74E19A82" w:rsidR="009650AF" w:rsidRDefault="009650AF" w:rsidP="00BC23AD">
      <w:pPr>
        <w:pStyle w:val="Caption"/>
      </w:pPr>
      <w:bookmarkStart w:id="30" w:name="_Toc67566196"/>
      <w:r>
        <w:t xml:space="preserve">Figure </w:t>
      </w:r>
      <w:r w:rsidR="00077C0B">
        <w:fldChar w:fldCharType="begin"/>
      </w:r>
      <w:r w:rsidR="00077C0B">
        <w:instrText xml:space="preserve"> STYLEREF 1 \s </w:instrText>
      </w:r>
      <w:r w:rsidR="00077C0B">
        <w:fldChar w:fldCharType="separate"/>
      </w:r>
      <w:r w:rsidR="0006023A">
        <w:rPr>
          <w:noProof/>
        </w:rPr>
        <w:t>2</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13</w:t>
      </w:r>
      <w:r w:rsidR="00077C0B">
        <w:rPr>
          <w:noProof/>
        </w:rPr>
        <w:fldChar w:fldCharType="end"/>
      </w:r>
      <w:r>
        <w:t xml:space="preserve">: Slot flow dimensions used in the derivation of </w:t>
      </w:r>
      <w:r w:rsidRPr="00D63FF8">
        <w:t>Equation 2.</w:t>
      </w:r>
      <w:r w:rsidR="00D63FF8" w:rsidRPr="00D63FF8">
        <w:t>49</w:t>
      </w:r>
      <w:r>
        <w:t>.</w:t>
      </w:r>
      <w:bookmarkEnd w:id="30"/>
    </w:p>
    <w:p w14:paraId="305C3CE2" w14:textId="77777777" w:rsidR="009650AF" w:rsidRDefault="009650AF" w:rsidP="009650AF">
      <w:pPr>
        <w:ind w:firstLine="720"/>
      </w:pPr>
      <w:r w:rsidRPr="00D63FF8">
        <w:t>Performing a steady-state force balance on the geometry shown in Figure 2.16 results in Equation 2.42.</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50AF" w14:paraId="1FCC0499" w14:textId="77777777" w:rsidTr="009650AF">
        <w:trPr>
          <w:trHeight w:val="576"/>
        </w:trPr>
        <w:tc>
          <w:tcPr>
            <w:tcW w:w="720" w:type="dxa"/>
            <w:vAlign w:val="center"/>
          </w:tcPr>
          <w:p w14:paraId="5D986B4A" w14:textId="77777777" w:rsidR="009650AF" w:rsidRDefault="009650AF" w:rsidP="009650AF">
            <w:pPr>
              <w:spacing w:line="240" w:lineRule="auto"/>
              <w:jc w:val="center"/>
            </w:pPr>
          </w:p>
        </w:tc>
        <w:tc>
          <w:tcPr>
            <w:tcW w:w="7920" w:type="dxa"/>
            <w:vAlign w:val="center"/>
          </w:tcPr>
          <w:p w14:paraId="3B58D0C5" w14:textId="77777777" w:rsidR="009650AF" w:rsidRPr="003E4C6A" w:rsidRDefault="00077C0B" w:rsidP="009650AF">
            <w:pPr>
              <w:spacing w:line="240" w:lineRule="auto"/>
              <w:jc w:val="center"/>
            </w:pPr>
            <m:oMathPara>
              <m:oMath>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2</m:t>
                        </m:r>
                      </m:sub>
                    </m:sSub>
                  </m:e>
                </m:d>
                <m:r>
                  <w:rPr>
                    <w:rFonts w:ascii="Cambria Math" w:hAnsi="Cambria Math"/>
                  </w:rPr>
                  <m:t>∙2∙l∙y=2l</m:t>
                </m:r>
                <m:r>
                  <m:rPr>
                    <m:sty m:val="p"/>
                  </m:rPr>
                  <w:rPr>
                    <w:rFonts w:ascii="Cambria Math" w:hAnsi="Cambria Math"/>
                  </w:rPr>
                  <m:t>Δ</m:t>
                </m:r>
                <m:r>
                  <w:rPr>
                    <w:rFonts w:ascii="Cambria Math" w:hAnsi="Cambria Math"/>
                  </w:rPr>
                  <m:t>x</m:t>
                </m:r>
                <m:sSub>
                  <m:sSubPr>
                    <m:ctrlPr>
                      <w:rPr>
                        <w:rFonts w:ascii="Cambria Math" w:hAnsi="Cambria Math"/>
                        <w:i/>
                      </w:rPr>
                    </m:ctrlPr>
                  </m:sSubPr>
                  <m:e>
                    <m:r>
                      <w:rPr>
                        <w:rFonts w:ascii="Cambria Math" w:hAnsi="Cambria Math"/>
                      </w:rPr>
                      <m:t>τ</m:t>
                    </m:r>
                  </m:e>
                  <m:sub>
                    <m:r>
                      <w:rPr>
                        <w:rFonts w:ascii="Cambria Math" w:hAnsi="Cambria Math"/>
                      </w:rPr>
                      <m:t>y</m:t>
                    </m:r>
                  </m:sub>
                </m:sSub>
              </m:oMath>
            </m:oMathPara>
          </w:p>
        </w:tc>
        <w:tc>
          <w:tcPr>
            <w:tcW w:w="720" w:type="dxa"/>
            <w:vAlign w:val="bottom"/>
          </w:tcPr>
          <w:p w14:paraId="594DFC11" w14:textId="13DFC18D" w:rsidR="009650AF"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9650AF">
              <w:t>.</w:t>
            </w:r>
            <w:r>
              <w:fldChar w:fldCharType="begin"/>
            </w:r>
            <w:r>
              <w:instrText xml:space="preserve"> SEQ Equation \* ARABIC \s 1 </w:instrText>
            </w:r>
            <w:r>
              <w:fldChar w:fldCharType="separate"/>
            </w:r>
            <w:r w:rsidR="0006023A">
              <w:rPr>
                <w:noProof/>
              </w:rPr>
              <w:t>42</w:t>
            </w:r>
            <w:r>
              <w:rPr>
                <w:noProof/>
              </w:rPr>
              <w:fldChar w:fldCharType="end"/>
            </w:r>
          </w:p>
        </w:tc>
      </w:tr>
    </w:tbl>
    <w:p w14:paraId="70D9350D" w14:textId="77777777" w:rsidR="009650AF" w:rsidRDefault="009650AF" w:rsidP="009650AF">
      <w:pPr>
        <w:ind w:firstLine="720"/>
      </w:pPr>
    </w:p>
    <w:p w14:paraId="57D51AE6" w14:textId="77777777" w:rsidR="009650AF" w:rsidRDefault="009650AF" w:rsidP="009650AF">
      <w:pPr>
        <w:ind w:firstLine="720"/>
      </w:pPr>
      <w:r>
        <w:t xml:space="preserve">  Where, </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50AF" w14:paraId="26DB6125" w14:textId="77777777" w:rsidTr="009650AF">
        <w:trPr>
          <w:trHeight w:val="576"/>
        </w:trPr>
        <w:tc>
          <w:tcPr>
            <w:tcW w:w="720" w:type="dxa"/>
            <w:vAlign w:val="center"/>
          </w:tcPr>
          <w:p w14:paraId="2575C80B" w14:textId="77777777" w:rsidR="009650AF" w:rsidRDefault="009650AF" w:rsidP="009650AF">
            <w:pPr>
              <w:spacing w:line="240" w:lineRule="auto"/>
              <w:jc w:val="center"/>
            </w:pPr>
          </w:p>
        </w:tc>
        <w:tc>
          <w:tcPr>
            <w:tcW w:w="7920" w:type="dxa"/>
            <w:vAlign w:val="center"/>
          </w:tcPr>
          <w:p w14:paraId="32880359" w14:textId="77777777" w:rsidR="009650AF" w:rsidRPr="003E4C6A" w:rsidRDefault="00077C0B" w:rsidP="009650AF">
            <w:pPr>
              <w:spacing w:line="240" w:lineRule="auto"/>
              <w:jc w:val="center"/>
            </w:pPr>
            <m:oMathPara>
              <m:oMath>
                <m:sSub>
                  <m:sSubPr>
                    <m:ctrlPr>
                      <w:rPr>
                        <w:rFonts w:ascii="Cambria Math" w:hAnsi="Cambria Math"/>
                        <w:i/>
                      </w:rPr>
                    </m:ctrlPr>
                  </m:sSubPr>
                  <m:e>
                    <m:r>
                      <w:rPr>
                        <w:rFonts w:ascii="Cambria Math" w:hAnsi="Cambria Math"/>
                      </w:rPr>
                      <m:t>τ</m:t>
                    </m:r>
                  </m:e>
                  <m:sub>
                    <m:r>
                      <w:rPr>
                        <w:rFonts w:ascii="Cambria Math" w:hAnsi="Cambria Math"/>
                      </w:rPr>
                      <m:t>y</m:t>
                    </m:r>
                  </m:sub>
                </m:sSub>
                <m:r>
                  <w:rPr>
                    <w:rFonts w:ascii="Cambria Math" w:hAnsi="Cambria Math"/>
                  </w:rPr>
                  <m:t>=</m:t>
                </m:r>
                <m:d>
                  <m:dPr>
                    <m:ctrlPr>
                      <w:rPr>
                        <w:rFonts w:ascii="Cambria Math" w:hAnsi="Cambria Math"/>
                        <w:i/>
                      </w:rPr>
                    </m:ctrlPr>
                  </m:dPr>
                  <m:e>
                    <m:r>
                      <w:rPr>
                        <w:rFonts w:ascii="Cambria Math" w:hAnsi="Cambria Math"/>
                      </w:rPr>
                      <m:t>-</m:t>
                    </m:r>
                    <m:f>
                      <m:fPr>
                        <m:ctrlPr>
                          <w:rPr>
                            <w:rFonts w:ascii="Cambria Math" w:hAnsi="Cambria Math"/>
                            <w:i/>
                          </w:rPr>
                        </m:ctrlPr>
                      </m:fPr>
                      <m:num>
                        <m:r>
                          <w:rPr>
                            <w:rFonts w:ascii="Cambria Math" w:hAnsi="Cambria Math"/>
                          </w:rPr>
                          <m:t>dP</m:t>
                        </m:r>
                      </m:num>
                      <m:den>
                        <m:r>
                          <w:rPr>
                            <w:rFonts w:ascii="Cambria Math" w:hAnsi="Cambria Math"/>
                          </w:rPr>
                          <m:t>dx</m:t>
                        </m:r>
                      </m:den>
                    </m:f>
                  </m:e>
                </m:d>
                <m:r>
                  <w:rPr>
                    <w:rFonts w:ascii="Cambria Math" w:hAnsi="Cambria Math"/>
                  </w:rPr>
                  <m:t>∙y= -μ</m:t>
                </m:r>
                <m:f>
                  <m:fPr>
                    <m:ctrlPr>
                      <w:rPr>
                        <w:rFonts w:ascii="Cambria Math" w:hAnsi="Cambria Math"/>
                        <w:i/>
                      </w:rPr>
                    </m:ctrlPr>
                  </m:fPr>
                  <m:num>
                    <m:r>
                      <w:rPr>
                        <w:rFonts w:ascii="Cambria Math" w:hAnsi="Cambria Math"/>
                      </w:rPr>
                      <m:t>dV</m:t>
                    </m:r>
                  </m:num>
                  <m:den>
                    <m:r>
                      <w:rPr>
                        <w:rFonts w:ascii="Cambria Math" w:hAnsi="Cambria Math"/>
                      </w:rPr>
                      <m:t>dy</m:t>
                    </m:r>
                  </m:den>
                </m:f>
                <m:r>
                  <w:rPr>
                    <w:rFonts w:ascii="Cambria Math" w:hAnsi="Cambria Math"/>
                  </w:rPr>
                  <m:t xml:space="preserve"> </m:t>
                </m:r>
              </m:oMath>
            </m:oMathPara>
          </w:p>
        </w:tc>
        <w:tc>
          <w:tcPr>
            <w:tcW w:w="720" w:type="dxa"/>
            <w:vAlign w:val="bottom"/>
          </w:tcPr>
          <w:p w14:paraId="26F52D66" w14:textId="766A08D7" w:rsidR="009650AF"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9650AF">
              <w:t>.</w:t>
            </w:r>
            <w:r>
              <w:fldChar w:fldCharType="begin"/>
            </w:r>
            <w:r>
              <w:instrText xml:space="preserve"> SEQ Equation \* ARABIC \s 1 </w:instrText>
            </w:r>
            <w:r>
              <w:fldChar w:fldCharType="separate"/>
            </w:r>
            <w:r w:rsidR="0006023A">
              <w:rPr>
                <w:noProof/>
              </w:rPr>
              <w:t>43</w:t>
            </w:r>
            <w:r>
              <w:rPr>
                <w:noProof/>
              </w:rPr>
              <w:fldChar w:fldCharType="end"/>
            </w:r>
          </w:p>
        </w:tc>
      </w:tr>
    </w:tbl>
    <w:p w14:paraId="492AA008" w14:textId="77777777" w:rsidR="009650AF" w:rsidRDefault="009650AF" w:rsidP="009650AF">
      <w:pPr>
        <w:ind w:firstLine="720"/>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50AF" w14:paraId="69949D69" w14:textId="77777777" w:rsidTr="009650AF">
        <w:trPr>
          <w:trHeight w:val="576"/>
        </w:trPr>
        <w:tc>
          <w:tcPr>
            <w:tcW w:w="720" w:type="dxa"/>
            <w:vAlign w:val="center"/>
          </w:tcPr>
          <w:p w14:paraId="034A39B6" w14:textId="77777777" w:rsidR="009650AF" w:rsidRDefault="009650AF" w:rsidP="009650AF">
            <w:pPr>
              <w:spacing w:line="240" w:lineRule="auto"/>
              <w:jc w:val="center"/>
            </w:pPr>
          </w:p>
        </w:tc>
        <w:tc>
          <w:tcPr>
            <w:tcW w:w="7920" w:type="dxa"/>
            <w:vAlign w:val="center"/>
          </w:tcPr>
          <w:p w14:paraId="5194B6AF" w14:textId="77777777" w:rsidR="009650AF" w:rsidRPr="003E4C6A" w:rsidRDefault="00077C0B" w:rsidP="009650AF">
            <w:pPr>
              <w:spacing w:line="240" w:lineRule="auto"/>
              <w:jc w:val="center"/>
            </w:pPr>
            <m:oMathPara>
              <m:oMath>
                <m:nary>
                  <m:naryPr>
                    <m:limLoc m:val="undOvr"/>
                    <m:subHide m:val="1"/>
                    <m:supHide m:val="1"/>
                    <m:ctrlPr>
                      <w:rPr>
                        <w:rFonts w:ascii="Cambria Math" w:hAnsi="Cambria Math"/>
                        <w:i/>
                      </w:rPr>
                    </m:ctrlPr>
                  </m:naryPr>
                  <m:sub/>
                  <m:sup/>
                  <m:e>
                    <m:r>
                      <w:rPr>
                        <w:rFonts w:ascii="Cambria Math" w:hAnsi="Cambria Math"/>
                      </w:rPr>
                      <m:t>dV</m:t>
                    </m:r>
                  </m:e>
                </m:nary>
                <m:r>
                  <w:rPr>
                    <w:rFonts w:ascii="Cambria Math" w:hAnsi="Cambria Math"/>
                  </w:rPr>
                  <m:t>=-</m:t>
                </m:r>
                <m:d>
                  <m:dPr>
                    <m:ctrlPr>
                      <w:rPr>
                        <w:rFonts w:ascii="Cambria Math" w:hAnsi="Cambria Math"/>
                        <w:i/>
                      </w:rPr>
                    </m:ctrlPr>
                  </m:dPr>
                  <m:e>
                    <m:r>
                      <w:rPr>
                        <w:rFonts w:ascii="Cambria Math" w:hAnsi="Cambria Math"/>
                      </w:rPr>
                      <m:t>-</m:t>
                    </m:r>
                    <m:f>
                      <m:fPr>
                        <m:ctrlPr>
                          <w:rPr>
                            <w:rFonts w:ascii="Cambria Math" w:hAnsi="Cambria Math"/>
                            <w:i/>
                          </w:rPr>
                        </m:ctrlPr>
                      </m:fPr>
                      <m:num>
                        <m:r>
                          <w:rPr>
                            <w:rFonts w:ascii="Cambria Math" w:hAnsi="Cambria Math"/>
                          </w:rPr>
                          <m:t>dP</m:t>
                        </m:r>
                      </m:num>
                      <m:den>
                        <m:r>
                          <w:rPr>
                            <w:rFonts w:ascii="Cambria Math" w:hAnsi="Cambria Math"/>
                          </w:rPr>
                          <m:t>dx</m:t>
                        </m:r>
                      </m:den>
                    </m:f>
                  </m:e>
                </m:d>
                <m:f>
                  <m:fPr>
                    <m:ctrlPr>
                      <w:rPr>
                        <w:rFonts w:ascii="Cambria Math" w:hAnsi="Cambria Math"/>
                        <w:i/>
                      </w:rPr>
                    </m:ctrlPr>
                  </m:fPr>
                  <m:num>
                    <m:r>
                      <w:rPr>
                        <w:rFonts w:ascii="Cambria Math" w:hAnsi="Cambria Math"/>
                      </w:rPr>
                      <m:t>1</m:t>
                    </m:r>
                  </m:num>
                  <m:den>
                    <m:r>
                      <w:rPr>
                        <w:rFonts w:ascii="Cambria Math" w:hAnsi="Cambria Math"/>
                      </w:rPr>
                      <m:t>μ</m:t>
                    </m:r>
                  </m:den>
                </m:f>
                <m:r>
                  <w:rPr>
                    <w:rFonts w:ascii="Cambria Math" w:hAnsi="Cambria Math"/>
                  </w:rPr>
                  <m:t xml:space="preserve"> </m:t>
                </m:r>
                <m:nary>
                  <m:naryPr>
                    <m:limLoc m:val="undOvr"/>
                    <m:subHide m:val="1"/>
                    <m:supHide m:val="1"/>
                    <m:ctrlPr>
                      <w:rPr>
                        <w:rFonts w:ascii="Cambria Math" w:hAnsi="Cambria Math"/>
                        <w:i/>
                      </w:rPr>
                    </m:ctrlPr>
                  </m:naryPr>
                  <m:sub/>
                  <m:sup/>
                  <m:e>
                    <m:r>
                      <w:rPr>
                        <w:rFonts w:ascii="Cambria Math" w:hAnsi="Cambria Math"/>
                      </w:rPr>
                      <m:t>y dy</m:t>
                    </m:r>
                  </m:e>
                </m:nary>
              </m:oMath>
            </m:oMathPara>
          </w:p>
        </w:tc>
        <w:tc>
          <w:tcPr>
            <w:tcW w:w="720" w:type="dxa"/>
            <w:vAlign w:val="bottom"/>
          </w:tcPr>
          <w:p w14:paraId="513140ED" w14:textId="3376E2EF" w:rsidR="009650AF"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9650AF">
              <w:t>.</w:t>
            </w:r>
            <w:r>
              <w:fldChar w:fldCharType="begin"/>
            </w:r>
            <w:r>
              <w:instrText xml:space="preserve"> SEQ Equation \* ARABIC \s 1 </w:instrText>
            </w:r>
            <w:r>
              <w:fldChar w:fldCharType="separate"/>
            </w:r>
            <w:r w:rsidR="0006023A">
              <w:rPr>
                <w:noProof/>
              </w:rPr>
              <w:t>44</w:t>
            </w:r>
            <w:r>
              <w:rPr>
                <w:noProof/>
              </w:rPr>
              <w:fldChar w:fldCharType="end"/>
            </w:r>
          </w:p>
        </w:tc>
      </w:tr>
    </w:tbl>
    <w:p w14:paraId="0567B2C5" w14:textId="77777777" w:rsidR="009650AF" w:rsidRDefault="009650AF" w:rsidP="009650AF">
      <w:pPr>
        <w:ind w:firstLine="720"/>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50AF" w14:paraId="0E4577B9" w14:textId="77777777" w:rsidTr="009650AF">
        <w:trPr>
          <w:trHeight w:val="576"/>
        </w:trPr>
        <w:tc>
          <w:tcPr>
            <w:tcW w:w="720" w:type="dxa"/>
            <w:vAlign w:val="center"/>
          </w:tcPr>
          <w:p w14:paraId="7641D913" w14:textId="77777777" w:rsidR="009650AF" w:rsidRDefault="009650AF" w:rsidP="009650AF">
            <w:pPr>
              <w:spacing w:line="240" w:lineRule="auto"/>
              <w:jc w:val="center"/>
            </w:pPr>
          </w:p>
        </w:tc>
        <w:tc>
          <w:tcPr>
            <w:tcW w:w="7920" w:type="dxa"/>
            <w:vAlign w:val="center"/>
          </w:tcPr>
          <w:p w14:paraId="57319FDE" w14:textId="77777777" w:rsidR="009650AF" w:rsidRPr="003E4C6A" w:rsidRDefault="009650AF" w:rsidP="009650AF">
            <w:pPr>
              <w:spacing w:line="240" w:lineRule="auto"/>
              <w:jc w:val="center"/>
            </w:pPr>
            <m:oMathPara>
              <m:oMath>
                <m:r>
                  <w:rPr>
                    <w:rFonts w:ascii="Cambria Math" w:hAnsi="Cambria Math"/>
                  </w:rPr>
                  <m:t>V=</m:t>
                </m:r>
                <m:f>
                  <m:fPr>
                    <m:ctrlPr>
                      <w:rPr>
                        <w:rFonts w:ascii="Cambria Math" w:hAnsi="Cambria Math"/>
                        <w:i/>
                      </w:rPr>
                    </m:ctrlPr>
                  </m:fPr>
                  <m:num>
                    <m:r>
                      <w:rPr>
                        <w:rFonts w:ascii="Cambria Math" w:hAnsi="Cambria Math"/>
                      </w:rPr>
                      <m:t>dP</m:t>
                    </m:r>
                  </m:num>
                  <m:den>
                    <m:r>
                      <w:rPr>
                        <w:rFonts w:ascii="Cambria Math" w:hAnsi="Cambria Math"/>
                      </w:rPr>
                      <m:t>dx</m:t>
                    </m:r>
                  </m:den>
                </m:f>
                <m:f>
                  <m:fPr>
                    <m:ctrlPr>
                      <w:rPr>
                        <w:rFonts w:ascii="Cambria Math" w:hAnsi="Cambria Math"/>
                        <w:i/>
                      </w:rPr>
                    </m:ctrlPr>
                  </m:fPr>
                  <m:num>
                    <m:r>
                      <w:rPr>
                        <w:rFonts w:ascii="Cambria Math" w:hAnsi="Cambria Math"/>
                      </w:rPr>
                      <m:t>1</m:t>
                    </m:r>
                  </m:num>
                  <m:den>
                    <m:r>
                      <w:rPr>
                        <w:rFonts w:ascii="Cambria Math" w:hAnsi="Cambria Math"/>
                      </w:rPr>
                      <m:t>μ</m:t>
                    </m:r>
                  </m:den>
                </m:f>
                <m:f>
                  <m:fPr>
                    <m:ctrlPr>
                      <w:rPr>
                        <w:rFonts w:ascii="Cambria Math" w:hAnsi="Cambria Math"/>
                        <w:i/>
                      </w:rPr>
                    </m:ctrlPr>
                  </m:fPr>
                  <m:num>
                    <m:sSup>
                      <m:sSupPr>
                        <m:ctrlPr>
                          <w:rPr>
                            <w:rFonts w:ascii="Cambria Math" w:hAnsi="Cambria Math"/>
                            <w:i/>
                          </w:rPr>
                        </m:ctrlPr>
                      </m:sSupPr>
                      <m:e>
                        <m:r>
                          <w:rPr>
                            <w:rFonts w:ascii="Cambria Math" w:hAnsi="Cambria Math"/>
                          </w:rPr>
                          <m:t>y</m:t>
                        </m:r>
                      </m:e>
                      <m:sup>
                        <m:r>
                          <w:rPr>
                            <w:rFonts w:ascii="Cambria Math" w:hAnsi="Cambria Math"/>
                          </w:rPr>
                          <m:t>2</m:t>
                        </m:r>
                      </m:sup>
                    </m:sSup>
                  </m:num>
                  <m:den>
                    <m:r>
                      <w:rPr>
                        <w:rFonts w:ascii="Cambria Math" w:hAnsi="Cambria Math"/>
                      </w:rPr>
                      <m:t>2</m:t>
                    </m:r>
                  </m:den>
                </m:f>
                <m:r>
                  <w:rPr>
                    <w:rFonts w:ascii="Cambria Math" w:hAnsi="Cambria Math"/>
                  </w:rPr>
                  <m:t>+C</m:t>
                </m:r>
              </m:oMath>
            </m:oMathPara>
          </w:p>
        </w:tc>
        <w:tc>
          <w:tcPr>
            <w:tcW w:w="720" w:type="dxa"/>
            <w:vAlign w:val="bottom"/>
          </w:tcPr>
          <w:p w14:paraId="25CEEC21" w14:textId="581D0FD2" w:rsidR="009650AF"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9650AF">
              <w:t>.</w:t>
            </w:r>
            <w:r>
              <w:fldChar w:fldCharType="begin"/>
            </w:r>
            <w:r>
              <w:instrText xml:space="preserve"> SEQ Equation \* ARABIC \s 1 </w:instrText>
            </w:r>
            <w:r>
              <w:fldChar w:fldCharType="separate"/>
            </w:r>
            <w:r w:rsidR="0006023A">
              <w:rPr>
                <w:noProof/>
              </w:rPr>
              <w:t>45</w:t>
            </w:r>
            <w:r>
              <w:rPr>
                <w:noProof/>
              </w:rPr>
              <w:fldChar w:fldCharType="end"/>
            </w:r>
          </w:p>
        </w:tc>
      </w:tr>
    </w:tbl>
    <w:p w14:paraId="1A0E9D7F" w14:textId="77777777" w:rsidR="009650AF" w:rsidRDefault="009650AF" w:rsidP="009650AF">
      <w:pPr>
        <w:ind w:firstLine="720"/>
      </w:pPr>
    </w:p>
    <w:p w14:paraId="3DBCC7D6" w14:textId="77777777" w:rsidR="009650AF" w:rsidRDefault="009650AF" w:rsidP="009650AF">
      <w:pPr>
        <w:ind w:firstLine="720"/>
      </w:pPr>
      <w:r>
        <w:t xml:space="preserve">When, </w:t>
      </w:r>
      <m:oMath>
        <m:r>
          <w:rPr>
            <w:rFonts w:ascii="Cambria Math" w:hAnsi="Cambria Math"/>
          </w:rPr>
          <m:t>y=</m:t>
        </m:r>
        <m:f>
          <m:fPr>
            <m:ctrlPr>
              <w:rPr>
                <w:rFonts w:ascii="Cambria Math" w:hAnsi="Cambria Math"/>
                <w:i/>
              </w:rPr>
            </m:ctrlPr>
          </m:fPr>
          <m:num>
            <m:r>
              <w:rPr>
                <w:rFonts w:ascii="Cambria Math" w:hAnsi="Cambria Math"/>
              </w:rPr>
              <m:t>w</m:t>
            </m:r>
          </m:num>
          <m:den>
            <m:r>
              <w:rPr>
                <w:rFonts w:ascii="Cambria Math" w:hAnsi="Cambria Math"/>
              </w:rPr>
              <m:t>2</m:t>
            </m:r>
          </m:den>
        </m:f>
        <m:r>
          <w:rPr>
            <w:rFonts w:ascii="Cambria Math" w:hAnsi="Cambria Math"/>
          </w:rPr>
          <m:t>, V=0</m:t>
        </m:r>
      </m:oMath>
      <w:r>
        <w:rPr>
          <w:rFonts w:eastAsiaTheme="minorEastAsia"/>
        </w:rPr>
        <w:t>.</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50AF" w14:paraId="31B02AD1" w14:textId="77777777" w:rsidTr="009650AF">
        <w:trPr>
          <w:trHeight w:val="576"/>
        </w:trPr>
        <w:tc>
          <w:tcPr>
            <w:tcW w:w="720" w:type="dxa"/>
            <w:vAlign w:val="center"/>
          </w:tcPr>
          <w:p w14:paraId="0E4B2726" w14:textId="77777777" w:rsidR="009650AF" w:rsidRDefault="009650AF" w:rsidP="009650AF">
            <w:pPr>
              <w:spacing w:line="240" w:lineRule="auto"/>
              <w:jc w:val="center"/>
            </w:pPr>
          </w:p>
        </w:tc>
        <w:tc>
          <w:tcPr>
            <w:tcW w:w="7920" w:type="dxa"/>
            <w:vAlign w:val="center"/>
          </w:tcPr>
          <w:p w14:paraId="74299E70" w14:textId="77777777" w:rsidR="009650AF" w:rsidRPr="003E4C6A" w:rsidRDefault="009650AF" w:rsidP="009650AF">
            <w:pPr>
              <w:spacing w:line="240" w:lineRule="auto"/>
              <w:jc w:val="center"/>
            </w:pPr>
            <m:oMathPara>
              <m:oMath>
                <m:r>
                  <w:rPr>
                    <w:rFonts w:ascii="Cambria Math" w:hAnsi="Cambria Math"/>
                  </w:rPr>
                  <m:t>C= -</m:t>
                </m:r>
                <m:f>
                  <m:fPr>
                    <m:ctrlPr>
                      <w:rPr>
                        <w:rFonts w:ascii="Cambria Math" w:hAnsi="Cambria Math"/>
                        <w:i/>
                      </w:rPr>
                    </m:ctrlPr>
                  </m:fPr>
                  <m:num>
                    <m:r>
                      <w:rPr>
                        <w:rFonts w:ascii="Cambria Math" w:hAnsi="Cambria Math"/>
                      </w:rPr>
                      <m:t>dP</m:t>
                    </m:r>
                  </m:num>
                  <m:den>
                    <m:r>
                      <w:rPr>
                        <w:rFonts w:ascii="Cambria Math" w:hAnsi="Cambria Math"/>
                      </w:rPr>
                      <m:t>dx</m:t>
                    </m:r>
                  </m:den>
                </m:f>
                <m:f>
                  <m:fPr>
                    <m:ctrlPr>
                      <w:rPr>
                        <w:rFonts w:ascii="Cambria Math" w:hAnsi="Cambria Math"/>
                        <w:i/>
                      </w:rPr>
                    </m:ctrlPr>
                  </m:fPr>
                  <m:num>
                    <m:r>
                      <w:rPr>
                        <w:rFonts w:ascii="Cambria Math" w:hAnsi="Cambria Math"/>
                      </w:rPr>
                      <m:t>1</m:t>
                    </m:r>
                  </m:num>
                  <m:den>
                    <m:r>
                      <w:rPr>
                        <w:rFonts w:ascii="Cambria Math" w:hAnsi="Cambria Math"/>
                      </w:rPr>
                      <m:t>2μ</m:t>
                    </m:r>
                  </m:den>
                </m:f>
                <m:r>
                  <w:rPr>
                    <w:rFonts w:ascii="Cambria Math" w:hAnsi="Cambria Math"/>
                  </w:rPr>
                  <m:t xml:space="preserve"> </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w</m:t>
                            </m:r>
                          </m:num>
                          <m:den>
                            <m:r>
                              <w:rPr>
                                <w:rFonts w:ascii="Cambria Math" w:hAnsi="Cambria Math"/>
                              </w:rPr>
                              <m:t>2</m:t>
                            </m:r>
                          </m:den>
                        </m:f>
                      </m:e>
                    </m:d>
                  </m:e>
                  <m:sup>
                    <m:r>
                      <w:rPr>
                        <w:rFonts w:ascii="Cambria Math" w:hAnsi="Cambria Math"/>
                      </w:rPr>
                      <m:t>2</m:t>
                    </m:r>
                  </m:sup>
                </m:sSup>
              </m:oMath>
            </m:oMathPara>
          </w:p>
        </w:tc>
        <w:tc>
          <w:tcPr>
            <w:tcW w:w="720" w:type="dxa"/>
            <w:vAlign w:val="bottom"/>
          </w:tcPr>
          <w:p w14:paraId="7BB03362" w14:textId="0A170F8B" w:rsidR="009650AF"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9650AF">
              <w:t>.</w:t>
            </w:r>
            <w:r>
              <w:fldChar w:fldCharType="begin"/>
            </w:r>
            <w:r>
              <w:instrText xml:space="preserve"> SEQ Equation \* ARABIC \s 1 </w:instrText>
            </w:r>
            <w:r>
              <w:fldChar w:fldCharType="separate"/>
            </w:r>
            <w:r w:rsidR="0006023A">
              <w:rPr>
                <w:noProof/>
              </w:rPr>
              <w:t>46</w:t>
            </w:r>
            <w:r>
              <w:rPr>
                <w:noProof/>
              </w:rPr>
              <w:fldChar w:fldCharType="end"/>
            </w:r>
          </w:p>
        </w:tc>
      </w:tr>
    </w:tbl>
    <w:p w14:paraId="4E676346" w14:textId="77777777" w:rsidR="009650AF" w:rsidRDefault="009650AF" w:rsidP="009650AF">
      <w:pPr>
        <w:ind w:firstLine="720"/>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50AF" w14:paraId="1A7BDFED" w14:textId="77777777" w:rsidTr="009650AF">
        <w:trPr>
          <w:trHeight w:val="576"/>
        </w:trPr>
        <w:tc>
          <w:tcPr>
            <w:tcW w:w="720" w:type="dxa"/>
            <w:vAlign w:val="center"/>
          </w:tcPr>
          <w:p w14:paraId="6F585BFA" w14:textId="77777777" w:rsidR="009650AF" w:rsidRDefault="009650AF" w:rsidP="009650AF">
            <w:pPr>
              <w:spacing w:line="240" w:lineRule="auto"/>
              <w:jc w:val="center"/>
            </w:pPr>
          </w:p>
        </w:tc>
        <w:tc>
          <w:tcPr>
            <w:tcW w:w="7920" w:type="dxa"/>
            <w:vAlign w:val="center"/>
          </w:tcPr>
          <w:p w14:paraId="2BCD8713" w14:textId="77777777" w:rsidR="009650AF" w:rsidRPr="003E4C6A" w:rsidRDefault="009650AF" w:rsidP="009650AF">
            <w:pPr>
              <w:spacing w:line="240" w:lineRule="auto"/>
              <w:jc w:val="center"/>
            </w:pPr>
            <m:oMathPara>
              <m:oMath>
                <m:r>
                  <w:rPr>
                    <w:rFonts w:ascii="Cambria Math" w:hAnsi="Cambria Math"/>
                  </w:rPr>
                  <m:t>V= -</m:t>
                </m:r>
                <m:f>
                  <m:fPr>
                    <m:ctrlPr>
                      <w:rPr>
                        <w:rFonts w:ascii="Cambria Math" w:hAnsi="Cambria Math"/>
                        <w:i/>
                      </w:rPr>
                    </m:ctrlPr>
                  </m:fPr>
                  <m:num>
                    <m:r>
                      <w:rPr>
                        <w:rFonts w:ascii="Cambria Math" w:hAnsi="Cambria Math"/>
                      </w:rPr>
                      <m:t>dP</m:t>
                    </m:r>
                  </m:num>
                  <m:den>
                    <m:r>
                      <w:rPr>
                        <w:rFonts w:ascii="Cambria Math" w:hAnsi="Cambria Math"/>
                      </w:rPr>
                      <m:t>dx</m:t>
                    </m:r>
                  </m:den>
                </m:f>
                <m:f>
                  <m:fPr>
                    <m:ctrlPr>
                      <w:rPr>
                        <w:rFonts w:ascii="Cambria Math" w:hAnsi="Cambria Math"/>
                        <w:i/>
                      </w:rPr>
                    </m:ctrlPr>
                  </m:fPr>
                  <m:num>
                    <m:r>
                      <w:rPr>
                        <w:rFonts w:ascii="Cambria Math" w:hAnsi="Cambria Math"/>
                      </w:rPr>
                      <m:t>1</m:t>
                    </m:r>
                  </m:num>
                  <m:den>
                    <m:r>
                      <w:rPr>
                        <w:rFonts w:ascii="Cambria Math" w:hAnsi="Cambria Math"/>
                      </w:rPr>
                      <m:t>2μ</m:t>
                    </m:r>
                  </m:den>
                </m:f>
                <m:d>
                  <m:dPr>
                    <m:begChr m:val="["/>
                    <m:endChr m:val="]"/>
                    <m:ctrlPr>
                      <w:rPr>
                        <w:rFonts w:ascii="Cambria Math" w:hAnsi="Cambria Math"/>
                        <w:i/>
                      </w:rPr>
                    </m:ctrlPr>
                  </m:dPr>
                  <m:e>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w</m:t>
                                </m:r>
                              </m:num>
                              <m:den>
                                <m:r>
                                  <w:rPr>
                                    <w:rFonts w:ascii="Cambria Math" w:hAnsi="Cambria Math"/>
                                  </w:rPr>
                                  <m:t>2</m:t>
                                </m:r>
                              </m:den>
                            </m:f>
                          </m:e>
                        </m:d>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y</m:t>
                        </m:r>
                      </m:e>
                      <m:sup>
                        <m:r>
                          <w:rPr>
                            <w:rFonts w:ascii="Cambria Math" w:hAnsi="Cambria Math"/>
                          </w:rPr>
                          <m:t>2</m:t>
                        </m:r>
                      </m:sup>
                    </m:sSup>
                  </m:e>
                </m:d>
              </m:oMath>
            </m:oMathPara>
          </w:p>
        </w:tc>
        <w:tc>
          <w:tcPr>
            <w:tcW w:w="720" w:type="dxa"/>
            <w:vAlign w:val="bottom"/>
          </w:tcPr>
          <w:p w14:paraId="06C3A41F" w14:textId="7741A065" w:rsidR="009650AF"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9650AF">
              <w:t>.</w:t>
            </w:r>
            <w:r>
              <w:fldChar w:fldCharType="begin"/>
            </w:r>
            <w:r>
              <w:instrText xml:space="preserve"> SEQ Equation \* ARABIC \s 1 </w:instrText>
            </w:r>
            <w:r>
              <w:fldChar w:fldCharType="separate"/>
            </w:r>
            <w:r w:rsidR="0006023A">
              <w:rPr>
                <w:noProof/>
              </w:rPr>
              <w:t>47</w:t>
            </w:r>
            <w:r>
              <w:rPr>
                <w:noProof/>
              </w:rPr>
              <w:fldChar w:fldCharType="end"/>
            </w:r>
          </w:p>
        </w:tc>
      </w:tr>
    </w:tbl>
    <w:p w14:paraId="1D4A5673" w14:textId="77777777" w:rsidR="009650AF" w:rsidRDefault="009650AF" w:rsidP="009650AF">
      <w:pPr>
        <w:ind w:firstLine="720"/>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50AF" w14:paraId="6D183AF9" w14:textId="77777777" w:rsidTr="009650AF">
        <w:trPr>
          <w:trHeight w:val="576"/>
        </w:trPr>
        <w:tc>
          <w:tcPr>
            <w:tcW w:w="720" w:type="dxa"/>
            <w:vAlign w:val="center"/>
          </w:tcPr>
          <w:p w14:paraId="47E33AF7" w14:textId="77777777" w:rsidR="009650AF" w:rsidRDefault="009650AF" w:rsidP="009650AF">
            <w:pPr>
              <w:spacing w:line="240" w:lineRule="auto"/>
              <w:jc w:val="center"/>
            </w:pPr>
          </w:p>
        </w:tc>
        <w:tc>
          <w:tcPr>
            <w:tcW w:w="7920" w:type="dxa"/>
            <w:vAlign w:val="center"/>
          </w:tcPr>
          <w:p w14:paraId="7359F09E" w14:textId="77777777" w:rsidR="009650AF" w:rsidRPr="003E4C6A" w:rsidRDefault="009650AF" w:rsidP="009650AF">
            <w:pPr>
              <w:spacing w:line="240" w:lineRule="auto"/>
              <w:jc w:val="center"/>
            </w:pPr>
            <m:oMathPara>
              <m:oMath>
                <m:r>
                  <w:rPr>
                    <w:rFonts w:ascii="Cambria Math" w:hAnsi="Cambria Math"/>
                  </w:rPr>
                  <m:t>Q=</m:t>
                </m:r>
                <m:nary>
                  <m:naryPr>
                    <m:limLoc m:val="undOvr"/>
                    <m:subHide m:val="1"/>
                    <m:supHide m:val="1"/>
                    <m:ctrlPr>
                      <w:rPr>
                        <w:rFonts w:ascii="Cambria Math" w:hAnsi="Cambria Math"/>
                        <w:i/>
                      </w:rPr>
                    </m:ctrlPr>
                  </m:naryPr>
                  <m:sub/>
                  <m:sup/>
                  <m:e>
                    <m:r>
                      <w:rPr>
                        <w:rFonts w:ascii="Cambria Math" w:hAnsi="Cambria Math"/>
                      </w:rPr>
                      <m:t>V dA</m:t>
                    </m:r>
                  </m:e>
                </m:nary>
                <m:r>
                  <w:rPr>
                    <w:rFonts w:ascii="Cambria Math" w:hAnsi="Cambria Math"/>
                  </w:rPr>
                  <m:t>=</m:t>
                </m:r>
                <m:d>
                  <m:dPr>
                    <m:ctrlPr>
                      <w:rPr>
                        <w:rFonts w:ascii="Cambria Math" w:hAnsi="Cambria Math"/>
                        <w:i/>
                      </w:rPr>
                    </m:ctrlPr>
                  </m:dPr>
                  <m:e>
                    <m:r>
                      <w:rPr>
                        <w:rFonts w:ascii="Cambria Math" w:hAnsi="Cambria Math"/>
                      </w:rPr>
                      <m:t>-</m:t>
                    </m:r>
                    <m:f>
                      <m:fPr>
                        <m:ctrlPr>
                          <w:rPr>
                            <w:rFonts w:ascii="Cambria Math" w:hAnsi="Cambria Math"/>
                            <w:i/>
                          </w:rPr>
                        </m:ctrlPr>
                      </m:fPr>
                      <m:num>
                        <m:r>
                          <w:rPr>
                            <w:rFonts w:ascii="Cambria Math" w:hAnsi="Cambria Math"/>
                          </w:rPr>
                          <m:t>dP</m:t>
                        </m:r>
                      </m:num>
                      <m:den>
                        <m:r>
                          <w:rPr>
                            <w:rFonts w:ascii="Cambria Math" w:hAnsi="Cambria Math"/>
                          </w:rPr>
                          <m:t>dx</m:t>
                        </m:r>
                      </m:den>
                    </m:f>
                  </m:e>
                </m:d>
                <m:f>
                  <m:fPr>
                    <m:ctrlPr>
                      <w:rPr>
                        <w:rFonts w:ascii="Cambria Math" w:hAnsi="Cambria Math"/>
                        <w:i/>
                      </w:rPr>
                    </m:ctrlPr>
                  </m:fPr>
                  <m:num>
                    <m:r>
                      <w:rPr>
                        <w:rFonts w:ascii="Cambria Math" w:hAnsi="Cambria Math"/>
                      </w:rPr>
                      <m:t>1</m:t>
                    </m:r>
                  </m:num>
                  <m:den>
                    <m:r>
                      <w:rPr>
                        <w:rFonts w:ascii="Cambria Math" w:hAnsi="Cambria Math"/>
                      </w:rPr>
                      <m:t>2μ</m:t>
                    </m:r>
                  </m:den>
                </m:f>
                <m:r>
                  <w:rPr>
                    <w:rFonts w:ascii="Cambria Math" w:hAnsi="Cambria Math"/>
                  </w:rPr>
                  <m:t>∙2∙l∙</m:t>
                </m:r>
                <m:nary>
                  <m:naryPr>
                    <m:limLoc m:val="subSup"/>
                    <m:ctrlPr>
                      <w:rPr>
                        <w:rFonts w:ascii="Cambria Math" w:hAnsi="Cambria Math"/>
                        <w:i/>
                      </w:rPr>
                    </m:ctrlPr>
                  </m:naryPr>
                  <m:sub>
                    <m:r>
                      <w:rPr>
                        <w:rFonts w:ascii="Cambria Math" w:hAnsi="Cambria Math"/>
                      </w:rPr>
                      <m:t>0</m:t>
                    </m:r>
                  </m:sub>
                  <m:sup>
                    <m:f>
                      <m:fPr>
                        <m:ctrlPr>
                          <w:rPr>
                            <w:rFonts w:ascii="Cambria Math" w:hAnsi="Cambria Math"/>
                            <w:i/>
                          </w:rPr>
                        </m:ctrlPr>
                      </m:fPr>
                      <m:num>
                        <m:r>
                          <w:rPr>
                            <w:rFonts w:ascii="Cambria Math" w:hAnsi="Cambria Math"/>
                          </w:rPr>
                          <m:t>w</m:t>
                        </m:r>
                      </m:num>
                      <m:den>
                        <m:r>
                          <w:rPr>
                            <w:rFonts w:ascii="Cambria Math" w:hAnsi="Cambria Math"/>
                          </w:rPr>
                          <m:t>2</m:t>
                        </m:r>
                      </m:den>
                    </m:f>
                  </m:sup>
                  <m:e>
                    <m:d>
                      <m:dPr>
                        <m:begChr m:val="["/>
                        <m:endChr m:val="]"/>
                        <m:ctrlPr>
                          <w:rPr>
                            <w:rFonts w:ascii="Cambria Math" w:hAnsi="Cambria Math"/>
                            <w:i/>
                          </w:rPr>
                        </m:ctrlPr>
                      </m:dPr>
                      <m:e>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w</m:t>
                                    </m:r>
                                  </m:num>
                                  <m:den>
                                    <m:r>
                                      <w:rPr>
                                        <w:rFonts w:ascii="Cambria Math" w:hAnsi="Cambria Math"/>
                                      </w:rPr>
                                      <m:t>2</m:t>
                                    </m:r>
                                  </m:den>
                                </m:f>
                              </m:e>
                            </m:d>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y</m:t>
                            </m:r>
                          </m:e>
                          <m:sup>
                            <m:r>
                              <w:rPr>
                                <w:rFonts w:ascii="Cambria Math" w:hAnsi="Cambria Math"/>
                              </w:rPr>
                              <m:t>2</m:t>
                            </m:r>
                          </m:sup>
                        </m:sSup>
                      </m:e>
                    </m:d>
                    <m:r>
                      <w:rPr>
                        <w:rFonts w:ascii="Cambria Math" w:hAnsi="Cambria Math"/>
                      </w:rPr>
                      <m:t>dy</m:t>
                    </m:r>
                  </m:e>
                </m:nary>
                <m:r>
                  <w:rPr>
                    <w:rFonts w:ascii="Cambria Math" w:hAnsi="Cambria Math"/>
                  </w:rPr>
                  <m:t xml:space="preserve"> </m:t>
                </m:r>
              </m:oMath>
            </m:oMathPara>
          </w:p>
        </w:tc>
        <w:tc>
          <w:tcPr>
            <w:tcW w:w="720" w:type="dxa"/>
            <w:vAlign w:val="bottom"/>
          </w:tcPr>
          <w:p w14:paraId="5C70C3E6" w14:textId="3070D586" w:rsidR="009650AF"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9650AF">
              <w:t>.</w:t>
            </w:r>
            <w:r>
              <w:fldChar w:fldCharType="begin"/>
            </w:r>
            <w:r>
              <w:instrText xml:space="preserve"> SEQ Equation \* ARABIC \s 1 </w:instrText>
            </w:r>
            <w:r>
              <w:fldChar w:fldCharType="separate"/>
            </w:r>
            <w:r w:rsidR="0006023A">
              <w:rPr>
                <w:noProof/>
              </w:rPr>
              <w:t>48</w:t>
            </w:r>
            <w:r>
              <w:rPr>
                <w:noProof/>
              </w:rPr>
              <w:fldChar w:fldCharType="end"/>
            </w:r>
          </w:p>
        </w:tc>
      </w:tr>
    </w:tbl>
    <w:p w14:paraId="559B5C4A" w14:textId="77777777" w:rsidR="009650AF" w:rsidRDefault="009650AF" w:rsidP="009650AF">
      <w:pPr>
        <w:ind w:firstLine="720"/>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50AF" w14:paraId="5DB2F7B6" w14:textId="77777777" w:rsidTr="009650AF">
        <w:trPr>
          <w:trHeight w:val="576"/>
        </w:trPr>
        <w:tc>
          <w:tcPr>
            <w:tcW w:w="720" w:type="dxa"/>
            <w:vAlign w:val="center"/>
          </w:tcPr>
          <w:p w14:paraId="44306A36" w14:textId="77777777" w:rsidR="009650AF" w:rsidRDefault="009650AF" w:rsidP="009650AF">
            <w:pPr>
              <w:spacing w:line="240" w:lineRule="auto"/>
              <w:jc w:val="center"/>
            </w:pPr>
          </w:p>
        </w:tc>
        <w:tc>
          <w:tcPr>
            <w:tcW w:w="7920" w:type="dxa"/>
            <w:vAlign w:val="center"/>
          </w:tcPr>
          <w:p w14:paraId="10675F9A" w14:textId="77777777" w:rsidR="009650AF" w:rsidRPr="003E4C6A" w:rsidRDefault="009650AF" w:rsidP="009650AF">
            <w:pPr>
              <w:spacing w:line="240" w:lineRule="auto"/>
              <w:jc w:val="center"/>
            </w:pPr>
            <m:oMathPara>
              <m:oMath>
                <m:r>
                  <w:rPr>
                    <w:rFonts w:ascii="Cambria Math" w:hAnsi="Cambria Math"/>
                  </w:rPr>
                  <m:t xml:space="preserve">Q= </m:t>
                </m:r>
                <m:f>
                  <m:fPr>
                    <m:ctrlPr>
                      <w:rPr>
                        <w:rFonts w:ascii="Cambria Math" w:hAnsi="Cambria Math"/>
                        <w:i/>
                      </w:rPr>
                    </m:ctrlPr>
                  </m:fPr>
                  <m:num>
                    <m:r>
                      <m:rPr>
                        <m:sty m:val="p"/>
                      </m:rPr>
                      <w:rPr>
                        <w:rFonts w:ascii="Cambria Math" w:hAnsi="Cambria Math"/>
                      </w:rPr>
                      <m:t>Δ</m:t>
                    </m:r>
                    <m:r>
                      <w:rPr>
                        <w:rFonts w:ascii="Cambria Math" w:hAnsi="Cambria Math"/>
                      </w:rPr>
                      <m:t>P</m:t>
                    </m:r>
                  </m:num>
                  <m:den>
                    <m:r>
                      <m:rPr>
                        <m:sty m:val="p"/>
                      </m:rPr>
                      <w:rPr>
                        <w:rFonts w:ascii="Cambria Math" w:hAnsi="Cambria Math"/>
                      </w:rPr>
                      <m:t>Δ</m:t>
                    </m:r>
                    <m:r>
                      <w:rPr>
                        <w:rFonts w:ascii="Cambria Math" w:hAnsi="Cambria Math"/>
                      </w:rPr>
                      <m:t>x</m:t>
                    </m:r>
                  </m:den>
                </m:f>
                <m:f>
                  <m:fPr>
                    <m:ctrlPr>
                      <w:rPr>
                        <w:rFonts w:ascii="Cambria Math" w:hAnsi="Cambria Math"/>
                        <w:i/>
                      </w:rPr>
                    </m:ctrlPr>
                  </m:fPr>
                  <m:num>
                    <m:r>
                      <w:rPr>
                        <w:rFonts w:ascii="Cambria Math" w:hAnsi="Cambria Math"/>
                      </w:rPr>
                      <m:t>1</m:t>
                    </m:r>
                  </m:num>
                  <m:den>
                    <m:r>
                      <w:rPr>
                        <w:rFonts w:ascii="Cambria Math" w:hAnsi="Cambria Math"/>
                      </w:rPr>
                      <m:t>μ</m:t>
                    </m:r>
                  </m:den>
                </m:f>
                <m:f>
                  <m:fPr>
                    <m:ctrlPr>
                      <w:rPr>
                        <w:rFonts w:ascii="Cambria Math" w:hAnsi="Cambria Math"/>
                        <w:i/>
                      </w:rPr>
                    </m:ctrlPr>
                  </m:fPr>
                  <m:num>
                    <m:r>
                      <w:rPr>
                        <w:rFonts w:ascii="Cambria Math" w:hAnsi="Cambria Math"/>
                      </w:rPr>
                      <m:t>1</m:t>
                    </m:r>
                  </m:num>
                  <m:den>
                    <m:r>
                      <w:rPr>
                        <w:rFonts w:ascii="Cambria Math" w:hAnsi="Cambria Math"/>
                      </w:rPr>
                      <m:t>12</m:t>
                    </m:r>
                  </m:den>
                </m:f>
                <m:r>
                  <w:rPr>
                    <w:rFonts w:ascii="Cambria Math" w:hAnsi="Cambria Math"/>
                  </w:rPr>
                  <m:t>l</m:t>
                </m:r>
                <m:sSup>
                  <m:sSupPr>
                    <m:ctrlPr>
                      <w:rPr>
                        <w:rFonts w:ascii="Cambria Math" w:hAnsi="Cambria Math"/>
                        <w:i/>
                      </w:rPr>
                    </m:ctrlPr>
                  </m:sSupPr>
                  <m:e>
                    <m:d>
                      <m:dPr>
                        <m:ctrlPr>
                          <w:rPr>
                            <w:rFonts w:ascii="Cambria Math" w:hAnsi="Cambria Math"/>
                            <w:i/>
                          </w:rPr>
                        </m:ctrlPr>
                      </m:dPr>
                      <m:e>
                        <m:r>
                          <w:rPr>
                            <w:rFonts w:ascii="Cambria Math" w:hAnsi="Cambria Math"/>
                          </w:rPr>
                          <m:t>w</m:t>
                        </m:r>
                      </m:e>
                    </m:d>
                  </m:e>
                  <m:sup>
                    <m:r>
                      <w:rPr>
                        <w:rFonts w:ascii="Cambria Math" w:hAnsi="Cambria Math"/>
                      </w:rPr>
                      <m:t>3</m:t>
                    </m:r>
                  </m:sup>
                </m:sSup>
                <m:r>
                  <w:rPr>
                    <w:rFonts w:ascii="Cambria Math" w:hAnsi="Cambria Math"/>
                  </w:rPr>
                  <m:t xml:space="preserve"> </m:t>
                </m:r>
              </m:oMath>
            </m:oMathPara>
          </w:p>
        </w:tc>
        <w:tc>
          <w:tcPr>
            <w:tcW w:w="720" w:type="dxa"/>
            <w:vAlign w:val="bottom"/>
          </w:tcPr>
          <w:p w14:paraId="68CB6372" w14:textId="5A514CC5" w:rsidR="009650AF"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9650AF">
              <w:t>.</w:t>
            </w:r>
            <w:r>
              <w:fldChar w:fldCharType="begin"/>
            </w:r>
            <w:r>
              <w:instrText xml:space="preserve"> SEQ Equation \* ARABIC \s 1 </w:instrText>
            </w:r>
            <w:r>
              <w:fldChar w:fldCharType="separate"/>
            </w:r>
            <w:r w:rsidR="0006023A">
              <w:rPr>
                <w:noProof/>
              </w:rPr>
              <w:t>49</w:t>
            </w:r>
            <w:r>
              <w:rPr>
                <w:noProof/>
              </w:rPr>
              <w:fldChar w:fldCharType="end"/>
            </w:r>
          </w:p>
        </w:tc>
      </w:tr>
    </w:tbl>
    <w:p w14:paraId="35D5DF27" w14:textId="77777777" w:rsidR="009650AF" w:rsidRDefault="009650AF" w:rsidP="009650AF">
      <w:pPr>
        <w:ind w:firstLine="720"/>
      </w:pPr>
    </w:p>
    <w:p w14:paraId="68DEB36E" w14:textId="17E7B95A" w:rsidR="009650AF" w:rsidRDefault="009650AF" w:rsidP="009650AF">
      <w:pPr>
        <w:ind w:firstLine="720"/>
      </w:pPr>
      <w:r>
        <w:t xml:space="preserve">Where </w:t>
      </w:r>
      <m:oMath>
        <m:r>
          <w:rPr>
            <w:rFonts w:ascii="Cambria Math" w:hAnsi="Cambria Math"/>
          </w:rPr>
          <m:t>w</m:t>
        </m:r>
      </m:oMath>
      <w:r w:rsidRPr="00D7662C">
        <w:t xml:space="preserve"> is the distance between the plates (i.e. microannuli) and </w:t>
      </w:r>
      <m:oMath>
        <m:r>
          <w:rPr>
            <w:rFonts w:ascii="Cambria Math" w:hAnsi="Cambria Math"/>
          </w:rPr>
          <m:t>l</m:t>
        </m:r>
      </m:oMath>
      <w:r w:rsidRPr="00D7662C">
        <w:t xml:space="preserve"> is the width of the sl</w:t>
      </w:r>
      <w:r w:rsidR="007E0FEE">
        <w:t>o</w:t>
      </w:r>
      <w:r w:rsidRPr="00D7662C">
        <w:t xml:space="preserve">t. If both </w:t>
      </w:r>
      <w:r w:rsidRPr="00D63FF8">
        <w:t xml:space="preserve">sides are divided by </w:t>
      </w:r>
      <m:oMath>
        <m:r>
          <w:rPr>
            <w:rFonts w:ascii="Cambria Math" w:hAnsi="Cambria Math"/>
          </w:rPr>
          <m:t>l</m:t>
        </m:r>
      </m:oMath>
      <w:r w:rsidRPr="00D63FF8">
        <w:t>, the left-hand side becomes the volumetric flow rate per unit width. Equation 2.49 is referred to as “slot flow” and is used extensively in the Reynold’s Lubrication Theorem shown in Section 2.10.</w:t>
      </w:r>
    </w:p>
    <w:p w14:paraId="4296821D" w14:textId="77777777" w:rsidR="009650AF" w:rsidRDefault="009650AF" w:rsidP="009650AF">
      <w:pPr>
        <w:pStyle w:val="Heading2"/>
      </w:pPr>
      <w:bookmarkStart w:id="31" w:name="_Toc67566030"/>
      <w:r>
        <w:t>Prediction of Fluid Leakage</w:t>
      </w:r>
      <w:bookmarkEnd w:id="31"/>
    </w:p>
    <w:p w14:paraId="230A75BE" w14:textId="0D913538" w:rsidR="009650AF" w:rsidRDefault="009650AF" w:rsidP="009650AF">
      <w:pPr>
        <w:ind w:firstLine="720"/>
      </w:pPr>
      <w:r>
        <w:t xml:space="preserve">Prediction of fluid leakage in wellbores has proven to be a complicated process due to the numerous variables, extreme conditions, and unknown physical mechanisms that can occur. The following sections look at lab scale leakage experiments, field leakage prediction/measurements, analytical methods, and numerical methods that combine results/methodologies from the lab, field, and analytical equations. </w:t>
      </w:r>
    </w:p>
    <w:p w14:paraId="6353C061" w14:textId="77777777" w:rsidR="009650AF" w:rsidRDefault="009650AF" w:rsidP="009650AF">
      <w:pPr>
        <w:pStyle w:val="Heading3"/>
      </w:pPr>
      <w:bookmarkStart w:id="32" w:name="_Toc67566031"/>
      <w:r>
        <w:t>Lab Leakage Prediction</w:t>
      </w:r>
      <w:bookmarkEnd w:id="32"/>
    </w:p>
    <w:p w14:paraId="1F083896" w14:textId="104F473C" w:rsidR="009650AF" w:rsidRDefault="009650AF" w:rsidP="009650AF">
      <w:pPr>
        <w:ind w:firstLine="720"/>
      </w:pPr>
      <w:r>
        <w:t xml:space="preserve">Corina et al. (2019) used a lab scale P&amp;A apparatus that tested the sealing ability of a cement plug inside a steel casing with respect to nitrogen gas. The cement plug has a diameter of 5.0 cm and a length of 40 cm and was cured for </w:t>
      </w:r>
      <w:r w:rsidR="00FE36D5">
        <w:t>four</w:t>
      </w:r>
      <w:r>
        <w:t xml:space="preserve"> days at a determined temperature (66 or 120 °C) and at an elevated pressure (2 MPa). A pressure differential is applied through the cement and the resulting flow rate was measured. The authors tested </w:t>
      </w:r>
      <w:r w:rsidR="00FE36D5">
        <w:t xml:space="preserve">Portland </w:t>
      </w:r>
      <w:r>
        <w:t>cement</w:t>
      </w:r>
      <w:r w:rsidR="00FE36D5">
        <w:t xml:space="preserve"> with silica flour</w:t>
      </w:r>
      <w:r w:rsidR="00B51DDC">
        <w:t xml:space="preserve"> at 66 </w:t>
      </w:r>
      <w:r>
        <w:t xml:space="preserve">°C (SF66) and 120 °C (SF120) along with a cement mixture with an expanding agent at </w:t>
      </w:r>
      <w:r w:rsidRPr="00D63FF8">
        <w:t xml:space="preserve">120 °C (SF120EA). Figure 2.14 shows the data from Corina et al. (2019) with the corresponding flow rates given the differential </w:t>
      </w:r>
      <w:r w:rsidR="00FE36D5" w:rsidRPr="00D63FF8">
        <w:t>press</w:t>
      </w:r>
      <w:r w:rsidR="00FE36D5">
        <w:t>ures</w:t>
      </w:r>
      <w:r w:rsidRPr="00D63FF8">
        <w:t xml:space="preserve"> for the three test cases.</w:t>
      </w:r>
      <w:r>
        <w:t xml:space="preserve"> </w:t>
      </w:r>
    </w:p>
    <w:p w14:paraId="196F82D3" w14:textId="77777777" w:rsidR="009650AF" w:rsidRDefault="009650AF" w:rsidP="00BC23AD">
      <w:pPr>
        <w:pStyle w:val="NoSpacing"/>
      </w:pPr>
      <w:r>
        <w:rPr>
          <w:noProof/>
        </w:rPr>
        <w:lastRenderedPageBreak/>
        <w:drawing>
          <wp:inline distT="0" distB="0" distL="0" distR="0" wp14:anchorId="33796A0C" wp14:editId="53E61B4F">
            <wp:extent cx="5486400" cy="3291383"/>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86400" cy="3291383"/>
                    </a:xfrm>
                    <a:prstGeom prst="rect">
                      <a:avLst/>
                    </a:prstGeom>
                    <a:noFill/>
                  </pic:spPr>
                </pic:pic>
              </a:graphicData>
            </a:graphic>
          </wp:inline>
        </w:drawing>
      </w:r>
    </w:p>
    <w:p w14:paraId="65FA9232" w14:textId="3F3B211E" w:rsidR="009650AF" w:rsidRDefault="009650AF" w:rsidP="00BC23AD">
      <w:pPr>
        <w:pStyle w:val="Caption"/>
      </w:pPr>
      <w:bookmarkStart w:id="33" w:name="_Toc67566197"/>
      <w:r>
        <w:t xml:space="preserve">Figure </w:t>
      </w:r>
      <w:r w:rsidR="00077C0B">
        <w:fldChar w:fldCharType="begin"/>
      </w:r>
      <w:r w:rsidR="00077C0B">
        <w:instrText xml:space="preserve"> STYLEREF 1 \s </w:instrText>
      </w:r>
      <w:r w:rsidR="00077C0B">
        <w:fldChar w:fldCharType="separate"/>
      </w:r>
      <w:r w:rsidR="0006023A">
        <w:rPr>
          <w:noProof/>
        </w:rPr>
        <w:t>2</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14</w:t>
      </w:r>
      <w:r w:rsidR="00077C0B">
        <w:rPr>
          <w:noProof/>
        </w:rPr>
        <w:fldChar w:fldCharType="end"/>
      </w:r>
      <w:r>
        <w:t>: Experimental data from Corina et al. (2019) showing the flow rate through the cement plug given the differential pressure (ΔP) with the neat cement at 66 °C (SF66), neat cement at 120 °C (SF120), and neat cement plus expanding agent at 120 °C (SF120EA).</w:t>
      </w:r>
      <w:bookmarkEnd w:id="33"/>
    </w:p>
    <w:p w14:paraId="58C7752F" w14:textId="5E36AE55" w:rsidR="009650AF" w:rsidRDefault="009650AF" w:rsidP="009650AF">
      <w:pPr>
        <w:ind w:firstLine="720"/>
      </w:pPr>
      <w:r>
        <w:t>The results from Corina et al. (2019) show that the neat cement at 120 °C (SF120) has the largest flow rate with the smallest pressure drop followed by the neat cement at 66 °C (SF66). The cement with the expanding agent has the smallest flow rates with the largest pressure drops. This data implies two main points: neat cement has much larger potential leakage pathways than the expanding cement, and elevated temperatures cause larger leakage pathways. Cement shrinkage has been known to be a leading concern in terms of cement sealing ability, and the authors determined that cement shrinkage is occurring in their results. To determine the location of the leakage pathways, the authors places a column of water on the top of the cement after the experiment and noted the location of the air bubbles from the water filling the voids. The authors noted that the air bubbles occurred at the cement/steel interface indicating the location of the voids to be at the interface where cement shrinkage would cause microannuli to form due to the difference in stiffness between the cement and steel.</w:t>
      </w:r>
    </w:p>
    <w:p w14:paraId="76E770ED" w14:textId="4DFF84F2" w:rsidR="009650AF" w:rsidRDefault="009650AF" w:rsidP="009650AF">
      <w:pPr>
        <w:ind w:firstLine="720"/>
      </w:pPr>
      <w:r w:rsidRPr="001902FE">
        <w:lastRenderedPageBreak/>
        <w:t>The inner diameter of the casing is 5 cm (1.97 in.)</w:t>
      </w:r>
      <w:r>
        <w:t xml:space="preserve"> in Corina et al. (2019</w:t>
      </w:r>
      <w:r w:rsidRPr="001902FE">
        <w:t xml:space="preserve">) apparatus whereas the inner diameter of smaller wellbore </w:t>
      </w:r>
      <w:r w:rsidRPr="00D63FF8">
        <w:t>casings are at least three times the size. As determined by Lavrov et al. (2019) simulations discussed in Section 2.3.1, cement experiences</w:t>
      </w:r>
      <w:r w:rsidR="00FE36D5">
        <w:t xml:space="preserve"> a</w:t>
      </w:r>
      <w:r w:rsidRPr="001902FE">
        <w:t xml:space="preserve"> size effect in which cement tends to have less integrity as the size increases</w:t>
      </w:r>
      <w:r w:rsidRPr="00B36FBA">
        <w:t xml:space="preserve"> </w:t>
      </w:r>
      <w:r>
        <w:t>due to the higher likelihood of fractures/failures within the body</w:t>
      </w:r>
      <w:r w:rsidRPr="001902FE">
        <w:t>. Therefore, smaller dimensions could lead to false</w:t>
      </w:r>
      <w:r>
        <w:t>ly</w:t>
      </w:r>
      <w:r w:rsidRPr="001902FE">
        <w:t xml:space="preserve"> </w:t>
      </w:r>
      <w:r>
        <w:t xml:space="preserve">positive </w:t>
      </w:r>
      <w:r w:rsidRPr="001902FE">
        <w:t>results when compared to realistic wellbore dimensions.</w:t>
      </w:r>
      <w:r>
        <w:t xml:space="preserve"> This phenomenon states that. Therefore, realistic dimensions of experiments should occur to ensure proper results.</w:t>
      </w:r>
    </w:p>
    <w:p w14:paraId="27E420AC" w14:textId="4A0A049B" w:rsidR="009650AF" w:rsidRDefault="009650AF" w:rsidP="009650AF">
      <w:pPr>
        <w:ind w:firstLine="720"/>
      </w:pPr>
      <w:r w:rsidRPr="001902FE">
        <w:t xml:space="preserve">Other considerations not accounted for in </w:t>
      </w:r>
      <w:r w:rsidR="00D63FF8">
        <w:t>Corina et al.’s (2019)</w:t>
      </w:r>
      <w:r w:rsidRPr="001902FE">
        <w:t xml:space="preserve"> series of experiments was that the curing period of the cement was short (4 days) whereas</w:t>
      </w:r>
      <w:r w:rsidR="00B51DDC">
        <w:t xml:space="preserve"> Bensted and Barnes (2002), Saint-Marc et al. (2008), and</w:t>
      </w:r>
      <w:r w:rsidRPr="001902FE">
        <w:t xml:space="preserve"> </w:t>
      </w:r>
      <w:r w:rsidR="00B51DDC">
        <w:t xml:space="preserve">Bois et al. (2012) </w:t>
      </w:r>
      <w:r>
        <w:t>have</w:t>
      </w:r>
      <w:r w:rsidRPr="001902FE">
        <w:t xml:space="preserve"> shown that cement properties continuously change throughout cement hydration, which can last up </w:t>
      </w:r>
      <w:r w:rsidRPr="00B332F3">
        <w:t>to or past 28 days</w:t>
      </w:r>
      <w:r>
        <w:t xml:space="preserve"> depending on the environment</w:t>
      </w:r>
      <w:r w:rsidRPr="001902FE">
        <w:t xml:space="preserve">. Given the physical set up of the experiment, access to free water was not available, but it would be valuable to understand the sealing ability of wellbore cement when free water is </w:t>
      </w:r>
      <w:r>
        <w:t>accessible since Zhang et al. (2019)</w:t>
      </w:r>
      <w:r w:rsidRPr="001902FE">
        <w:t xml:space="preserve"> has shown that cement properties change depending on free water access.</w:t>
      </w:r>
    </w:p>
    <w:p w14:paraId="75C6219A" w14:textId="4A91D975" w:rsidR="009650AF" w:rsidRDefault="009650AF" w:rsidP="009650AF">
      <w:pPr>
        <w:ind w:firstLine="720"/>
      </w:pPr>
      <w:r w:rsidRPr="006F1210">
        <w:t>Aas et al. (2016) performed</w:t>
      </w:r>
      <w:r>
        <w:t xml:space="preserve"> similar experiments to those done by Corina et al. (2019) except larger scale (36 m and 12 m length versus approximately 0.5 m length) with actual casing (24.4 cm) and tubing (17.8 cm) sizes with conventional and expandable cement</w:t>
      </w:r>
      <w:r w:rsidRPr="006F1210">
        <w:t xml:space="preserve"> in concentric and eccentric cemented casings.</w:t>
      </w:r>
      <w:r>
        <w:t xml:space="preserve"> Another difference is the authors used water as the injected fluid whereas Corina et al. (2019) used compressed nitrogen gas.</w:t>
      </w:r>
      <w:r w:rsidRPr="006F1210">
        <w:t xml:space="preserve"> </w:t>
      </w:r>
      <w:r>
        <w:t>These experiments were used to determine the sealing ability of cemented tubing in place</w:t>
      </w:r>
      <w:r w:rsidR="00B65E10">
        <w:t xml:space="preserve"> </w:t>
      </w:r>
      <w:r w:rsidR="00D63FF8">
        <w:t>by</w:t>
      </w:r>
      <w:r w:rsidR="00D63FF8" w:rsidRPr="006A1938">
        <w:t xml:space="preserve"> investiga</w:t>
      </w:r>
      <w:r w:rsidR="00D63FF8">
        <w:t>ting</w:t>
      </w:r>
      <w:r w:rsidRPr="006A1938">
        <w:t xml:space="preserve"> the likelihood and severity of leakage for plugged and abandoned wells. The fluid flow was measured at different pressures</w:t>
      </w:r>
      <w:r w:rsidR="00933DBB">
        <w:t>,</w:t>
      </w:r>
      <w:r w:rsidRPr="006A1938">
        <w:t xml:space="preserve"> and the authors developed the concept of an “equivalent microannuli”. The equivalent </w:t>
      </w:r>
      <w:r w:rsidRPr="006A1938">
        <w:lastRenderedPageBreak/>
        <w:t>microannuli correlates the pressure drops and flow rates into an idealized uniform geometric gap between the cement and casing</w:t>
      </w:r>
      <w:r>
        <w:t xml:space="preserve">. </w:t>
      </w:r>
      <w:r w:rsidRPr="006A1938">
        <w:t xml:space="preserve">Below is a summary of their experiments. </w:t>
      </w:r>
    </w:p>
    <w:p w14:paraId="4D03F6D9" w14:textId="3F9BAA2D" w:rsidR="009650AF" w:rsidRDefault="009650AF" w:rsidP="009650AF">
      <w:pPr>
        <w:ind w:firstLine="720"/>
      </w:pPr>
      <w:r w:rsidRPr="006A1938">
        <w:t xml:space="preserve">Two different horizontal assemblies consisted of 9 5/8” (244.48 mm) casing with a 7” (177.8 mm) tubular inside it. The assemblies were cemented using conventional methods replicating the pumping of the cement inside the tubing and into the annular space between the two tubular strings. </w:t>
      </w:r>
      <w:r w:rsidRPr="00D63FF8">
        <w:t>Two lengths of assemblies were used as summarized in Table 2.2. Figure 2.15 shows a cut-away of one of the assemblies after testing showing the two casing strings with complete cement displacement</w:t>
      </w:r>
      <w:r w:rsidRPr="006A1938">
        <w:t xml:space="preserve">. Note that in the experiments were not performed with centralizers and therefore the inner 7” tubing has an offset </w:t>
      </w:r>
      <w:r>
        <w:t>of 11.15 mm resulting in tubing eccentricity</w:t>
      </w:r>
      <w:r w:rsidRPr="006A1938">
        <w:t xml:space="preserve">. </w:t>
      </w:r>
    </w:p>
    <w:p w14:paraId="2C21BDDF" w14:textId="21312F10" w:rsidR="009650AF" w:rsidRDefault="009650AF" w:rsidP="00BC23AD">
      <w:pPr>
        <w:pStyle w:val="Caption"/>
      </w:pPr>
      <w:bookmarkStart w:id="34" w:name="_Toc67566086"/>
      <w:r>
        <w:t xml:space="preserve">Table </w:t>
      </w:r>
      <w:r w:rsidR="00077C0B">
        <w:fldChar w:fldCharType="begin"/>
      </w:r>
      <w:r w:rsidR="00077C0B">
        <w:instrText xml:space="preserve"> STYLEREF 1 \s </w:instrText>
      </w:r>
      <w:r w:rsidR="00077C0B">
        <w:fldChar w:fldCharType="separate"/>
      </w:r>
      <w:r w:rsidR="0006023A">
        <w:rPr>
          <w:noProof/>
        </w:rPr>
        <w:t>2</w:t>
      </w:r>
      <w:r w:rsidR="00077C0B">
        <w:rPr>
          <w:noProof/>
        </w:rPr>
        <w:fldChar w:fldCharType="end"/>
      </w:r>
      <w:r w:rsidR="00DD1F74">
        <w:t>.</w:t>
      </w:r>
      <w:r w:rsidR="00077C0B">
        <w:fldChar w:fldCharType="begin"/>
      </w:r>
      <w:r w:rsidR="00077C0B">
        <w:instrText xml:space="preserve"> SEQ Table \* ARABIC \s 1 </w:instrText>
      </w:r>
      <w:r w:rsidR="00077C0B">
        <w:fldChar w:fldCharType="separate"/>
      </w:r>
      <w:r w:rsidR="0006023A">
        <w:rPr>
          <w:noProof/>
        </w:rPr>
        <w:t>2</w:t>
      </w:r>
      <w:r w:rsidR="00077C0B">
        <w:rPr>
          <w:noProof/>
        </w:rPr>
        <w:fldChar w:fldCharType="end"/>
      </w:r>
      <w:r>
        <w:t>: Summary of the Aas et al. (2016) experiments used for the FEA model verification.</w:t>
      </w:r>
      <w:bookmarkEnd w:id="34"/>
    </w:p>
    <w:tbl>
      <w:tblPr>
        <w:tblW w:w="8880" w:type="dxa"/>
        <w:jc w:val="center"/>
        <w:tblLook w:val="04A0" w:firstRow="1" w:lastRow="0" w:firstColumn="1" w:lastColumn="0" w:noHBand="0" w:noVBand="1"/>
      </w:tblPr>
      <w:tblGrid>
        <w:gridCol w:w="1176"/>
        <w:gridCol w:w="1575"/>
        <w:gridCol w:w="1797"/>
        <w:gridCol w:w="1510"/>
        <w:gridCol w:w="1380"/>
        <w:gridCol w:w="1442"/>
      </w:tblGrid>
      <w:tr w:rsidR="009650AF" w:rsidRPr="006A1938" w14:paraId="74E88A5B" w14:textId="77777777" w:rsidTr="009650AF">
        <w:trPr>
          <w:cantSplit/>
          <w:trHeight w:val="211"/>
          <w:jc w:val="center"/>
        </w:trPr>
        <w:tc>
          <w:tcPr>
            <w:tcW w:w="1176" w:type="dxa"/>
            <w:tcBorders>
              <w:bottom w:val="single" w:sz="8" w:space="0" w:color="auto"/>
              <w:right w:val="nil"/>
            </w:tcBorders>
            <w:shd w:val="clear" w:color="auto" w:fill="auto"/>
            <w:vAlign w:val="center"/>
            <w:hideMark/>
          </w:tcPr>
          <w:p w14:paraId="257DE217" w14:textId="77777777" w:rsidR="009650AF" w:rsidRPr="006A1938" w:rsidRDefault="009650AF" w:rsidP="009650AF">
            <w:pPr>
              <w:spacing w:line="240" w:lineRule="auto"/>
              <w:jc w:val="center"/>
              <w:rPr>
                <w:bCs/>
                <w:color w:val="000000"/>
              </w:rPr>
            </w:pPr>
            <w:r w:rsidRPr="006A1938">
              <w:rPr>
                <w:bCs/>
                <w:color w:val="000000"/>
              </w:rPr>
              <w:t>Assembly</w:t>
            </w:r>
          </w:p>
        </w:tc>
        <w:tc>
          <w:tcPr>
            <w:tcW w:w="1575" w:type="dxa"/>
            <w:tcBorders>
              <w:left w:val="nil"/>
              <w:bottom w:val="single" w:sz="8" w:space="0" w:color="auto"/>
              <w:right w:val="nil"/>
            </w:tcBorders>
            <w:shd w:val="clear" w:color="auto" w:fill="auto"/>
            <w:vAlign w:val="center"/>
            <w:hideMark/>
          </w:tcPr>
          <w:p w14:paraId="69574A2B" w14:textId="77777777" w:rsidR="009650AF" w:rsidRPr="006A1938" w:rsidRDefault="009650AF" w:rsidP="009650AF">
            <w:pPr>
              <w:spacing w:line="240" w:lineRule="auto"/>
              <w:jc w:val="center"/>
              <w:rPr>
                <w:bCs/>
                <w:color w:val="000000"/>
              </w:rPr>
            </w:pPr>
            <w:r w:rsidRPr="006A1938">
              <w:rPr>
                <w:bCs/>
                <w:color w:val="000000"/>
              </w:rPr>
              <w:t>Cement Type</w:t>
            </w:r>
          </w:p>
        </w:tc>
        <w:tc>
          <w:tcPr>
            <w:tcW w:w="1797" w:type="dxa"/>
            <w:tcBorders>
              <w:left w:val="nil"/>
              <w:bottom w:val="single" w:sz="8" w:space="0" w:color="auto"/>
              <w:right w:val="nil"/>
            </w:tcBorders>
            <w:shd w:val="clear" w:color="auto" w:fill="auto"/>
            <w:vAlign w:val="center"/>
            <w:hideMark/>
          </w:tcPr>
          <w:p w14:paraId="54C54E34" w14:textId="77777777" w:rsidR="009650AF" w:rsidRPr="006A1938" w:rsidRDefault="009650AF" w:rsidP="009650AF">
            <w:pPr>
              <w:spacing w:line="240" w:lineRule="auto"/>
              <w:jc w:val="center"/>
              <w:rPr>
                <w:bCs/>
                <w:color w:val="000000"/>
              </w:rPr>
            </w:pPr>
            <w:r w:rsidRPr="006A1938">
              <w:rPr>
                <w:bCs/>
                <w:color w:val="000000"/>
              </w:rPr>
              <w:t>Assembly Length</w:t>
            </w:r>
          </w:p>
        </w:tc>
        <w:tc>
          <w:tcPr>
            <w:tcW w:w="1510" w:type="dxa"/>
            <w:tcBorders>
              <w:left w:val="nil"/>
              <w:bottom w:val="single" w:sz="8" w:space="0" w:color="auto"/>
              <w:right w:val="nil"/>
            </w:tcBorders>
          </w:tcPr>
          <w:p w14:paraId="30560106" w14:textId="77777777" w:rsidR="009650AF" w:rsidRPr="006A1938" w:rsidRDefault="009650AF" w:rsidP="009650AF">
            <w:pPr>
              <w:spacing w:line="240" w:lineRule="auto"/>
              <w:jc w:val="center"/>
              <w:rPr>
                <w:bCs/>
                <w:color w:val="000000"/>
              </w:rPr>
            </w:pPr>
            <w:r w:rsidRPr="006A1938">
              <w:rPr>
                <w:bCs/>
                <w:color w:val="000000"/>
              </w:rPr>
              <w:t>Flow Length</w:t>
            </w:r>
          </w:p>
        </w:tc>
        <w:tc>
          <w:tcPr>
            <w:tcW w:w="1380" w:type="dxa"/>
            <w:tcBorders>
              <w:left w:val="nil"/>
              <w:bottom w:val="single" w:sz="8" w:space="0" w:color="auto"/>
            </w:tcBorders>
            <w:shd w:val="clear" w:color="auto" w:fill="auto"/>
            <w:vAlign w:val="center"/>
            <w:hideMark/>
          </w:tcPr>
          <w:p w14:paraId="6E721EBD" w14:textId="77777777" w:rsidR="009650AF" w:rsidRPr="006A1938" w:rsidRDefault="009650AF" w:rsidP="009650AF">
            <w:pPr>
              <w:spacing w:line="240" w:lineRule="auto"/>
              <w:jc w:val="center"/>
              <w:rPr>
                <w:bCs/>
                <w:color w:val="000000"/>
              </w:rPr>
            </w:pPr>
            <w:r w:rsidRPr="006A1938">
              <w:rPr>
                <w:bCs/>
                <w:color w:val="000000"/>
              </w:rPr>
              <w:t>Curing Time</w:t>
            </w:r>
          </w:p>
        </w:tc>
        <w:tc>
          <w:tcPr>
            <w:tcW w:w="1442" w:type="dxa"/>
            <w:tcBorders>
              <w:bottom w:val="single" w:sz="8" w:space="0" w:color="auto"/>
            </w:tcBorders>
            <w:shd w:val="clear" w:color="auto" w:fill="auto"/>
            <w:vAlign w:val="center"/>
            <w:hideMark/>
          </w:tcPr>
          <w:p w14:paraId="2B123784" w14:textId="77777777" w:rsidR="009650AF" w:rsidRPr="006A1938" w:rsidRDefault="009650AF" w:rsidP="009650AF">
            <w:pPr>
              <w:spacing w:line="240" w:lineRule="auto"/>
              <w:jc w:val="center"/>
              <w:rPr>
                <w:bCs/>
                <w:color w:val="000000"/>
              </w:rPr>
            </w:pPr>
            <w:r w:rsidRPr="006A1938">
              <w:rPr>
                <w:bCs/>
                <w:color w:val="000000"/>
              </w:rPr>
              <w:t>Temperature</w:t>
            </w:r>
          </w:p>
        </w:tc>
      </w:tr>
      <w:tr w:rsidR="009650AF" w:rsidRPr="006A1938" w14:paraId="6F1DEDDD" w14:textId="77777777" w:rsidTr="009650AF">
        <w:trPr>
          <w:cantSplit/>
          <w:trHeight w:val="211"/>
          <w:jc w:val="center"/>
        </w:trPr>
        <w:tc>
          <w:tcPr>
            <w:tcW w:w="1176" w:type="dxa"/>
            <w:tcBorders>
              <w:top w:val="nil"/>
              <w:bottom w:val="nil"/>
              <w:right w:val="nil"/>
            </w:tcBorders>
            <w:shd w:val="clear" w:color="auto" w:fill="auto"/>
            <w:vAlign w:val="center"/>
            <w:hideMark/>
          </w:tcPr>
          <w:p w14:paraId="1810C93C" w14:textId="77777777" w:rsidR="009650AF" w:rsidRPr="006A1938" w:rsidRDefault="009650AF" w:rsidP="009650AF">
            <w:pPr>
              <w:spacing w:line="240" w:lineRule="auto"/>
              <w:jc w:val="center"/>
              <w:rPr>
                <w:color w:val="000000"/>
              </w:rPr>
            </w:pPr>
            <w:r w:rsidRPr="006A1938">
              <w:rPr>
                <w:color w:val="000000"/>
              </w:rPr>
              <w:t>A</w:t>
            </w:r>
          </w:p>
        </w:tc>
        <w:tc>
          <w:tcPr>
            <w:tcW w:w="1575" w:type="dxa"/>
            <w:tcBorders>
              <w:top w:val="nil"/>
              <w:left w:val="nil"/>
              <w:bottom w:val="nil"/>
              <w:right w:val="nil"/>
            </w:tcBorders>
            <w:shd w:val="clear" w:color="auto" w:fill="auto"/>
            <w:vAlign w:val="center"/>
            <w:hideMark/>
          </w:tcPr>
          <w:p w14:paraId="5704C628" w14:textId="77777777" w:rsidR="009650AF" w:rsidRPr="006A1938" w:rsidRDefault="009650AF" w:rsidP="009650AF">
            <w:pPr>
              <w:spacing w:line="240" w:lineRule="auto"/>
              <w:jc w:val="center"/>
              <w:rPr>
                <w:color w:val="000000"/>
              </w:rPr>
            </w:pPr>
            <w:r w:rsidRPr="006A1938">
              <w:rPr>
                <w:color w:val="000000"/>
              </w:rPr>
              <w:t>Conventional</w:t>
            </w:r>
          </w:p>
        </w:tc>
        <w:tc>
          <w:tcPr>
            <w:tcW w:w="1797" w:type="dxa"/>
            <w:tcBorders>
              <w:top w:val="nil"/>
              <w:left w:val="nil"/>
              <w:bottom w:val="nil"/>
              <w:right w:val="nil"/>
            </w:tcBorders>
            <w:shd w:val="clear" w:color="auto" w:fill="auto"/>
            <w:vAlign w:val="center"/>
            <w:hideMark/>
          </w:tcPr>
          <w:p w14:paraId="6D32D1AF" w14:textId="77777777" w:rsidR="009650AF" w:rsidRPr="006A1938" w:rsidRDefault="009650AF" w:rsidP="009650AF">
            <w:pPr>
              <w:spacing w:line="240" w:lineRule="auto"/>
              <w:jc w:val="center"/>
              <w:rPr>
                <w:color w:val="000000"/>
              </w:rPr>
            </w:pPr>
            <w:r w:rsidRPr="006A1938">
              <w:rPr>
                <w:color w:val="000000"/>
              </w:rPr>
              <w:t>36 m</w:t>
            </w:r>
          </w:p>
        </w:tc>
        <w:tc>
          <w:tcPr>
            <w:tcW w:w="1510" w:type="dxa"/>
            <w:tcBorders>
              <w:top w:val="nil"/>
              <w:left w:val="nil"/>
              <w:bottom w:val="nil"/>
              <w:right w:val="nil"/>
            </w:tcBorders>
          </w:tcPr>
          <w:p w14:paraId="51A308A8" w14:textId="77777777" w:rsidR="009650AF" w:rsidRPr="006A1938" w:rsidRDefault="009650AF" w:rsidP="009650AF">
            <w:pPr>
              <w:spacing w:line="240" w:lineRule="auto"/>
              <w:jc w:val="center"/>
              <w:rPr>
                <w:color w:val="000000"/>
              </w:rPr>
            </w:pPr>
            <w:r w:rsidRPr="006A1938">
              <w:rPr>
                <w:color w:val="000000"/>
              </w:rPr>
              <w:t>18 m</w:t>
            </w:r>
          </w:p>
        </w:tc>
        <w:tc>
          <w:tcPr>
            <w:tcW w:w="1380" w:type="dxa"/>
            <w:tcBorders>
              <w:top w:val="nil"/>
              <w:left w:val="nil"/>
              <w:bottom w:val="nil"/>
            </w:tcBorders>
            <w:shd w:val="clear" w:color="auto" w:fill="auto"/>
            <w:vAlign w:val="center"/>
            <w:hideMark/>
          </w:tcPr>
          <w:p w14:paraId="768FE607" w14:textId="77777777" w:rsidR="009650AF" w:rsidRPr="006A1938" w:rsidRDefault="009650AF" w:rsidP="009650AF">
            <w:pPr>
              <w:spacing w:line="240" w:lineRule="auto"/>
              <w:jc w:val="center"/>
              <w:rPr>
                <w:color w:val="000000"/>
              </w:rPr>
            </w:pPr>
            <w:r w:rsidRPr="006A1938">
              <w:rPr>
                <w:color w:val="000000"/>
              </w:rPr>
              <w:t>1 week</w:t>
            </w:r>
          </w:p>
        </w:tc>
        <w:tc>
          <w:tcPr>
            <w:tcW w:w="1442" w:type="dxa"/>
            <w:tcBorders>
              <w:top w:val="nil"/>
              <w:bottom w:val="nil"/>
            </w:tcBorders>
            <w:shd w:val="clear" w:color="auto" w:fill="auto"/>
            <w:vAlign w:val="center"/>
            <w:hideMark/>
          </w:tcPr>
          <w:p w14:paraId="097881F3" w14:textId="77777777" w:rsidR="009650AF" w:rsidRPr="006A1938" w:rsidRDefault="009650AF" w:rsidP="009650AF">
            <w:pPr>
              <w:spacing w:line="240" w:lineRule="auto"/>
              <w:jc w:val="center"/>
              <w:rPr>
                <w:color w:val="000000"/>
              </w:rPr>
            </w:pPr>
            <w:r w:rsidRPr="006A1938">
              <w:rPr>
                <w:color w:val="000000"/>
              </w:rPr>
              <w:t>Ambient</w:t>
            </w:r>
          </w:p>
        </w:tc>
      </w:tr>
      <w:tr w:rsidR="009650AF" w:rsidRPr="006A1938" w14:paraId="186AAF93" w14:textId="77777777" w:rsidTr="009650AF">
        <w:trPr>
          <w:cantSplit/>
          <w:trHeight w:val="211"/>
          <w:jc w:val="center"/>
        </w:trPr>
        <w:tc>
          <w:tcPr>
            <w:tcW w:w="1176" w:type="dxa"/>
            <w:tcBorders>
              <w:top w:val="nil"/>
              <w:right w:val="nil"/>
            </w:tcBorders>
            <w:shd w:val="clear" w:color="auto" w:fill="auto"/>
            <w:vAlign w:val="center"/>
            <w:hideMark/>
          </w:tcPr>
          <w:p w14:paraId="6A3B2607" w14:textId="77777777" w:rsidR="009650AF" w:rsidRPr="006A1938" w:rsidRDefault="009650AF" w:rsidP="009650AF">
            <w:pPr>
              <w:spacing w:line="240" w:lineRule="auto"/>
              <w:jc w:val="center"/>
              <w:rPr>
                <w:color w:val="000000"/>
              </w:rPr>
            </w:pPr>
            <w:r w:rsidRPr="006A1938">
              <w:rPr>
                <w:color w:val="000000"/>
              </w:rPr>
              <w:t>C</w:t>
            </w:r>
          </w:p>
        </w:tc>
        <w:tc>
          <w:tcPr>
            <w:tcW w:w="1575" w:type="dxa"/>
            <w:tcBorders>
              <w:top w:val="nil"/>
              <w:left w:val="nil"/>
              <w:right w:val="nil"/>
            </w:tcBorders>
            <w:shd w:val="clear" w:color="auto" w:fill="auto"/>
            <w:vAlign w:val="center"/>
            <w:hideMark/>
          </w:tcPr>
          <w:p w14:paraId="7A2EC65D" w14:textId="77777777" w:rsidR="009650AF" w:rsidRPr="006A1938" w:rsidRDefault="009650AF" w:rsidP="009650AF">
            <w:pPr>
              <w:spacing w:line="240" w:lineRule="auto"/>
              <w:jc w:val="center"/>
              <w:rPr>
                <w:color w:val="000000"/>
              </w:rPr>
            </w:pPr>
            <w:r w:rsidRPr="006A1938">
              <w:rPr>
                <w:color w:val="000000"/>
              </w:rPr>
              <w:t>Expandable</w:t>
            </w:r>
          </w:p>
        </w:tc>
        <w:tc>
          <w:tcPr>
            <w:tcW w:w="1797" w:type="dxa"/>
            <w:tcBorders>
              <w:top w:val="nil"/>
              <w:left w:val="nil"/>
              <w:right w:val="nil"/>
            </w:tcBorders>
            <w:shd w:val="clear" w:color="auto" w:fill="auto"/>
            <w:vAlign w:val="center"/>
            <w:hideMark/>
          </w:tcPr>
          <w:p w14:paraId="6F7CC63C" w14:textId="77777777" w:rsidR="009650AF" w:rsidRPr="006A1938" w:rsidRDefault="009650AF" w:rsidP="009650AF">
            <w:pPr>
              <w:spacing w:line="240" w:lineRule="auto"/>
              <w:jc w:val="center"/>
              <w:rPr>
                <w:color w:val="000000"/>
              </w:rPr>
            </w:pPr>
            <w:r w:rsidRPr="006A1938">
              <w:rPr>
                <w:color w:val="000000"/>
              </w:rPr>
              <w:t>12 m</w:t>
            </w:r>
          </w:p>
        </w:tc>
        <w:tc>
          <w:tcPr>
            <w:tcW w:w="1510" w:type="dxa"/>
            <w:tcBorders>
              <w:top w:val="nil"/>
              <w:left w:val="nil"/>
              <w:right w:val="nil"/>
            </w:tcBorders>
          </w:tcPr>
          <w:p w14:paraId="20CDCDBB" w14:textId="77777777" w:rsidR="009650AF" w:rsidRPr="006A1938" w:rsidRDefault="009650AF" w:rsidP="009650AF">
            <w:pPr>
              <w:spacing w:line="240" w:lineRule="auto"/>
              <w:jc w:val="center"/>
              <w:rPr>
                <w:color w:val="000000"/>
              </w:rPr>
            </w:pPr>
            <w:r w:rsidRPr="006A1938">
              <w:rPr>
                <w:color w:val="000000"/>
              </w:rPr>
              <w:t>6 m</w:t>
            </w:r>
          </w:p>
        </w:tc>
        <w:tc>
          <w:tcPr>
            <w:tcW w:w="1380" w:type="dxa"/>
            <w:tcBorders>
              <w:top w:val="nil"/>
              <w:left w:val="nil"/>
            </w:tcBorders>
            <w:shd w:val="clear" w:color="auto" w:fill="auto"/>
            <w:vAlign w:val="center"/>
            <w:hideMark/>
          </w:tcPr>
          <w:p w14:paraId="125A41FF" w14:textId="77777777" w:rsidR="009650AF" w:rsidRPr="006A1938" w:rsidRDefault="009650AF" w:rsidP="009650AF">
            <w:pPr>
              <w:spacing w:line="240" w:lineRule="auto"/>
              <w:jc w:val="center"/>
              <w:rPr>
                <w:color w:val="000000"/>
              </w:rPr>
            </w:pPr>
            <w:r w:rsidRPr="006A1938">
              <w:rPr>
                <w:color w:val="000000"/>
              </w:rPr>
              <w:t>3 weeks</w:t>
            </w:r>
          </w:p>
        </w:tc>
        <w:tc>
          <w:tcPr>
            <w:tcW w:w="1442" w:type="dxa"/>
            <w:tcBorders>
              <w:top w:val="nil"/>
            </w:tcBorders>
            <w:shd w:val="clear" w:color="auto" w:fill="auto"/>
            <w:vAlign w:val="center"/>
            <w:hideMark/>
          </w:tcPr>
          <w:p w14:paraId="2BA29CEB" w14:textId="77777777" w:rsidR="009650AF" w:rsidRPr="006A1938" w:rsidRDefault="009650AF" w:rsidP="009650AF">
            <w:pPr>
              <w:spacing w:line="240" w:lineRule="auto"/>
              <w:jc w:val="center"/>
              <w:rPr>
                <w:color w:val="000000"/>
              </w:rPr>
            </w:pPr>
            <w:r w:rsidRPr="006A1938">
              <w:rPr>
                <w:color w:val="000000"/>
              </w:rPr>
              <w:t>95°C</w:t>
            </w:r>
          </w:p>
        </w:tc>
      </w:tr>
    </w:tbl>
    <w:p w14:paraId="575618C0" w14:textId="77777777" w:rsidR="009650AF" w:rsidRDefault="009650AF" w:rsidP="00BC23AD">
      <w:pPr>
        <w:pStyle w:val="NoSpacing"/>
      </w:pPr>
      <w:r w:rsidRPr="00375CB2">
        <w:rPr>
          <w:noProof/>
        </w:rPr>
        <w:drawing>
          <wp:inline distT="0" distB="0" distL="0" distR="0" wp14:anchorId="3DB29472" wp14:editId="06F59EBA">
            <wp:extent cx="3200400" cy="3018857"/>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200400" cy="3018857"/>
                    </a:xfrm>
                    <a:prstGeom prst="rect">
                      <a:avLst/>
                    </a:prstGeom>
                  </pic:spPr>
                </pic:pic>
              </a:graphicData>
            </a:graphic>
          </wp:inline>
        </w:drawing>
      </w:r>
    </w:p>
    <w:p w14:paraId="1D0064A1" w14:textId="09F1F3A5" w:rsidR="009650AF" w:rsidRDefault="009650AF" w:rsidP="00BC23AD">
      <w:pPr>
        <w:pStyle w:val="Caption"/>
      </w:pPr>
      <w:bookmarkStart w:id="35" w:name="_Toc67566198"/>
      <w:r>
        <w:t xml:space="preserve">Figure </w:t>
      </w:r>
      <w:r w:rsidR="00077C0B">
        <w:fldChar w:fldCharType="begin"/>
      </w:r>
      <w:r w:rsidR="00077C0B">
        <w:instrText xml:space="preserve"> STYLEREF 1 \s </w:instrText>
      </w:r>
      <w:r w:rsidR="00077C0B">
        <w:fldChar w:fldCharType="separate"/>
      </w:r>
      <w:r w:rsidR="0006023A">
        <w:rPr>
          <w:noProof/>
        </w:rPr>
        <w:t>2</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15</w:t>
      </w:r>
      <w:r w:rsidR="00077C0B">
        <w:rPr>
          <w:noProof/>
        </w:rPr>
        <w:fldChar w:fldCharType="end"/>
      </w:r>
      <w:r>
        <w:t>: Cut test assembly showing complete cement displacement between the casing and tubing. Figure modified from Aas et al. (2016).</w:t>
      </w:r>
      <w:bookmarkEnd w:id="35"/>
    </w:p>
    <w:p w14:paraId="33213707" w14:textId="77777777" w:rsidR="009650AF" w:rsidRDefault="009650AF" w:rsidP="009650AF">
      <w:pPr>
        <w:ind w:firstLine="720"/>
      </w:pPr>
      <w:r w:rsidRPr="006A1938">
        <w:t xml:space="preserve">For conventional assemblies A and B, the distance between the pressure inlet and outlet was 18 m and performed under ambient temperature conditions. For the expandable cement, the </w:t>
      </w:r>
      <w:r w:rsidRPr="006A1938">
        <w:lastRenderedPageBreak/>
        <w:t>distance of the pressure ports was 6 m and performed at an elevated temperature (95°C). The temperature of the experiments was under steady state conditions.</w:t>
      </w:r>
      <w:r>
        <w:t xml:space="preserve"> Aas et al. (2016)</w:t>
      </w:r>
      <w:r w:rsidRPr="006F1210">
        <w:t xml:space="preserve"> measured</w:t>
      </w:r>
      <w:r>
        <w:t xml:space="preserve"> the fluid flow</w:t>
      </w:r>
      <w:r w:rsidRPr="006F1210">
        <w:t xml:space="preserve"> at different pressures and developed the concept of an “equivalent microannuli”. The equivalent microannuli correlates the pressure drops and flow rates into an idealized geometric gap between the </w:t>
      </w:r>
      <w:r w:rsidRPr="00D63FF8">
        <w:t>cement and casing. The equivalent microannuli is equal to the annular Hagen-Poiseulle equation shown in Section 2.5. In other words, the equivalent microannuli correspond to that of a uniform gap given the flow rates and pressure drops. The results from their experiments (assembly A and C) are shown in Table 2.3</w:t>
      </w:r>
      <w:r>
        <w:t>.</w:t>
      </w:r>
    </w:p>
    <w:p w14:paraId="588BF42E" w14:textId="19CE2ED6" w:rsidR="009650AF" w:rsidRDefault="009650AF" w:rsidP="00BC23AD">
      <w:pPr>
        <w:pStyle w:val="Caption"/>
      </w:pPr>
      <w:bookmarkStart w:id="36" w:name="_Toc67566087"/>
      <w:r>
        <w:t xml:space="preserve">Table </w:t>
      </w:r>
      <w:r w:rsidR="00077C0B">
        <w:fldChar w:fldCharType="begin"/>
      </w:r>
      <w:r w:rsidR="00077C0B">
        <w:instrText xml:space="preserve"> STYLEREF 1 \s </w:instrText>
      </w:r>
      <w:r w:rsidR="00077C0B">
        <w:fldChar w:fldCharType="separate"/>
      </w:r>
      <w:r w:rsidR="0006023A">
        <w:rPr>
          <w:noProof/>
        </w:rPr>
        <w:t>2</w:t>
      </w:r>
      <w:r w:rsidR="00077C0B">
        <w:rPr>
          <w:noProof/>
        </w:rPr>
        <w:fldChar w:fldCharType="end"/>
      </w:r>
      <w:r w:rsidR="00DD1F74">
        <w:t>.</w:t>
      </w:r>
      <w:r w:rsidR="00077C0B">
        <w:fldChar w:fldCharType="begin"/>
      </w:r>
      <w:r w:rsidR="00077C0B">
        <w:instrText xml:space="preserve"> SEQ Table \* ARABIC \s 1 </w:instrText>
      </w:r>
      <w:r w:rsidR="00077C0B">
        <w:fldChar w:fldCharType="separate"/>
      </w:r>
      <w:r w:rsidR="0006023A">
        <w:rPr>
          <w:noProof/>
        </w:rPr>
        <w:t>3</w:t>
      </w:r>
      <w:r w:rsidR="00077C0B">
        <w:rPr>
          <w:noProof/>
        </w:rPr>
        <w:fldChar w:fldCharType="end"/>
      </w:r>
      <w:r>
        <w:t>: Experimentally measured pressure drops and equivalent microannuli gaps for both expanding and conventional cement in Aas et al. (2016) experiments.</w:t>
      </w:r>
      <w:bookmarkEnd w:id="36"/>
    </w:p>
    <w:tbl>
      <w:tblPr>
        <w:tblW w:w="6081" w:type="dxa"/>
        <w:jc w:val="center"/>
        <w:tblLook w:val="04A0" w:firstRow="1" w:lastRow="0" w:firstColumn="1" w:lastColumn="0" w:noHBand="0" w:noVBand="1"/>
      </w:tblPr>
      <w:tblGrid>
        <w:gridCol w:w="504"/>
        <w:gridCol w:w="975"/>
        <w:gridCol w:w="983"/>
        <w:gridCol w:w="1072"/>
        <w:gridCol w:w="1243"/>
        <w:gridCol w:w="741"/>
        <w:gridCol w:w="563"/>
      </w:tblGrid>
      <w:tr w:rsidR="009650AF" w:rsidRPr="007D1DA0" w14:paraId="61250674" w14:textId="77777777" w:rsidTr="009650AF">
        <w:trPr>
          <w:cantSplit/>
          <w:trHeight w:val="20"/>
          <w:jc w:val="center"/>
        </w:trPr>
        <w:tc>
          <w:tcPr>
            <w:tcW w:w="504" w:type="dxa"/>
            <w:shd w:val="clear" w:color="auto" w:fill="auto"/>
            <w:noWrap/>
            <w:vAlign w:val="center"/>
            <w:hideMark/>
          </w:tcPr>
          <w:p w14:paraId="0C236986" w14:textId="77777777" w:rsidR="009650AF" w:rsidRPr="007D1DA0" w:rsidRDefault="009650AF" w:rsidP="009650AF">
            <w:pPr>
              <w:spacing w:line="240" w:lineRule="auto"/>
              <w:jc w:val="center"/>
              <w:rPr>
                <w:rFonts w:cs="Times New Roman"/>
                <w:sz w:val="22"/>
              </w:rPr>
            </w:pPr>
          </w:p>
        </w:tc>
        <w:tc>
          <w:tcPr>
            <w:tcW w:w="975" w:type="dxa"/>
            <w:vMerge w:val="restart"/>
            <w:vAlign w:val="center"/>
          </w:tcPr>
          <w:p w14:paraId="4593E0DE"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Length</w:t>
            </w:r>
          </w:p>
        </w:tc>
        <w:tc>
          <w:tcPr>
            <w:tcW w:w="983" w:type="dxa"/>
            <w:vMerge w:val="restart"/>
            <w:shd w:val="clear" w:color="auto" w:fill="auto"/>
            <w:vAlign w:val="center"/>
            <w:hideMark/>
          </w:tcPr>
          <w:p w14:paraId="55267E69"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Initial Pressure</w:t>
            </w:r>
          </w:p>
        </w:tc>
        <w:tc>
          <w:tcPr>
            <w:tcW w:w="1072" w:type="dxa"/>
            <w:vMerge w:val="restart"/>
            <w:shd w:val="clear" w:color="auto" w:fill="auto"/>
            <w:vAlign w:val="center"/>
            <w:hideMark/>
          </w:tcPr>
          <w:p w14:paraId="40CC7336"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Flow Rate</w:t>
            </w:r>
          </w:p>
        </w:tc>
        <w:tc>
          <w:tcPr>
            <w:tcW w:w="1243" w:type="dxa"/>
            <w:vMerge w:val="restart"/>
            <w:shd w:val="clear" w:color="auto" w:fill="auto"/>
            <w:vAlign w:val="center"/>
            <w:hideMark/>
          </w:tcPr>
          <w:p w14:paraId="7E6CBC20"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Experiment Pressure Drop</w:t>
            </w:r>
          </w:p>
        </w:tc>
        <w:tc>
          <w:tcPr>
            <w:tcW w:w="1304" w:type="dxa"/>
            <w:gridSpan w:val="2"/>
            <w:vMerge w:val="restart"/>
            <w:shd w:val="clear" w:color="auto" w:fill="auto"/>
            <w:vAlign w:val="center"/>
            <w:hideMark/>
          </w:tcPr>
          <w:p w14:paraId="2C7A0BD7"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Total Microannuli</w:t>
            </w:r>
          </w:p>
        </w:tc>
      </w:tr>
      <w:tr w:rsidR="009650AF" w:rsidRPr="007D1DA0" w14:paraId="70A2B97C" w14:textId="77777777" w:rsidTr="009650AF">
        <w:trPr>
          <w:cantSplit/>
          <w:trHeight w:val="263"/>
          <w:jc w:val="center"/>
        </w:trPr>
        <w:tc>
          <w:tcPr>
            <w:tcW w:w="504" w:type="dxa"/>
            <w:shd w:val="clear" w:color="auto" w:fill="auto"/>
            <w:noWrap/>
            <w:vAlign w:val="center"/>
          </w:tcPr>
          <w:p w14:paraId="647577B1" w14:textId="77777777" w:rsidR="009650AF" w:rsidRPr="007D1DA0" w:rsidRDefault="009650AF" w:rsidP="009650AF">
            <w:pPr>
              <w:spacing w:line="240" w:lineRule="auto"/>
              <w:jc w:val="center"/>
              <w:rPr>
                <w:rFonts w:cs="Times New Roman"/>
                <w:sz w:val="22"/>
              </w:rPr>
            </w:pPr>
          </w:p>
        </w:tc>
        <w:tc>
          <w:tcPr>
            <w:tcW w:w="975" w:type="dxa"/>
            <w:vMerge/>
          </w:tcPr>
          <w:p w14:paraId="097D9C31" w14:textId="77777777" w:rsidR="009650AF" w:rsidRPr="007D1DA0" w:rsidRDefault="009650AF" w:rsidP="009650AF">
            <w:pPr>
              <w:spacing w:line="240" w:lineRule="auto"/>
              <w:jc w:val="center"/>
              <w:rPr>
                <w:rFonts w:cs="Times New Roman"/>
                <w:color w:val="000000"/>
                <w:sz w:val="22"/>
              </w:rPr>
            </w:pPr>
          </w:p>
        </w:tc>
        <w:tc>
          <w:tcPr>
            <w:tcW w:w="983" w:type="dxa"/>
            <w:vMerge/>
            <w:shd w:val="clear" w:color="auto" w:fill="auto"/>
            <w:vAlign w:val="center"/>
          </w:tcPr>
          <w:p w14:paraId="32DDC3F1" w14:textId="77777777" w:rsidR="009650AF" w:rsidRPr="007D1DA0" w:rsidRDefault="009650AF" w:rsidP="009650AF">
            <w:pPr>
              <w:spacing w:line="240" w:lineRule="auto"/>
              <w:jc w:val="center"/>
              <w:rPr>
                <w:rFonts w:cs="Times New Roman"/>
                <w:color w:val="000000"/>
                <w:sz w:val="22"/>
              </w:rPr>
            </w:pPr>
          </w:p>
        </w:tc>
        <w:tc>
          <w:tcPr>
            <w:tcW w:w="1072" w:type="dxa"/>
            <w:vMerge/>
            <w:shd w:val="clear" w:color="auto" w:fill="auto"/>
            <w:vAlign w:val="center"/>
          </w:tcPr>
          <w:p w14:paraId="00B2BA9D" w14:textId="77777777" w:rsidR="009650AF" w:rsidRPr="007D1DA0" w:rsidRDefault="009650AF" w:rsidP="009650AF">
            <w:pPr>
              <w:spacing w:line="240" w:lineRule="auto"/>
              <w:jc w:val="center"/>
              <w:rPr>
                <w:rFonts w:cs="Times New Roman"/>
                <w:color w:val="000000"/>
                <w:sz w:val="22"/>
              </w:rPr>
            </w:pPr>
          </w:p>
        </w:tc>
        <w:tc>
          <w:tcPr>
            <w:tcW w:w="1243" w:type="dxa"/>
            <w:vMerge/>
            <w:shd w:val="clear" w:color="auto" w:fill="auto"/>
            <w:vAlign w:val="center"/>
          </w:tcPr>
          <w:p w14:paraId="63ADC624" w14:textId="77777777" w:rsidR="009650AF" w:rsidRPr="007D1DA0" w:rsidRDefault="009650AF" w:rsidP="009650AF">
            <w:pPr>
              <w:spacing w:line="240" w:lineRule="auto"/>
              <w:jc w:val="center"/>
              <w:rPr>
                <w:rFonts w:cs="Times New Roman"/>
                <w:color w:val="000000"/>
                <w:sz w:val="22"/>
              </w:rPr>
            </w:pPr>
          </w:p>
        </w:tc>
        <w:tc>
          <w:tcPr>
            <w:tcW w:w="1304" w:type="dxa"/>
            <w:gridSpan w:val="2"/>
            <w:vMerge/>
            <w:shd w:val="clear" w:color="auto" w:fill="auto"/>
            <w:vAlign w:val="center"/>
          </w:tcPr>
          <w:p w14:paraId="1C973A42" w14:textId="77777777" w:rsidR="009650AF" w:rsidRPr="007D1DA0" w:rsidRDefault="009650AF" w:rsidP="009650AF">
            <w:pPr>
              <w:spacing w:line="240" w:lineRule="auto"/>
              <w:jc w:val="center"/>
              <w:rPr>
                <w:rFonts w:cs="Times New Roman"/>
                <w:color w:val="000000"/>
                <w:sz w:val="22"/>
              </w:rPr>
            </w:pPr>
          </w:p>
        </w:tc>
      </w:tr>
      <w:tr w:rsidR="009650AF" w:rsidRPr="007D1DA0" w14:paraId="44F3D75B" w14:textId="77777777" w:rsidTr="009650AF">
        <w:trPr>
          <w:cantSplit/>
          <w:trHeight w:val="74"/>
          <w:jc w:val="center"/>
        </w:trPr>
        <w:tc>
          <w:tcPr>
            <w:tcW w:w="504" w:type="dxa"/>
            <w:shd w:val="clear" w:color="auto" w:fill="auto"/>
            <w:noWrap/>
            <w:vAlign w:val="center"/>
            <w:hideMark/>
          </w:tcPr>
          <w:p w14:paraId="2DB2BD23" w14:textId="77777777" w:rsidR="009650AF" w:rsidRPr="007D1DA0" w:rsidRDefault="009650AF" w:rsidP="009650AF">
            <w:pPr>
              <w:spacing w:line="240" w:lineRule="auto"/>
              <w:jc w:val="center"/>
              <w:rPr>
                <w:rFonts w:cs="Times New Roman"/>
                <w:color w:val="000000"/>
                <w:sz w:val="22"/>
              </w:rPr>
            </w:pPr>
          </w:p>
        </w:tc>
        <w:tc>
          <w:tcPr>
            <w:tcW w:w="975" w:type="dxa"/>
            <w:tcBorders>
              <w:bottom w:val="single" w:sz="4" w:space="0" w:color="auto"/>
            </w:tcBorders>
          </w:tcPr>
          <w:p w14:paraId="3D0EC18E"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(m)</w:t>
            </w:r>
          </w:p>
        </w:tc>
        <w:tc>
          <w:tcPr>
            <w:tcW w:w="983" w:type="dxa"/>
            <w:tcBorders>
              <w:bottom w:val="single" w:sz="4" w:space="0" w:color="auto"/>
            </w:tcBorders>
            <w:shd w:val="clear" w:color="auto" w:fill="auto"/>
            <w:noWrap/>
            <w:vAlign w:val="center"/>
            <w:hideMark/>
          </w:tcPr>
          <w:p w14:paraId="7A243641"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(MPa)</w:t>
            </w:r>
          </w:p>
        </w:tc>
        <w:tc>
          <w:tcPr>
            <w:tcW w:w="1072" w:type="dxa"/>
            <w:tcBorders>
              <w:bottom w:val="single" w:sz="4" w:space="0" w:color="auto"/>
            </w:tcBorders>
            <w:shd w:val="clear" w:color="auto" w:fill="auto"/>
            <w:noWrap/>
            <w:vAlign w:val="center"/>
            <w:hideMark/>
          </w:tcPr>
          <w:p w14:paraId="5A425B5D"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(mL/min)</w:t>
            </w:r>
          </w:p>
        </w:tc>
        <w:tc>
          <w:tcPr>
            <w:tcW w:w="1243" w:type="dxa"/>
            <w:tcBorders>
              <w:bottom w:val="single" w:sz="4" w:space="0" w:color="auto"/>
            </w:tcBorders>
            <w:shd w:val="clear" w:color="auto" w:fill="auto"/>
            <w:noWrap/>
            <w:vAlign w:val="center"/>
            <w:hideMark/>
          </w:tcPr>
          <w:p w14:paraId="3EB7F373"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(MPa)</w:t>
            </w:r>
          </w:p>
        </w:tc>
        <w:tc>
          <w:tcPr>
            <w:tcW w:w="1304" w:type="dxa"/>
            <w:gridSpan w:val="2"/>
            <w:tcBorders>
              <w:bottom w:val="single" w:sz="4" w:space="0" w:color="auto"/>
            </w:tcBorders>
            <w:shd w:val="clear" w:color="auto" w:fill="auto"/>
            <w:noWrap/>
            <w:vAlign w:val="center"/>
            <w:hideMark/>
          </w:tcPr>
          <w:p w14:paraId="32035580"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(μm)</w:t>
            </w:r>
          </w:p>
        </w:tc>
      </w:tr>
      <w:tr w:rsidR="009650AF" w:rsidRPr="007D1DA0" w14:paraId="02C20D00" w14:textId="77777777" w:rsidTr="009650AF">
        <w:trPr>
          <w:cantSplit/>
          <w:trHeight w:val="64"/>
          <w:jc w:val="center"/>
        </w:trPr>
        <w:tc>
          <w:tcPr>
            <w:tcW w:w="504" w:type="dxa"/>
            <w:vMerge w:val="restart"/>
            <w:shd w:val="clear" w:color="auto" w:fill="auto"/>
            <w:noWrap/>
            <w:textDirection w:val="btLr"/>
            <w:vAlign w:val="center"/>
            <w:hideMark/>
          </w:tcPr>
          <w:p w14:paraId="59999F50"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Expanding</w:t>
            </w:r>
          </w:p>
        </w:tc>
        <w:tc>
          <w:tcPr>
            <w:tcW w:w="975" w:type="dxa"/>
            <w:tcBorders>
              <w:top w:val="single" w:sz="4" w:space="0" w:color="auto"/>
            </w:tcBorders>
          </w:tcPr>
          <w:p w14:paraId="7581B76C"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6</w:t>
            </w:r>
          </w:p>
        </w:tc>
        <w:tc>
          <w:tcPr>
            <w:tcW w:w="983" w:type="dxa"/>
            <w:tcBorders>
              <w:top w:val="single" w:sz="4" w:space="0" w:color="auto"/>
            </w:tcBorders>
            <w:shd w:val="clear" w:color="auto" w:fill="auto"/>
            <w:noWrap/>
            <w:vAlign w:val="center"/>
          </w:tcPr>
          <w:p w14:paraId="0C6691A4"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12.5</w:t>
            </w:r>
          </w:p>
        </w:tc>
        <w:tc>
          <w:tcPr>
            <w:tcW w:w="1072" w:type="dxa"/>
            <w:tcBorders>
              <w:top w:val="single" w:sz="4" w:space="0" w:color="auto"/>
            </w:tcBorders>
            <w:shd w:val="clear" w:color="auto" w:fill="auto"/>
            <w:noWrap/>
            <w:vAlign w:val="center"/>
          </w:tcPr>
          <w:p w14:paraId="55EDE72A"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98</w:t>
            </w:r>
          </w:p>
        </w:tc>
        <w:tc>
          <w:tcPr>
            <w:tcW w:w="1243" w:type="dxa"/>
            <w:tcBorders>
              <w:top w:val="single" w:sz="4" w:space="0" w:color="auto"/>
            </w:tcBorders>
            <w:shd w:val="clear" w:color="auto" w:fill="auto"/>
            <w:noWrap/>
            <w:vAlign w:val="center"/>
          </w:tcPr>
          <w:p w14:paraId="22CA2501"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4.8</w:t>
            </w:r>
          </w:p>
        </w:tc>
        <w:tc>
          <w:tcPr>
            <w:tcW w:w="1304" w:type="dxa"/>
            <w:gridSpan w:val="2"/>
            <w:tcBorders>
              <w:top w:val="single" w:sz="4" w:space="0" w:color="auto"/>
            </w:tcBorders>
            <w:shd w:val="clear" w:color="auto" w:fill="auto"/>
            <w:noWrap/>
            <w:vAlign w:val="center"/>
          </w:tcPr>
          <w:p w14:paraId="3FFA5CAC"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22</w:t>
            </w:r>
          </w:p>
        </w:tc>
      </w:tr>
      <w:tr w:rsidR="009650AF" w:rsidRPr="007D1DA0" w14:paraId="009827CF" w14:textId="77777777" w:rsidTr="009650AF">
        <w:trPr>
          <w:cantSplit/>
          <w:trHeight w:val="74"/>
          <w:jc w:val="center"/>
        </w:trPr>
        <w:tc>
          <w:tcPr>
            <w:tcW w:w="504" w:type="dxa"/>
            <w:vMerge/>
            <w:vAlign w:val="center"/>
            <w:hideMark/>
          </w:tcPr>
          <w:p w14:paraId="69797CA8" w14:textId="77777777" w:rsidR="009650AF" w:rsidRPr="007D1DA0" w:rsidRDefault="009650AF" w:rsidP="009650AF">
            <w:pPr>
              <w:spacing w:line="240" w:lineRule="auto"/>
              <w:jc w:val="center"/>
              <w:rPr>
                <w:rFonts w:cs="Times New Roman"/>
                <w:color w:val="000000"/>
                <w:sz w:val="22"/>
              </w:rPr>
            </w:pPr>
          </w:p>
        </w:tc>
        <w:tc>
          <w:tcPr>
            <w:tcW w:w="975" w:type="dxa"/>
          </w:tcPr>
          <w:p w14:paraId="74B03A0F"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6</w:t>
            </w:r>
          </w:p>
        </w:tc>
        <w:tc>
          <w:tcPr>
            <w:tcW w:w="983" w:type="dxa"/>
            <w:shd w:val="clear" w:color="auto" w:fill="auto"/>
            <w:noWrap/>
            <w:vAlign w:val="center"/>
          </w:tcPr>
          <w:p w14:paraId="27B03A0D"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12.6</w:t>
            </w:r>
          </w:p>
        </w:tc>
        <w:tc>
          <w:tcPr>
            <w:tcW w:w="1072" w:type="dxa"/>
            <w:shd w:val="clear" w:color="auto" w:fill="auto"/>
            <w:noWrap/>
            <w:vAlign w:val="center"/>
          </w:tcPr>
          <w:p w14:paraId="2EAFCE14"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94</w:t>
            </w:r>
          </w:p>
        </w:tc>
        <w:tc>
          <w:tcPr>
            <w:tcW w:w="1243" w:type="dxa"/>
            <w:shd w:val="clear" w:color="auto" w:fill="auto"/>
            <w:noWrap/>
            <w:vAlign w:val="center"/>
          </w:tcPr>
          <w:p w14:paraId="2981A870"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4.8</w:t>
            </w:r>
          </w:p>
        </w:tc>
        <w:tc>
          <w:tcPr>
            <w:tcW w:w="1304" w:type="dxa"/>
            <w:gridSpan w:val="2"/>
            <w:shd w:val="clear" w:color="auto" w:fill="auto"/>
            <w:noWrap/>
            <w:vAlign w:val="center"/>
          </w:tcPr>
          <w:p w14:paraId="6E279BFD"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22</w:t>
            </w:r>
          </w:p>
        </w:tc>
      </w:tr>
      <w:tr w:rsidR="009650AF" w:rsidRPr="007D1DA0" w14:paraId="4E887E14" w14:textId="77777777" w:rsidTr="009650AF">
        <w:trPr>
          <w:cantSplit/>
          <w:trHeight w:val="74"/>
          <w:jc w:val="center"/>
        </w:trPr>
        <w:tc>
          <w:tcPr>
            <w:tcW w:w="504" w:type="dxa"/>
            <w:vMerge/>
            <w:vAlign w:val="center"/>
            <w:hideMark/>
          </w:tcPr>
          <w:p w14:paraId="683BDD14" w14:textId="77777777" w:rsidR="009650AF" w:rsidRPr="007D1DA0" w:rsidRDefault="009650AF" w:rsidP="009650AF">
            <w:pPr>
              <w:spacing w:line="240" w:lineRule="auto"/>
              <w:jc w:val="center"/>
              <w:rPr>
                <w:rFonts w:cs="Times New Roman"/>
                <w:color w:val="000000"/>
                <w:sz w:val="22"/>
              </w:rPr>
            </w:pPr>
          </w:p>
        </w:tc>
        <w:tc>
          <w:tcPr>
            <w:tcW w:w="975" w:type="dxa"/>
          </w:tcPr>
          <w:p w14:paraId="5B9D40E6"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6</w:t>
            </w:r>
          </w:p>
        </w:tc>
        <w:tc>
          <w:tcPr>
            <w:tcW w:w="983" w:type="dxa"/>
            <w:shd w:val="clear" w:color="auto" w:fill="auto"/>
            <w:noWrap/>
            <w:vAlign w:val="center"/>
          </w:tcPr>
          <w:p w14:paraId="3ACFADCB"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12.7</w:t>
            </w:r>
          </w:p>
        </w:tc>
        <w:tc>
          <w:tcPr>
            <w:tcW w:w="1072" w:type="dxa"/>
            <w:shd w:val="clear" w:color="auto" w:fill="auto"/>
            <w:noWrap/>
            <w:vAlign w:val="center"/>
          </w:tcPr>
          <w:p w14:paraId="4C4B1059"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92</w:t>
            </w:r>
          </w:p>
        </w:tc>
        <w:tc>
          <w:tcPr>
            <w:tcW w:w="1243" w:type="dxa"/>
            <w:shd w:val="clear" w:color="auto" w:fill="auto"/>
            <w:noWrap/>
            <w:vAlign w:val="center"/>
          </w:tcPr>
          <w:p w14:paraId="76BF0ABC"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4.9</w:t>
            </w:r>
          </w:p>
        </w:tc>
        <w:tc>
          <w:tcPr>
            <w:tcW w:w="1304" w:type="dxa"/>
            <w:gridSpan w:val="2"/>
            <w:shd w:val="clear" w:color="auto" w:fill="auto"/>
            <w:noWrap/>
            <w:vAlign w:val="center"/>
          </w:tcPr>
          <w:p w14:paraId="1A0BB76D"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22</w:t>
            </w:r>
          </w:p>
        </w:tc>
      </w:tr>
      <w:tr w:rsidR="009650AF" w:rsidRPr="007D1DA0" w14:paraId="0B8495DC" w14:textId="77777777" w:rsidTr="009650AF">
        <w:trPr>
          <w:cantSplit/>
          <w:trHeight w:val="74"/>
          <w:jc w:val="center"/>
        </w:trPr>
        <w:tc>
          <w:tcPr>
            <w:tcW w:w="504" w:type="dxa"/>
            <w:vMerge/>
            <w:vAlign w:val="center"/>
          </w:tcPr>
          <w:p w14:paraId="6559A8EB" w14:textId="77777777" w:rsidR="009650AF" w:rsidRPr="007D1DA0" w:rsidRDefault="009650AF" w:rsidP="009650AF">
            <w:pPr>
              <w:spacing w:line="240" w:lineRule="auto"/>
              <w:jc w:val="center"/>
              <w:rPr>
                <w:rFonts w:cs="Times New Roman"/>
                <w:color w:val="000000"/>
                <w:sz w:val="22"/>
              </w:rPr>
            </w:pPr>
          </w:p>
        </w:tc>
        <w:tc>
          <w:tcPr>
            <w:tcW w:w="975" w:type="dxa"/>
          </w:tcPr>
          <w:p w14:paraId="3BB22F8A"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6</w:t>
            </w:r>
          </w:p>
        </w:tc>
        <w:tc>
          <w:tcPr>
            <w:tcW w:w="983" w:type="dxa"/>
            <w:shd w:val="clear" w:color="auto" w:fill="auto"/>
            <w:noWrap/>
            <w:vAlign w:val="center"/>
          </w:tcPr>
          <w:p w14:paraId="3DD697C0"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9.6</w:t>
            </w:r>
          </w:p>
        </w:tc>
        <w:tc>
          <w:tcPr>
            <w:tcW w:w="1072" w:type="dxa"/>
            <w:shd w:val="clear" w:color="auto" w:fill="auto"/>
            <w:noWrap/>
            <w:vAlign w:val="center"/>
          </w:tcPr>
          <w:p w14:paraId="6C8879B0"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49</w:t>
            </w:r>
          </w:p>
        </w:tc>
        <w:tc>
          <w:tcPr>
            <w:tcW w:w="1243" w:type="dxa"/>
            <w:shd w:val="clear" w:color="auto" w:fill="auto"/>
            <w:noWrap/>
            <w:vAlign w:val="center"/>
          </w:tcPr>
          <w:p w14:paraId="4AB14614"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5.0</w:t>
            </w:r>
          </w:p>
        </w:tc>
        <w:tc>
          <w:tcPr>
            <w:tcW w:w="1304" w:type="dxa"/>
            <w:gridSpan w:val="2"/>
            <w:shd w:val="clear" w:color="auto" w:fill="auto"/>
            <w:noWrap/>
            <w:vAlign w:val="center"/>
          </w:tcPr>
          <w:p w14:paraId="0DDA51E6"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18</w:t>
            </w:r>
          </w:p>
        </w:tc>
      </w:tr>
      <w:tr w:rsidR="009650AF" w:rsidRPr="007D1DA0" w14:paraId="5E815B12" w14:textId="77777777" w:rsidTr="009650AF">
        <w:trPr>
          <w:cantSplit/>
          <w:trHeight w:val="74"/>
          <w:jc w:val="center"/>
        </w:trPr>
        <w:tc>
          <w:tcPr>
            <w:tcW w:w="504" w:type="dxa"/>
            <w:vMerge/>
            <w:vAlign w:val="center"/>
          </w:tcPr>
          <w:p w14:paraId="7875E053" w14:textId="77777777" w:rsidR="009650AF" w:rsidRPr="007D1DA0" w:rsidRDefault="009650AF" w:rsidP="009650AF">
            <w:pPr>
              <w:spacing w:line="240" w:lineRule="auto"/>
              <w:jc w:val="center"/>
              <w:rPr>
                <w:rFonts w:cs="Times New Roman"/>
                <w:color w:val="000000"/>
                <w:sz w:val="22"/>
              </w:rPr>
            </w:pPr>
          </w:p>
        </w:tc>
        <w:tc>
          <w:tcPr>
            <w:tcW w:w="975" w:type="dxa"/>
          </w:tcPr>
          <w:p w14:paraId="5D2BD453"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6</w:t>
            </w:r>
          </w:p>
        </w:tc>
        <w:tc>
          <w:tcPr>
            <w:tcW w:w="983" w:type="dxa"/>
            <w:shd w:val="clear" w:color="auto" w:fill="auto"/>
            <w:noWrap/>
            <w:vAlign w:val="center"/>
          </w:tcPr>
          <w:p w14:paraId="757D5DE0"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9.5</w:t>
            </w:r>
          </w:p>
        </w:tc>
        <w:tc>
          <w:tcPr>
            <w:tcW w:w="1072" w:type="dxa"/>
            <w:shd w:val="clear" w:color="auto" w:fill="auto"/>
            <w:noWrap/>
            <w:vAlign w:val="center"/>
          </w:tcPr>
          <w:p w14:paraId="65873F87"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48</w:t>
            </w:r>
          </w:p>
        </w:tc>
        <w:tc>
          <w:tcPr>
            <w:tcW w:w="1243" w:type="dxa"/>
            <w:shd w:val="clear" w:color="auto" w:fill="auto"/>
            <w:noWrap/>
            <w:vAlign w:val="center"/>
          </w:tcPr>
          <w:p w14:paraId="109D0047"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5.1</w:t>
            </w:r>
          </w:p>
        </w:tc>
        <w:tc>
          <w:tcPr>
            <w:tcW w:w="1304" w:type="dxa"/>
            <w:gridSpan w:val="2"/>
            <w:shd w:val="clear" w:color="auto" w:fill="auto"/>
            <w:noWrap/>
            <w:vAlign w:val="center"/>
          </w:tcPr>
          <w:p w14:paraId="72205C49"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17</w:t>
            </w:r>
          </w:p>
        </w:tc>
      </w:tr>
      <w:tr w:rsidR="009650AF" w:rsidRPr="007D1DA0" w14:paraId="67F29735" w14:textId="77777777" w:rsidTr="009650AF">
        <w:trPr>
          <w:cantSplit/>
          <w:trHeight w:val="74"/>
          <w:jc w:val="center"/>
        </w:trPr>
        <w:tc>
          <w:tcPr>
            <w:tcW w:w="504" w:type="dxa"/>
            <w:vMerge/>
            <w:vAlign w:val="center"/>
          </w:tcPr>
          <w:p w14:paraId="238FB9CD" w14:textId="77777777" w:rsidR="009650AF" w:rsidRPr="007D1DA0" w:rsidRDefault="009650AF" w:rsidP="009650AF">
            <w:pPr>
              <w:spacing w:line="240" w:lineRule="auto"/>
              <w:jc w:val="center"/>
              <w:rPr>
                <w:rFonts w:cs="Times New Roman"/>
                <w:color w:val="000000"/>
                <w:sz w:val="22"/>
              </w:rPr>
            </w:pPr>
          </w:p>
        </w:tc>
        <w:tc>
          <w:tcPr>
            <w:tcW w:w="975" w:type="dxa"/>
          </w:tcPr>
          <w:p w14:paraId="5BD7B567"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6</w:t>
            </w:r>
          </w:p>
        </w:tc>
        <w:tc>
          <w:tcPr>
            <w:tcW w:w="983" w:type="dxa"/>
            <w:shd w:val="clear" w:color="auto" w:fill="auto"/>
            <w:noWrap/>
            <w:vAlign w:val="center"/>
          </w:tcPr>
          <w:p w14:paraId="7D5718A4"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6.6</w:t>
            </w:r>
          </w:p>
        </w:tc>
        <w:tc>
          <w:tcPr>
            <w:tcW w:w="1072" w:type="dxa"/>
            <w:shd w:val="clear" w:color="auto" w:fill="auto"/>
            <w:noWrap/>
            <w:vAlign w:val="center"/>
          </w:tcPr>
          <w:p w14:paraId="11593ED2"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23</w:t>
            </w:r>
          </w:p>
        </w:tc>
        <w:tc>
          <w:tcPr>
            <w:tcW w:w="1243" w:type="dxa"/>
            <w:shd w:val="clear" w:color="auto" w:fill="auto"/>
            <w:noWrap/>
            <w:vAlign w:val="center"/>
          </w:tcPr>
          <w:p w14:paraId="27CBBFDA"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4.7</w:t>
            </w:r>
          </w:p>
        </w:tc>
        <w:tc>
          <w:tcPr>
            <w:tcW w:w="1304" w:type="dxa"/>
            <w:gridSpan w:val="2"/>
            <w:shd w:val="clear" w:color="auto" w:fill="auto"/>
            <w:noWrap/>
            <w:vAlign w:val="center"/>
          </w:tcPr>
          <w:p w14:paraId="4E8BE590"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14</w:t>
            </w:r>
          </w:p>
        </w:tc>
      </w:tr>
      <w:tr w:rsidR="009650AF" w:rsidRPr="007D1DA0" w14:paraId="7DF6AAC1" w14:textId="77777777" w:rsidTr="009650AF">
        <w:trPr>
          <w:cantSplit/>
          <w:trHeight w:val="74"/>
          <w:jc w:val="center"/>
        </w:trPr>
        <w:tc>
          <w:tcPr>
            <w:tcW w:w="504" w:type="dxa"/>
            <w:vMerge/>
            <w:vAlign w:val="center"/>
          </w:tcPr>
          <w:p w14:paraId="609FBA8C" w14:textId="77777777" w:rsidR="009650AF" w:rsidRPr="007D1DA0" w:rsidRDefault="009650AF" w:rsidP="009650AF">
            <w:pPr>
              <w:spacing w:line="240" w:lineRule="auto"/>
              <w:jc w:val="center"/>
              <w:rPr>
                <w:rFonts w:cs="Times New Roman"/>
                <w:color w:val="000000"/>
                <w:sz w:val="22"/>
              </w:rPr>
            </w:pPr>
          </w:p>
        </w:tc>
        <w:tc>
          <w:tcPr>
            <w:tcW w:w="975" w:type="dxa"/>
          </w:tcPr>
          <w:p w14:paraId="6AC47515"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6</w:t>
            </w:r>
          </w:p>
        </w:tc>
        <w:tc>
          <w:tcPr>
            <w:tcW w:w="983" w:type="dxa"/>
            <w:shd w:val="clear" w:color="auto" w:fill="auto"/>
            <w:noWrap/>
            <w:vAlign w:val="center"/>
          </w:tcPr>
          <w:p w14:paraId="0DCC99DF"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6.5</w:t>
            </w:r>
          </w:p>
        </w:tc>
        <w:tc>
          <w:tcPr>
            <w:tcW w:w="1072" w:type="dxa"/>
            <w:shd w:val="clear" w:color="auto" w:fill="auto"/>
            <w:noWrap/>
            <w:vAlign w:val="center"/>
          </w:tcPr>
          <w:p w14:paraId="7D37C16C"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23</w:t>
            </w:r>
          </w:p>
        </w:tc>
        <w:tc>
          <w:tcPr>
            <w:tcW w:w="1243" w:type="dxa"/>
            <w:shd w:val="clear" w:color="auto" w:fill="auto"/>
            <w:noWrap/>
            <w:vAlign w:val="center"/>
          </w:tcPr>
          <w:p w14:paraId="5F043C07"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4.4</w:t>
            </w:r>
          </w:p>
        </w:tc>
        <w:tc>
          <w:tcPr>
            <w:tcW w:w="1304" w:type="dxa"/>
            <w:gridSpan w:val="2"/>
            <w:shd w:val="clear" w:color="auto" w:fill="auto"/>
            <w:noWrap/>
            <w:vAlign w:val="center"/>
          </w:tcPr>
          <w:p w14:paraId="407FB2AF"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14</w:t>
            </w:r>
          </w:p>
        </w:tc>
      </w:tr>
      <w:tr w:rsidR="009650AF" w:rsidRPr="007D1DA0" w14:paraId="4F695586" w14:textId="77777777" w:rsidTr="009650AF">
        <w:trPr>
          <w:cantSplit/>
          <w:trHeight w:val="74"/>
          <w:jc w:val="center"/>
        </w:trPr>
        <w:tc>
          <w:tcPr>
            <w:tcW w:w="504" w:type="dxa"/>
            <w:vMerge/>
            <w:vAlign w:val="center"/>
          </w:tcPr>
          <w:p w14:paraId="7B019D61" w14:textId="77777777" w:rsidR="009650AF" w:rsidRPr="007D1DA0" w:rsidRDefault="009650AF" w:rsidP="009650AF">
            <w:pPr>
              <w:spacing w:line="240" w:lineRule="auto"/>
              <w:jc w:val="center"/>
              <w:rPr>
                <w:rFonts w:cs="Times New Roman"/>
                <w:color w:val="000000"/>
                <w:sz w:val="22"/>
              </w:rPr>
            </w:pPr>
          </w:p>
        </w:tc>
        <w:tc>
          <w:tcPr>
            <w:tcW w:w="975" w:type="dxa"/>
            <w:tcBorders>
              <w:bottom w:val="single" w:sz="4" w:space="0" w:color="auto"/>
            </w:tcBorders>
          </w:tcPr>
          <w:p w14:paraId="07FF8867"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6</w:t>
            </w:r>
          </w:p>
        </w:tc>
        <w:tc>
          <w:tcPr>
            <w:tcW w:w="983" w:type="dxa"/>
            <w:tcBorders>
              <w:bottom w:val="single" w:sz="4" w:space="0" w:color="auto"/>
            </w:tcBorders>
            <w:shd w:val="clear" w:color="auto" w:fill="auto"/>
            <w:noWrap/>
            <w:vAlign w:val="center"/>
          </w:tcPr>
          <w:p w14:paraId="71209C20"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4.2</w:t>
            </w:r>
          </w:p>
        </w:tc>
        <w:tc>
          <w:tcPr>
            <w:tcW w:w="1072" w:type="dxa"/>
            <w:tcBorders>
              <w:bottom w:val="single" w:sz="4" w:space="0" w:color="auto"/>
            </w:tcBorders>
            <w:shd w:val="clear" w:color="auto" w:fill="auto"/>
            <w:noWrap/>
            <w:vAlign w:val="center"/>
          </w:tcPr>
          <w:p w14:paraId="0B12671F"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13</w:t>
            </w:r>
          </w:p>
        </w:tc>
        <w:tc>
          <w:tcPr>
            <w:tcW w:w="1243" w:type="dxa"/>
            <w:tcBorders>
              <w:bottom w:val="single" w:sz="4" w:space="0" w:color="auto"/>
            </w:tcBorders>
            <w:shd w:val="clear" w:color="auto" w:fill="auto"/>
            <w:noWrap/>
            <w:vAlign w:val="center"/>
          </w:tcPr>
          <w:p w14:paraId="5C0ACE87"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3.0</w:t>
            </w:r>
          </w:p>
        </w:tc>
        <w:tc>
          <w:tcPr>
            <w:tcW w:w="1304" w:type="dxa"/>
            <w:gridSpan w:val="2"/>
            <w:tcBorders>
              <w:bottom w:val="single" w:sz="4" w:space="0" w:color="auto"/>
            </w:tcBorders>
            <w:shd w:val="clear" w:color="auto" w:fill="auto"/>
            <w:noWrap/>
            <w:vAlign w:val="center"/>
          </w:tcPr>
          <w:p w14:paraId="25A1E8B6"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13</w:t>
            </w:r>
          </w:p>
        </w:tc>
      </w:tr>
      <w:tr w:rsidR="009650AF" w:rsidRPr="007D1DA0" w14:paraId="7B1A246B" w14:textId="77777777" w:rsidTr="009650AF">
        <w:trPr>
          <w:cantSplit/>
          <w:trHeight w:val="74"/>
          <w:jc w:val="center"/>
        </w:trPr>
        <w:tc>
          <w:tcPr>
            <w:tcW w:w="504" w:type="dxa"/>
            <w:vMerge w:val="restart"/>
            <w:shd w:val="clear" w:color="auto" w:fill="auto"/>
            <w:noWrap/>
            <w:textDirection w:val="btLr"/>
            <w:vAlign w:val="center"/>
            <w:hideMark/>
          </w:tcPr>
          <w:p w14:paraId="1702D37E"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Conventional</w:t>
            </w:r>
          </w:p>
        </w:tc>
        <w:tc>
          <w:tcPr>
            <w:tcW w:w="975" w:type="dxa"/>
          </w:tcPr>
          <w:p w14:paraId="62784C22"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18</w:t>
            </w:r>
          </w:p>
        </w:tc>
        <w:tc>
          <w:tcPr>
            <w:tcW w:w="983" w:type="dxa"/>
            <w:shd w:val="clear" w:color="auto" w:fill="auto"/>
            <w:noWrap/>
            <w:vAlign w:val="center"/>
          </w:tcPr>
          <w:p w14:paraId="3C0D9981"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5.4</w:t>
            </w:r>
          </w:p>
        </w:tc>
        <w:tc>
          <w:tcPr>
            <w:tcW w:w="1072" w:type="dxa"/>
            <w:shd w:val="clear" w:color="auto" w:fill="auto"/>
            <w:noWrap/>
            <w:vAlign w:val="center"/>
          </w:tcPr>
          <w:p w14:paraId="70C6CBF1"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14</w:t>
            </w:r>
          </w:p>
        </w:tc>
        <w:tc>
          <w:tcPr>
            <w:tcW w:w="1243" w:type="dxa"/>
            <w:shd w:val="clear" w:color="auto" w:fill="auto"/>
            <w:noWrap/>
            <w:vAlign w:val="center"/>
          </w:tcPr>
          <w:p w14:paraId="158AD3D7"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0.1</w:t>
            </w:r>
          </w:p>
        </w:tc>
        <w:tc>
          <w:tcPr>
            <w:tcW w:w="1304" w:type="dxa"/>
            <w:gridSpan w:val="2"/>
            <w:shd w:val="clear" w:color="auto" w:fill="auto"/>
            <w:noWrap/>
            <w:vAlign w:val="center"/>
          </w:tcPr>
          <w:p w14:paraId="09ED992E"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101</w:t>
            </w:r>
          </w:p>
        </w:tc>
      </w:tr>
      <w:tr w:rsidR="009650AF" w:rsidRPr="007D1DA0" w14:paraId="4943ED3F" w14:textId="77777777" w:rsidTr="009650AF">
        <w:trPr>
          <w:cantSplit/>
          <w:trHeight w:val="74"/>
          <w:jc w:val="center"/>
        </w:trPr>
        <w:tc>
          <w:tcPr>
            <w:tcW w:w="504" w:type="dxa"/>
            <w:vMerge/>
            <w:vAlign w:val="center"/>
            <w:hideMark/>
          </w:tcPr>
          <w:p w14:paraId="34F40B3E" w14:textId="77777777" w:rsidR="009650AF" w:rsidRPr="007D1DA0" w:rsidRDefault="009650AF" w:rsidP="009650AF">
            <w:pPr>
              <w:spacing w:line="240" w:lineRule="auto"/>
              <w:jc w:val="center"/>
              <w:rPr>
                <w:rFonts w:cs="Times New Roman"/>
                <w:color w:val="000000"/>
                <w:sz w:val="22"/>
              </w:rPr>
            </w:pPr>
          </w:p>
        </w:tc>
        <w:tc>
          <w:tcPr>
            <w:tcW w:w="975" w:type="dxa"/>
          </w:tcPr>
          <w:p w14:paraId="1160126F"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18</w:t>
            </w:r>
          </w:p>
        </w:tc>
        <w:tc>
          <w:tcPr>
            <w:tcW w:w="983" w:type="dxa"/>
            <w:shd w:val="clear" w:color="auto" w:fill="auto"/>
            <w:noWrap/>
            <w:vAlign w:val="center"/>
          </w:tcPr>
          <w:p w14:paraId="2DAFD5B0"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9.3</w:t>
            </w:r>
          </w:p>
        </w:tc>
        <w:tc>
          <w:tcPr>
            <w:tcW w:w="1072" w:type="dxa"/>
            <w:shd w:val="clear" w:color="auto" w:fill="auto"/>
            <w:noWrap/>
            <w:vAlign w:val="center"/>
          </w:tcPr>
          <w:p w14:paraId="4DA57E9A"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95</w:t>
            </w:r>
          </w:p>
        </w:tc>
        <w:tc>
          <w:tcPr>
            <w:tcW w:w="1243" w:type="dxa"/>
            <w:shd w:val="clear" w:color="auto" w:fill="auto"/>
            <w:noWrap/>
            <w:vAlign w:val="center"/>
          </w:tcPr>
          <w:p w14:paraId="60F6C697"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0.3</w:t>
            </w:r>
          </w:p>
        </w:tc>
        <w:tc>
          <w:tcPr>
            <w:tcW w:w="1304" w:type="dxa"/>
            <w:gridSpan w:val="2"/>
            <w:shd w:val="clear" w:color="auto" w:fill="auto"/>
            <w:noWrap/>
            <w:vAlign w:val="center"/>
          </w:tcPr>
          <w:p w14:paraId="762D773A"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127</w:t>
            </w:r>
          </w:p>
        </w:tc>
      </w:tr>
      <w:tr w:rsidR="009650AF" w:rsidRPr="007D1DA0" w14:paraId="7B37F125" w14:textId="77777777" w:rsidTr="009650AF">
        <w:trPr>
          <w:cantSplit/>
          <w:trHeight w:val="74"/>
          <w:jc w:val="center"/>
        </w:trPr>
        <w:tc>
          <w:tcPr>
            <w:tcW w:w="504" w:type="dxa"/>
            <w:vMerge/>
            <w:vAlign w:val="center"/>
            <w:hideMark/>
          </w:tcPr>
          <w:p w14:paraId="4DF1696B" w14:textId="77777777" w:rsidR="009650AF" w:rsidRPr="007D1DA0" w:rsidRDefault="009650AF" w:rsidP="009650AF">
            <w:pPr>
              <w:spacing w:line="240" w:lineRule="auto"/>
              <w:jc w:val="center"/>
              <w:rPr>
                <w:rFonts w:cs="Times New Roman"/>
                <w:color w:val="000000"/>
                <w:sz w:val="22"/>
              </w:rPr>
            </w:pPr>
          </w:p>
        </w:tc>
        <w:tc>
          <w:tcPr>
            <w:tcW w:w="975" w:type="dxa"/>
          </w:tcPr>
          <w:p w14:paraId="41661E6A"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18</w:t>
            </w:r>
          </w:p>
        </w:tc>
        <w:tc>
          <w:tcPr>
            <w:tcW w:w="983" w:type="dxa"/>
            <w:shd w:val="clear" w:color="auto" w:fill="auto"/>
            <w:noWrap/>
            <w:vAlign w:val="center"/>
          </w:tcPr>
          <w:p w14:paraId="05A99B9B"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5.6</w:t>
            </w:r>
          </w:p>
        </w:tc>
        <w:tc>
          <w:tcPr>
            <w:tcW w:w="1072" w:type="dxa"/>
            <w:shd w:val="clear" w:color="auto" w:fill="auto"/>
            <w:noWrap/>
            <w:vAlign w:val="center"/>
          </w:tcPr>
          <w:p w14:paraId="56C34DA4"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56</w:t>
            </w:r>
          </w:p>
        </w:tc>
        <w:tc>
          <w:tcPr>
            <w:tcW w:w="1243" w:type="dxa"/>
            <w:shd w:val="clear" w:color="auto" w:fill="auto"/>
            <w:noWrap/>
            <w:vAlign w:val="center"/>
          </w:tcPr>
          <w:p w14:paraId="1D867F98"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0.4</w:t>
            </w:r>
          </w:p>
        </w:tc>
        <w:tc>
          <w:tcPr>
            <w:tcW w:w="1304" w:type="dxa"/>
            <w:gridSpan w:val="2"/>
            <w:shd w:val="clear" w:color="auto" w:fill="auto"/>
            <w:noWrap/>
            <w:vAlign w:val="center"/>
          </w:tcPr>
          <w:p w14:paraId="4BD9BD17"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93</w:t>
            </w:r>
          </w:p>
        </w:tc>
      </w:tr>
      <w:tr w:rsidR="009650AF" w:rsidRPr="007D1DA0" w14:paraId="7FE33EA8" w14:textId="77777777" w:rsidTr="009650AF">
        <w:trPr>
          <w:cantSplit/>
          <w:trHeight w:val="74"/>
          <w:jc w:val="center"/>
        </w:trPr>
        <w:tc>
          <w:tcPr>
            <w:tcW w:w="504" w:type="dxa"/>
            <w:vMerge/>
            <w:vAlign w:val="center"/>
            <w:hideMark/>
          </w:tcPr>
          <w:p w14:paraId="2C2B17D2" w14:textId="77777777" w:rsidR="009650AF" w:rsidRPr="007D1DA0" w:rsidRDefault="009650AF" w:rsidP="009650AF">
            <w:pPr>
              <w:spacing w:line="240" w:lineRule="auto"/>
              <w:jc w:val="center"/>
              <w:rPr>
                <w:rFonts w:cs="Times New Roman"/>
                <w:color w:val="000000"/>
                <w:sz w:val="22"/>
              </w:rPr>
            </w:pPr>
          </w:p>
        </w:tc>
        <w:tc>
          <w:tcPr>
            <w:tcW w:w="975" w:type="dxa"/>
          </w:tcPr>
          <w:p w14:paraId="0C3DA50A"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18</w:t>
            </w:r>
          </w:p>
        </w:tc>
        <w:tc>
          <w:tcPr>
            <w:tcW w:w="983" w:type="dxa"/>
            <w:shd w:val="clear" w:color="auto" w:fill="auto"/>
            <w:noWrap/>
            <w:vAlign w:val="center"/>
          </w:tcPr>
          <w:p w14:paraId="33F12AA1"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9.4</w:t>
            </w:r>
          </w:p>
        </w:tc>
        <w:tc>
          <w:tcPr>
            <w:tcW w:w="1072" w:type="dxa"/>
            <w:shd w:val="clear" w:color="auto" w:fill="auto"/>
            <w:noWrap/>
            <w:vAlign w:val="center"/>
          </w:tcPr>
          <w:p w14:paraId="45FD2C98"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136</w:t>
            </w:r>
          </w:p>
        </w:tc>
        <w:tc>
          <w:tcPr>
            <w:tcW w:w="1243" w:type="dxa"/>
            <w:shd w:val="clear" w:color="auto" w:fill="auto"/>
            <w:noWrap/>
            <w:vAlign w:val="center"/>
          </w:tcPr>
          <w:p w14:paraId="1CA48F59"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0.5</w:t>
            </w:r>
          </w:p>
        </w:tc>
        <w:tc>
          <w:tcPr>
            <w:tcW w:w="1304" w:type="dxa"/>
            <w:gridSpan w:val="2"/>
            <w:shd w:val="clear" w:color="auto" w:fill="auto"/>
            <w:noWrap/>
            <w:vAlign w:val="center"/>
          </w:tcPr>
          <w:p w14:paraId="701C11C9" w14:textId="77777777" w:rsidR="009650AF" w:rsidRPr="007D1DA0" w:rsidRDefault="009650AF" w:rsidP="009650AF">
            <w:pPr>
              <w:spacing w:line="240" w:lineRule="auto"/>
              <w:jc w:val="center"/>
              <w:rPr>
                <w:rFonts w:cs="Times New Roman"/>
                <w:color w:val="000000"/>
                <w:sz w:val="22"/>
              </w:rPr>
            </w:pPr>
            <w:r w:rsidRPr="007D1DA0">
              <w:rPr>
                <w:rFonts w:cs="Times New Roman"/>
                <w:color w:val="000000"/>
                <w:sz w:val="22"/>
              </w:rPr>
              <w:t>118</w:t>
            </w:r>
          </w:p>
        </w:tc>
      </w:tr>
      <w:tr w:rsidR="009650AF" w:rsidRPr="007D1DA0" w14:paraId="6FC03FA9" w14:textId="77777777" w:rsidTr="009650AF">
        <w:trPr>
          <w:gridAfter w:val="1"/>
          <w:wAfter w:w="563" w:type="dxa"/>
          <w:cantSplit/>
          <w:trHeight w:val="74"/>
          <w:jc w:val="center"/>
        </w:trPr>
        <w:tc>
          <w:tcPr>
            <w:tcW w:w="504" w:type="dxa"/>
            <w:vMerge/>
            <w:vAlign w:val="center"/>
          </w:tcPr>
          <w:p w14:paraId="4BE7AFF0" w14:textId="77777777" w:rsidR="009650AF" w:rsidRPr="007D1DA0" w:rsidRDefault="009650AF" w:rsidP="009650AF">
            <w:pPr>
              <w:spacing w:line="240" w:lineRule="auto"/>
              <w:jc w:val="center"/>
              <w:rPr>
                <w:rFonts w:cs="Times New Roman"/>
                <w:color w:val="000000"/>
                <w:sz w:val="22"/>
              </w:rPr>
            </w:pPr>
          </w:p>
        </w:tc>
        <w:tc>
          <w:tcPr>
            <w:tcW w:w="5014" w:type="dxa"/>
            <w:gridSpan w:val="5"/>
            <w:vAlign w:val="center"/>
          </w:tcPr>
          <w:p w14:paraId="12555C3D" w14:textId="77777777" w:rsidR="009650AF" w:rsidRPr="007D1DA0" w:rsidRDefault="009650AF" w:rsidP="009650AF">
            <w:pPr>
              <w:spacing w:line="240" w:lineRule="auto"/>
              <w:jc w:val="left"/>
              <w:rPr>
                <w:rFonts w:cs="Times New Roman"/>
                <w:color w:val="000000"/>
                <w:sz w:val="22"/>
              </w:rPr>
            </w:pPr>
          </w:p>
        </w:tc>
      </w:tr>
    </w:tbl>
    <w:p w14:paraId="3D573CBE" w14:textId="77777777" w:rsidR="009650AF" w:rsidRDefault="009650AF" w:rsidP="009650AF">
      <w:pPr>
        <w:ind w:firstLine="720"/>
      </w:pPr>
    </w:p>
    <w:p w14:paraId="56C212B9" w14:textId="36925B65" w:rsidR="009650AF" w:rsidRDefault="009650AF" w:rsidP="009650AF">
      <w:pPr>
        <w:ind w:firstLine="720"/>
      </w:pPr>
      <w:r w:rsidRPr="006F1210">
        <w:t xml:space="preserve">Skadsem et al. (2019) expanded the Aas et al. (2016) experiments to include inclined </w:t>
      </w:r>
      <w:r>
        <w:t>pipe and flow path</w:t>
      </w:r>
      <w:r w:rsidRPr="006F1210">
        <w:t>. The</w:t>
      </w:r>
      <w:r>
        <w:t>se</w:t>
      </w:r>
      <w:r w:rsidRPr="006F1210">
        <w:t xml:space="preserve"> authors determined that microannuli are channels</w:t>
      </w:r>
      <w:r w:rsidR="004E1007">
        <w:t>,</w:t>
      </w:r>
      <w:r w:rsidRPr="006F1210">
        <w:t xml:space="preserve"> not uniform gaps. Stormont et al. (2018) performed similar experiments</w:t>
      </w:r>
      <w:r w:rsidR="004E1007">
        <w:t>,</w:t>
      </w:r>
      <w:r w:rsidRPr="006F1210">
        <w:t xml:space="preserve"> except </w:t>
      </w:r>
      <w:r>
        <w:t>they</w:t>
      </w:r>
      <w:r w:rsidRPr="006F1210">
        <w:t xml:space="preserve"> used gas flow instead of fluid flow. They determined that once a gap occurs, it cannot be fix</w:t>
      </w:r>
      <w:r w:rsidR="004E1007">
        <w:t>ed</w:t>
      </w:r>
      <w:r w:rsidRPr="006F1210">
        <w:t xml:space="preserve"> mechanically. Therefore, the microannuli gaps are permanent.</w:t>
      </w:r>
      <w:r>
        <w:t xml:space="preserve"> This result shows that the cement sheath debonding is in the </w:t>
      </w:r>
      <w:r>
        <w:lastRenderedPageBreak/>
        <w:t>plastic region (or experiences complete debonding) in the traction separation law.</w:t>
      </w:r>
      <w:r w:rsidRPr="006F1210">
        <w:t xml:space="preserve"> </w:t>
      </w:r>
      <w:r>
        <w:t xml:space="preserve">To quantify the microannuli gaps and to include the effect of compressibility, Stormont et al. (2018) </w:t>
      </w:r>
      <w:r w:rsidDel="00B36FBA">
        <w:t xml:space="preserve">used a different approach than the equivalent microannuli equation. Since the equivalent microannuli equation is based off Hagen-Poiseulle </w:t>
      </w:r>
      <w:r w:rsidRPr="00D63FF8" w:rsidDel="00B36FBA">
        <w:t xml:space="preserve">flow, it is only valid for incompressible fluids (i.e. not gasses). Stormont et al. (2018) </w:t>
      </w:r>
      <w:r w:rsidRPr="00D63FF8">
        <w:t>used the cubic law (Equation 2.50; Witherspoon et al. 1980) in conjunction with a rewritten version of the Forchheimer’s equation (Equation 2.51),</w:t>
      </w:r>
      <w:r>
        <w:t xml:space="preserve"> where </w:t>
      </w:r>
      <m:oMath>
        <m:r>
          <w:rPr>
            <w:rFonts w:ascii="Cambria Math" w:hAnsi="Cambria Math"/>
          </w:rPr>
          <m:t>w</m:t>
        </m:r>
      </m:oMath>
      <w:r>
        <w:t xml:space="preserve"> is the microannuli aperture, </w:t>
      </w:r>
      <m:oMath>
        <m:r>
          <w:rPr>
            <w:rFonts w:ascii="Cambria Math" w:hAnsi="Cambria Math"/>
          </w:rPr>
          <m:t>k</m:t>
        </m:r>
      </m:oMath>
      <w:r>
        <w:t xml:space="preserve"> is the effective permeability, </w:t>
      </w:r>
      <m:oMath>
        <m:r>
          <w:rPr>
            <w:rFonts w:ascii="Cambria Math" w:hAnsi="Cambria Math"/>
          </w:rPr>
          <m:t>A</m:t>
        </m:r>
      </m:oMath>
      <w:r>
        <w:t xml:space="preserve"> is the wellbore annular area, </w:t>
      </w:r>
      <m:oMath>
        <m:r>
          <w:rPr>
            <w:rFonts w:ascii="Cambria Math" w:hAnsi="Cambria Math"/>
          </w:rPr>
          <m:t>C</m:t>
        </m:r>
      </m:oMath>
      <w:r>
        <w:t xml:space="preserve"> is the length of the microannuli aperture (circumference of the outside of the casing), </w:t>
      </w:r>
      <m:oMath>
        <m:r>
          <w:rPr>
            <w:rFonts w:ascii="Cambria Math" w:hAnsi="Cambria Math"/>
          </w:rPr>
          <m:t>M</m:t>
        </m:r>
      </m:oMath>
      <w:r>
        <w:t xml:space="preserve"> is the molecular weight of the gas, </w:t>
      </w:r>
      <m:oMath>
        <m:r>
          <w:rPr>
            <w:rFonts w:ascii="Cambria Math" w:hAnsi="Cambria Math"/>
          </w:rPr>
          <m:t>L</m:t>
        </m:r>
      </m:oMath>
      <w:r>
        <w:t xml:space="preserve"> is the specimen length, </w:t>
      </w:r>
      <m:oMath>
        <m:r>
          <w:rPr>
            <w:rFonts w:ascii="Cambria Math" w:hAnsi="Cambria Math"/>
          </w:rPr>
          <m:t>z</m:t>
        </m:r>
      </m:oMath>
      <w:r>
        <w:t xml:space="preserve"> is the gas compressibility factor, </w:t>
      </w:r>
      <m:oMath>
        <m:r>
          <w:rPr>
            <w:rFonts w:ascii="Cambria Math" w:hAnsi="Cambria Math"/>
          </w:rPr>
          <m:t>R</m:t>
        </m:r>
      </m:oMath>
      <w:r>
        <w:t xml:space="preserve"> is the universal gas constant, </w:t>
      </w:r>
      <m:oMath>
        <m:r>
          <w:rPr>
            <w:rFonts w:ascii="Cambria Math" w:hAnsi="Cambria Math"/>
          </w:rPr>
          <m:t>T</m:t>
        </m:r>
      </m:oMath>
      <w:r>
        <w:t xml:space="preserve"> is temperature, </w:t>
      </w:r>
      <m:oMath>
        <m:sSub>
          <m:sSubPr>
            <m:ctrlPr>
              <w:rPr>
                <w:rFonts w:ascii="Cambria Math" w:hAnsi="Cambria Math"/>
                <w:i/>
              </w:rPr>
            </m:ctrlPr>
          </m:sSubPr>
          <m:e>
            <m:r>
              <w:rPr>
                <w:rFonts w:ascii="Cambria Math" w:hAnsi="Cambria Math"/>
              </w:rPr>
              <m:t>P</m:t>
            </m:r>
          </m:e>
          <m:sub>
            <m:r>
              <w:rPr>
                <w:rFonts w:ascii="Cambria Math" w:hAnsi="Cambria Math"/>
              </w:rPr>
              <m:t>u</m:t>
            </m:r>
          </m:sub>
        </m:sSub>
      </m:oMath>
      <w:r>
        <w:t xml:space="preserve"> is the upstream pressure, </w:t>
      </w:r>
      <m:oMath>
        <m:sSub>
          <m:sSubPr>
            <m:ctrlPr>
              <w:rPr>
                <w:rFonts w:ascii="Cambria Math" w:hAnsi="Cambria Math"/>
                <w:i/>
              </w:rPr>
            </m:ctrlPr>
          </m:sSubPr>
          <m:e>
            <m:r>
              <w:rPr>
                <w:rFonts w:ascii="Cambria Math" w:hAnsi="Cambria Math"/>
              </w:rPr>
              <m:t>P</m:t>
            </m:r>
          </m:e>
          <m:sub>
            <m:r>
              <w:rPr>
                <w:rFonts w:ascii="Cambria Math" w:hAnsi="Cambria Math"/>
              </w:rPr>
              <m:t>d</m:t>
            </m:r>
          </m:sub>
        </m:sSub>
      </m:oMath>
      <w:r>
        <w:t xml:space="preserve"> is the downstream pressure, </w:t>
      </w:r>
      <m:oMath>
        <m:r>
          <w:rPr>
            <w:rFonts w:ascii="Cambria Math" w:hAnsi="Cambria Math"/>
          </w:rPr>
          <m:t>Q</m:t>
        </m:r>
      </m:oMath>
      <w:r>
        <w:t xml:space="preserve"> is the volumetric flow rate, </w:t>
      </w:r>
      <m:oMath>
        <m:r>
          <w:rPr>
            <w:rFonts w:ascii="Cambria Math" w:hAnsi="Cambria Math"/>
          </w:rPr>
          <m:t>μ</m:t>
        </m:r>
      </m:oMath>
      <w:r>
        <w:t xml:space="preserve"> is the fluid viscosity, </w:t>
      </w:r>
      <m:oMath>
        <m:r>
          <w:rPr>
            <w:rFonts w:ascii="Cambria Math" w:hAnsi="Cambria Math"/>
          </w:rPr>
          <m:t>ρ</m:t>
        </m:r>
      </m:oMath>
      <w:r>
        <w:t xml:space="preserve"> is the fluid density, and </w:t>
      </w:r>
      <m:oMath>
        <m:r>
          <w:rPr>
            <w:rFonts w:ascii="Cambria Math" w:hAnsi="Cambria Math"/>
          </w:rPr>
          <m:t>β</m:t>
        </m:r>
      </m:oMath>
      <w:r>
        <w:t xml:space="preserve"> is the inertial coefficient (friction factor).</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50AF" w14:paraId="5F950237" w14:textId="77777777" w:rsidTr="009650AF">
        <w:trPr>
          <w:trHeight w:val="576"/>
        </w:trPr>
        <w:tc>
          <w:tcPr>
            <w:tcW w:w="720" w:type="dxa"/>
            <w:vAlign w:val="center"/>
          </w:tcPr>
          <w:p w14:paraId="6E552AE8" w14:textId="77777777" w:rsidR="009650AF" w:rsidRDefault="009650AF" w:rsidP="009650AF">
            <w:pPr>
              <w:spacing w:line="240" w:lineRule="auto"/>
              <w:jc w:val="center"/>
            </w:pPr>
          </w:p>
        </w:tc>
        <w:tc>
          <w:tcPr>
            <w:tcW w:w="7920" w:type="dxa"/>
            <w:vAlign w:val="center"/>
          </w:tcPr>
          <w:p w14:paraId="545BEF1B" w14:textId="77777777" w:rsidR="009650AF" w:rsidRPr="00DE5923" w:rsidRDefault="00077C0B" w:rsidP="009650AF">
            <w:pPr>
              <w:spacing w:line="240" w:lineRule="auto"/>
              <w:jc w:val="center"/>
              <w:rPr>
                <w:i/>
              </w:rPr>
            </w:pPr>
            <m:oMathPara>
              <m:oMath>
                <m:sSup>
                  <m:sSupPr>
                    <m:ctrlPr>
                      <w:rPr>
                        <w:rFonts w:ascii="Cambria Math" w:hAnsi="Cambria Math"/>
                        <w:i/>
                      </w:rPr>
                    </m:ctrlPr>
                  </m:sSupPr>
                  <m:e>
                    <m:r>
                      <w:rPr>
                        <w:rFonts w:ascii="Cambria Math" w:hAnsi="Cambria Math"/>
                      </w:rPr>
                      <m:t>w</m:t>
                    </m:r>
                  </m:e>
                  <m:sup>
                    <m:r>
                      <w:rPr>
                        <w:rFonts w:ascii="Cambria Math" w:hAnsi="Cambria Math"/>
                      </w:rPr>
                      <m:t>3</m:t>
                    </m:r>
                  </m:sup>
                </m:sSup>
                <m:r>
                  <w:rPr>
                    <w:rFonts w:ascii="Cambria Math" w:hAnsi="Cambria Math"/>
                  </w:rPr>
                  <m:t>=</m:t>
                </m:r>
                <m:f>
                  <m:fPr>
                    <m:ctrlPr>
                      <w:rPr>
                        <w:rFonts w:ascii="Cambria Math" w:hAnsi="Cambria Math"/>
                        <w:i/>
                      </w:rPr>
                    </m:ctrlPr>
                  </m:fPr>
                  <m:num>
                    <m:r>
                      <w:rPr>
                        <w:rFonts w:ascii="Cambria Math" w:hAnsi="Cambria Math"/>
                      </w:rPr>
                      <m:t>12kA</m:t>
                    </m:r>
                  </m:num>
                  <m:den>
                    <m:r>
                      <w:rPr>
                        <w:rFonts w:ascii="Cambria Math" w:hAnsi="Cambria Math"/>
                      </w:rPr>
                      <m:t>C</m:t>
                    </m:r>
                  </m:den>
                </m:f>
              </m:oMath>
            </m:oMathPara>
          </w:p>
        </w:tc>
        <w:tc>
          <w:tcPr>
            <w:tcW w:w="720" w:type="dxa"/>
            <w:vAlign w:val="bottom"/>
          </w:tcPr>
          <w:p w14:paraId="65F0BD24" w14:textId="61EB4C17" w:rsidR="009650AF"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9650AF">
              <w:t>.</w:t>
            </w:r>
            <w:r>
              <w:fldChar w:fldCharType="begin"/>
            </w:r>
            <w:r>
              <w:instrText xml:space="preserve"> SEQ Equation \* ARABIC \s 1</w:instrText>
            </w:r>
            <w:r>
              <w:instrText xml:space="preserve"> </w:instrText>
            </w:r>
            <w:r>
              <w:fldChar w:fldCharType="separate"/>
            </w:r>
            <w:r w:rsidR="0006023A">
              <w:rPr>
                <w:noProof/>
              </w:rPr>
              <w:t>50</w:t>
            </w:r>
            <w:r>
              <w:rPr>
                <w:noProof/>
              </w:rPr>
              <w:fldChar w:fldCharType="end"/>
            </w:r>
          </w:p>
        </w:tc>
      </w:tr>
    </w:tbl>
    <w:p w14:paraId="7282E6A6" w14:textId="77777777" w:rsidR="009650AF" w:rsidRDefault="009650AF" w:rsidP="009650AF">
      <w:pPr>
        <w:ind w:firstLine="720"/>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50AF" w14:paraId="4576F9B9" w14:textId="77777777" w:rsidTr="009650AF">
        <w:trPr>
          <w:trHeight w:val="576"/>
        </w:trPr>
        <w:tc>
          <w:tcPr>
            <w:tcW w:w="720" w:type="dxa"/>
            <w:vAlign w:val="center"/>
          </w:tcPr>
          <w:p w14:paraId="22D75303" w14:textId="77777777" w:rsidR="009650AF" w:rsidRDefault="009650AF" w:rsidP="009650AF">
            <w:pPr>
              <w:spacing w:line="240" w:lineRule="auto"/>
              <w:jc w:val="center"/>
            </w:pPr>
          </w:p>
        </w:tc>
        <w:tc>
          <w:tcPr>
            <w:tcW w:w="7920" w:type="dxa"/>
            <w:vAlign w:val="center"/>
          </w:tcPr>
          <w:p w14:paraId="3998525D" w14:textId="77777777" w:rsidR="009650AF" w:rsidRPr="001D738A" w:rsidRDefault="00077C0B" w:rsidP="009650AF">
            <w:pPr>
              <w:spacing w:line="240" w:lineRule="auto"/>
              <w:jc w:val="center"/>
              <w:rPr>
                <w:i/>
              </w:rPr>
            </w:pPr>
            <m:oMathPara>
              <m:oMath>
                <m:f>
                  <m:fPr>
                    <m:ctrlPr>
                      <w:rPr>
                        <w:rFonts w:ascii="Cambria Math" w:hAnsi="Cambria Math"/>
                        <w:i/>
                      </w:rPr>
                    </m:ctrlPr>
                  </m:fPr>
                  <m:num>
                    <m:r>
                      <w:rPr>
                        <w:rFonts w:ascii="Cambria Math" w:hAnsi="Cambria Math"/>
                      </w:rPr>
                      <m:t>MA</m:t>
                    </m:r>
                    <m:d>
                      <m:dPr>
                        <m:ctrlPr>
                          <w:rPr>
                            <w:rFonts w:ascii="Cambria Math" w:hAnsi="Cambria Math"/>
                            <w:i/>
                          </w:rPr>
                        </m:ctrlPr>
                      </m:dPr>
                      <m:e>
                        <m:sSubSup>
                          <m:sSubSupPr>
                            <m:ctrlPr>
                              <w:rPr>
                                <w:rFonts w:ascii="Cambria Math" w:hAnsi="Cambria Math"/>
                                <w:i/>
                              </w:rPr>
                            </m:ctrlPr>
                          </m:sSubSupPr>
                          <m:e>
                            <m:r>
                              <w:rPr>
                                <w:rFonts w:ascii="Cambria Math" w:hAnsi="Cambria Math"/>
                              </w:rPr>
                              <m:t>P</m:t>
                            </m:r>
                          </m:e>
                          <m:sub>
                            <m:r>
                              <w:rPr>
                                <w:rFonts w:ascii="Cambria Math" w:hAnsi="Cambria Math"/>
                              </w:rPr>
                              <m:t>u</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P</m:t>
                            </m:r>
                          </m:e>
                          <m:sub>
                            <m:r>
                              <w:rPr>
                                <w:rFonts w:ascii="Cambria Math" w:hAnsi="Cambria Math"/>
                              </w:rPr>
                              <m:t>d</m:t>
                            </m:r>
                          </m:sub>
                          <m:sup>
                            <m:r>
                              <w:rPr>
                                <w:rFonts w:ascii="Cambria Math" w:hAnsi="Cambria Math"/>
                              </w:rPr>
                              <m:t>2</m:t>
                            </m:r>
                          </m:sup>
                        </m:sSubSup>
                      </m:e>
                    </m:d>
                  </m:num>
                  <m:den>
                    <m:r>
                      <w:rPr>
                        <w:rFonts w:ascii="Cambria Math" w:hAnsi="Cambria Math"/>
                      </w:rPr>
                      <m:t>2zRTμLρQ</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k</m:t>
                    </m:r>
                  </m:den>
                </m:f>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ρQ</m:t>
                        </m:r>
                      </m:num>
                      <m:den>
                        <m:r>
                          <w:rPr>
                            <w:rFonts w:ascii="Cambria Math" w:hAnsi="Cambria Math"/>
                          </w:rPr>
                          <m:t>μA</m:t>
                        </m:r>
                      </m:den>
                    </m:f>
                  </m:e>
                </m:d>
                <m:r>
                  <w:rPr>
                    <w:rFonts w:ascii="Cambria Math" w:hAnsi="Cambria Math"/>
                  </w:rPr>
                  <m:t>β</m:t>
                </m:r>
              </m:oMath>
            </m:oMathPara>
          </w:p>
        </w:tc>
        <w:tc>
          <w:tcPr>
            <w:tcW w:w="720" w:type="dxa"/>
            <w:vAlign w:val="bottom"/>
          </w:tcPr>
          <w:p w14:paraId="239C7D13" w14:textId="02F093E4" w:rsidR="009650AF"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9650AF">
              <w:t>.</w:t>
            </w:r>
            <w:r>
              <w:fldChar w:fldCharType="begin"/>
            </w:r>
            <w:r>
              <w:instrText xml:space="preserve"> SEQ Equation \* ARABIC \s 1 </w:instrText>
            </w:r>
            <w:r>
              <w:fldChar w:fldCharType="separate"/>
            </w:r>
            <w:r w:rsidR="0006023A">
              <w:rPr>
                <w:noProof/>
              </w:rPr>
              <w:t>51</w:t>
            </w:r>
            <w:r>
              <w:rPr>
                <w:noProof/>
              </w:rPr>
              <w:fldChar w:fldCharType="end"/>
            </w:r>
          </w:p>
        </w:tc>
      </w:tr>
    </w:tbl>
    <w:p w14:paraId="0057146A" w14:textId="77777777" w:rsidR="009650AF" w:rsidRDefault="009650AF" w:rsidP="009650AF">
      <w:pPr>
        <w:ind w:firstLine="720"/>
      </w:pPr>
    </w:p>
    <w:p w14:paraId="27B6D0B2" w14:textId="77777777" w:rsidR="009650AF" w:rsidRDefault="009650AF" w:rsidP="009650AF">
      <w:pPr>
        <w:ind w:firstLine="720"/>
      </w:pPr>
      <w:r>
        <w:t xml:space="preserve">Two other research groups, Corina et al. </w:t>
      </w:r>
      <w:r w:rsidRPr="00933315">
        <w:rPr>
          <w:lang w:val="nb-NO"/>
        </w:rPr>
        <w:t xml:space="preserve">(2020) and Al Ramadan et al. </w:t>
      </w:r>
      <w:r>
        <w:t xml:space="preserve">(2019), performed a similar analysis as </w:t>
      </w:r>
      <w:r w:rsidRPr="00D63FF8">
        <w:t>Stormont et al. (2018) in which they investigated fluid flow through cement microannuli. Corina et al. (2020) analyzed their previous data published in Corina et al. (2019) and Opedal et al. (2018) using the cubic law in conjunction with Darcy’s law (shown in Equation 2.52). A combination of the cubic law and Darcy’s law is shown in Equation 2.53. Results for the microannuli widths with respect to flow rate (Figure 2.16) and pressure differential (Figure 2.17)</w:t>
      </w:r>
      <w:r>
        <w:t xml:space="preserve"> are shown below.</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50AF" w14:paraId="7AB7C2AE" w14:textId="77777777" w:rsidTr="009650AF">
        <w:trPr>
          <w:trHeight w:val="576"/>
        </w:trPr>
        <w:tc>
          <w:tcPr>
            <w:tcW w:w="720" w:type="dxa"/>
            <w:vAlign w:val="center"/>
          </w:tcPr>
          <w:p w14:paraId="2B70FA42" w14:textId="77777777" w:rsidR="009650AF" w:rsidRDefault="009650AF" w:rsidP="009650AF">
            <w:pPr>
              <w:spacing w:line="240" w:lineRule="auto"/>
              <w:jc w:val="center"/>
            </w:pPr>
          </w:p>
        </w:tc>
        <w:tc>
          <w:tcPr>
            <w:tcW w:w="7920" w:type="dxa"/>
            <w:vAlign w:val="center"/>
          </w:tcPr>
          <w:p w14:paraId="283D83AE" w14:textId="77777777" w:rsidR="009650AF" w:rsidRPr="009F264F" w:rsidRDefault="009650AF" w:rsidP="009650AF">
            <w:pPr>
              <w:spacing w:line="240" w:lineRule="auto"/>
              <w:jc w:val="center"/>
              <w:rPr>
                <w:rFonts w:eastAsiaTheme="minorEastAsia"/>
              </w:rPr>
            </w:pPr>
            <m:oMathPara>
              <m:oMath>
                <m:r>
                  <w:rPr>
                    <w:rFonts w:ascii="Cambria Math" w:hAnsi="Cambria Math"/>
                  </w:rPr>
                  <m:t>k=</m:t>
                </m:r>
                <m:f>
                  <m:fPr>
                    <m:ctrlPr>
                      <w:rPr>
                        <w:rFonts w:ascii="Cambria Math" w:hAnsi="Cambria Math"/>
                        <w:i/>
                        <w:iCs/>
                      </w:rPr>
                    </m:ctrlPr>
                  </m:fPr>
                  <m:num>
                    <m:r>
                      <w:rPr>
                        <w:rFonts w:ascii="Cambria Math" w:hAnsi="Cambria Math"/>
                      </w:rPr>
                      <m:t>QμL</m:t>
                    </m:r>
                  </m:num>
                  <m:den>
                    <m:r>
                      <w:rPr>
                        <w:rFonts w:ascii="Cambria Math" w:hAnsi="Cambria Math"/>
                      </w:rPr>
                      <m:t>A</m:t>
                    </m:r>
                    <m:r>
                      <m:rPr>
                        <m:sty m:val="p"/>
                      </m:rPr>
                      <w:rPr>
                        <w:rFonts w:ascii="Cambria Math" w:hAnsi="Cambria Math"/>
                      </w:rPr>
                      <m:t>Δ</m:t>
                    </m:r>
                    <m:r>
                      <w:rPr>
                        <w:rFonts w:ascii="Cambria Math" w:hAnsi="Cambria Math"/>
                      </w:rPr>
                      <m:t>P</m:t>
                    </m:r>
                  </m:den>
                </m:f>
              </m:oMath>
            </m:oMathPara>
          </w:p>
        </w:tc>
        <w:tc>
          <w:tcPr>
            <w:tcW w:w="720" w:type="dxa"/>
            <w:vAlign w:val="bottom"/>
          </w:tcPr>
          <w:p w14:paraId="5AF16B8C" w14:textId="114662AF" w:rsidR="009650AF"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9650AF">
              <w:t>.</w:t>
            </w:r>
            <w:r>
              <w:fldChar w:fldCharType="begin"/>
            </w:r>
            <w:r>
              <w:instrText xml:space="preserve"> SEQ Equation \* ARABIC \s 1 </w:instrText>
            </w:r>
            <w:r>
              <w:fldChar w:fldCharType="separate"/>
            </w:r>
            <w:r w:rsidR="0006023A">
              <w:rPr>
                <w:noProof/>
              </w:rPr>
              <w:t>52</w:t>
            </w:r>
            <w:r>
              <w:rPr>
                <w:noProof/>
              </w:rPr>
              <w:fldChar w:fldCharType="end"/>
            </w:r>
          </w:p>
        </w:tc>
      </w:tr>
    </w:tbl>
    <w:p w14:paraId="76B491D5" w14:textId="77777777" w:rsidR="009650AF" w:rsidRDefault="009650AF" w:rsidP="009650AF">
      <w:pPr>
        <w:ind w:firstLine="720"/>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50AF" w14:paraId="7CD2154D" w14:textId="77777777" w:rsidTr="009650AF">
        <w:trPr>
          <w:trHeight w:val="864"/>
        </w:trPr>
        <w:tc>
          <w:tcPr>
            <w:tcW w:w="720" w:type="dxa"/>
            <w:vAlign w:val="center"/>
          </w:tcPr>
          <w:p w14:paraId="084B85B4" w14:textId="77777777" w:rsidR="009650AF" w:rsidRDefault="009650AF" w:rsidP="009650AF">
            <w:pPr>
              <w:spacing w:line="240" w:lineRule="auto"/>
              <w:jc w:val="center"/>
            </w:pPr>
          </w:p>
        </w:tc>
        <w:tc>
          <w:tcPr>
            <w:tcW w:w="7920" w:type="dxa"/>
            <w:vAlign w:val="center"/>
          </w:tcPr>
          <w:p w14:paraId="5454FE77" w14:textId="77777777" w:rsidR="009650AF" w:rsidRPr="009F264F" w:rsidRDefault="009650AF" w:rsidP="009650AF">
            <w:pPr>
              <w:spacing w:line="240" w:lineRule="auto"/>
              <w:jc w:val="center"/>
              <w:rPr>
                <w:rFonts w:eastAsiaTheme="minorEastAsia"/>
              </w:rPr>
            </w:pPr>
            <m:oMathPara>
              <m:oMath>
                <m:r>
                  <w:rPr>
                    <w:rFonts w:ascii="Cambria Math" w:hAnsi="Cambria Math"/>
                  </w:rPr>
                  <m:t>w=</m:t>
                </m:r>
                <m:sSup>
                  <m:sSupPr>
                    <m:ctrlPr>
                      <w:rPr>
                        <w:rFonts w:ascii="Cambria Math" w:hAnsi="Cambria Math"/>
                        <w:i/>
                        <w:iCs/>
                      </w:rPr>
                    </m:ctrlPr>
                  </m:sSupPr>
                  <m:e>
                    <m:d>
                      <m:dPr>
                        <m:ctrlPr>
                          <w:rPr>
                            <w:rFonts w:ascii="Cambria Math" w:hAnsi="Cambria Math"/>
                            <w:i/>
                            <w:iCs/>
                          </w:rPr>
                        </m:ctrlPr>
                      </m:dPr>
                      <m:e>
                        <m:f>
                          <m:fPr>
                            <m:ctrlPr>
                              <w:rPr>
                                <w:rFonts w:ascii="Cambria Math" w:hAnsi="Cambria Math"/>
                                <w:i/>
                                <w:iCs/>
                              </w:rPr>
                            </m:ctrlPr>
                          </m:fPr>
                          <m:num>
                            <m:r>
                              <w:rPr>
                                <w:rFonts w:ascii="Cambria Math" w:hAnsi="Cambria Math"/>
                              </w:rPr>
                              <m:t>12QμL</m:t>
                            </m:r>
                          </m:num>
                          <m:den>
                            <m:r>
                              <w:rPr>
                                <w:rFonts w:ascii="Cambria Math" w:hAnsi="Cambria Math"/>
                              </w:rPr>
                              <m:t>πDΔP</m:t>
                            </m:r>
                          </m:den>
                        </m:f>
                      </m:e>
                    </m:d>
                  </m:e>
                  <m:sup>
                    <m:f>
                      <m:fPr>
                        <m:ctrlPr>
                          <w:rPr>
                            <w:rFonts w:ascii="Cambria Math" w:hAnsi="Cambria Math"/>
                            <w:i/>
                            <w:iCs/>
                          </w:rPr>
                        </m:ctrlPr>
                      </m:fPr>
                      <m:num>
                        <m:r>
                          <w:rPr>
                            <w:rFonts w:ascii="Cambria Math" w:hAnsi="Cambria Math"/>
                          </w:rPr>
                          <m:t>1</m:t>
                        </m:r>
                      </m:num>
                      <m:den>
                        <m:r>
                          <w:rPr>
                            <w:rFonts w:ascii="Cambria Math" w:hAnsi="Cambria Math"/>
                          </w:rPr>
                          <m:t>3</m:t>
                        </m:r>
                      </m:den>
                    </m:f>
                  </m:sup>
                </m:sSup>
              </m:oMath>
            </m:oMathPara>
          </w:p>
        </w:tc>
        <w:tc>
          <w:tcPr>
            <w:tcW w:w="720" w:type="dxa"/>
            <w:vAlign w:val="bottom"/>
          </w:tcPr>
          <w:p w14:paraId="5BB2FE49" w14:textId="1162A4FE" w:rsidR="009650AF"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9650AF">
              <w:t>.</w:t>
            </w:r>
            <w:r>
              <w:fldChar w:fldCharType="begin"/>
            </w:r>
            <w:r>
              <w:instrText xml:space="preserve"> SEQ Equation \* ARABIC \s 1 </w:instrText>
            </w:r>
            <w:r>
              <w:fldChar w:fldCharType="separate"/>
            </w:r>
            <w:r w:rsidR="0006023A">
              <w:rPr>
                <w:noProof/>
              </w:rPr>
              <w:t>53</w:t>
            </w:r>
            <w:r>
              <w:rPr>
                <w:noProof/>
              </w:rPr>
              <w:fldChar w:fldCharType="end"/>
            </w:r>
          </w:p>
        </w:tc>
      </w:tr>
    </w:tbl>
    <w:p w14:paraId="2288228F" w14:textId="77777777" w:rsidR="009650AF" w:rsidRDefault="009650AF" w:rsidP="009650AF">
      <w:pPr>
        <w:ind w:firstLine="720"/>
      </w:pPr>
    </w:p>
    <w:p w14:paraId="1B60342A" w14:textId="77777777" w:rsidR="009650AF" w:rsidRDefault="009650AF" w:rsidP="00BC23AD">
      <w:pPr>
        <w:pStyle w:val="NoSpacing"/>
      </w:pPr>
      <w:r w:rsidRPr="002027C2">
        <w:rPr>
          <w:noProof/>
        </w:rPr>
        <w:drawing>
          <wp:inline distT="0" distB="0" distL="0" distR="0" wp14:anchorId="17D6F9B9" wp14:editId="733BFDEE">
            <wp:extent cx="5486400" cy="3292425"/>
            <wp:effectExtent l="0" t="0" r="0" b="3810"/>
            <wp:docPr id="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8"/>
                    <a:stretch>
                      <a:fillRect/>
                    </a:stretch>
                  </pic:blipFill>
                  <pic:spPr>
                    <a:xfrm>
                      <a:off x="0" y="0"/>
                      <a:ext cx="5486400" cy="3292425"/>
                    </a:xfrm>
                    <a:prstGeom prst="rect">
                      <a:avLst/>
                    </a:prstGeom>
                  </pic:spPr>
                </pic:pic>
              </a:graphicData>
            </a:graphic>
          </wp:inline>
        </w:drawing>
      </w:r>
    </w:p>
    <w:p w14:paraId="54BDEA00" w14:textId="26BE265D" w:rsidR="009650AF" w:rsidRDefault="009650AF" w:rsidP="00BC23AD">
      <w:pPr>
        <w:pStyle w:val="Caption"/>
      </w:pPr>
      <w:bookmarkStart w:id="37" w:name="_Toc67566199"/>
      <w:r>
        <w:t xml:space="preserve">Figure </w:t>
      </w:r>
      <w:r w:rsidR="00077C0B">
        <w:fldChar w:fldCharType="begin"/>
      </w:r>
      <w:r w:rsidR="00077C0B">
        <w:instrText xml:space="preserve"> STYLEREF 1 \s </w:instrText>
      </w:r>
      <w:r w:rsidR="00077C0B">
        <w:fldChar w:fldCharType="separate"/>
      </w:r>
      <w:r w:rsidR="0006023A">
        <w:rPr>
          <w:noProof/>
        </w:rPr>
        <w:t>2</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16</w:t>
      </w:r>
      <w:r w:rsidR="00077C0B">
        <w:rPr>
          <w:noProof/>
        </w:rPr>
        <w:fldChar w:fldCharType="end"/>
      </w:r>
      <w:r>
        <w:t>: Microannuli (</w:t>
      </w:r>
      <m:oMath>
        <m:r>
          <m:rPr>
            <m:sty m:val="bi"/>
          </m:rPr>
          <w:rPr>
            <w:rFonts w:ascii="Cambria Math" w:hAnsi="Cambria Math"/>
          </w:rPr>
          <m:t>w</m:t>
        </m:r>
      </m:oMath>
      <w:r>
        <w:t>) versus flow rate for the three test cases from Corina et al. (2019) analyzed using the methodology from Corina et al. (2020).</w:t>
      </w:r>
      <w:bookmarkEnd w:id="37"/>
    </w:p>
    <w:p w14:paraId="5D49F176" w14:textId="77777777" w:rsidR="000D0DE8" w:rsidRPr="000D0DE8" w:rsidRDefault="000D0DE8" w:rsidP="000D0DE8"/>
    <w:p w14:paraId="14C6EB6D" w14:textId="77777777" w:rsidR="009650AF" w:rsidRDefault="009650AF" w:rsidP="00BC23AD">
      <w:pPr>
        <w:pStyle w:val="NoSpacing"/>
      </w:pPr>
      <w:r w:rsidRPr="002027C2">
        <w:rPr>
          <w:noProof/>
        </w:rPr>
        <w:lastRenderedPageBreak/>
        <w:drawing>
          <wp:inline distT="0" distB="0" distL="0" distR="0" wp14:anchorId="2FE9AC50" wp14:editId="36E32C06">
            <wp:extent cx="5486400" cy="3292426"/>
            <wp:effectExtent l="0" t="0" r="0" b="3810"/>
            <wp:docPr id="6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9"/>
                    <a:stretch>
                      <a:fillRect/>
                    </a:stretch>
                  </pic:blipFill>
                  <pic:spPr>
                    <a:xfrm>
                      <a:off x="0" y="0"/>
                      <a:ext cx="5486400" cy="3292426"/>
                    </a:xfrm>
                    <a:prstGeom prst="rect">
                      <a:avLst/>
                    </a:prstGeom>
                  </pic:spPr>
                </pic:pic>
              </a:graphicData>
            </a:graphic>
          </wp:inline>
        </w:drawing>
      </w:r>
    </w:p>
    <w:p w14:paraId="2E427DE1" w14:textId="60B86578" w:rsidR="009650AF" w:rsidRPr="002027C2" w:rsidRDefault="009650AF" w:rsidP="00BC23AD">
      <w:pPr>
        <w:pStyle w:val="Caption"/>
      </w:pPr>
      <w:bookmarkStart w:id="38" w:name="_Toc67566200"/>
      <w:r>
        <w:t xml:space="preserve">Figure </w:t>
      </w:r>
      <w:r w:rsidR="00077C0B">
        <w:fldChar w:fldCharType="begin"/>
      </w:r>
      <w:r w:rsidR="00077C0B">
        <w:instrText xml:space="preserve"> STYLEREF 1 \s </w:instrText>
      </w:r>
      <w:r w:rsidR="00077C0B">
        <w:fldChar w:fldCharType="separate"/>
      </w:r>
      <w:r w:rsidR="0006023A">
        <w:rPr>
          <w:noProof/>
        </w:rPr>
        <w:t>2</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17</w:t>
      </w:r>
      <w:r w:rsidR="00077C0B">
        <w:rPr>
          <w:noProof/>
        </w:rPr>
        <w:fldChar w:fldCharType="end"/>
      </w:r>
      <w:r>
        <w:t>: Microannuli (</w:t>
      </w:r>
      <m:oMath>
        <m:r>
          <m:rPr>
            <m:sty m:val="bi"/>
          </m:rPr>
          <w:rPr>
            <w:rFonts w:ascii="Cambria Math" w:hAnsi="Cambria Math"/>
          </w:rPr>
          <m:t>w</m:t>
        </m:r>
      </m:oMath>
      <w:r>
        <w:t>) versus pressure differential (</w:t>
      </w:r>
      <m:oMath>
        <m:r>
          <m:rPr>
            <m:sty m:val="bi"/>
          </m:rPr>
          <w:rPr>
            <w:rFonts w:ascii="Cambria Math" w:hAnsi="Cambria Math"/>
          </w:rPr>
          <m:t>ΔP</m:t>
        </m:r>
      </m:oMath>
      <w:r>
        <w:t>) for the three test cases from Corina et al. (2019) analyzed using the methodology from Corina et al. (2020).</w:t>
      </w:r>
      <w:bookmarkEnd w:id="38"/>
    </w:p>
    <w:p w14:paraId="47E3ECF1" w14:textId="77777777" w:rsidR="009650AF" w:rsidRDefault="009650AF" w:rsidP="009650AF">
      <w:pPr>
        <w:ind w:firstLine="720"/>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50AF" w14:paraId="516C505E" w14:textId="77777777" w:rsidTr="009650AF">
        <w:trPr>
          <w:trHeight w:val="576"/>
        </w:trPr>
        <w:tc>
          <w:tcPr>
            <w:tcW w:w="720" w:type="dxa"/>
            <w:vAlign w:val="center"/>
          </w:tcPr>
          <w:p w14:paraId="0E05A8FA" w14:textId="77777777" w:rsidR="009650AF" w:rsidRDefault="009650AF" w:rsidP="009650AF">
            <w:pPr>
              <w:spacing w:line="240" w:lineRule="auto"/>
              <w:jc w:val="center"/>
            </w:pPr>
            <w:r>
              <w:t xml:space="preserve"> </w:t>
            </w:r>
          </w:p>
        </w:tc>
        <w:tc>
          <w:tcPr>
            <w:tcW w:w="7920" w:type="dxa"/>
            <w:vAlign w:val="center"/>
          </w:tcPr>
          <w:p w14:paraId="0A3046FB" w14:textId="77777777" w:rsidR="009650AF" w:rsidRPr="009F264F" w:rsidRDefault="009650AF" w:rsidP="009650AF">
            <w:pPr>
              <w:spacing w:line="240" w:lineRule="auto"/>
              <w:jc w:val="center"/>
              <w:rPr>
                <w:rFonts w:eastAsiaTheme="minorEastAsia"/>
              </w:rPr>
            </w:pPr>
            <m:oMathPara>
              <m:oMath>
                <m:r>
                  <w:rPr>
                    <w:rFonts w:ascii="Cambria Math" w:hAnsi="Cambria Math"/>
                  </w:rPr>
                  <m:t>Q=</m:t>
                </m:r>
                <m:f>
                  <m:fPr>
                    <m:ctrlPr>
                      <w:rPr>
                        <w:rFonts w:ascii="Cambria Math" w:hAnsi="Cambria Math"/>
                        <w:i/>
                        <w:iCs/>
                      </w:rPr>
                    </m:ctrlPr>
                  </m:fPr>
                  <m:num>
                    <m:sSup>
                      <m:sSupPr>
                        <m:ctrlPr>
                          <w:rPr>
                            <w:rFonts w:ascii="Cambria Math" w:hAnsi="Cambria Math"/>
                            <w:i/>
                            <w:iCs/>
                          </w:rPr>
                        </m:ctrlPr>
                      </m:sSupPr>
                      <m:e>
                        <m:r>
                          <w:rPr>
                            <w:rFonts w:ascii="Cambria Math" w:hAnsi="Cambria Math"/>
                          </w:rPr>
                          <m:t>ΔPw</m:t>
                        </m:r>
                      </m:e>
                      <m:sup>
                        <m:r>
                          <w:rPr>
                            <w:rFonts w:ascii="Cambria Math" w:hAnsi="Cambria Math"/>
                          </w:rPr>
                          <m:t>3</m:t>
                        </m:r>
                      </m:sup>
                    </m:sSup>
                    <m:r>
                      <w:rPr>
                        <w:rFonts w:ascii="Cambria Math" w:hAnsi="Cambria Math"/>
                      </w:rPr>
                      <m:t>Dπ</m:t>
                    </m:r>
                  </m:num>
                  <m:den>
                    <m:r>
                      <w:rPr>
                        <w:rFonts w:ascii="Cambria Math" w:hAnsi="Cambria Math"/>
                      </w:rPr>
                      <m:t>12μL</m:t>
                    </m:r>
                  </m:den>
                </m:f>
              </m:oMath>
            </m:oMathPara>
          </w:p>
        </w:tc>
        <w:tc>
          <w:tcPr>
            <w:tcW w:w="720" w:type="dxa"/>
            <w:vAlign w:val="bottom"/>
          </w:tcPr>
          <w:p w14:paraId="791FBB96" w14:textId="30A23EB2" w:rsidR="009650AF"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9650AF">
              <w:t>.</w:t>
            </w:r>
            <w:r>
              <w:fldChar w:fldCharType="begin"/>
            </w:r>
            <w:r>
              <w:instrText xml:space="preserve"> SEQ Equation \* ARABIC \s 1 </w:instrText>
            </w:r>
            <w:r>
              <w:fldChar w:fldCharType="separate"/>
            </w:r>
            <w:r w:rsidR="0006023A">
              <w:rPr>
                <w:noProof/>
              </w:rPr>
              <w:t>54</w:t>
            </w:r>
            <w:r>
              <w:rPr>
                <w:noProof/>
              </w:rPr>
              <w:fldChar w:fldCharType="end"/>
            </w:r>
          </w:p>
        </w:tc>
      </w:tr>
    </w:tbl>
    <w:p w14:paraId="43540F20" w14:textId="77777777" w:rsidR="009650AF" w:rsidRDefault="009650AF" w:rsidP="009650AF">
      <w:pPr>
        <w:ind w:firstLine="720"/>
      </w:pPr>
    </w:p>
    <w:p w14:paraId="0AD50476" w14:textId="419F8AAC" w:rsidR="009650AF" w:rsidRDefault="009650AF" w:rsidP="009650AF">
      <w:pPr>
        <w:ind w:firstLine="720"/>
      </w:pPr>
      <w:r w:rsidRPr="00D63FF8">
        <w:t>Rearranging Equation 2.53 results in Equation 2.54 which is of the same form as the annular Hagen-Poiseulle equation (Equation 2.41) shown in Section 2.5</w:t>
      </w:r>
      <w:r w:rsidR="00E256B3" w:rsidRPr="00D63FF8">
        <w:t>. This</w:t>
      </w:r>
      <w:r w:rsidRPr="00D63FF8">
        <w:t xml:space="preserve"> should make Equation 2.54, and the methodology of Corina et al.</w:t>
      </w:r>
      <w:r>
        <w:t xml:space="preserve"> (2020), </w:t>
      </w:r>
      <w:r w:rsidR="00B51DDC">
        <w:t>not ideal</w:t>
      </w:r>
      <w:r>
        <w:t xml:space="preserve"> since Hagen-Poiseulle flow is not valid for gases. Some possible explanations exist that show how using annular Hagen-Poiseulle flow (or Darcy flow with the cubic law) is valid for low pressures (the experiments from Opedal et al. (2018) and Corina et al. (2019) use pressures less than 2 MPa). According to Hubbert (1956) and Outmans (1963), the flow behavior of gases in small pore spaces, excluding compressibility (i.e. ideal gases) is similar to that of a liquid</w:t>
      </w:r>
      <w:r w:rsidR="004E1007">
        <w:t>.</w:t>
      </w:r>
      <w:r>
        <w:t xml:space="preserve"> </w:t>
      </w:r>
      <w:r w:rsidR="004E1007">
        <w:t>T</w:t>
      </w:r>
      <w:r w:rsidR="00723F52">
        <w:t xml:space="preserve">hus </w:t>
      </w:r>
      <w:r>
        <w:t>Darcy flow should account for compressibility, especially in gases with low flow rates. Klinkenberg (1941),</w:t>
      </w:r>
      <w:r w:rsidR="00825D92">
        <w:t xml:space="preserve"> </w:t>
      </w:r>
      <w:r w:rsidR="00D63FF8">
        <w:t>however, showed</w:t>
      </w:r>
      <w:r>
        <w:t xml:space="preserve"> that the flow of gases and liquids are not similar. The relationship between the permeability of a </w:t>
      </w:r>
      <w:r>
        <w:lastRenderedPageBreak/>
        <w:t>medium for gas is not constant for the permeability of the same medium to a liquid except at “high” pressures (pressures greater than 2 MPa). Klinkenberg states that the permeability with respect to a gas is a function of the mean free path of the gas molecules which depend on pressure, temperature, and the nature of the gas. In other words, compressibility of the gas should be accounted for according to</w:t>
      </w:r>
      <w:r w:rsidR="00A1542A">
        <w:t xml:space="preserve"> the findings of</w:t>
      </w:r>
      <w:r>
        <w:t xml:space="preserve"> Klinkenber</w:t>
      </w:r>
      <w:r w:rsidR="00BE39D4">
        <w:t>g</w:t>
      </w:r>
      <w:r>
        <w:t xml:space="preserve"> (1941). </w:t>
      </w:r>
    </w:p>
    <w:p w14:paraId="2918E16F" w14:textId="77777777" w:rsidR="009650AF" w:rsidRDefault="009650AF" w:rsidP="009650AF">
      <w:pPr>
        <w:ind w:firstLine="720"/>
      </w:pPr>
      <w:r>
        <w:t xml:space="preserve">Since Corina et al. (2020) did not account for compressibility (although compressibility of nitrogen at their test pressures and temperatures is 3.1% different from ideal), Al Ramadan et al. (2019) used a </w:t>
      </w:r>
      <w:r w:rsidRPr="00D63FF8">
        <w:t>different approach combining the cubic law with a real gas law variation shown in Equation 2.55. The authors used this method, along with total leakage time (Equation 2.56), to determine the total length of cement that should be used given permeability values. The</w:t>
      </w:r>
      <w:r>
        <w:t xml:space="preserve"> authors </w:t>
      </w:r>
      <w:r w:rsidRPr="00D63FF8">
        <w:t>claim this method is valid for an ideal gas or a real gas since the real gas law is implemented in Equation 2.55.</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50AF" w14:paraId="37D53727" w14:textId="77777777" w:rsidTr="009650AF">
        <w:trPr>
          <w:trHeight w:val="576"/>
        </w:trPr>
        <w:tc>
          <w:tcPr>
            <w:tcW w:w="720" w:type="dxa"/>
            <w:vAlign w:val="center"/>
          </w:tcPr>
          <w:p w14:paraId="3A8D2C80" w14:textId="77777777" w:rsidR="009650AF" w:rsidRDefault="009650AF" w:rsidP="009650AF">
            <w:pPr>
              <w:spacing w:line="240" w:lineRule="auto"/>
              <w:jc w:val="center"/>
            </w:pPr>
          </w:p>
        </w:tc>
        <w:tc>
          <w:tcPr>
            <w:tcW w:w="7920" w:type="dxa"/>
            <w:vAlign w:val="center"/>
          </w:tcPr>
          <w:p w14:paraId="54F107C9" w14:textId="77777777" w:rsidR="009650AF" w:rsidRPr="009F264F" w:rsidRDefault="009650AF" w:rsidP="009650AF">
            <w:pPr>
              <w:spacing w:line="240" w:lineRule="auto"/>
              <w:jc w:val="center"/>
              <w:rPr>
                <w:rFonts w:eastAsiaTheme="minorEastAsia"/>
              </w:rPr>
            </w:pPr>
            <m:oMathPara>
              <m:oMath>
                <m:r>
                  <w:rPr>
                    <w:rFonts w:ascii="Cambria Math" w:hAnsi="Cambria Math"/>
                  </w:rPr>
                  <m:t>Q=</m:t>
                </m:r>
                <m:f>
                  <m:fPr>
                    <m:ctrlPr>
                      <w:rPr>
                        <w:rFonts w:ascii="Cambria Math" w:hAnsi="Cambria Math"/>
                        <w:i/>
                        <w:iCs/>
                      </w:rPr>
                    </m:ctrlPr>
                  </m:fPr>
                  <m:num>
                    <m:r>
                      <w:rPr>
                        <w:rFonts w:ascii="Cambria Math" w:hAnsi="Cambria Math"/>
                      </w:rPr>
                      <m:t>M</m:t>
                    </m:r>
                    <m:d>
                      <m:dPr>
                        <m:ctrlPr>
                          <w:rPr>
                            <w:rFonts w:ascii="Cambria Math" w:hAnsi="Cambria Math"/>
                            <w:i/>
                          </w:rPr>
                        </m:ctrlPr>
                      </m:dPr>
                      <m:e>
                        <m:sSubSup>
                          <m:sSubSupPr>
                            <m:ctrlPr>
                              <w:rPr>
                                <w:rFonts w:ascii="Cambria Math" w:hAnsi="Cambria Math"/>
                                <w:i/>
                              </w:rPr>
                            </m:ctrlPr>
                          </m:sSubSupPr>
                          <m:e>
                            <m:r>
                              <w:rPr>
                                <w:rFonts w:ascii="Cambria Math" w:hAnsi="Cambria Math"/>
                              </w:rPr>
                              <m:t>P</m:t>
                            </m:r>
                          </m:e>
                          <m:sub>
                            <m:r>
                              <w:rPr>
                                <w:rFonts w:ascii="Cambria Math" w:hAnsi="Cambria Math"/>
                              </w:rPr>
                              <m:t>u</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P</m:t>
                            </m:r>
                          </m:e>
                          <m:sub>
                            <m:r>
                              <w:rPr>
                                <w:rFonts w:ascii="Cambria Math" w:hAnsi="Cambria Math"/>
                              </w:rPr>
                              <m:t>d</m:t>
                            </m:r>
                          </m:sub>
                          <m:sup>
                            <m:r>
                              <w:rPr>
                                <w:rFonts w:ascii="Cambria Math" w:hAnsi="Cambria Math"/>
                              </w:rPr>
                              <m:t>2</m:t>
                            </m:r>
                          </m:sup>
                        </m:sSubSup>
                      </m:e>
                    </m:d>
                    <m:r>
                      <w:rPr>
                        <w:rFonts w:ascii="Cambria Math" w:hAnsi="Cambria Math"/>
                      </w:rPr>
                      <m:t>w</m:t>
                    </m:r>
                    <m:sSup>
                      <m:sSupPr>
                        <m:ctrlPr>
                          <w:rPr>
                            <w:rFonts w:ascii="Cambria Math" w:hAnsi="Cambria Math"/>
                            <w:i/>
                          </w:rPr>
                        </m:ctrlPr>
                      </m:sSupPr>
                      <m:e>
                        <m:r>
                          <w:rPr>
                            <w:rFonts w:ascii="Cambria Math" w:hAnsi="Cambria Math"/>
                          </w:rPr>
                          <m:t>h</m:t>
                        </m:r>
                      </m:e>
                      <m:sup>
                        <m:r>
                          <w:rPr>
                            <w:rFonts w:ascii="Cambria Math" w:hAnsi="Cambria Math"/>
                          </w:rPr>
                          <m:t>3</m:t>
                        </m:r>
                      </m:sup>
                    </m:sSup>
                  </m:num>
                  <m:den>
                    <m:r>
                      <w:rPr>
                        <w:rFonts w:ascii="Cambria Math" w:hAnsi="Cambria Math"/>
                      </w:rPr>
                      <m:t>24zRTLρμ</m:t>
                    </m:r>
                  </m:den>
                </m:f>
              </m:oMath>
            </m:oMathPara>
          </w:p>
        </w:tc>
        <w:tc>
          <w:tcPr>
            <w:tcW w:w="720" w:type="dxa"/>
            <w:vAlign w:val="bottom"/>
          </w:tcPr>
          <w:p w14:paraId="3DC48954" w14:textId="0734F9AF" w:rsidR="009650AF"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9650AF">
              <w:t>.</w:t>
            </w:r>
            <w:r>
              <w:fldChar w:fldCharType="begin"/>
            </w:r>
            <w:r>
              <w:instrText xml:space="preserve"> SEQ Equation \* ARABIC \s 1 </w:instrText>
            </w:r>
            <w:r>
              <w:fldChar w:fldCharType="separate"/>
            </w:r>
            <w:r w:rsidR="0006023A">
              <w:rPr>
                <w:noProof/>
              </w:rPr>
              <w:t>55</w:t>
            </w:r>
            <w:r>
              <w:rPr>
                <w:noProof/>
              </w:rPr>
              <w:fldChar w:fldCharType="end"/>
            </w:r>
          </w:p>
        </w:tc>
      </w:tr>
    </w:tbl>
    <w:p w14:paraId="09B1B2A1" w14:textId="77777777" w:rsidR="009650AF" w:rsidRDefault="009650AF" w:rsidP="009650AF">
      <w:pPr>
        <w:ind w:firstLine="720"/>
      </w:pPr>
    </w:p>
    <w:p w14:paraId="011E8DB4" w14:textId="77777777" w:rsidR="009650AF" w:rsidRDefault="009650AF" w:rsidP="009650AF">
      <w:pPr>
        <w:ind w:firstLine="720"/>
      </w:pPr>
      <w:r>
        <w:t xml:space="preserve">Where </w:t>
      </w:r>
      <m:oMath>
        <m:r>
          <w:rPr>
            <w:rFonts w:ascii="Cambria Math" w:hAnsi="Cambria Math"/>
          </w:rPr>
          <m:t>Q</m:t>
        </m:r>
      </m:oMath>
      <w:r>
        <w:t xml:space="preserve"> is the flow rate, </w:t>
      </w:r>
      <m:oMath>
        <m:r>
          <w:rPr>
            <w:rFonts w:ascii="Cambria Math" w:hAnsi="Cambria Math"/>
          </w:rPr>
          <m:t>M</m:t>
        </m:r>
      </m:oMath>
      <w:r>
        <w:t xml:space="preserve"> is the gas molecular weight, </w:t>
      </w:r>
      <m:oMath>
        <m:sSub>
          <m:sSubPr>
            <m:ctrlPr>
              <w:rPr>
                <w:rFonts w:ascii="Cambria Math" w:hAnsi="Cambria Math"/>
                <w:i/>
              </w:rPr>
            </m:ctrlPr>
          </m:sSubPr>
          <m:e>
            <m:r>
              <w:rPr>
                <w:rFonts w:ascii="Cambria Math" w:hAnsi="Cambria Math"/>
              </w:rPr>
              <m:t>P</m:t>
            </m:r>
          </m:e>
          <m:sub>
            <m:r>
              <w:rPr>
                <w:rFonts w:ascii="Cambria Math" w:hAnsi="Cambria Math"/>
              </w:rPr>
              <m:t>u</m:t>
            </m:r>
          </m:sub>
        </m:sSub>
      </m:oMath>
      <w:r>
        <w:t xml:space="preserve"> is the upstream pressure, </w:t>
      </w:r>
      <m:oMath>
        <m:sSub>
          <m:sSubPr>
            <m:ctrlPr>
              <w:rPr>
                <w:rFonts w:ascii="Cambria Math" w:hAnsi="Cambria Math"/>
                <w:i/>
              </w:rPr>
            </m:ctrlPr>
          </m:sSubPr>
          <m:e>
            <m:r>
              <w:rPr>
                <w:rFonts w:ascii="Cambria Math" w:hAnsi="Cambria Math"/>
              </w:rPr>
              <m:t>P</m:t>
            </m:r>
          </m:e>
          <m:sub>
            <m:r>
              <w:rPr>
                <w:rFonts w:ascii="Cambria Math" w:hAnsi="Cambria Math"/>
              </w:rPr>
              <m:t>d</m:t>
            </m:r>
          </m:sub>
        </m:sSub>
      </m:oMath>
      <w:r>
        <w:t xml:space="preserve"> is the downstream pressure, </w:t>
      </w:r>
      <m:oMath>
        <m:r>
          <w:rPr>
            <w:rFonts w:ascii="Cambria Math" w:hAnsi="Cambria Math"/>
          </w:rPr>
          <m:t>z</m:t>
        </m:r>
      </m:oMath>
      <w:r>
        <w:t xml:space="preserve"> is the compressibility factor, </w:t>
      </w:r>
      <m:oMath>
        <m:r>
          <w:rPr>
            <w:rFonts w:ascii="Cambria Math" w:hAnsi="Cambria Math"/>
          </w:rPr>
          <m:t>R</m:t>
        </m:r>
      </m:oMath>
      <w:r>
        <w:t xml:space="preserve"> is the universal gas constant, </w:t>
      </w:r>
      <m:oMath>
        <m:r>
          <w:rPr>
            <w:rFonts w:ascii="Cambria Math" w:hAnsi="Cambria Math"/>
          </w:rPr>
          <m:t>T</m:t>
        </m:r>
      </m:oMath>
      <w:r>
        <w:t xml:space="preserve"> is the temperature, </w:t>
      </w:r>
      <m:oMath>
        <m:r>
          <w:rPr>
            <w:rFonts w:ascii="Cambria Math" w:hAnsi="Cambria Math"/>
          </w:rPr>
          <m:t>L</m:t>
        </m:r>
      </m:oMath>
      <w:r>
        <w:t xml:space="preserve"> is the length, </w:t>
      </w:r>
      <m:oMath>
        <m:r>
          <w:rPr>
            <w:rFonts w:ascii="Cambria Math" w:hAnsi="Cambria Math"/>
          </w:rPr>
          <m:t>ρ</m:t>
        </m:r>
      </m:oMath>
      <w:r>
        <w:t xml:space="preserve"> is the density, and </w:t>
      </w:r>
      <m:oMath>
        <m:r>
          <w:rPr>
            <w:rFonts w:ascii="Cambria Math" w:hAnsi="Cambria Math"/>
          </w:rPr>
          <m:t>μ</m:t>
        </m:r>
      </m:oMath>
      <w:r>
        <w:t xml:space="preserve"> is the gas viscosity.</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50AF" w14:paraId="22F16E07" w14:textId="77777777" w:rsidTr="009650AF">
        <w:trPr>
          <w:trHeight w:val="576"/>
        </w:trPr>
        <w:tc>
          <w:tcPr>
            <w:tcW w:w="720" w:type="dxa"/>
            <w:vAlign w:val="center"/>
          </w:tcPr>
          <w:p w14:paraId="0C2EE33F" w14:textId="77777777" w:rsidR="009650AF" w:rsidRDefault="009650AF" w:rsidP="009650AF">
            <w:pPr>
              <w:spacing w:line="240" w:lineRule="auto"/>
              <w:jc w:val="center"/>
            </w:pPr>
          </w:p>
        </w:tc>
        <w:tc>
          <w:tcPr>
            <w:tcW w:w="7920" w:type="dxa"/>
            <w:vAlign w:val="center"/>
          </w:tcPr>
          <w:p w14:paraId="7DD0ABD8" w14:textId="77777777" w:rsidR="009650AF" w:rsidRPr="009F264F" w:rsidRDefault="009650AF" w:rsidP="009650AF">
            <w:pPr>
              <w:spacing w:line="240" w:lineRule="auto"/>
              <w:jc w:val="center"/>
              <w:rPr>
                <w:rFonts w:eastAsiaTheme="minorEastAsia"/>
              </w:rPr>
            </w:pPr>
            <m:oMathPara>
              <m:oMath>
                <m:r>
                  <w:rPr>
                    <w:rFonts w:ascii="Cambria Math" w:hAnsi="Cambria Math"/>
                  </w:rPr>
                  <m:t>t=</m:t>
                </m:r>
                <m:f>
                  <m:fPr>
                    <m:ctrlPr>
                      <w:rPr>
                        <w:rFonts w:ascii="Cambria Math" w:hAnsi="Cambria Math"/>
                        <w:i/>
                      </w:rPr>
                    </m:ctrlPr>
                  </m:fPr>
                  <m:num>
                    <m:sSub>
                      <m:sSubPr>
                        <m:ctrlPr>
                          <w:rPr>
                            <w:rFonts w:ascii="Cambria Math" w:hAnsi="Cambria Math"/>
                            <w:i/>
                          </w:rPr>
                        </m:ctrlPr>
                      </m:sSubPr>
                      <m:e>
                        <m:r>
                          <w:rPr>
                            <w:rFonts w:ascii="Cambria Math" w:hAnsi="Cambria Math"/>
                          </w:rPr>
                          <m:t>A</m:t>
                        </m:r>
                      </m:e>
                      <m:sub>
                        <m:r>
                          <w:rPr>
                            <w:rFonts w:ascii="Cambria Math" w:hAnsi="Cambria Math"/>
                          </w:rPr>
                          <m:t>m</m:t>
                        </m:r>
                      </m:sub>
                    </m:sSub>
                    <m:r>
                      <w:rPr>
                        <w:rFonts w:ascii="Cambria Math" w:hAnsi="Cambria Math"/>
                      </w:rPr>
                      <m:t>L</m:t>
                    </m:r>
                  </m:num>
                  <m:den>
                    <m:r>
                      <w:rPr>
                        <w:rFonts w:ascii="Cambria Math" w:hAnsi="Cambria Math"/>
                      </w:rPr>
                      <m:t>Q</m:t>
                    </m:r>
                  </m:den>
                </m:f>
              </m:oMath>
            </m:oMathPara>
          </w:p>
        </w:tc>
        <w:tc>
          <w:tcPr>
            <w:tcW w:w="720" w:type="dxa"/>
            <w:vAlign w:val="bottom"/>
          </w:tcPr>
          <w:p w14:paraId="495D7F82" w14:textId="043C8D08" w:rsidR="009650AF"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9650AF">
              <w:t>.</w:t>
            </w:r>
            <w:r>
              <w:fldChar w:fldCharType="begin"/>
            </w:r>
            <w:r>
              <w:instrText xml:space="preserve"> SEQ Equation \* ARABIC \s 1 </w:instrText>
            </w:r>
            <w:r>
              <w:fldChar w:fldCharType="separate"/>
            </w:r>
            <w:r w:rsidR="0006023A">
              <w:rPr>
                <w:noProof/>
              </w:rPr>
              <w:t>56</w:t>
            </w:r>
            <w:r>
              <w:rPr>
                <w:noProof/>
              </w:rPr>
              <w:fldChar w:fldCharType="end"/>
            </w:r>
          </w:p>
        </w:tc>
      </w:tr>
    </w:tbl>
    <w:p w14:paraId="2316C72E" w14:textId="77777777" w:rsidR="009650AF" w:rsidRDefault="009650AF" w:rsidP="009650AF">
      <w:pPr>
        <w:ind w:firstLine="720"/>
      </w:pPr>
    </w:p>
    <w:p w14:paraId="3BE3F1E0" w14:textId="77777777" w:rsidR="009650AF" w:rsidRDefault="009650AF" w:rsidP="009650AF">
      <w:pPr>
        <w:ind w:firstLine="720"/>
      </w:pPr>
      <w:r>
        <w:t xml:space="preserve">Where </w:t>
      </w:r>
      <m:oMath>
        <m:r>
          <w:rPr>
            <w:rFonts w:ascii="Cambria Math" w:hAnsi="Cambria Math"/>
          </w:rPr>
          <m:t>t</m:t>
        </m:r>
      </m:oMath>
      <w:r>
        <w:t xml:space="preserve"> is the leakage time and </w:t>
      </w:r>
      <m:oMath>
        <m:sSub>
          <m:sSubPr>
            <m:ctrlPr>
              <w:rPr>
                <w:rFonts w:ascii="Cambria Math" w:hAnsi="Cambria Math"/>
                <w:i/>
              </w:rPr>
            </m:ctrlPr>
          </m:sSubPr>
          <m:e>
            <m:r>
              <w:rPr>
                <w:rFonts w:ascii="Cambria Math" w:hAnsi="Cambria Math"/>
              </w:rPr>
              <m:t>A</m:t>
            </m:r>
          </m:e>
          <m:sub>
            <m:r>
              <w:rPr>
                <w:rFonts w:ascii="Cambria Math" w:hAnsi="Cambria Math"/>
              </w:rPr>
              <m:t>m</m:t>
            </m:r>
          </m:sub>
        </m:sSub>
      </m:oMath>
      <w:r>
        <w:t xml:space="preserve"> is the flow area.</w:t>
      </w:r>
    </w:p>
    <w:p w14:paraId="32C2E0C3" w14:textId="77777777" w:rsidR="009650AF" w:rsidRDefault="009650AF" w:rsidP="009650AF">
      <w:pPr>
        <w:ind w:firstLine="720"/>
      </w:pPr>
      <w:r w:rsidRPr="00D63FF8">
        <w:t xml:space="preserve">The issue with this method is twofold. First the cement permeability is unknown in the cubic law (Equation 2.50 from above). The values could stem from experimental data, but lab scale experiments have their own limitations such as downhole conditions and time frames. The second </w:t>
      </w:r>
      <w:r w:rsidRPr="00D63FF8">
        <w:lastRenderedPageBreak/>
        <w:t>issue involves the physics behind Equation 2.55. Equation 2.55 allegedly accounts for a real gas, but the derivation or citation for how this equation came to be is missing. The compressibility factor is assuming an average value for the upstream and downstream pressures. Inserting the real gas equation (Equation 2.57) into Equation 2.55 results in Equation 2.58. Simplification (Equation 2.59) shows that the “real gas” equation used in Al Ramadan et al. (2019) assumes an ideal gas since the compressibility factor is in both the numerator and denominator cancels out. Extra pressure terms in the numerator and denominator are the only difference between Equation 2.59 and annular Hagen-Poiseulle flow shown in Equation 2.41 in Chapter 2.5.</w:t>
      </w:r>
      <w:r>
        <w:t xml:space="preserve"> </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50AF" w14:paraId="3317C21B" w14:textId="77777777" w:rsidTr="009650AF">
        <w:trPr>
          <w:trHeight w:val="576"/>
        </w:trPr>
        <w:tc>
          <w:tcPr>
            <w:tcW w:w="720" w:type="dxa"/>
            <w:vAlign w:val="center"/>
          </w:tcPr>
          <w:p w14:paraId="79357021" w14:textId="77777777" w:rsidR="009650AF" w:rsidRDefault="009650AF" w:rsidP="009650AF">
            <w:pPr>
              <w:spacing w:line="240" w:lineRule="auto"/>
              <w:jc w:val="center"/>
            </w:pPr>
          </w:p>
        </w:tc>
        <w:tc>
          <w:tcPr>
            <w:tcW w:w="7920" w:type="dxa"/>
            <w:vAlign w:val="center"/>
          </w:tcPr>
          <w:p w14:paraId="121B9348" w14:textId="77777777" w:rsidR="009650AF" w:rsidRPr="009F264F" w:rsidRDefault="009650AF" w:rsidP="009650AF">
            <w:pPr>
              <w:spacing w:line="240" w:lineRule="auto"/>
              <w:jc w:val="center"/>
              <w:rPr>
                <w:rFonts w:eastAsiaTheme="minorEastAsia"/>
              </w:rPr>
            </w:pPr>
            <m:oMathPara>
              <m:oMath>
                <m:r>
                  <w:rPr>
                    <w:rFonts w:ascii="Cambria Math" w:hAnsi="Cambria Math"/>
                  </w:rPr>
                  <m:t>z=</m:t>
                </m:r>
                <m:f>
                  <m:fPr>
                    <m:ctrlPr>
                      <w:rPr>
                        <w:rFonts w:ascii="Cambria Math" w:hAnsi="Cambria Math"/>
                        <w:i/>
                      </w:rPr>
                    </m:ctrlPr>
                  </m:fPr>
                  <m:num>
                    <m:r>
                      <w:rPr>
                        <w:rFonts w:ascii="Cambria Math" w:hAnsi="Cambria Math"/>
                      </w:rPr>
                      <m:t>PM</m:t>
                    </m:r>
                  </m:num>
                  <m:den>
                    <m:r>
                      <w:rPr>
                        <w:rFonts w:ascii="Cambria Math" w:hAnsi="Cambria Math"/>
                      </w:rPr>
                      <m:t>RTρ</m:t>
                    </m:r>
                  </m:den>
                </m:f>
              </m:oMath>
            </m:oMathPara>
          </w:p>
        </w:tc>
        <w:tc>
          <w:tcPr>
            <w:tcW w:w="720" w:type="dxa"/>
            <w:vAlign w:val="bottom"/>
          </w:tcPr>
          <w:p w14:paraId="46EDFD35" w14:textId="014857BE" w:rsidR="009650AF"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9650AF">
              <w:t>.</w:t>
            </w:r>
            <w:r>
              <w:fldChar w:fldCharType="begin"/>
            </w:r>
            <w:r>
              <w:instrText xml:space="preserve"> SEQ Equation \* ARABIC \s 1 </w:instrText>
            </w:r>
            <w:r>
              <w:fldChar w:fldCharType="separate"/>
            </w:r>
            <w:r w:rsidR="0006023A">
              <w:rPr>
                <w:noProof/>
              </w:rPr>
              <w:t>57</w:t>
            </w:r>
            <w:r>
              <w:rPr>
                <w:noProof/>
              </w:rPr>
              <w:fldChar w:fldCharType="end"/>
            </w:r>
          </w:p>
        </w:tc>
      </w:tr>
    </w:tbl>
    <w:p w14:paraId="317E5635" w14:textId="77777777" w:rsidR="009650AF" w:rsidRDefault="009650AF" w:rsidP="009650AF">
      <w:pPr>
        <w:ind w:firstLine="720"/>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50AF" w14:paraId="75922EBA" w14:textId="77777777" w:rsidTr="009650AF">
        <w:trPr>
          <w:trHeight w:val="576"/>
        </w:trPr>
        <w:tc>
          <w:tcPr>
            <w:tcW w:w="720" w:type="dxa"/>
            <w:vAlign w:val="center"/>
          </w:tcPr>
          <w:p w14:paraId="56BE0545" w14:textId="77777777" w:rsidR="009650AF" w:rsidRDefault="009650AF" w:rsidP="009650AF">
            <w:pPr>
              <w:spacing w:line="240" w:lineRule="auto"/>
              <w:jc w:val="center"/>
            </w:pPr>
          </w:p>
        </w:tc>
        <w:tc>
          <w:tcPr>
            <w:tcW w:w="7920" w:type="dxa"/>
            <w:vAlign w:val="center"/>
          </w:tcPr>
          <w:p w14:paraId="52DD15FC" w14:textId="77777777" w:rsidR="009650AF" w:rsidRPr="009F264F" w:rsidRDefault="009650AF" w:rsidP="009650AF">
            <w:pPr>
              <w:spacing w:line="240" w:lineRule="auto"/>
              <w:jc w:val="center"/>
              <w:rPr>
                <w:rFonts w:eastAsiaTheme="minorEastAsia"/>
              </w:rPr>
            </w:pPr>
            <m:oMathPara>
              <m:oMath>
                <m:r>
                  <w:rPr>
                    <w:rFonts w:ascii="Cambria Math" w:hAnsi="Cambria Math"/>
                  </w:rPr>
                  <m:t>Q=</m:t>
                </m:r>
                <m:f>
                  <m:fPr>
                    <m:ctrlPr>
                      <w:rPr>
                        <w:rFonts w:ascii="Cambria Math" w:hAnsi="Cambria Math"/>
                        <w:i/>
                        <w:iCs/>
                      </w:rPr>
                    </m:ctrlPr>
                  </m:fPr>
                  <m:num>
                    <m:r>
                      <w:rPr>
                        <w:rFonts w:ascii="Cambria Math" w:hAnsi="Cambria Math"/>
                      </w:rPr>
                      <m:t>M</m:t>
                    </m:r>
                    <m:d>
                      <m:dPr>
                        <m:ctrlPr>
                          <w:rPr>
                            <w:rFonts w:ascii="Cambria Math" w:hAnsi="Cambria Math"/>
                            <w:i/>
                          </w:rPr>
                        </m:ctrlPr>
                      </m:dPr>
                      <m:e>
                        <m:sSubSup>
                          <m:sSubSupPr>
                            <m:ctrlPr>
                              <w:rPr>
                                <w:rFonts w:ascii="Cambria Math" w:hAnsi="Cambria Math"/>
                                <w:i/>
                              </w:rPr>
                            </m:ctrlPr>
                          </m:sSubSupPr>
                          <m:e>
                            <m:r>
                              <w:rPr>
                                <w:rFonts w:ascii="Cambria Math" w:hAnsi="Cambria Math"/>
                              </w:rPr>
                              <m:t>P</m:t>
                            </m:r>
                          </m:e>
                          <m:sub>
                            <m:r>
                              <w:rPr>
                                <w:rFonts w:ascii="Cambria Math" w:hAnsi="Cambria Math"/>
                              </w:rPr>
                              <m:t>u</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P</m:t>
                            </m:r>
                          </m:e>
                          <m:sub>
                            <m:r>
                              <w:rPr>
                                <w:rFonts w:ascii="Cambria Math" w:hAnsi="Cambria Math"/>
                              </w:rPr>
                              <m:t>d</m:t>
                            </m:r>
                          </m:sub>
                          <m:sup>
                            <m:r>
                              <w:rPr>
                                <w:rFonts w:ascii="Cambria Math" w:hAnsi="Cambria Math"/>
                              </w:rPr>
                              <m:t>2</m:t>
                            </m:r>
                          </m:sup>
                        </m:sSubSup>
                      </m:e>
                    </m:d>
                    <m:r>
                      <w:rPr>
                        <w:rFonts w:ascii="Cambria Math" w:hAnsi="Cambria Math"/>
                      </w:rPr>
                      <m:t>w</m:t>
                    </m:r>
                    <m:sSup>
                      <m:sSupPr>
                        <m:ctrlPr>
                          <w:rPr>
                            <w:rFonts w:ascii="Cambria Math" w:hAnsi="Cambria Math"/>
                            <w:i/>
                          </w:rPr>
                        </m:ctrlPr>
                      </m:sSupPr>
                      <m:e>
                        <m:r>
                          <w:rPr>
                            <w:rFonts w:ascii="Cambria Math" w:hAnsi="Cambria Math"/>
                          </w:rPr>
                          <m:t>h</m:t>
                        </m:r>
                      </m:e>
                      <m:sup>
                        <m:r>
                          <w:rPr>
                            <w:rFonts w:ascii="Cambria Math" w:hAnsi="Cambria Math"/>
                          </w:rPr>
                          <m:t>3</m:t>
                        </m:r>
                      </m:sup>
                    </m:sSup>
                    <m:r>
                      <w:rPr>
                        <w:rFonts w:ascii="Cambria Math" w:hAnsi="Cambria Math"/>
                      </w:rPr>
                      <m:t>RTρ</m:t>
                    </m:r>
                  </m:num>
                  <m:den>
                    <m:r>
                      <w:rPr>
                        <w:rFonts w:ascii="Cambria Math" w:hAnsi="Cambria Math"/>
                      </w:rPr>
                      <m:t>24PMRTLρμ</m:t>
                    </m:r>
                  </m:den>
                </m:f>
              </m:oMath>
            </m:oMathPara>
          </w:p>
        </w:tc>
        <w:tc>
          <w:tcPr>
            <w:tcW w:w="720" w:type="dxa"/>
            <w:vAlign w:val="bottom"/>
          </w:tcPr>
          <w:p w14:paraId="06A1504C" w14:textId="4C96B2B1" w:rsidR="009650AF"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9650AF">
              <w:t>.</w:t>
            </w:r>
            <w:r>
              <w:fldChar w:fldCharType="begin"/>
            </w:r>
            <w:r>
              <w:instrText xml:space="preserve"> SEQ Equation \* ARABIC \s 1 </w:instrText>
            </w:r>
            <w:r>
              <w:fldChar w:fldCharType="separate"/>
            </w:r>
            <w:r w:rsidR="0006023A">
              <w:rPr>
                <w:noProof/>
              </w:rPr>
              <w:t>58</w:t>
            </w:r>
            <w:r>
              <w:rPr>
                <w:noProof/>
              </w:rPr>
              <w:fldChar w:fldCharType="end"/>
            </w:r>
          </w:p>
        </w:tc>
      </w:tr>
    </w:tbl>
    <w:p w14:paraId="04177B7A" w14:textId="77777777" w:rsidR="009650AF" w:rsidRDefault="009650AF" w:rsidP="009650AF">
      <w:pPr>
        <w:ind w:firstLine="720"/>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50AF" w14:paraId="0A10F4D5" w14:textId="77777777" w:rsidTr="009650AF">
        <w:trPr>
          <w:trHeight w:val="576"/>
        </w:trPr>
        <w:tc>
          <w:tcPr>
            <w:tcW w:w="720" w:type="dxa"/>
            <w:vAlign w:val="center"/>
          </w:tcPr>
          <w:p w14:paraId="13E8ABFF" w14:textId="77777777" w:rsidR="009650AF" w:rsidRDefault="009650AF" w:rsidP="009650AF">
            <w:pPr>
              <w:spacing w:line="240" w:lineRule="auto"/>
              <w:jc w:val="center"/>
            </w:pPr>
          </w:p>
        </w:tc>
        <w:tc>
          <w:tcPr>
            <w:tcW w:w="7920" w:type="dxa"/>
            <w:vAlign w:val="center"/>
          </w:tcPr>
          <w:p w14:paraId="601B23B6" w14:textId="77777777" w:rsidR="009650AF" w:rsidRPr="009F264F" w:rsidRDefault="009650AF" w:rsidP="009650AF">
            <w:pPr>
              <w:spacing w:line="240" w:lineRule="auto"/>
              <w:jc w:val="center"/>
              <w:rPr>
                <w:rFonts w:eastAsiaTheme="minorEastAsia"/>
              </w:rPr>
            </w:pPr>
            <m:oMathPara>
              <m:oMath>
                <m:r>
                  <w:rPr>
                    <w:rFonts w:ascii="Cambria Math" w:hAnsi="Cambria Math"/>
                  </w:rPr>
                  <m:t>Q=</m:t>
                </m:r>
                <m:f>
                  <m:fPr>
                    <m:ctrlPr>
                      <w:rPr>
                        <w:rFonts w:ascii="Cambria Math" w:hAnsi="Cambria Math"/>
                        <w:i/>
                        <w:iCs/>
                      </w:rPr>
                    </m:ctrlPr>
                  </m:fPr>
                  <m:num>
                    <m:d>
                      <m:dPr>
                        <m:ctrlPr>
                          <w:rPr>
                            <w:rFonts w:ascii="Cambria Math" w:hAnsi="Cambria Math"/>
                            <w:i/>
                          </w:rPr>
                        </m:ctrlPr>
                      </m:dPr>
                      <m:e>
                        <m:sSubSup>
                          <m:sSubSupPr>
                            <m:ctrlPr>
                              <w:rPr>
                                <w:rFonts w:ascii="Cambria Math" w:hAnsi="Cambria Math"/>
                                <w:i/>
                              </w:rPr>
                            </m:ctrlPr>
                          </m:sSubSupPr>
                          <m:e>
                            <m:r>
                              <w:rPr>
                                <w:rFonts w:ascii="Cambria Math" w:hAnsi="Cambria Math"/>
                              </w:rPr>
                              <m:t>P</m:t>
                            </m:r>
                          </m:e>
                          <m:sub>
                            <m:r>
                              <w:rPr>
                                <w:rFonts w:ascii="Cambria Math" w:hAnsi="Cambria Math"/>
                              </w:rPr>
                              <m:t>u</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P</m:t>
                            </m:r>
                          </m:e>
                          <m:sub>
                            <m:r>
                              <w:rPr>
                                <w:rFonts w:ascii="Cambria Math" w:hAnsi="Cambria Math"/>
                              </w:rPr>
                              <m:t>d</m:t>
                            </m:r>
                          </m:sub>
                          <m:sup>
                            <m:r>
                              <w:rPr>
                                <w:rFonts w:ascii="Cambria Math" w:hAnsi="Cambria Math"/>
                              </w:rPr>
                              <m:t>2</m:t>
                            </m:r>
                          </m:sup>
                        </m:sSubSup>
                      </m:e>
                    </m:d>
                    <m:r>
                      <w:rPr>
                        <w:rFonts w:ascii="Cambria Math" w:hAnsi="Cambria Math"/>
                      </w:rPr>
                      <m:t>w</m:t>
                    </m:r>
                    <m:sSup>
                      <m:sSupPr>
                        <m:ctrlPr>
                          <w:rPr>
                            <w:rFonts w:ascii="Cambria Math" w:hAnsi="Cambria Math"/>
                            <w:i/>
                          </w:rPr>
                        </m:ctrlPr>
                      </m:sSupPr>
                      <m:e>
                        <m:r>
                          <w:rPr>
                            <w:rFonts w:ascii="Cambria Math" w:hAnsi="Cambria Math"/>
                          </w:rPr>
                          <m:t>h</m:t>
                        </m:r>
                      </m:e>
                      <m:sup>
                        <m:r>
                          <w:rPr>
                            <w:rFonts w:ascii="Cambria Math" w:hAnsi="Cambria Math"/>
                          </w:rPr>
                          <m:t>3</m:t>
                        </m:r>
                      </m:sup>
                    </m:sSup>
                  </m:num>
                  <m:den>
                    <m:r>
                      <w:rPr>
                        <w:rFonts w:ascii="Cambria Math" w:hAnsi="Cambria Math"/>
                      </w:rPr>
                      <m:t>24PLμ</m:t>
                    </m:r>
                  </m:den>
                </m:f>
              </m:oMath>
            </m:oMathPara>
          </w:p>
        </w:tc>
        <w:tc>
          <w:tcPr>
            <w:tcW w:w="720" w:type="dxa"/>
            <w:vAlign w:val="bottom"/>
          </w:tcPr>
          <w:p w14:paraId="0C35E14D" w14:textId="1EAC01C4" w:rsidR="009650AF"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9650AF">
              <w:t>.</w:t>
            </w:r>
            <w:r>
              <w:fldChar w:fldCharType="begin"/>
            </w:r>
            <w:r>
              <w:instrText xml:space="preserve"> SEQ Equation \* ARABIC \s 1 </w:instrText>
            </w:r>
            <w:r>
              <w:fldChar w:fldCharType="separate"/>
            </w:r>
            <w:r w:rsidR="0006023A">
              <w:rPr>
                <w:noProof/>
              </w:rPr>
              <w:t>59</w:t>
            </w:r>
            <w:r>
              <w:rPr>
                <w:noProof/>
              </w:rPr>
              <w:fldChar w:fldCharType="end"/>
            </w:r>
          </w:p>
        </w:tc>
      </w:tr>
    </w:tbl>
    <w:p w14:paraId="478D4926" w14:textId="77777777" w:rsidR="009650AF" w:rsidRDefault="009650AF" w:rsidP="009650AF">
      <w:pPr>
        <w:ind w:firstLine="720"/>
      </w:pPr>
      <w:r>
        <w:t xml:space="preserve">  </w:t>
      </w:r>
    </w:p>
    <w:p w14:paraId="123C125F" w14:textId="09AF8699" w:rsidR="009650AF" w:rsidRDefault="009650AF" w:rsidP="009650AF">
      <w:pPr>
        <w:ind w:firstLine="720"/>
      </w:pPr>
      <w:r>
        <w:t xml:space="preserve">From the research done by Aas et al. </w:t>
      </w:r>
      <w:r w:rsidRPr="00933315">
        <w:rPr>
          <w:lang w:val="nb-NO"/>
        </w:rPr>
        <w:t xml:space="preserve">(2016), Stormont et al. (2018), and Skadsem et al. </w:t>
      </w:r>
      <w:r>
        <w:t xml:space="preserve">(2019), the authors investigated cement </w:t>
      </w:r>
      <w:r w:rsidR="00EF3229">
        <w:t xml:space="preserve">microannuli formulation </w:t>
      </w:r>
      <w:r>
        <w:t xml:space="preserve">due to pressure induced debonding of the cement sheath to the steel casing. The loss of zonal isolation was observed and quantified by measuring pressure-driven flow through the cement sheath. The effective permeability (equivalent microannuli) was calculated using the observed flow rates and derived analytical equations. Due to the nature of the analytical equations, the equivalent microannuli determined in the </w:t>
      </w:r>
      <w:r w:rsidR="00EF3229">
        <w:t>experiments</w:t>
      </w:r>
      <w:r>
        <w:t xml:space="preserve"> are assumed to be uniform around the circumference around the casing.</w:t>
      </w:r>
    </w:p>
    <w:p w14:paraId="259978A4" w14:textId="77777777" w:rsidR="009650AF" w:rsidRDefault="009650AF" w:rsidP="009650AF">
      <w:pPr>
        <w:ind w:firstLine="720"/>
      </w:pPr>
      <w:r>
        <w:lastRenderedPageBreak/>
        <w:t xml:space="preserve">To determine if the microannuli are uniform, </w:t>
      </w:r>
      <w:r w:rsidRPr="00F44267">
        <w:t xml:space="preserve">Albawi et al. </w:t>
      </w:r>
      <w:r w:rsidRPr="00933315">
        <w:rPr>
          <w:lang w:val="nb-NO"/>
        </w:rPr>
        <w:t xml:space="preserve">(2014), Vrålstad et al. (2015), De Andrade et al. </w:t>
      </w:r>
      <w:r>
        <w:t xml:space="preserve">(2016), Skorpa and Vrålstad (2018), and Vrålstad and Skorpa (2020) developed a lab scale experiment replicating temperature cycles within a wellbore. The experiments consisted of a rock formation with a </w:t>
      </w:r>
      <w:r w:rsidRPr="00D63FF8">
        <w:t>casing cemented in place. Cement fracture and/or microannuli were created within the cement sheath or along the rock/cement or cement/casing interface due to temperature cycles at different confining pressures. The experiments were then reconstructed in 3D using a CT machine to quantify and visualize the leakage pathways. Skorpa and Vrålstad (2018) extended the experiments by applying pressure-driven flow through the cracks and microannuli. An example of their results is shown in Figure 2.18.</w:t>
      </w:r>
      <w:r>
        <w:t xml:space="preserve"> </w:t>
      </w:r>
    </w:p>
    <w:p w14:paraId="0BB5F2EA" w14:textId="77777777" w:rsidR="009650AF" w:rsidRDefault="009650AF" w:rsidP="00BC23AD">
      <w:pPr>
        <w:pStyle w:val="NoSpacing"/>
      </w:pPr>
      <w:r w:rsidRPr="00FC2618">
        <w:rPr>
          <w:noProof/>
        </w:rPr>
        <w:drawing>
          <wp:inline distT="0" distB="0" distL="0" distR="0" wp14:anchorId="183107D2" wp14:editId="2C05AF46">
            <wp:extent cx="5943600" cy="314642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30"/>
                    <a:srcRect l="6467" t="3292" r="3800"/>
                    <a:stretch/>
                  </pic:blipFill>
                  <pic:spPr>
                    <a:xfrm>
                      <a:off x="0" y="0"/>
                      <a:ext cx="5943600" cy="3146425"/>
                    </a:xfrm>
                    <a:prstGeom prst="rect">
                      <a:avLst/>
                    </a:prstGeom>
                  </pic:spPr>
                </pic:pic>
              </a:graphicData>
            </a:graphic>
          </wp:inline>
        </w:drawing>
      </w:r>
    </w:p>
    <w:p w14:paraId="5E34AB7C" w14:textId="5B2C32F0" w:rsidR="009650AF" w:rsidRDefault="009650AF" w:rsidP="00BC23AD">
      <w:pPr>
        <w:pStyle w:val="Caption"/>
      </w:pPr>
      <w:bookmarkStart w:id="39" w:name="_Toc67566201"/>
      <w:r>
        <w:t xml:space="preserve">Figure </w:t>
      </w:r>
      <w:r w:rsidR="00077C0B">
        <w:fldChar w:fldCharType="begin"/>
      </w:r>
      <w:r w:rsidR="00077C0B">
        <w:instrText xml:space="preserve"> STYLEREF 1 \s </w:instrText>
      </w:r>
      <w:r w:rsidR="00077C0B">
        <w:fldChar w:fldCharType="separate"/>
      </w:r>
      <w:r w:rsidR="0006023A">
        <w:rPr>
          <w:noProof/>
        </w:rPr>
        <w:t>2</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18</w:t>
      </w:r>
      <w:r w:rsidR="00077C0B">
        <w:rPr>
          <w:noProof/>
        </w:rPr>
        <w:fldChar w:fldCharType="end"/>
      </w:r>
      <w:r>
        <w:t xml:space="preserve">: Results of experiments from Skorpa and </w:t>
      </w:r>
      <w:r w:rsidRPr="00C23D0F">
        <w:t>Vrålstad</w:t>
      </w:r>
      <w:r>
        <w:t xml:space="preserve"> (2018) used in the CFD simulations. A) representation of flow path through connected cracks within the cement sheath. B) debonding channel between the cement and formation (as shown by dashed box). C) partial microannuli between the cement and casing. D) a uniform microannuli at the casing/cement interface as predicted by equivalent microannuli analyses. Figure from Skorpa and </w:t>
      </w:r>
      <w:r w:rsidRPr="00C23D0F">
        <w:t>Vrålstad</w:t>
      </w:r>
      <w:r>
        <w:t xml:space="preserve"> (2018).</w:t>
      </w:r>
      <w:bookmarkEnd w:id="39"/>
    </w:p>
    <w:p w14:paraId="25A3A1E5" w14:textId="6F5AEF62" w:rsidR="009650AF" w:rsidRDefault="009650AF" w:rsidP="009650AF">
      <w:pPr>
        <w:ind w:firstLine="720"/>
      </w:pPr>
      <w:r>
        <w:t xml:space="preserve">The flow path geometries from the 3D CT experiments were imported into CFD simulations to quantify fluid flow through the leakage pathways. Four fluid flow geometries were used. Three were from the </w:t>
      </w:r>
      <w:r w:rsidRPr="00D63FF8">
        <w:t>experiments (Figure 2.18A, B, and C)</w:t>
      </w:r>
      <w:r w:rsidR="004E1007">
        <w:t>,</w:t>
      </w:r>
      <w:r w:rsidRPr="00D63FF8">
        <w:t xml:space="preserve"> and one is a uniform microannuli </w:t>
      </w:r>
      <w:r w:rsidRPr="00D63FF8">
        <w:lastRenderedPageBreak/>
        <w:t xml:space="preserve">as predicted by equivalent microannuli analyses (Figure 2.18D). </w:t>
      </w:r>
      <w:r w:rsidR="004E1007">
        <w:t>The experimental fluid flow geometries are</w:t>
      </w:r>
      <w:r w:rsidR="00A30957">
        <w:t>:</w:t>
      </w:r>
      <w:r w:rsidR="004E1007">
        <w:t xml:space="preserve"> a </w:t>
      </w:r>
      <w:r w:rsidRPr="00D63FF8">
        <w:t>connected fracture network within the cement</w:t>
      </w:r>
      <w:r w:rsidR="004E1007">
        <w:t xml:space="preserve"> (Figure 2.18A)</w:t>
      </w:r>
      <w:r w:rsidRPr="00D63FF8">
        <w:t>, a debonded channel between the cement and formation</w:t>
      </w:r>
      <w:r w:rsidR="004E1007">
        <w:t xml:space="preserve"> (Figure 2.18B)</w:t>
      </w:r>
      <w:r w:rsidRPr="00D63FF8">
        <w:t>,</w:t>
      </w:r>
      <w:r w:rsidR="004E1007">
        <w:t xml:space="preserve"> and a</w:t>
      </w:r>
      <w:r w:rsidRPr="00D63FF8">
        <w:t xml:space="preserve"> partial microannuli between the casing and cement</w:t>
      </w:r>
      <w:r w:rsidR="004E1007">
        <w:t xml:space="preserve"> (Figure 2.18C)</w:t>
      </w:r>
      <w:r w:rsidRPr="00D63FF8">
        <w:t>. Their results show that fluid flow in degraded cement is complex and not easily described. The difference between a crack in the cement (channel) or a microannuli has a significant effect on the mass flow rate. Small changes in the fracture</w:t>
      </w:r>
      <w:r w:rsidR="004E1007">
        <w:t xml:space="preserve"> radius</w:t>
      </w:r>
      <w:r w:rsidRPr="00D63FF8">
        <w:t xml:space="preserve"> have a large effect on flow rate as shown in the analytical equations in Section 2.5. Changes in geometry</w:t>
      </w:r>
      <w:r>
        <w:t xml:space="preserve"> also </w:t>
      </w:r>
      <w:r w:rsidR="004E1007">
        <w:t>a</w:t>
      </w:r>
      <w:r>
        <w:t xml:space="preserve">ffect the flow rate due to the hydraulic radius. </w:t>
      </w:r>
    </w:p>
    <w:p w14:paraId="11868C9C" w14:textId="635F401E" w:rsidR="009650AF" w:rsidRDefault="009650AF" w:rsidP="009650AF">
      <w:pPr>
        <w:ind w:firstLine="720"/>
      </w:pPr>
      <w:r>
        <w:t xml:space="preserve">Similar to Corina et al. (2020), the authors used Darcy’s law to calculate the effective permeability given the pressure drop and flow rate. Skorpa and Vrålstad (2018) determined that for complex pathways in the cement sheath, Darcy’s law is not adequate since the pressure drop and flow rate are nonlinear. For a full microannuli, Darcy’s law is validated. </w:t>
      </w:r>
      <w:r w:rsidRPr="004A192F">
        <w:t>The</w:t>
      </w:r>
      <w:r>
        <w:t xml:space="preserve"> results of the quantification of cement sheath experiments </w:t>
      </w:r>
      <w:r w:rsidR="00644923">
        <w:t xml:space="preserve">show realistic leakage pathways, but </w:t>
      </w:r>
      <w:r>
        <w:t xml:space="preserve">the series of experiments has potential flaws: size scale and cement composition. The experimental modeled after a typical production casing scenario, 31.1 cm borehole and 24.4 cm casing, but scaled down by a factor of 4. The smaller scale could show exaggerated failure mechanisms when compared to full scale. Another possible flaw in the design is that the authors used tap water in mixing of the cement. As Saleh et al. (2018) and Al Ramadan et al. (2019) state, impurities in tap water can affect the properties of </w:t>
      </w:r>
      <w:r w:rsidR="004C1C79">
        <w:t xml:space="preserve">hydrated </w:t>
      </w:r>
      <w:r>
        <w:t>cement.</w:t>
      </w:r>
    </w:p>
    <w:p w14:paraId="71CCFBE9" w14:textId="660DE1DB" w:rsidR="009650AF" w:rsidRDefault="009650AF" w:rsidP="009650AF">
      <w:pPr>
        <w:ind w:firstLine="720"/>
      </w:pPr>
      <w:r>
        <w:t xml:space="preserve">The methodology using CT imaging to quantify cement sheath leakage pathways is valuable, but current technology does not have the </w:t>
      </w:r>
      <w:r w:rsidR="003E5628">
        <w:t xml:space="preserve">desired </w:t>
      </w:r>
      <w:r>
        <w:t xml:space="preserve">resolution. The resolution of the CT machine is 200 μm whereas previous experiments, Aas et al. </w:t>
      </w:r>
      <w:r w:rsidRPr="00933315">
        <w:rPr>
          <w:lang w:val="nb-NO"/>
        </w:rPr>
        <w:t xml:space="preserve">(2016), Opedal et al. (2018), Stormont </w:t>
      </w:r>
      <w:r w:rsidRPr="00933315">
        <w:rPr>
          <w:lang w:val="nb-NO"/>
        </w:rPr>
        <w:lastRenderedPageBreak/>
        <w:t xml:space="preserve">et al. (2018), Corina et al. (2019), Skadsem et al. </w:t>
      </w:r>
      <w:r>
        <w:t xml:space="preserve">(2019), Corina et al. (2020), show that microannuli gaps </w:t>
      </w:r>
      <w:r w:rsidR="00AA13C8">
        <w:t>can be much smaller than 200 μm</w:t>
      </w:r>
      <w:r>
        <w:t xml:space="preserve">. </w:t>
      </w:r>
    </w:p>
    <w:p w14:paraId="5FE8FF2C" w14:textId="77777777" w:rsidR="009650AF" w:rsidRDefault="009650AF" w:rsidP="009650AF">
      <w:pPr>
        <w:pStyle w:val="Heading3"/>
      </w:pPr>
      <w:bookmarkStart w:id="40" w:name="_Toc67566032"/>
      <w:r>
        <w:t>Field Leakage Prediction</w:t>
      </w:r>
      <w:bookmarkEnd w:id="40"/>
    </w:p>
    <w:p w14:paraId="0892199F" w14:textId="01A6E91C" w:rsidR="009650AF" w:rsidRDefault="009650AF" w:rsidP="009650AF">
      <w:pPr>
        <w:ind w:firstLine="720"/>
      </w:pPr>
      <w:r>
        <w:t>Field experiments would be best to understand potential leakage for cased wellbores, but they are not as common due to being expensive, difficult to detect leakage due to many potential leakage zones, hard to control with many realized and unrealized variables, and conditions are not always replicable. Two examples of field experiments include Crow et al. (2010) and Carey et al. (2007) which investigated wellbore sheath integrity with respect to CO</w:t>
      </w:r>
      <w:r w:rsidRPr="000757D7">
        <w:rPr>
          <w:vertAlign w:val="subscript"/>
        </w:rPr>
        <w:t>2</w:t>
      </w:r>
      <w:r>
        <w:t xml:space="preserve"> conditions. The first well is a 30-year old natural (supercritical) CO</w:t>
      </w:r>
      <w:r w:rsidRPr="000757D7">
        <w:rPr>
          <w:vertAlign w:val="subscript"/>
        </w:rPr>
        <w:t>2</w:t>
      </w:r>
      <w:r>
        <w:t xml:space="preserve"> production well located in the Dakota Sandstone formation (Crow et al. 2010)</w:t>
      </w:r>
      <w:r w:rsidR="0044177C">
        <w:t>,</w:t>
      </w:r>
      <w:r>
        <w:t xml:space="preserve"> while the second well is part of a CO</w:t>
      </w:r>
      <w:r w:rsidRPr="000757D7">
        <w:rPr>
          <w:vertAlign w:val="subscript"/>
        </w:rPr>
        <w:t>2</w:t>
      </w:r>
      <w:r>
        <w:t xml:space="preserve"> flooding operation located in the Permian Basin (Carey et al. 2007).</w:t>
      </w:r>
    </w:p>
    <w:p w14:paraId="67EDAC0C" w14:textId="5C23F067" w:rsidR="009650AF" w:rsidRDefault="009650AF" w:rsidP="009650AF">
      <w:r>
        <w:tab/>
        <w:t>A schematic of the wellbore used in Crow et al. (</w:t>
      </w:r>
      <w:r w:rsidRPr="00D63FF8">
        <w:t>2010) is shown in Figure 2.19. The wellbore was exposed to a 96% CO</w:t>
      </w:r>
      <w:r w:rsidRPr="00D63FF8">
        <w:rPr>
          <w:vertAlign w:val="subscript"/>
        </w:rPr>
        <w:t>2</w:t>
      </w:r>
      <w:r w:rsidRPr="00D63FF8">
        <w:t xml:space="preserve"> fluid from the time of completion until the study which is a higher sustained concentration of CO</w:t>
      </w:r>
      <w:r w:rsidRPr="00D63FF8">
        <w:rPr>
          <w:vertAlign w:val="subscript"/>
        </w:rPr>
        <w:t>2</w:t>
      </w:r>
      <w:r w:rsidRPr="00D63FF8">
        <w:t xml:space="preserve"> compared to typical enhanced oil recovery</w:t>
      </w:r>
      <w:r>
        <w:t xml:space="preserve"> wells. Therefore, the cement used to complete this well should show how the long term effect of extreme concentrations of CO</w:t>
      </w:r>
      <w:r w:rsidRPr="000757D7">
        <w:rPr>
          <w:vertAlign w:val="subscript"/>
        </w:rPr>
        <w:t>2</w:t>
      </w:r>
      <w:r w:rsidR="00D63FF8">
        <w:t xml:space="preserve"> a</w:t>
      </w:r>
      <w:r>
        <w:t xml:space="preserve">ffect the cement. The cement provided good zonal isolation due to the lack of sustained casing pressure at the wellhead. Crow et al. (2010) </w:t>
      </w:r>
      <w:r w:rsidR="0044177C">
        <w:t xml:space="preserve">were </w:t>
      </w:r>
      <w:r>
        <w:t>able to take cement sheath cores along different depths from the reservoir to the caprock to test for integrity. The cores were cut through the casing such that casing, cement, and formation could be compared to determine sealing ability.</w:t>
      </w:r>
    </w:p>
    <w:p w14:paraId="23EE268C" w14:textId="77777777" w:rsidR="009650AF" w:rsidRDefault="009650AF" w:rsidP="00BC23AD">
      <w:pPr>
        <w:pStyle w:val="NoSpacing"/>
      </w:pPr>
      <w:r w:rsidRPr="0016584B">
        <w:rPr>
          <w:noProof/>
        </w:rPr>
        <w:lastRenderedPageBreak/>
        <w:drawing>
          <wp:inline distT="0" distB="0" distL="0" distR="0" wp14:anchorId="7121DBCE" wp14:editId="3AFA63B3">
            <wp:extent cx="4609109" cy="5694628"/>
            <wp:effectExtent l="0" t="0" r="1270" b="1905"/>
            <wp:docPr id="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31"/>
                    <a:srcRect l="1014" t="632"/>
                    <a:stretch/>
                  </pic:blipFill>
                  <pic:spPr>
                    <a:xfrm>
                      <a:off x="0" y="0"/>
                      <a:ext cx="4609109" cy="5694628"/>
                    </a:xfrm>
                    <a:prstGeom prst="rect">
                      <a:avLst/>
                    </a:prstGeom>
                  </pic:spPr>
                </pic:pic>
              </a:graphicData>
            </a:graphic>
          </wp:inline>
        </w:drawing>
      </w:r>
    </w:p>
    <w:p w14:paraId="024988B4" w14:textId="6AA5E1FC" w:rsidR="009650AF" w:rsidRDefault="009650AF" w:rsidP="00BC23AD">
      <w:pPr>
        <w:pStyle w:val="Caption"/>
      </w:pPr>
      <w:bookmarkStart w:id="41" w:name="_Toc67566202"/>
      <w:r>
        <w:t xml:space="preserve">Figure </w:t>
      </w:r>
      <w:r w:rsidR="00077C0B">
        <w:fldChar w:fldCharType="begin"/>
      </w:r>
      <w:r w:rsidR="00077C0B">
        <w:instrText xml:space="preserve"> STYLEREF 1 \s </w:instrText>
      </w:r>
      <w:r w:rsidR="00077C0B">
        <w:fldChar w:fldCharType="separate"/>
      </w:r>
      <w:r w:rsidR="0006023A">
        <w:rPr>
          <w:noProof/>
        </w:rPr>
        <w:t>2</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19</w:t>
      </w:r>
      <w:r w:rsidR="00077C0B">
        <w:rPr>
          <w:noProof/>
        </w:rPr>
        <w:fldChar w:fldCharType="end"/>
      </w:r>
      <w:r>
        <w:t>:</w:t>
      </w:r>
      <w:r w:rsidRPr="00592A78">
        <w:t xml:space="preserve"> </w:t>
      </w:r>
      <w:r>
        <w:t>Schematic of the CO</w:t>
      </w:r>
      <w:r w:rsidRPr="000757D7">
        <w:rPr>
          <w:vertAlign w:val="subscript"/>
        </w:rPr>
        <w:t>2</w:t>
      </w:r>
      <w:r>
        <w:t xml:space="preserve"> production well located in the Dakota Sandstone formation used in Crow et al. (2010). The different formation strata depths, cement depths, true vertical depths (TVD), and wellbore dimensions are shown. Figure from Crow et al. (2010).</w:t>
      </w:r>
      <w:bookmarkEnd w:id="41"/>
    </w:p>
    <w:p w14:paraId="5A0E0B93" w14:textId="46FEC2E9" w:rsidR="009650AF" w:rsidRDefault="009650AF" w:rsidP="009650AF">
      <w:r>
        <w:tab/>
      </w:r>
      <w:r w:rsidR="00D63FF8">
        <w:t xml:space="preserve">Samples from the well showed that </w:t>
      </w:r>
      <w:r>
        <w:t xml:space="preserve">carbonation </w:t>
      </w:r>
      <w:r w:rsidR="00D63FF8">
        <w:t xml:space="preserve">occurred in the cement causing the </w:t>
      </w:r>
      <w:r>
        <w:t xml:space="preserve">permeability and porosity </w:t>
      </w:r>
      <w:r w:rsidR="00D63FF8">
        <w:t>to increase</w:t>
      </w:r>
      <w:r>
        <w:t xml:space="preserve"> which is opposite of the laboratory results shown by</w:t>
      </w:r>
      <w:r w:rsidR="00B51DDC">
        <w:t xml:space="preserve"> Tarco and Asghari (2010) and</w:t>
      </w:r>
      <w:r>
        <w:t xml:space="preserve"> </w:t>
      </w:r>
      <w:r w:rsidR="00B51DDC">
        <w:rPr>
          <w:shd w:val="clear" w:color="auto" w:fill="FFFFFF"/>
        </w:rPr>
        <w:t>Yalcinkaya et al. (2011)</w:t>
      </w:r>
      <w:r>
        <w:t xml:space="preserve">. The difference between the actual wellbore and the lab scale experiments are the time frames (30 years versus a maximum of 12 months, respectively). Another interesting result is that the cement interfaces between the casing and formation did not appear to have significant calcium carbonate deposits (&lt;0.1 mm). However, </w:t>
      </w:r>
      <w:r>
        <w:lastRenderedPageBreak/>
        <w:t>upon numerical modeling of the effective permeability using the Vertical Interference Test (VIT) analysis, the authors noted that the permeability of the cement interface was approximately 3 to 4 orders of magnitude larger than the cement matrix. The VIT data analysis indicated the effective permeability of the cement sheath to be between 1-10 millidarcies while cement core permeability at the same interval was determined to be 1 microdarcy. The field data from Crow et al. (2010) and the lab data from Tarco and Ashgari (2010) confirm that CO</w:t>
      </w:r>
      <w:r w:rsidRPr="000757D7">
        <w:rPr>
          <w:vertAlign w:val="subscript"/>
        </w:rPr>
        <w:t>2</w:t>
      </w:r>
      <w:r>
        <w:t xml:space="preserve"> reduces the bond strength of cement indicating that cement interfaces are the primary pathways for potential CO</w:t>
      </w:r>
      <w:r w:rsidRPr="000757D7">
        <w:rPr>
          <w:vertAlign w:val="subscript"/>
        </w:rPr>
        <w:t>2</w:t>
      </w:r>
      <w:r>
        <w:t xml:space="preserve"> migration. </w:t>
      </w:r>
    </w:p>
    <w:p w14:paraId="67DEEA5B" w14:textId="122DC6E1" w:rsidR="009650AF" w:rsidRDefault="009650AF" w:rsidP="009650AF">
      <w:pPr>
        <w:ind w:firstLine="720"/>
      </w:pPr>
      <w:r>
        <w:t>Even though the interfaces have the largest permeability, the well did not exhibit sustained casing pressure at the surface. One explanation of the lack of sustained casing pressure (evidence of CO</w:t>
      </w:r>
      <w:r w:rsidRPr="000757D7">
        <w:rPr>
          <w:vertAlign w:val="subscript"/>
        </w:rPr>
        <w:t>2</w:t>
      </w:r>
      <w:r>
        <w:t xml:space="preserve"> leakage through the annular cement sheath) comes from Cerasi et al. (2017). Cerasi et al. (2017) </w:t>
      </w:r>
      <w:r w:rsidRPr="00D63FF8">
        <w:t>determined that Pierre Shale, which happens to be the caprock in this well as shown in Figure 2.19, experiences formation creep when exposed to supercritical CO</w:t>
      </w:r>
      <w:r w:rsidRPr="00D63FF8">
        <w:rPr>
          <w:vertAlign w:val="subscript"/>
        </w:rPr>
        <w:t>2</w:t>
      </w:r>
      <w:r w:rsidRPr="00D63FF8">
        <w:t>. So if the CO</w:t>
      </w:r>
      <w:r w:rsidRPr="00D63FF8">
        <w:rPr>
          <w:vertAlign w:val="subscript"/>
        </w:rPr>
        <w:t>2</w:t>
      </w:r>
      <w:r w:rsidRPr="00D63FF8">
        <w:t xml:space="preserve"> reduced the bond strength (and increased</w:t>
      </w:r>
      <w:r>
        <w:t xml:space="preserve"> the effective permeability at the cement interfaces), shale creep could have reduced the microannuli. It is unlikely that the microannuli was reduced completely and uniformly given that the VIT data determined the interface had significant permeability. </w:t>
      </w:r>
      <w:r w:rsidR="00644923">
        <w:t>T</w:t>
      </w:r>
      <w:r>
        <w:t>he shale creep could have created tortuosity at the interface reducing the flow rate of CO</w:t>
      </w:r>
      <w:r w:rsidRPr="000757D7">
        <w:rPr>
          <w:vertAlign w:val="subscript"/>
        </w:rPr>
        <w:t>2</w:t>
      </w:r>
      <w:r>
        <w:t xml:space="preserve">. Given the tortuosity, length of the cement, and resulting surface roughness, the flow could have been </w:t>
      </w:r>
      <w:r w:rsidR="0044177C">
        <w:t>completely</w:t>
      </w:r>
      <w:r>
        <w:t xml:space="preserve"> reduced</w:t>
      </w:r>
      <w:r w:rsidR="0044177C">
        <w:t>,</w:t>
      </w:r>
      <w:r>
        <w:t xml:space="preserve"> as explained by </w:t>
      </w:r>
      <w:r w:rsidR="00B51DDC">
        <w:t xml:space="preserve">Vignes and Aadnoy (2008), </w:t>
      </w:r>
      <w:r>
        <w:t>Lavrov and Torsaeter (2018)</w:t>
      </w:r>
      <w:r w:rsidR="00B51DDC">
        <w:t>, and Corinia et al. (2020),</w:t>
      </w:r>
      <w:r>
        <w:t xml:space="preserve"> resulting in the well not experiencing CO</w:t>
      </w:r>
      <w:r w:rsidRPr="000757D7">
        <w:rPr>
          <w:vertAlign w:val="subscript"/>
        </w:rPr>
        <w:t>2</w:t>
      </w:r>
      <w:r>
        <w:t xml:space="preserve"> leakage to the surface. </w:t>
      </w:r>
    </w:p>
    <w:p w14:paraId="6DD1A1BD" w14:textId="20BC01A2" w:rsidR="009650AF" w:rsidRDefault="009650AF" w:rsidP="009650AF">
      <w:pPr>
        <w:ind w:firstLine="720"/>
      </w:pPr>
      <w:r>
        <w:t>The well investigated by Carey et al. (2007) is part of a CO</w:t>
      </w:r>
      <w:r w:rsidRPr="000757D7">
        <w:rPr>
          <w:vertAlign w:val="subscript"/>
        </w:rPr>
        <w:t>2</w:t>
      </w:r>
      <w:r>
        <w:t xml:space="preserve"> flooding operation located in the Permian Basin in West Texas. As with Crow et al. (2010), cement cores were reviewed to determine the effect of CO</w:t>
      </w:r>
      <w:r w:rsidRPr="000757D7">
        <w:rPr>
          <w:vertAlign w:val="subscript"/>
        </w:rPr>
        <w:t>2</w:t>
      </w:r>
      <w:r>
        <w:t xml:space="preserve"> injection has on wellbore cement. A 5 cm diameter core was collected in the well through the casing, cement, and into the caprock (</w:t>
      </w:r>
      <w:r w:rsidRPr="00D63FF8">
        <w:t xml:space="preserve">Wolfcamp Shale). Results of this well </w:t>
      </w:r>
      <w:r w:rsidRPr="00D63FF8">
        <w:lastRenderedPageBreak/>
        <w:t xml:space="preserve">are in agreement with Crow et al. (2010) such that the cement matrix was disturbed by </w:t>
      </w:r>
      <w:r w:rsidR="00A729E5" w:rsidRPr="00D63FF8">
        <w:t xml:space="preserve">the </w:t>
      </w:r>
      <w:r w:rsidRPr="00D63FF8">
        <w:t>invasion of CO</w:t>
      </w:r>
      <w:r w:rsidRPr="00D63FF8">
        <w:rPr>
          <w:vertAlign w:val="subscript"/>
        </w:rPr>
        <w:t>2</w:t>
      </w:r>
      <w:r w:rsidRPr="00D63FF8">
        <w:t>; the permeability of the bulk cement was elevated compared to typical cement</w:t>
      </w:r>
      <w:r>
        <w:t xml:space="preserve"> permeability. </w:t>
      </w:r>
      <w:r w:rsidR="00644923">
        <w:t>Nevertheless</w:t>
      </w:r>
      <w:r>
        <w:t>, the permeability was still low enough to prevent significant fluid migration through the cement matrix. The authors discovered that CO</w:t>
      </w:r>
      <w:r w:rsidRPr="000757D7">
        <w:rPr>
          <w:vertAlign w:val="subscript"/>
        </w:rPr>
        <w:t>2</w:t>
      </w:r>
      <w:r>
        <w:t xml:space="preserve"> migration had occurred along both the casing/cement and cement/shale interfaces by visual deposits of various minerals not found in intact cement along both interfaces which </w:t>
      </w:r>
      <w:r w:rsidR="003E5628">
        <w:t>agrees</w:t>
      </w:r>
      <w:r>
        <w:t xml:space="preserve"> with Carey et al. (2007). The cores produced from Carey et al. (2007) did not reach the surface intact therefore mechanical tests were not performed on them. The authors perform</w:t>
      </w:r>
      <w:r w:rsidR="0044177C">
        <w:t>ed</w:t>
      </w:r>
      <w:r>
        <w:t xml:space="preserve"> a sonic cement bond log (CBL) along the depths of interest</w:t>
      </w:r>
      <w:r w:rsidR="0044177C">
        <w:t>,</w:t>
      </w:r>
      <w:r>
        <w:t xml:space="preserve"> and the CBL did not indicate evidence of cement debonding even though deposits of precipitated minerals were found at the casing/cement and cement/rock interfaces. An explanation of the discrepancy is described by De Andrade et al. (2019). De Andrade et al. (2019) </w:t>
      </w:r>
      <w:r w:rsidR="0044177C">
        <w:t xml:space="preserve">reviewed </w:t>
      </w:r>
      <w:r>
        <w:t xml:space="preserve">different acoustic logging tools and determined that a combination of logs cannot detect gas filled microannuli or quantify the size. </w:t>
      </w:r>
    </w:p>
    <w:p w14:paraId="1E36B318" w14:textId="77777777" w:rsidR="009650AF" w:rsidRDefault="009650AF" w:rsidP="009650AF">
      <w:pPr>
        <w:ind w:firstLine="720"/>
      </w:pPr>
      <w:r>
        <w:t xml:space="preserve">Since bond logs are not accurate in detecting gas induced/filled microannuli and field cases are not easily available, researchers have turned to alternative methods to determine leakage in actual wellbores. One such method is the evaluation of sustained casing pressure (SCP)/surface casing vent flow (SCVF) (Watson and Bachu 2007). </w:t>
      </w:r>
    </w:p>
    <w:p w14:paraId="338154B2" w14:textId="7B2568D4" w:rsidR="009650AF" w:rsidRDefault="009650AF" w:rsidP="009650AF">
      <w:pPr>
        <w:ind w:firstLine="720"/>
      </w:pPr>
      <w:r>
        <w:t>Watson and Bachu (2007, 2009) evaluated historical records of SCP data in Alberta, Canada and determined that 3.9% had SCP due to a number of likely factors including geographic area (probably due to outside factors such as CO</w:t>
      </w:r>
      <w:r w:rsidRPr="000757D7">
        <w:rPr>
          <w:vertAlign w:val="subscript"/>
        </w:rPr>
        <w:t>2</w:t>
      </w:r>
      <w:r>
        <w:t xml:space="preserve"> sequestration sites), wellbore deviation, well type (i.e. cased and abandoned versus cased, completed, and abandoned), abandonment method, economic factors such as oil price and regulatory requirements, and cementing plan. A common denominator in all of the factors majorly affecting SCP is the wellbore cement. Deviated wellbores </w:t>
      </w:r>
      <w:r>
        <w:lastRenderedPageBreak/>
        <w:t>are harder to achieve good cement displacement due to eccentricity of the casing strings resulting in channels, poor bonding, or wet microannuli in the cement (Skadsem et al. 2019). If a well is completed before abandonment, perforations and potential fractures in the cement exist whereas cased and abandoned wells do not have perforations. One major factor in resulting in a well having SCP is the length of cement. Watson and Bachu (2007, 2009) noted that the top 200 m of the cement is of bad quality based off CBL</w:t>
      </w:r>
      <w:r w:rsidR="0044177C">
        <w:t xml:space="preserve"> </w:t>
      </w:r>
      <w:r w:rsidR="00904666">
        <w:t>measurements</w:t>
      </w:r>
      <w:r>
        <w:t xml:space="preserve">. Further implication that the length of the cement is critical is that the majority of SCP originates in locations without a cemented annulus (Watson and Bachu 2007, 2009). As shown by </w:t>
      </w:r>
      <w:r w:rsidRPr="0059078D">
        <w:rPr>
          <w:szCs w:val="24"/>
        </w:rPr>
        <w:t>Lavrov</w:t>
      </w:r>
      <w:r>
        <w:rPr>
          <w:szCs w:val="24"/>
        </w:rPr>
        <w:t xml:space="preserve"> and</w:t>
      </w:r>
      <w:r w:rsidRPr="0059078D">
        <w:rPr>
          <w:szCs w:val="24"/>
        </w:rPr>
        <w:t xml:space="preserve"> Torsæter</w:t>
      </w:r>
      <w:r>
        <w:rPr>
          <w:szCs w:val="24"/>
        </w:rPr>
        <w:t xml:space="preserve"> (</w:t>
      </w:r>
      <w:r w:rsidRPr="0059078D">
        <w:rPr>
          <w:szCs w:val="24"/>
        </w:rPr>
        <w:t>2018</w:t>
      </w:r>
      <w:r>
        <w:rPr>
          <w:szCs w:val="24"/>
        </w:rPr>
        <w:t xml:space="preserve">) and Al Ramadon et al. (2019), the length of the cemented annulus can reduce if not completely stop flow rates. Given the large section of bad quality cement combined with no cement in formations with </w:t>
      </w:r>
      <w:r>
        <w:t>CO</w:t>
      </w:r>
      <w:r w:rsidRPr="000757D7">
        <w:rPr>
          <w:vertAlign w:val="subscript"/>
        </w:rPr>
        <w:t>2</w:t>
      </w:r>
      <w:r>
        <w:rPr>
          <w:szCs w:val="24"/>
        </w:rPr>
        <w:t xml:space="preserve"> migration, it should not be a surprise that SCP </w:t>
      </w:r>
      <w:r w:rsidR="0044177C">
        <w:rPr>
          <w:szCs w:val="24"/>
        </w:rPr>
        <w:t>occurs</w:t>
      </w:r>
      <w:r>
        <w:rPr>
          <w:szCs w:val="24"/>
        </w:rPr>
        <w:t xml:space="preserve"> in 3.9% of Alberta wells (as of 2004).</w:t>
      </w:r>
    </w:p>
    <w:p w14:paraId="039AF441" w14:textId="173559F0" w:rsidR="009650AF" w:rsidRDefault="009650AF" w:rsidP="009650AF">
      <w:pPr>
        <w:ind w:firstLine="720"/>
      </w:pPr>
      <w:r>
        <w:t xml:space="preserve">Just because a well does not exhibit SCP at the surface, does not mean leakage is not occurring. For a wellbore, there are many different formations that fluid leakage can occur in without making it to the surface. Therefore, determining wellbore leakage based on surface measurements is not comprehensive. So researchers have turned to analytical methods to determine potential leakage occurring subsurface. </w:t>
      </w:r>
    </w:p>
    <w:p w14:paraId="6A990EF1" w14:textId="77777777" w:rsidR="009650AF" w:rsidRDefault="009650AF" w:rsidP="009650AF">
      <w:pPr>
        <w:pStyle w:val="Heading3"/>
      </w:pPr>
      <w:bookmarkStart w:id="42" w:name="_Toc67566033"/>
      <w:r>
        <w:t>Analytical Methods</w:t>
      </w:r>
      <w:bookmarkEnd w:id="42"/>
    </w:p>
    <w:p w14:paraId="0CDF2FA3" w14:textId="77777777" w:rsidR="009650AF" w:rsidRDefault="009650AF" w:rsidP="009650AF">
      <w:pPr>
        <w:ind w:firstLine="720"/>
      </w:pPr>
      <w:r>
        <w:t>Given the complexity of controlling all the variables associated with laboratory experiments and measuring and understanding wellbore leakage in the field, scientists have used analytical methods to predict wellbore failure mechanisms and quantify fluid flow rates.</w:t>
      </w:r>
    </w:p>
    <w:p w14:paraId="69332BE5" w14:textId="0085336F" w:rsidR="009650AF" w:rsidRDefault="009650AF" w:rsidP="009650AF">
      <w:pPr>
        <w:ind w:firstLine="720"/>
      </w:pPr>
      <w:r w:rsidRPr="00EC7EFC">
        <w:t>An analytical model of the stress distribution around the</w:t>
      </w:r>
      <w:r>
        <w:t xml:space="preserve"> near</w:t>
      </w:r>
      <w:r w:rsidRPr="00EC7EFC">
        <w:t xml:space="preserve"> wellbore</w:t>
      </w:r>
      <w:r>
        <w:t xml:space="preserve"> </w:t>
      </w:r>
      <w:r w:rsidR="00D63FF8">
        <w:t>region is</w:t>
      </w:r>
      <w:r>
        <w:t xml:space="preserve"> described by</w:t>
      </w:r>
      <w:r w:rsidRPr="00EC7EFC">
        <w:t xml:space="preserve"> thick-walled cylinder equations and the Kirsch </w:t>
      </w:r>
      <w:r w:rsidRPr="00D63FF8">
        <w:t>solution (Section 2.1). Figure 2.20 depicts</w:t>
      </w:r>
      <w:r w:rsidRPr="00DC733F">
        <w:t xml:space="preserve"> </w:t>
      </w:r>
      <w:r w:rsidR="00217D98">
        <w:t xml:space="preserve">a </w:t>
      </w:r>
      <w:r>
        <w:t xml:space="preserve">sketch of </w:t>
      </w:r>
      <w:r w:rsidRPr="00DC733F">
        <w:t>a cased wellbore with general dimension</w:t>
      </w:r>
      <w:r>
        <w:t>s used in the analytical model.</w:t>
      </w:r>
      <w:r w:rsidRPr="00DC733F">
        <w:t xml:space="preserve"> </w:t>
      </w:r>
    </w:p>
    <w:p w14:paraId="6B27EC6C" w14:textId="77777777" w:rsidR="009650AF" w:rsidRDefault="009650AF" w:rsidP="00BC23AD">
      <w:pPr>
        <w:pStyle w:val="NoSpacing"/>
      </w:pPr>
      <w:r w:rsidRPr="001E64C9">
        <w:rPr>
          <w:noProof/>
        </w:rPr>
        <w:lastRenderedPageBreak/>
        <w:drawing>
          <wp:inline distT="0" distB="0" distL="0" distR="0" wp14:anchorId="32CF993A" wp14:editId="61361FAF">
            <wp:extent cx="3657600" cy="2873764"/>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657600" cy="2873764"/>
                    </a:xfrm>
                    <a:prstGeom prst="rect">
                      <a:avLst/>
                    </a:prstGeom>
                    <a:noFill/>
                  </pic:spPr>
                </pic:pic>
              </a:graphicData>
            </a:graphic>
          </wp:inline>
        </w:drawing>
      </w:r>
    </w:p>
    <w:p w14:paraId="75A5CB37" w14:textId="54C01FAF" w:rsidR="009650AF" w:rsidRDefault="009650AF" w:rsidP="00BC23AD">
      <w:pPr>
        <w:pStyle w:val="Caption"/>
      </w:pPr>
      <w:bookmarkStart w:id="43" w:name="_Toc67566203"/>
      <w:r>
        <w:t xml:space="preserve">Figure </w:t>
      </w:r>
      <w:r w:rsidR="00077C0B">
        <w:fldChar w:fldCharType="begin"/>
      </w:r>
      <w:r w:rsidR="00077C0B">
        <w:instrText xml:space="preserve"> STYLEREF 1 \s </w:instrText>
      </w:r>
      <w:r w:rsidR="00077C0B">
        <w:fldChar w:fldCharType="separate"/>
      </w:r>
      <w:r w:rsidR="0006023A">
        <w:rPr>
          <w:noProof/>
        </w:rPr>
        <w:t>2</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20</w:t>
      </w:r>
      <w:r w:rsidR="00077C0B">
        <w:rPr>
          <w:noProof/>
        </w:rPr>
        <w:fldChar w:fldCharType="end"/>
      </w:r>
      <w:r>
        <w:t>: Wellbore Sketch showing generalized radii of the three bodies used in the analytical stress distributions equations.</w:t>
      </w:r>
      <w:bookmarkEnd w:id="43"/>
    </w:p>
    <w:p w14:paraId="7471F10B" w14:textId="4687DB18" w:rsidR="009650AF" w:rsidRDefault="009650AF" w:rsidP="009650AF">
      <w:pPr>
        <w:ind w:firstLine="720"/>
      </w:pPr>
      <w:r w:rsidRPr="001E64C9">
        <w:t xml:space="preserve">Starting from the center of the wellbore </w:t>
      </w:r>
      <w:r w:rsidRPr="00D63FF8">
        <w:t>outwards, the stress distributions in the casing and cement are determined from a single thick-walled cylinder. In the casing, a generalized effective stress equation for a thick-walled cylinder is presented in Equations 2.60, 2.61, and 2.62 to represent the radial, hoop, and axial stresses, respectively. Equations 2.63, 2.64, and 2.65 represent the radial, hoop, and axial stresses of the cement sheath (Weideman 2014). It is assumed</w:t>
      </w:r>
      <w:r w:rsidRPr="00EC7EFC">
        <w:t xml:space="preserve"> that the radial stress of the hardened cement (</w:t>
      </w:r>
      <m:oMath>
        <m:sSub>
          <m:sSubPr>
            <m:ctrlPr>
              <w:rPr>
                <w:rFonts w:ascii="Cambria Math" w:hAnsi="Cambria Math"/>
                <w:i/>
              </w:rPr>
            </m:ctrlPr>
          </m:sSubPr>
          <m:e>
            <m:r>
              <w:rPr>
                <w:rFonts w:ascii="Cambria Math" w:hAnsi="Cambria Math"/>
              </w:rPr>
              <m:t>P</m:t>
            </m:r>
          </m:e>
          <m:sub>
            <m:r>
              <w:rPr>
                <w:rFonts w:ascii="Cambria Math" w:hAnsi="Cambria Math"/>
              </w:rPr>
              <m:t>cement</m:t>
            </m:r>
          </m:sub>
        </m:sSub>
      </m:oMath>
      <w:r>
        <w:t xml:space="preserve">) is known. </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50AF" w14:paraId="736C5B62" w14:textId="77777777" w:rsidTr="009650AF">
        <w:trPr>
          <w:trHeight w:val="576"/>
        </w:trPr>
        <w:tc>
          <w:tcPr>
            <w:tcW w:w="720" w:type="dxa"/>
            <w:vAlign w:val="center"/>
          </w:tcPr>
          <w:p w14:paraId="52391AC5" w14:textId="4B094916" w:rsidR="009650AF" w:rsidRDefault="009650AF" w:rsidP="009650AF">
            <w:pPr>
              <w:spacing w:line="240" w:lineRule="auto"/>
              <w:jc w:val="center"/>
            </w:pPr>
          </w:p>
        </w:tc>
        <w:tc>
          <w:tcPr>
            <w:tcW w:w="7920" w:type="dxa"/>
            <w:vAlign w:val="center"/>
          </w:tcPr>
          <w:p w14:paraId="73C4E76E" w14:textId="77777777" w:rsidR="009650AF" w:rsidRPr="003E4C6A" w:rsidRDefault="00077C0B" w:rsidP="009650AF">
            <w:pPr>
              <w:spacing w:line="240" w:lineRule="auto"/>
              <w:jc w:val="center"/>
            </w:pPr>
            <m:oMathPara>
              <m:oMath>
                <m:sSub>
                  <m:sSubPr>
                    <m:ctrlPr>
                      <w:rPr>
                        <w:rFonts w:ascii="Cambria Math" w:hAnsi="Cambria Math"/>
                        <w:i/>
                      </w:rPr>
                    </m:ctrlPr>
                  </m:sSubPr>
                  <m:e>
                    <m:r>
                      <w:rPr>
                        <w:rFonts w:ascii="Cambria Math" w:hAnsi="Cambria Math"/>
                      </w:rPr>
                      <m:t>σ'</m:t>
                    </m:r>
                  </m:e>
                  <m:sub>
                    <m:sSub>
                      <m:sSubPr>
                        <m:ctrlPr>
                          <w:rPr>
                            <w:rFonts w:ascii="Cambria Math" w:hAnsi="Cambria Math"/>
                            <w:i/>
                          </w:rPr>
                        </m:ctrlPr>
                      </m:sSubPr>
                      <m:e>
                        <m:r>
                          <w:rPr>
                            <w:rFonts w:ascii="Cambria Math" w:hAnsi="Cambria Math"/>
                          </w:rPr>
                          <m:t>r</m:t>
                        </m:r>
                      </m:e>
                      <m:sub>
                        <m:r>
                          <w:rPr>
                            <w:rFonts w:ascii="Cambria Math" w:hAnsi="Cambria Math"/>
                          </w:rPr>
                          <m:t>casing</m:t>
                        </m:r>
                      </m:sub>
                    </m:sSub>
                  </m:sub>
                </m:sSub>
                <m:r>
                  <w:rPr>
                    <w:rFonts w:ascii="Cambria Math" w:hAnsi="Cambria Math"/>
                  </w:rPr>
                  <m:t>=</m:t>
                </m:r>
                <m:f>
                  <m:fPr>
                    <m:ctrlPr>
                      <w:rPr>
                        <w:rFonts w:ascii="Cambria Math" w:hAnsi="Cambria Math"/>
                        <w:i/>
                      </w:rPr>
                    </m:ctrlPr>
                  </m:fPr>
                  <m:num>
                    <m:sSub>
                      <m:sSubPr>
                        <m:ctrlPr>
                          <w:rPr>
                            <w:rFonts w:ascii="Cambria Math" w:hAnsi="Cambria Math"/>
                            <w:i/>
                          </w:rPr>
                        </m:ctrlPr>
                      </m:sSubPr>
                      <m:e>
                        <m:sSubSup>
                          <m:sSubSupPr>
                            <m:ctrlPr>
                              <w:rPr>
                                <w:rFonts w:ascii="Cambria Math" w:hAnsi="Cambria Math"/>
                                <w:i/>
                              </w:rPr>
                            </m:ctrlPr>
                          </m:sSubSupPr>
                          <m:e>
                            <m:r>
                              <w:rPr>
                                <w:rFonts w:ascii="Cambria Math" w:hAnsi="Cambria Math"/>
                              </w:rPr>
                              <m:t>r</m:t>
                            </m:r>
                          </m:e>
                          <m:sub>
                            <m:r>
                              <w:rPr>
                                <w:rFonts w:ascii="Cambria Math" w:hAnsi="Cambria Math"/>
                              </w:rPr>
                              <m:t>b</m:t>
                            </m:r>
                          </m:sub>
                          <m:sup>
                            <m:r>
                              <w:rPr>
                                <w:rFonts w:ascii="Cambria Math" w:hAnsi="Cambria Math"/>
                              </w:rPr>
                              <m:t>2</m:t>
                            </m:r>
                          </m:sup>
                        </m:sSubSup>
                        <m:r>
                          <w:rPr>
                            <w:rFonts w:ascii="Cambria Math" w:hAnsi="Cambria Math"/>
                          </w:rPr>
                          <m:t xml:space="preserve"> P</m:t>
                        </m:r>
                      </m:e>
                      <m:sub>
                        <m:r>
                          <w:rPr>
                            <w:rFonts w:ascii="Cambria Math" w:hAnsi="Cambria Math"/>
                          </w:rPr>
                          <m:t>cement</m:t>
                        </m:r>
                      </m:sub>
                    </m:sSub>
                    <m:r>
                      <w:rPr>
                        <w:rFonts w:ascii="Cambria Math" w:hAnsi="Cambria Math"/>
                      </w:rPr>
                      <m:t xml:space="preserve"> + </m:t>
                    </m:r>
                    <m:sSub>
                      <m:sSubPr>
                        <m:ctrlPr>
                          <w:rPr>
                            <w:rFonts w:ascii="Cambria Math" w:hAnsi="Cambria Math"/>
                            <w:i/>
                          </w:rPr>
                        </m:ctrlPr>
                      </m:sSubPr>
                      <m:e>
                        <m:sSubSup>
                          <m:sSubSupPr>
                            <m:ctrlPr>
                              <w:rPr>
                                <w:rFonts w:ascii="Cambria Math" w:hAnsi="Cambria Math"/>
                                <w:i/>
                              </w:rPr>
                            </m:ctrlPr>
                          </m:sSubSupPr>
                          <m:e>
                            <m:r>
                              <w:rPr>
                                <w:rFonts w:ascii="Cambria Math" w:hAnsi="Cambria Math"/>
                              </w:rPr>
                              <m:t>r</m:t>
                            </m:r>
                          </m:e>
                          <m:sub>
                            <m:r>
                              <w:rPr>
                                <w:rFonts w:ascii="Cambria Math" w:hAnsi="Cambria Math"/>
                              </w:rPr>
                              <m:t>a</m:t>
                            </m:r>
                          </m:sub>
                          <m:sup>
                            <m:r>
                              <w:rPr>
                                <w:rFonts w:ascii="Cambria Math" w:hAnsi="Cambria Math"/>
                              </w:rPr>
                              <m:t>2</m:t>
                            </m:r>
                          </m:sup>
                        </m:sSubSup>
                        <m:r>
                          <w:rPr>
                            <w:rFonts w:ascii="Cambria Math" w:hAnsi="Cambria Math"/>
                          </w:rPr>
                          <m:t xml:space="preserve"> P</m:t>
                        </m:r>
                      </m:e>
                      <m:sub>
                        <m:r>
                          <w:rPr>
                            <w:rFonts w:ascii="Cambria Math" w:hAnsi="Cambria Math"/>
                          </w:rPr>
                          <m:t>w</m:t>
                        </m:r>
                      </m:sub>
                    </m:sSub>
                  </m:num>
                  <m:den>
                    <m:sSubSup>
                      <m:sSubSupPr>
                        <m:ctrlPr>
                          <w:rPr>
                            <w:rFonts w:ascii="Cambria Math" w:hAnsi="Cambria Math"/>
                            <w:i/>
                          </w:rPr>
                        </m:ctrlPr>
                      </m:sSubSupPr>
                      <m:e>
                        <m:r>
                          <w:rPr>
                            <w:rFonts w:ascii="Cambria Math" w:hAnsi="Cambria Math"/>
                          </w:rPr>
                          <m:t>r</m:t>
                        </m:r>
                      </m:e>
                      <m:sub>
                        <m:r>
                          <w:rPr>
                            <w:rFonts w:ascii="Cambria Math" w:hAnsi="Cambria Math"/>
                          </w:rPr>
                          <m:t>b</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r</m:t>
                        </m:r>
                      </m:e>
                      <m:sub>
                        <m:r>
                          <w:rPr>
                            <w:rFonts w:ascii="Cambria Math" w:hAnsi="Cambria Math"/>
                          </w:rPr>
                          <m:t>a</m:t>
                        </m:r>
                      </m:sub>
                      <m:sup>
                        <m:r>
                          <w:rPr>
                            <w:rFonts w:ascii="Cambria Math" w:hAnsi="Cambria Math"/>
                          </w:rPr>
                          <m:t>2</m:t>
                        </m:r>
                      </m:sup>
                    </m:sSubSup>
                    <m:r>
                      <w:rPr>
                        <w:rFonts w:ascii="Cambria Math" w:hAnsi="Cambria Math"/>
                      </w:rPr>
                      <m:t xml:space="preserve"> </m:t>
                    </m:r>
                  </m:den>
                </m:f>
                <m:r>
                  <w:rPr>
                    <w:rFonts w:ascii="Cambria Math" w:hAnsi="Cambria Math"/>
                  </w:rPr>
                  <m:t xml:space="preserve"> + </m:t>
                </m:r>
                <m:f>
                  <m:fPr>
                    <m:ctrlPr>
                      <w:rPr>
                        <w:rFonts w:ascii="Cambria Math" w:hAnsi="Cambria Math"/>
                        <w:i/>
                      </w:rPr>
                    </m:ctrlPr>
                  </m:fPr>
                  <m:num>
                    <m:sSub>
                      <m:sSubPr>
                        <m:ctrlPr>
                          <w:rPr>
                            <w:rFonts w:ascii="Cambria Math" w:hAnsi="Cambria Math"/>
                            <w:i/>
                          </w:rPr>
                        </m:ctrlPr>
                      </m:sSubPr>
                      <m:e>
                        <m:sSubSup>
                          <m:sSubSupPr>
                            <m:ctrlPr>
                              <w:rPr>
                                <w:rFonts w:ascii="Cambria Math" w:hAnsi="Cambria Math"/>
                                <w:i/>
                              </w:rPr>
                            </m:ctrlPr>
                          </m:sSubSupPr>
                          <m:e>
                            <m:r>
                              <w:rPr>
                                <w:rFonts w:ascii="Cambria Math" w:hAnsi="Cambria Math"/>
                              </w:rPr>
                              <m:t>r</m:t>
                            </m:r>
                          </m:e>
                          <m:sub>
                            <m:r>
                              <w:rPr>
                                <w:rFonts w:ascii="Cambria Math" w:hAnsi="Cambria Math"/>
                              </w:rPr>
                              <m:t>a</m:t>
                            </m:r>
                          </m:sub>
                          <m:sup>
                            <m:r>
                              <w:rPr>
                                <w:rFonts w:ascii="Cambria Math" w:hAnsi="Cambria Math"/>
                              </w:rPr>
                              <m:t>2</m:t>
                            </m:r>
                          </m:sup>
                        </m:sSubSup>
                        <m:r>
                          <w:rPr>
                            <w:rFonts w:ascii="Cambria Math" w:hAnsi="Cambria Math"/>
                          </w:rPr>
                          <m:t xml:space="preserve"> </m:t>
                        </m:r>
                        <m:sSubSup>
                          <m:sSubSupPr>
                            <m:ctrlPr>
                              <w:rPr>
                                <w:rFonts w:ascii="Cambria Math" w:hAnsi="Cambria Math"/>
                                <w:i/>
                              </w:rPr>
                            </m:ctrlPr>
                          </m:sSubSupPr>
                          <m:e>
                            <m:r>
                              <w:rPr>
                                <w:rFonts w:ascii="Cambria Math" w:hAnsi="Cambria Math"/>
                              </w:rPr>
                              <m:t>r</m:t>
                            </m:r>
                          </m:e>
                          <m:sub>
                            <m:r>
                              <w:rPr>
                                <w:rFonts w:ascii="Cambria Math" w:hAnsi="Cambria Math"/>
                              </w:rPr>
                              <m:t>b</m:t>
                            </m:r>
                          </m:sub>
                          <m:sup>
                            <m:r>
                              <w:rPr>
                                <w:rFonts w:ascii="Cambria Math" w:hAnsi="Cambria Math"/>
                              </w:rPr>
                              <m:t>2</m:t>
                            </m:r>
                          </m:sup>
                        </m:sSubSup>
                        <m:r>
                          <w:rPr>
                            <w:rFonts w:ascii="Cambria Math" w:hAnsi="Cambria Math"/>
                          </w:rPr>
                          <m:t xml:space="preserve"> (P</m:t>
                        </m:r>
                      </m:e>
                      <m:sub>
                        <m:r>
                          <w:rPr>
                            <w:rFonts w:ascii="Cambria Math" w:hAnsi="Cambria Math"/>
                          </w:rPr>
                          <m:t>w</m:t>
                        </m:r>
                      </m:sub>
                    </m:sSub>
                    <m:sSub>
                      <m:sSubPr>
                        <m:ctrlPr>
                          <w:rPr>
                            <w:rFonts w:ascii="Cambria Math" w:hAnsi="Cambria Math"/>
                            <w:i/>
                          </w:rPr>
                        </m:ctrlPr>
                      </m:sSubPr>
                      <m:e>
                        <m:r>
                          <w:rPr>
                            <w:rFonts w:ascii="Cambria Math" w:hAnsi="Cambria Math"/>
                          </w:rPr>
                          <m:t>-P</m:t>
                        </m:r>
                      </m:e>
                      <m:sub>
                        <m:r>
                          <w:rPr>
                            <w:rFonts w:ascii="Cambria Math" w:hAnsi="Cambria Math"/>
                          </w:rPr>
                          <m:t>cement</m:t>
                        </m:r>
                      </m:sub>
                    </m:sSub>
                    <m:r>
                      <w:rPr>
                        <w:rFonts w:ascii="Cambria Math" w:hAnsi="Cambria Math"/>
                      </w:rPr>
                      <m:t>)</m:t>
                    </m:r>
                  </m:num>
                  <m:den>
                    <m:sSubSup>
                      <m:sSubSupPr>
                        <m:ctrlPr>
                          <w:rPr>
                            <w:rFonts w:ascii="Cambria Math" w:hAnsi="Cambria Math"/>
                            <w:i/>
                          </w:rPr>
                        </m:ctrlPr>
                      </m:sSubSupPr>
                      <m:e>
                        <m:r>
                          <w:rPr>
                            <w:rFonts w:ascii="Cambria Math" w:hAnsi="Cambria Math"/>
                          </w:rPr>
                          <m:t>(r</m:t>
                        </m:r>
                      </m:e>
                      <m:sub>
                        <m:r>
                          <w:rPr>
                            <w:rFonts w:ascii="Cambria Math" w:hAnsi="Cambria Math"/>
                          </w:rPr>
                          <m:t>b</m:t>
                        </m:r>
                      </m:sub>
                      <m:sup>
                        <m:r>
                          <w:rPr>
                            <w:rFonts w:ascii="Cambria Math" w:hAnsi="Cambria Math"/>
                          </w:rPr>
                          <m:t>2</m:t>
                        </m:r>
                      </m:sup>
                    </m:sSubSup>
                    <m:r>
                      <w:rPr>
                        <w:rFonts w:ascii="Cambria Math" w:hAnsi="Cambria Math"/>
                      </w:rPr>
                      <m:t xml:space="preserve"> -</m:t>
                    </m:r>
                    <m:sSubSup>
                      <m:sSubSupPr>
                        <m:ctrlPr>
                          <w:rPr>
                            <w:rFonts w:ascii="Cambria Math" w:hAnsi="Cambria Math"/>
                            <w:i/>
                          </w:rPr>
                        </m:ctrlPr>
                      </m:sSubSupPr>
                      <m:e>
                        <m:r>
                          <w:rPr>
                            <w:rFonts w:ascii="Cambria Math" w:hAnsi="Cambria Math"/>
                          </w:rPr>
                          <m:t>r</m:t>
                        </m:r>
                      </m:e>
                      <m:sub>
                        <m:r>
                          <w:rPr>
                            <w:rFonts w:ascii="Cambria Math" w:hAnsi="Cambria Math"/>
                          </w:rPr>
                          <m:t>a</m:t>
                        </m:r>
                      </m:sub>
                      <m:sup>
                        <m:r>
                          <w:rPr>
                            <w:rFonts w:ascii="Cambria Math" w:hAnsi="Cambria Math"/>
                          </w:rPr>
                          <m:t>2</m:t>
                        </m:r>
                      </m:sup>
                    </m:sSubSup>
                    <m:r>
                      <w:rPr>
                        <w:rFonts w:ascii="Cambria Math" w:hAnsi="Cambria Math"/>
                      </w:rPr>
                      <m:t>)</m:t>
                    </m:r>
                    <m:sSup>
                      <m:sSupPr>
                        <m:ctrlPr>
                          <w:rPr>
                            <w:rFonts w:ascii="Cambria Math" w:hAnsi="Cambria Math"/>
                            <w:i/>
                          </w:rPr>
                        </m:ctrlPr>
                      </m:sSupPr>
                      <m:e>
                        <m:r>
                          <w:rPr>
                            <w:rFonts w:ascii="Cambria Math" w:hAnsi="Cambria Math"/>
                          </w:rPr>
                          <m:t>r</m:t>
                        </m:r>
                      </m:e>
                      <m:sup>
                        <m:r>
                          <w:rPr>
                            <w:rFonts w:ascii="Cambria Math" w:hAnsi="Cambria Math"/>
                          </w:rPr>
                          <m:t>2</m:t>
                        </m:r>
                      </m:sup>
                    </m:sSup>
                    <m:r>
                      <w:rPr>
                        <w:rFonts w:ascii="Cambria Math" w:hAnsi="Cambria Math"/>
                      </w:rPr>
                      <m:t xml:space="preserve">  </m:t>
                    </m:r>
                  </m:den>
                </m:f>
              </m:oMath>
            </m:oMathPara>
          </w:p>
        </w:tc>
        <w:tc>
          <w:tcPr>
            <w:tcW w:w="720" w:type="dxa"/>
            <w:vAlign w:val="bottom"/>
          </w:tcPr>
          <w:p w14:paraId="63EF6E6E" w14:textId="683DBA7E" w:rsidR="009650AF"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9650AF">
              <w:t>.</w:t>
            </w:r>
            <w:r>
              <w:fldChar w:fldCharType="begin"/>
            </w:r>
            <w:r>
              <w:instrText xml:space="preserve"> SEQ Equation \* ARABIC \s 1 </w:instrText>
            </w:r>
            <w:r>
              <w:fldChar w:fldCharType="separate"/>
            </w:r>
            <w:r w:rsidR="0006023A">
              <w:rPr>
                <w:noProof/>
              </w:rPr>
              <w:t>60</w:t>
            </w:r>
            <w:r>
              <w:rPr>
                <w:noProof/>
              </w:rPr>
              <w:fldChar w:fldCharType="end"/>
            </w:r>
          </w:p>
        </w:tc>
      </w:tr>
    </w:tbl>
    <w:p w14:paraId="1EFAAE3F" w14:textId="77777777" w:rsidR="009650AF" w:rsidRDefault="009650AF" w:rsidP="009650AF">
      <w:pPr>
        <w:ind w:firstLine="720"/>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50AF" w14:paraId="2C4DAAD0" w14:textId="77777777" w:rsidTr="009650AF">
        <w:trPr>
          <w:trHeight w:val="576"/>
        </w:trPr>
        <w:tc>
          <w:tcPr>
            <w:tcW w:w="720" w:type="dxa"/>
            <w:vAlign w:val="center"/>
          </w:tcPr>
          <w:p w14:paraId="11FB733E" w14:textId="47BCD90F" w:rsidR="009650AF" w:rsidRDefault="009650AF" w:rsidP="009650AF">
            <w:pPr>
              <w:spacing w:line="240" w:lineRule="auto"/>
              <w:jc w:val="center"/>
            </w:pPr>
          </w:p>
        </w:tc>
        <w:tc>
          <w:tcPr>
            <w:tcW w:w="7920" w:type="dxa"/>
            <w:vAlign w:val="center"/>
          </w:tcPr>
          <w:p w14:paraId="7680C885" w14:textId="77777777" w:rsidR="009650AF" w:rsidRPr="003E4C6A" w:rsidRDefault="00077C0B" w:rsidP="009650AF">
            <w:pPr>
              <w:spacing w:line="240" w:lineRule="auto"/>
              <w:jc w:val="center"/>
            </w:pPr>
            <m:oMathPara>
              <m:oMath>
                <m:sSub>
                  <m:sSubPr>
                    <m:ctrlPr>
                      <w:rPr>
                        <w:rFonts w:ascii="Cambria Math" w:hAnsi="Cambria Math"/>
                        <w:i/>
                      </w:rPr>
                    </m:ctrlPr>
                  </m:sSubPr>
                  <m:e>
                    <m:r>
                      <w:rPr>
                        <w:rFonts w:ascii="Cambria Math" w:hAnsi="Cambria Math"/>
                      </w:rPr>
                      <m:t>σ'</m:t>
                    </m:r>
                  </m:e>
                  <m:sub>
                    <m:sSub>
                      <m:sSubPr>
                        <m:ctrlPr>
                          <w:rPr>
                            <w:rFonts w:ascii="Cambria Math" w:hAnsi="Cambria Math"/>
                            <w:i/>
                          </w:rPr>
                        </m:ctrlPr>
                      </m:sSubPr>
                      <m:e>
                        <m:r>
                          <w:rPr>
                            <w:rFonts w:ascii="Cambria Math" w:hAnsi="Cambria Math"/>
                          </w:rPr>
                          <m:t>θ</m:t>
                        </m:r>
                      </m:e>
                      <m:sub>
                        <m:r>
                          <w:rPr>
                            <w:rFonts w:ascii="Cambria Math" w:hAnsi="Cambria Math"/>
                          </w:rPr>
                          <m:t>casing</m:t>
                        </m:r>
                      </m:sub>
                    </m:sSub>
                  </m:sub>
                </m:sSub>
                <m:r>
                  <w:rPr>
                    <w:rFonts w:ascii="Cambria Math" w:hAnsi="Cambria Math"/>
                  </w:rPr>
                  <m:t>=</m:t>
                </m:r>
                <m:f>
                  <m:fPr>
                    <m:ctrlPr>
                      <w:rPr>
                        <w:rFonts w:ascii="Cambria Math" w:hAnsi="Cambria Math"/>
                        <w:i/>
                      </w:rPr>
                    </m:ctrlPr>
                  </m:fPr>
                  <m:num>
                    <m:sSub>
                      <m:sSubPr>
                        <m:ctrlPr>
                          <w:rPr>
                            <w:rFonts w:ascii="Cambria Math" w:hAnsi="Cambria Math"/>
                            <w:i/>
                          </w:rPr>
                        </m:ctrlPr>
                      </m:sSubPr>
                      <m:e>
                        <m:sSubSup>
                          <m:sSubSupPr>
                            <m:ctrlPr>
                              <w:rPr>
                                <w:rFonts w:ascii="Cambria Math" w:hAnsi="Cambria Math"/>
                                <w:i/>
                              </w:rPr>
                            </m:ctrlPr>
                          </m:sSubSupPr>
                          <m:e>
                            <m:r>
                              <w:rPr>
                                <w:rFonts w:ascii="Cambria Math" w:hAnsi="Cambria Math"/>
                              </w:rPr>
                              <m:t>r</m:t>
                            </m:r>
                          </m:e>
                          <m:sub>
                            <m:r>
                              <w:rPr>
                                <w:rFonts w:ascii="Cambria Math" w:hAnsi="Cambria Math"/>
                              </w:rPr>
                              <m:t>b</m:t>
                            </m:r>
                          </m:sub>
                          <m:sup>
                            <m:r>
                              <w:rPr>
                                <w:rFonts w:ascii="Cambria Math" w:hAnsi="Cambria Math"/>
                              </w:rPr>
                              <m:t>2</m:t>
                            </m:r>
                          </m:sup>
                        </m:sSubSup>
                        <m:r>
                          <w:rPr>
                            <w:rFonts w:ascii="Cambria Math" w:hAnsi="Cambria Math"/>
                          </w:rPr>
                          <m:t xml:space="preserve"> P</m:t>
                        </m:r>
                      </m:e>
                      <m:sub>
                        <m:r>
                          <w:rPr>
                            <w:rFonts w:ascii="Cambria Math" w:hAnsi="Cambria Math"/>
                          </w:rPr>
                          <m:t>cement</m:t>
                        </m:r>
                      </m:sub>
                    </m:sSub>
                    <m:r>
                      <w:rPr>
                        <w:rFonts w:ascii="Cambria Math" w:hAnsi="Cambria Math"/>
                      </w:rPr>
                      <m:t xml:space="preserve"> + </m:t>
                    </m:r>
                    <m:sSub>
                      <m:sSubPr>
                        <m:ctrlPr>
                          <w:rPr>
                            <w:rFonts w:ascii="Cambria Math" w:hAnsi="Cambria Math"/>
                            <w:i/>
                          </w:rPr>
                        </m:ctrlPr>
                      </m:sSubPr>
                      <m:e>
                        <m:sSubSup>
                          <m:sSubSupPr>
                            <m:ctrlPr>
                              <w:rPr>
                                <w:rFonts w:ascii="Cambria Math" w:hAnsi="Cambria Math"/>
                                <w:i/>
                              </w:rPr>
                            </m:ctrlPr>
                          </m:sSubSupPr>
                          <m:e>
                            <m:r>
                              <w:rPr>
                                <w:rFonts w:ascii="Cambria Math" w:hAnsi="Cambria Math"/>
                              </w:rPr>
                              <m:t>r</m:t>
                            </m:r>
                          </m:e>
                          <m:sub>
                            <m:r>
                              <w:rPr>
                                <w:rFonts w:ascii="Cambria Math" w:hAnsi="Cambria Math"/>
                              </w:rPr>
                              <m:t>a</m:t>
                            </m:r>
                          </m:sub>
                          <m:sup>
                            <m:r>
                              <w:rPr>
                                <w:rFonts w:ascii="Cambria Math" w:hAnsi="Cambria Math"/>
                              </w:rPr>
                              <m:t>2</m:t>
                            </m:r>
                          </m:sup>
                        </m:sSubSup>
                        <m:r>
                          <w:rPr>
                            <w:rFonts w:ascii="Cambria Math" w:hAnsi="Cambria Math"/>
                          </w:rPr>
                          <m:t xml:space="preserve"> P</m:t>
                        </m:r>
                      </m:e>
                      <m:sub>
                        <m:r>
                          <w:rPr>
                            <w:rFonts w:ascii="Cambria Math" w:hAnsi="Cambria Math"/>
                          </w:rPr>
                          <m:t>w</m:t>
                        </m:r>
                      </m:sub>
                    </m:sSub>
                  </m:num>
                  <m:den>
                    <m:sSubSup>
                      <m:sSubSupPr>
                        <m:ctrlPr>
                          <w:rPr>
                            <w:rFonts w:ascii="Cambria Math" w:hAnsi="Cambria Math"/>
                            <w:i/>
                          </w:rPr>
                        </m:ctrlPr>
                      </m:sSubSupPr>
                      <m:e>
                        <m:r>
                          <w:rPr>
                            <w:rFonts w:ascii="Cambria Math" w:hAnsi="Cambria Math"/>
                          </w:rPr>
                          <m:t>r</m:t>
                        </m:r>
                      </m:e>
                      <m:sub>
                        <m:r>
                          <w:rPr>
                            <w:rFonts w:ascii="Cambria Math" w:hAnsi="Cambria Math"/>
                          </w:rPr>
                          <m:t>b</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r</m:t>
                        </m:r>
                      </m:e>
                      <m:sub>
                        <m:r>
                          <w:rPr>
                            <w:rFonts w:ascii="Cambria Math" w:hAnsi="Cambria Math"/>
                          </w:rPr>
                          <m:t>a</m:t>
                        </m:r>
                      </m:sub>
                      <m:sup>
                        <m:r>
                          <w:rPr>
                            <w:rFonts w:ascii="Cambria Math" w:hAnsi="Cambria Math"/>
                          </w:rPr>
                          <m:t>2</m:t>
                        </m:r>
                      </m:sup>
                    </m:sSubSup>
                    <m:r>
                      <w:rPr>
                        <w:rFonts w:ascii="Cambria Math" w:hAnsi="Cambria Math"/>
                      </w:rPr>
                      <m:t xml:space="preserve"> </m:t>
                    </m:r>
                  </m:den>
                </m:f>
                <m:r>
                  <w:rPr>
                    <w:rFonts w:ascii="Cambria Math" w:hAnsi="Cambria Math"/>
                  </w:rPr>
                  <m:t xml:space="preserve"> - </m:t>
                </m:r>
                <m:f>
                  <m:fPr>
                    <m:ctrlPr>
                      <w:rPr>
                        <w:rFonts w:ascii="Cambria Math" w:hAnsi="Cambria Math"/>
                        <w:i/>
                      </w:rPr>
                    </m:ctrlPr>
                  </m:fPr>
                  <m:num>
                    <m:sSub>
                      <m:sSubPr>
                        <m:ctrlPr>
                          <w:rPr>
                            <w:rFonts w:ascii="Cambria Math" w:hAnsi="Cambria Math"/>
                            <w:i/>
                          </w:rPr>
                        </m:ctrlPr>
                      </m:sSubPr>
                      <m:e>
                        <m:sSubSup>
                          <m:sSubSupPr>
                            <m:ctrlPr>
                              <w:rPr>
                                <w:rFonts w:ascii="Cambria Math" w:hAnsi="Cambria Math"/>
                                <w:i/>
                              </w:rPr>
                            </m:ctrlPr>
                          </m:sSubSupPr>
                          <m:e>
                            <m:r>
                              <w:rPr>
                                <w:rFonts w:ascii="Cambria Math" w:hAnsi="Cambria Math"/>
                              </w:rPr>
                              <m:t>r</m:t>
                            </m:r>
                          </m:e>
                          <m:sub>
                            <m:r>
                              <w:rPr>
                                <w:rFonts w:ascii="Cambria Math" w:hAnsi="Cambria Math"/>
                              </w:rPr>
                              <m:t>a</m:t>
                            </m:r>
                          </m:sub>
                          <m:sup>
                            <m:r>
                              <w:rPr>
                                <w:rFonts w:ascii="Cambria Math" w:hAnsi="Cambria Math"/>
                              </w:rPr>
                              <m:t>2</m:t>
                            </m:r>
                          </m:sup>
                        </m:sSubSup>
                        <m:r>
                          <w:rPr>
                            <w:rFonts w:ascii="Cambria Math" w:hAnsi="Cambria Math"/>
                          </w:rPr>
                          <m:t xml:space="preserve"> </m:t>
                        </m:r>
                        <m:sSubSup>
                          <m:sSubSupPr>
                            <m:ctrlPr>
                              <w:rPr>
                                <w:rFonts w:ascii="Cambria Math" w:hAnsi="Cambria Math"/>
                                <w:i/>
                              </w:rPr>
                            </m:ctrlPr>
                          </m:sSubSupPr>
                          <m:e>
                            <m:r>
                              <w:rPr>
                                <w:rFonts w:ascii="Cambria Math" w:hAnsi="Cambria Math"/>
                              </w:rPr>
                              <m:t>r</m:t>
                            </m:r>
                          </m:e>
                          <m:sub>
                            <m:r>
                              <w:rPr>
                                <w:rFonts w:ascii="Cambria Math" w:hAnsi="Cambria Math"/>
                              </w:rPr>
                              <m:t>b</m:t>
                            </m:r>
                          </m:sub>
                          <m:sup>
                            <m:r>
                              <w:rPr>
                                <w:rFonts w:ascii="Cambria Math" w:hAnsi="Cambria Math"/>
                              </w:rPr>
                              <m:t>2</m:t>
                            </m:r>
                          </m:sup>
                        </m:sSubSup>
                        <m:r>
                          <w:rPr>
                            <w:rFonts w:ascii="Cambria Math" w:hAnsi="Cambria Math"/>
                          </w:rPr>
                          <m:t xml:space="preserve"> (P</m:t>
                        </m:r>
                      </m:e>
                      <m:sub>
                        <m:r>
                          <w:rPr>
                            <w:rFonts w:ascii="Cambria Math" w:hAnsi="Cambria Math"/>
                          </w:rPr>
                          <m:t>w</m:t>
                        </m:r>
                      </m:sub>
                    </m:sSub>
                    <m:sSub>
                      <m:sSubPr>
                        <m:ctrlPr>
                          <w:rPr>
                            <w:rFonts w:ascii="Cambria Math" w:hAnsi="Cambria Math"/>
                            <w:i/>
                          </w:rPr>
                        </m:ctrlPr>
                      </m:sSubPr>
                      <m:e>
                        <m:r>
                          <w:rPr>
                            <w:rFonts w:ascii="Cambria Math" w:hAnsi="Cambria Math"/>
                          </w:rPr>
                          <m:t>-P</m:t>
                        </m:r>
                      </m:e>
                      <m:sub>
                        <m:r>
                          <w:rPr>
                            <w:rFonts w:ascii="Cambria Math" w:hAnsi="Cambria Math"/>
                          </w:rPr>
                          <m:t>cement</m:t>
                        </m:r>
                      </m:sub>
                    </m:sSub>
                    <m:r>
                      <w:rPr>
                        <w:rFonts w:ascii="Cambria Math" w:hAnsi="Cambria Math"/>
                      </w:rPr>
                      <m:t xml:space="preserve">) </m:t>
                    </m:r>
                  </m:num>
                  <m:den>
                    <m:sSubSup>
                      <m:sSubSupPr>
                        <m:ctrlPr>
                          <w:rPr>
                            <w:rFonts w:ascii="Cambria Math" w:hAnsi="Cambria Math"/>
                            <w:i/>
                          </w:rPr>
                        </m:ctrlPr>
                      </m:sSubSupPr>
                      <m:e>
                        <m:r>
                          <w:rPr>
                            <w:rFonts w:ascii="Cambria Math" w:hAnsi="Cambria Math"/>
                          </w:rPr>
                          <m:t>(r</m:t>
                        </m:r>
                      </m:e>
                      <m:sub>
                        <m:r>
                          <w:rPr>
                            <w:rFonts w:ascii="Cambria Math" w:hAnsi="Cambria Math"/>
                          </w:rPr>
                          <m:t>b</m:t>
                        </m:r>
                      </m:sub>
                      <m:sup>
                        <m:r>
                          <w:rPr>
                            <w:rFonts w:ascii="Cambria Math" w:hAnsi="Cambria Math"/>
                          </w:rPr>
                          <m:t>2</m:t>
                        </m:r>
                      </m:sup>
                    </m:sSubSup>
                    <m:r>
                      <w:rPr>
                        <w:rFonts w:ascii="Cambria Math" w:hAnsi="Cambria Math"/>
                      </w:rPr>
                      <m:t xml:space="preserve"> -</m:t>
                    </m:r>
                    <m:sSubSup>
                      <m:sSubSupPr>
                        <m:ctrlPr>
                          <w:rPr>
                            <w:rFonts w:ascii="Cambria Math" w:hAnsi="Cambria Math"/>
                            <w:i/>
                          </w:rPr>
                        </m:ctrlPr>
                      </m:sSubSupPr>
                      <m:e>
                        <m:r>
                          <w:rPr>
                            <w:rFonts w:ascii="Cambria Math" w:hAnsi="Cambria Math"/>
                          </w:rPr>
                          <m:t>r</m:t>
                        </m:r>
                      </m:e>
                      <m:sub>
                        <m:r>
                          <w:rPr>
                            <w:rFonts w:ascii="Cambria Math" w:hAnsi="Cambria Math"/>
                          </w:rPr>
                          <m:t>a</m:t>
                        </m:r>
                      </m:sub>
                      <m:sup>
                        <m:r>
                          <w:rPr>
                            <w:rFonts w:ascii="Cambria Math" w:hAnsi="Cambria Math"/>
                          </w:rPr>
                          <m:t>2</m:t>
                        </m:r>
                      </m:sup>
                    </m:sSubSup>
                    <m:r>
                      <w:rPr>
                        <w:rFonts w:ascii="Cambria Math" w:hAnsi="Cambria Math"/>
                      </w:rPr>
                      <m:t>)</m:t>
                    </m:r>
                    <m:sSup>
                      <m:sSupPr>
                        <m:ctrlPr>
                          <w:rPr>
                            <w:rFonts w:ascii="Cambria Math" w:hAnsi="Cambria Math"/>
                            <w:i/>
                          </w:rPr>
                        </m:ctrlPr>
                      </m:sSupPr>
                      <m:e>
                        <m:r>
                          <w:rPr>
                            <w:rFonts w:ascii="Cambria Math" w:hAnsi="Cambria Math"/>
                          </w:rPr>
                          <m:t>r</m:t>
                        </m:r>
                      </m:e>
                      <m:sup>
                        <m:r>
                          <w:rPr>
                            <w:rFonts w:ascii="Cambria Math" w:hAnsi="Cambria Math"/>
                          </w:rPr>
                          <m:t>2</m:t>
                        </m:r>
                      </m:sup>
                    </m:sSup>
                    <m:r>
                      <w:rPr>
                        <w:rFonts w:ascii="Cambria Math" w:hAnsi="Cambria Math"/>
                      </w:rPr>
                      <m:t xml:space="preserve">  </m:t>
                    </m:r>
                  </m:den>
                </m:f>
                <m:r>
                  <w:rPr>
                    <w:rFonts w:ascii="Cambria Math" w:hAnsi="Cambria Math"/>
                  </w:rPr>
                  <m:t xml:space="preserve"> </m:t>
                </m:r>
              </m:oMath>
            </m:oMathPara>
          </w:p>
        </w:tc>
        <w:tc>
          <w:tcPr>
            <w:tcW w:w="720" w:type="dxa"/>
            <w:vAlign w:val="bottom"/>
          </w:tcPr>
          <w:p w14:paraId="45997C98" w14:textId="6BB6E899" w:rsidR="009650AF"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9650AF">
              <w:t>.</w:t>
            </w:r>
            <w:r>
              <w:fldChar w:fldCharType="begin"/>
            </w:r>
            <w:r>
              <w:instrText xml:space="preserve"> SEQ Equation \* ARABIC \s 1 </w:instrText>
            </w:r>
            <w:r>
              <w:fldChar w:fldCharType="separate"/>
            </w:r>
            <w:r w:rsidR="0006023A">
              <w:rPr>
                <w:noProof/>
              </w:rPr>
              <w:t>61</w:t>
            </w:r>
            <w:r>
              <w:rPr>
                <w:noProof/>
              </w:rPr>
              <w:fldChar w:fldCharType="end"/>
            </w:r>
          </w:p>
        </w:tc>
      </w:tr>
    </w:tbl>
    <w:p w14:paraId="3A9EAE00" w14:textId="77777777" w:rsidR="009650AF" w:rsidRPr="00DE4AFB" w:rsidRDefault="009650AF" w:rsidP="009650AF">
      <w:pPr>
        <w:ind w:firstLine="720"/>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50AF" w14:paraId="5F981870" w14:textId="77777777" w:rsidTr="009650AF">
        <w:trPr>
          <w:trHeight w:val="576"/>
        </w:trPr>
        <w:tc>
          <w:tcPr>
            <w:tcW w:w="720" w:type="dxa"/>
            <w:vAlign w:val="center"/>
          </w:tcPr>
          <w:p w14:paraId="748617EE" w14:textId="5416BB8B" w:rsidR="009650AF" w:rsidRDefault="009650AF" w:rsidP="009650AF">
            <w:pPr>
              <w:spacing w:line="240" w:lineRule="auto"/>
              <w:jc w:val="center"/>
            </w:pPr>
          </w:p>
        </w:tc>
        <w:tc>
          <w:tcPr>
            <w:tcW w:w="7920" w:type="dxa"/>
            <w:vAlign w:val="center"/>
          </w:tcPr>
          <w:p w14:paraId="5750EECF" w14:textId="77777777" w:rsidR="009650AF" w:rsidRPr="003E4C6A" w:rsidRDefault="00077C0B" w:rsidP="009650AF">
            <w:pPr>
              <w:spacing w:line="240" w:lineRule="auto"/>
              <w:jc w:val="center"/>
            </w:pPr>
            <m:oMathPara>
              <m:oMath>
                <m:sSub>
                  <m:sSubPr>
                    <m:ctrlPr>
                      <w:rPr>
                        <w:rFonts w:ascii="Cambria Math" w:hAnsi="Cambria Math"/>
                        <w:i/>
                      </w:rPr>
                    </m:ctrlPr>
                  </m:sSubPr>
                  <m:e>
                    <m:r>
                      <w:rPr>
                        <w:rFonts w:ascii="Cambria Math" w:hAnsi="Cambria Math"/>
                      </w:rPr>
                      <m:t>σ'</m:t>
                    </m:r>
                  </m:e>
                  <m:sub>
                    <m:sSub>
                      <m:sSubPr>
                        <m:ctrlPr>
                          <w:rPr>
                            <w:rFonts w:ascii="Cambria Math" w:hAnsi="Cambria Math"/>
                            <w:i/>
                          </w:rPr>
                        </m:ctrlPr>
                      </m:sSubPr>
                      <m:e>
                        <m:r>
                          <w:rPr>
                            <w:rFonts w:ascii="Cambria Math" w:hAnsi="Cambria Math"/>
                          </w:rPr>
                          <m:t>z</m:t>
                        </m:r>
                      </m:e>
                      <m:sub>
                        <m:r>
                          <w:rPr>
                            <w:rFonts w:ascii="Cambria Math" w:hAnsi="Cambria Math"/>
                          </w:rPr>
                          <m:t>casing</m:t>
                        </m:r>
                      </m:sub>
                    </m:sSub>
                  </m:sub>
                </m:sSub>
                <m:r>
                  <w:rPr>
                    <w:rFonts w:ascii="Cambria Math" w:hAnsi="Cambria Math"/>
                  </w:rPr>
                  <m:t>=</m:t>
                </m:r>
                <m:sSub>
                  <m:sSubPr>
                    <m:ctrlPr>
                      <w:rPr>
                        <w:rFonts w:ascii="Cambria Math" w:hAnsi="Cambria Math"/>
                        <w:i/>
                      </w:rPr>
                    </m:ctrlPr>
                  </m:sSubPr>
                  <m:e>
                    <m:r>
                      <w:rPr>
                        <w:rFonts w:ascii="Cambria Math" w:hAnsi="Cambria Math"/>
                      </w:rPr>
                      <m:t>σ</m:t>
                    </m:r>
                  </m:e>
                  <m:sub>
                    <m:sSub>
                      <m:sSubPr>
                        <m:ctrlPr>
                          <w:rPr>
                            <w:rFonts w:ascii="Cambria Math" w:hAnsi="Cambria Math"/>
                            <w:i/>
                          </w:rPr>
                        </m:ctrlPr>
                      </m:sSubPr>
                      <m:e>
                        <m:r>
                          <w:rPr>
                            <w:rFonts w:ascii="Cambria Math" w:hAnsi="Cambria Math"/>
                          </w:rPr>
                          <m:t>v</m:t>
                        </m:r>
                      </m:e>
                      <m:sub>
                        <m:r>
                          <w:rPr>
                            <w:rFonts w:ascii="Cambria Math" w:hAnsi="Cambria Math"/>
                          </w:rPr>
                          <m:t xml:space="preserve">casing </m:t>
                        </m:r>
                      </m:sub>
                    </m:sSub>
                  </m:sub>
                </m:sSub>
              </m:oMath>
            </m:oMathPara>
          </w:p>
        </w:tc>
        <w:tc>
          <w:tcPr>
            <w:tcW w:w="720" w:type="dxa"/>
            <w:vAlign w:val="bottom"/>
          </w:tcPr>
          <w:p w14:paraId="56E66406" w14:textId="465BB5A5" w:rsidR="009650AF"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9650AF">
              <w:t>.</w:t>
            </w:r>
            <w:r>
              <w:fldChar w:fldCharType="begin"/>
            </w:r>
            <w:r>
              <w:instrText xml:space="preserve"> SEQ Equation \* ARABIC \s 1 </w:instrText>
            </w:r>
            <w:r>
              <w:fldChar w:fldCharType="separate"/>
            </w:r>
            <w:r w:rsidR="0006023A">
              <w:rPr>
                <w:noProof/>
              </w:rPr>
              <w:t>62</w:t>
            </w:r>
            <w:r>
              <w:rPr>
                <w:noProof/>
              </w:rPr>
              <w:fldChar w:fldCharType="end"/>
            </w:r>
          </w:p>
        </w:tc>
      </w:tr>
    </w:tbl>
    <w:p w14:paraId="68EE6DDB" w14:textId="77777777" w:rsidR="009650AF" w:rsidRDefault="009650AF" w:rsidP="009650AF">
      <w:pPr>
        <w:ind w:firstLine="720"/>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50AF" w14:paraId="1BD1951E" w14:textId="77777777" w:rsidTr="009650AF">
        <w:trPr>
          <w:trHeight w:val="576"/>
        </w:trPr>
        <w:tc>
          <w:tcPr>
            <w:tcW w:w="720" w:type="dxa"/>
            <w:vAlign w:val="center"/>
          </w:tcPr>
          <w:p w14:paraId="1DF95D5A" w14:textId="3EF37342" w:rsidR="009650AF" w:rsidRDefault="009650AF" w:rsidP="009650AF">
            <w:pPr>
              <w:spacing w:line="240" w:lineRule="auto"/>
              <w:jc w:val="center"/>
            </w:pPr>
          </w:p>
        </w:tc>
        <w:tc>
          <w:tcPr>
            <w:tcW w:w="7920" w:type="dxa"/>
            <w:vAlign w:val="center"/>
          </w:tcPr>
          <w:p w14:paraId="027F03AA" w14:textId="77777777" w:rsidR="009650AF" w:rsidRPr="003E4C6A" w:rsidRDefault="00077C0B" w:rsidP="009650AF">
            <w:pPr>
              <w:spacing w:line="240" w:lineRule="auto"/>
              <w:jc w:val="center"/>
            </w:pPr>
            <m:oMathPara>
              <m:oMath>
                <m:sSub>
                  <m:sSubPr>
                    <m:ctrlPr>
                      <w:rPr>
                        <w:rFonts w:ascii="Cambria Math" w:hAnsi="Cambria Math"/>
                        <w:i/>
                      </w:rPr>
                    </m:ctrlPr>
                  </m:sSubPr>
                  <m:e>
                    <m:r>
                      <w:rPr>
                        <w:rFonts w:ascii="Cambria Math" w:hAnsi="Cambria Math"/>
                      </w:rPr>
                      <m:t>σ'</m:t>
                    </m:r>
                  </m:e>
                  <m:sub>
                    <m:sSub>
                      <m:sSubPr>
                        <m:ctrlPr>
                          <w:rPr>
                            <w:rFonts w:ascii="Cambria Math" w:hAnsi="Cambria Math"/>
                            <w:i/>
                          </w:rPr>
                        </m:ctrlPr>
                      </m:sSubPr>
                      <m:e>
                        <m:r>
                          <w:rPr>
                            <w:rFonts w:ascii="Cambria Math" w:hAnsi="Cambria Math"/>
                          </w:rPr>
                          <m:t>r</m:t>
                        </m:r>
                      </m:e>
                      <m:sub>
                        <m:r>
                          <w:rPr>
                            <w:rFonts w:ascii="Cambria Math" w:hAnsi="Cambria Math"/>
                          </w:rPr>
                          <m:t>cement</m:t>
                        </m:r>
                      </m:sub>
                    </m:sSub>
                  </m:sub>
                </m:sSub>
                <m:r>
                  <w:rPr>
                    <w:rFonts w:ascii="Cambria Math" w:hAnsi="Cambria Math"/>
                  </w:rPr>
                  <m:t>=</m:t>
                </m:r>
                <m:f>
                  <m:fPr>
                    <m:ctrlPr>
                      <w:rPr>
                        <w:rFonts w:ascii="Cambria Math" w:hAnsi="Cambria Math"/>
                        <w:i/>
                      </w:rPr>
                    </m:ctrlPr>
                  </m:fPr>
                  <m:num>
                    <m:sSub>
                      <m:sSubPr>
                        <m:ctrlPr>
                          <w:rPr>
                            <w:rFonts w:ascii="Cambria Math" w:hAnsi="Cambria Math"/>
                            <w:i/>
                          </w:rPr>
                        </m:ctrlPr>
                      </m:sSubPr>
                      <m:e>
                        <m:sSubSup>
                          <m:sSubSupPr>
                            <m:ctrlPr>
                              <w:rPr>
                                <w:rFonts w:ascii="Cambria Math" w:hAnsi="Cambria Math"/>
                                <w:i/>
                              </w:rPr>
                            </m:ctrlPr>
                          </m:sSubSupPr>
                          <m:e>
                            <m:r>
                              <w:rPr>
                                <w:rFonts w:ascii="Cambria Math" w:hAnsi="Cambria Math"/>
                              </w:rPr>
                              <m:t>r</m:t>
                            </m:r>
                          </m:e>
                          <m:sub>
                            <m:r>
                              <w:rPr>
                                <w:rFonts w:ascii="Cambria Math" w:hAnsi="Cambria Math"/>
                              </w:rPr>
                              <m:t>c</m:t>
                            </m:r>
                          </m:sub>
                          <m:sup>
                            <m:r>
                              <w:rPr>
                                <w:rFonts w:ascii="Cambria Math" w:hAnsi="Cambria Math"/>
                              </w:rPr>
                              <m:t>2</m:t>
                            </m:r>
                          </m:sup>
                        </m:sSubSup>
                        <m:r>
                          <w:rPr>
                            <w:rFonts w:ascii="Cambria Math" w:hAnsi="Cambria Math"/>
                          </w:rPr>
                          <m:t xml:space="preserve"> P</m:t>
                        </m:r>
                      </m:e>
                      <m:sub>
                        <m:r>
                          <w:rPr>
                            <w:rFonts w:ascii="Cambria Math" w:hAnsi="Cambria Math"/>
                          </w:rPr>
                          <m:t>cement</m:t>
                        </m:r>
                      </m:sub>
                    </m:sSub>
                    <m:r>
                      <w:rPr>
                        <w:rFonts w:ascii="Cambria Math" w:hAnsi="Cambria Math"/>
                      </w:rPr>
                      <m:t xml:space="preserve"> + </m:t>
                    </m:r>
                    <m:sSub>
                      <m:sSubPr>
                        <m:ctrlPr>
                          <w:rPr>
                            <w:rFonts w:ascii="Cambria Math" w:hAnsi="Cambria Math"/>
                            <w:i/>
                          </w:rPr>
                        </m:ctrlPr>
                      </m:sSubPr>
                      <m:e>
                        <m:sSubSup>
                          <m:sSubSupPr>
                            <m:ctrlPr>
                              <w:rPr>
                                <w:rFonts w:ascii="Cambria Math" w:hAnsi="Cambria Math"/>
                                <w:i/>
                              </w:rPr>
                            </m:ctrlPr>
                          </m:sSubSupPr>
                          <m:e>
                            <m:r>
                              <w:rPr>
                                <w:rFonts w:ascii="Cambria Math" w:hAnsi="Cambria Math"/>
                              </w:rPr>
                              <m:t>r</m:t>
                            </m:r>
                          </m:e>
                          <m:sub>
                            <m:r>
                              <w:rPr>
                                <w:rFonts w:ascii="Cambria Math" w:hAnsi="Cambria Math"/>
                              </w:rPr>
                              <m:t>b</m:t>
                            </m:r>
                          </m:sub>
                          <m:sup>
                            <m:r>
                              <w:rPr>
                                <w:rFonts w:ascii="Cambria Math" w:hAnsi="Cambria Math"/>
                              </w:rPr>
                              <m:t>2</m:t>
                            </m:r>
                          </m:sup>
                        </m:sSubSup>
                        <m:r>
                          <w:rPr>
                            <w:rFonts w:ascii="Cambria Math" w:hAnsi="Cambria Math"/>
                          </w:rPr>
                          <m:t xml:space="preserve"> P</m:t>
                        </m:r>
                      </m:e>
                      <m:sub>
                        <m:r>
                          <w:rPr>
                            <w:rFonts w:ascii="Cambria Math" w:hAnsi="Cambria Math"/>
                          </w:rPr>
                          <m:t>cement</m:t>
                        </m:r>
                      </m:sub>
                    </m:sSub>
                  </m:num>
                  <m:den>
                    <m:sSubSup>
                      <m:sSubSupPr>
                        <m:ctrlPr>
                          <w:rPr>
                            <w:rFonts w:ascii="Cambria Math" w:hAnsi="Cambria Math"/>
                            <w:i/>
                          </w:rPr>
                        </m:ctrlPr>
                      </m:sSubSupPr>
                      <m:e>
                        <m:r>
                          <w:rPr>
                            <w:rFonts w:ascii="Cambria Math" w:hAnsi="Cambria Math"/>
                          </w:rPr>
                          <m:t>r</m:t>
                        </m:r>
                      </m:e>
                      <m:sub>
                        <m:r>
                          <w:rPr>
                            <w:rFonts w:ascii="Cambria Math" w:hAnsi="Cambria Math"/>
                          </w:rPr>
                          <m:t>c</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r</m:t>
                        </m:r>
                      </m:e>
                      <m:sub>
                        <m:r>
                          <w:rPr>
                            <w:rFonts w:ascii="Cambria Math" w:hAnsi="Cambria Math"/>
                          </w:rPr>
                          <m:t>b</m:t>
                        </m:r>
                      </m:sub>
                      <m:sup>
                        <m:r>
                          <w:rPr>
                            <w:rFonts w:ascii="Cambria Math" w:hAnsi="Cambria Math"/>
                          </w:rPr>
                          <m:t>2</m:t>
                        </m:r>
                      </m:sup>
                    </m:sSubSup>
                    <m:r>
                      <w:rPr>
                        <w:rFonts w:ascii="Cambria Math" w:hAnsi="Cambria Math"/>
                      </w:rPr>
                      <m:t xml:space="preserve"> </m:t>
                    </m:r>
                  </m:den>
                </m:f>
                <m:r>
                  <w:rPr>
                    <w:rFonts w:ascii="Cambria Math" w:hAnsi="Cambria Math"/>
                  </w:rPr>
                  <m:t xml:space="preserve"> </m:t>
                </m:r>
                <m:sSub>
                  <m:sSubPr>
                    <m:ctrlPr>
                      <w:rPr>
                        <w:rFonts w:ascii="Cambria Math" w:hAnsi="Cambria Math"/>
                        <w:i/>
                      </w:rPr>
                    </m:ctrlPr>
                  </m:sSubPr>
                  <m:e>
                    <m:r>
                      <w:rPr>
                        <w:rFonts w:ascii="Cambria Math" w:hAnsi="Cambria Math"/>
                      </w:rPr>
                      <m:t>- P</m:t>
                    </m:r>
                  </m:e>
                  <m:sub>
                    <m:sSub>
                      <m:sSubPr>
                        <m:ctrlPr>
                          <w:rPr>
                            <w:rFonts w:ascii="Cambria Math" w:hAnsi="Cambria Math"/>
                            <w:i/>
                          </w:rPr>
                        </m:ctrlPr>
                      </m:sSubPr>
                      <m:e>
                        <m:r>
                          <w:rPr>
                            <w:rFonts w:ascii="Cambria Math" w:hAnsi="Cambria Math"/>
                          </w:rPr>
                          <m:t>p</m:t>
                        </m:r>
                      </m:e>
                      <m:sub>
                        <m:r>
                          <w:rPr>
                            <w:rFonts w:ascii="Cambria Math" w:hAnsi="Cambria Math"/>
                          </w:rPr>
                          <m:t>cement</m:t>
                        </m:r>
                      </m:sub>
                    </m:sSub>
                  </m:sub>
                </m:sSub>
              </m:oMath>
            </m:oMathPara>
          </w:p>
        </w:tc>
        <w:tc>
          <w:tcPr>
            <w:tcW w:w="720" w:type="dxa"/>
            <w:vAlign w:val="bottom"/>
          </w:tcPr>
          <w:p w14:paraId="5DBC4C8D" w14:textId="063797EB" w:rsidR="009650AF"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9650AF">
              <w:t>.</w:t>
            </w:r>
            <w:r>
              <w:fldChar w:fldCharType="begin"/>
            </w:r>
            <w:r>
              <w:instrText xml:space="preserve"> SEQ Equation \* ARABIC \s 1 </w:instrText>
            </w:r>
            <w:r>
              <w:fldChar w:fldCharType="separate"/>
            </w:r>
            <w:r w:rsidR="0006023A">
              <w:rPr>
                <w:noProof/>
              </w:rPr>
              <w:t>63</w:t>
            </w:r>
            <w:r>
              <w:rPr>
                <w:noProof/>
              </w:rPr>
              <w:fldChar w:fldCharType="end"/>
            </w:r>
          </w:p>
        </w:tc>
      </w:tr>
      <w:tr w:rsidR="009650AF" w14:paraId="5EB40988" w14:textId="77777777" w:rsidTr="009650AF">
        <w:trPr>
          <w:trHeight w:val="576"/>
        </w:trPr>
        <w:tc>
          <w:tcPr>
            <w:tcW w:w="720" w:type="dxa"/>
            <w:vAlign w:val="center"/>
          </w:tcPr>
          <w:p w14:paraId="3F26AF94" w14:textId="5921550E" w:rsidR="009650AF" w:rsidRDefault="009650AF" w:rsidP="009650AF">
            <w:pPr>
              <w:spacing w:line="240" w:lineRule="auto"/>
              <w:jc w:val="center"/>
            </w:pPr>
          </w:p>
        </w:tc>
        <w:tc>
          <w:tcPr>
            <w:tcW w:w="7920" w:type="dxa"/>
            <w:vAlign w:val="center"/>
          </w:tcPr>
          <w:p w14:paraId="4A2A8613" w14:textId="77777777" w:rsidR="009650AF" w:rsidRPr="003E4C6A" w:rsidRDefault="00077C0B" w:rsidP="009650AF">
            <w:pPr>
              <w:spacing w:line="240" w:lineRule="auto"/>
              <w:jc w:val="center"/>
            </w:pPr>
            <m:oMathPara>
              <m:oMath>
                <m:sSub>
                  <m:sSubPr>
                    <m:ctrlPr>
                      <w:rPr>
                        <w:rFonts w:ascii="Cambria Math" w:hAnsi="Cambria Math"/>
                        <w:i/>
                      </w:rPr>
                    </m:ctrlPr>
                  </m:sSubPr>
                  <m:e>
                    <m:r>
                      <w:rPr>
                        <w:rFonts w:ascii="Cambria Math" w:hAnsi="Cambria Math"/>
                      </w:rPr>
                      <m:t>σ'</m:t>
                    </m:r>
                  </m:e>
                  <m:sub>
                    <m:sSub>
                      <m:sSubPr>
                        <m:ctrlPr>
                          <w:rPr>
                            <w:rFonts w:ascii="Cambria Math" w:hAnsi="Cambria Math"/>
                            <w:i/>
                          </w:rPr>
                        </m:ctrlPr>
                      </m:sSubPr>
                      <m:e>
                        <m:r>
                          <w:rPr>
                            <w:rFonts w:ascii="Cambria Math" w:hAnsi="Cambria Math"/>
                          </w:rPr>
                          <m:t>θ</m:t>
                        </m:r>
                      </m:e>
                      <m:sub>
                        <m:r>
                          <w:rPr>
                            <w:rFonts w:ascii="Cambria Math" w:hAnsi="Cambria Math"/>
                          </w:rPr>
                          <m:t>cement</m:t>
                        </m:r>
                      </m:sub>
                    </m:sSub>
                  </m:sub>
                </m:sSub>
                <m:r>
                  <w:rPr>
                    <w:rFonts w:ascii="Cambria Math" w:hAnsi="Cambria Math"/>
                  </w:rPr>
                  <m:t>=</m:t>
                </m:r>
                <m:f>
                  <m:fPr>
                    <m:ctrlPr>
                      <w:rPr>
                        <w:rFonts w:ascii="Cambria Math" w:hAnsi="Cambria Math"/>
                        <w:i/>
                      </w:rPr>
                    </m:ctrlPr>
                  </m:fPr>
                  <m:num>
                    <m:sSub>
                      <m:sSubPr>
                        <m:ctrlPr>
                          <w:rPr>
                            <w:rFonts w:ascii="Cambria Math" w:hAnsi="Cambria Math"/>
                            <w:i/>
                          </w:rPr>
                        </m:ctrlPr>
                      </m:sSubPr>
                      <m:e>
                        <m:sSubSup>
                          <m:sSubSupPr>
                            <m:ctrlPr>
                              <w:rPr>
                                <w:rFonts w:ascii="Cambria Math" w:hAnsi="Cambria Math"/>
                                <w:i/>
                              </w:rPr>
                            </m:ctrlPr>
                          </m:sSubSupPr>
                          <m:e>
                            <m:r>
                              <w:rPr>
                                <w:rFonts w:ascii="Cambria Math" w:hAnsi="Cambria Math"/>
                              </w:rPr>
                              <m:t>r</m:t>
                            </m:r>
                          </m:e>
                          <m:sub>
                            <m:r>
                              <w:rPr>
                                <w:rFonts w:ascii="Cambria Math" w:hAnsi="Cambria Math"/>
                              </w:rPr>
                              <m:t>c</m:t>
                            </m:r>
                          </m:sub>
                          <m:sup>
                            <m:r>
                              <w:rPr>
                                <w:rFonts w:ascii="Cambria Math" w:hAnsi="Cambria Math"/>
                              </w:rPr>
                              <m:t>2</m:t>
                            </m:r>
                          </m:sup>
                        </m:sSubSup>
                        <m:r>
                          <w:rPr>
                            <w:rFonts w:ascii="Cambria Math" w:hAnsi="Cambria Math"/>
                          </w:rPr>
                          <m:t xml:space="preserve"> P</m:t>
                        </m:r>
                      </m:e>
                      <m:sub>
                        <m:r>
                          <w:rPr>
                            <w:rFonts w:ascii="Cambria Math" w:hAnsi="Cambria Math"/>
                          </w:rPr>
                          <m:t>cement</m:t>
                        </m:r>
                      </m:sub>
                    </m:sSub>
                    <m:r>
                      <w:rPr>
                        <w:rFonts w:ascii="Cambria Math" w:hAnsi="Cambria Math"/>
                      </w:rPr>
                      <m:t xml:space="preserve"> + </m:t>
                    </m:r>
                    <m:sSub>
                      <m:sSubPr>
                        <m:ctrlPr>
                          <w:rPr>
                            <w:rFonts w:ascii="Cambria Math" w:hAnsi="Cambria Math"/>
                            <w:i/>
                          </w:rPr>
                        </m:ctrlPr>
                      </m:sSubPr>
                      <m:e>
                        <m:sSubSup>
                          <m:sSubSupPr>
                            <m:ctrlPr>
                              <w:rPr>
                                <w:rFonts w:ascii="Cambria Math" w:hAnsi="Cambria Math"/>
                                <w:i/>
                              </w:rPr>
                            </m:ctrlPr>
                          </m:sSubSupPr>
                          <m:e>
                            <m:r>
                              <w:rPr>
                                <w:rFonts w:ascii="Cambria Math" w:hAnsi="Cambria Math"/>
                              </w:rPr>
                              <m:t>r</m:t>
                            </m:r>
                          </m:e>
                          <m:sub>
                            <m:r>
                              <w:rPr>
                                <w:rFonts w:ascii="Cambria Math" w:hAnsi="Cambria Math"/>
                              </w:rPr>
                              <m:t>b</m:t>
                            </m:r>
                          </m:sub>
                          <m:sup>
                            <m:r>
                              <w:rPr>
                                <w:rFonts w:ascii="Cambria Math" w:hAnsi="Cambria Math"/>
                              </w:rPr>
                              <m:t>2</m:t>
                            </m:r>
                          </m:sup>
                        </m:sSubSup>
                        <m:r>
                          <w:rPr>
                            <w:rFonts w:ascii="Cambria Math" w:hAnsi="Cambria Math"/>
                          </w:rPr>
                          <m:t xml:space="preserve"> P</m:t>
                        </m:r>
                      </m:e>
                      <m:sub>
                        <m:r>
                          <w:rPr>
                            <w:rFonts w:ascii="Cambria Math" w:hAnsi="Cambria Math"/>
                          </w:rPr>
                          <m:t>cement</m:t>
                        </m:r>
                      </m:sub>
                    </m:sSub>
                  </m:num>
                  <m:den>
                    <m:sSubSup>
                      <m:sSubSupPr>
                        <m:ctrlPr>
                          <w:rPr>
                            <w:rFonts w:ascii="Cambria Math" w:hAnsi="Cambria Math"/>
                            <w:i/>
                          </w:rPr>
                        </m:ctrlPr>
                      </m:sSubSupPr>
                      <m:e>
                        <m:r>
                          <w:rPr>
                            <w:rFonts w:ascii="Cambria Math" w:hAnsi="Cambria Math"/>
                          </w:rPr>
                          <m:t>r</m:t>
                        </m:r>
                      </m:e>
                      <m:sub>
                        <m:r>
                          <w:rPr>
                            <w:rFonts w:ascii="Cambria Math" w:hAnsi="Cambria Math"/>
                          </w:rPr>
                          <m:t>c</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r</m:t>
                        </m:r>
                      </m:e>
                      <m:sub>
                        <m:r>
                          <w:rPr>
                            <w:rFonts w:ascii="Cambria Math" w:hAnsi="Cambria Math"/>
                          </w:rPr>
                          <m:t>b</m:t>
                        </m:r>
                      </m:sub>
                      <m:sup>
                        <m:r>
                          <w:rPr>
                            <w:rFonts w:ascii="Cambria Math" w:hAnsi="Cambria Math"/>
                          </w:rPr>
                          <m:t>2</m:t>
                        </m:r>
                      </m:sup>
                    </m:sSubSup>
                    <m:r>
                      <w:rPr>
                        <w:rFonts w:ascii="Cambria Math" w:hAnsi="Cambria Math"/>
                      </w:rPr>
                      <m:t xml:space="preserve"> </m:t>
                    </m:r>
                  </m:den>
                </m:f>
                <m:r>
                  <w:rPr>
                    <w:rFonts w:ascii="Cambria Math" w:hAnsi="Cambria Math"/>
                  </w:rPr>
                  <m:t xml:space="preserve"> </m:t>
                </m:r>
                <m:sSub>
                  <m:sSubPr>
                    <m:ctrlPr>
                      <w:rPr>
                        <w:rFonts w:ascii="Cambria Math" w:hAnsi="Cambria Math"/>
                        <w:i/>
                      </w:rPr>
                    </m:ctrlPr>
                  </m:sSubPr>
                  <m:e>
                    <m:r>
                      <w:rPr>
                        <w:rFonts w:ascii="Cambria Math" w:hAnsi="Cambria Math"/>
                      </w:rPr>
                      <m:t>- P</m:t>
                    </m:r>
                  </m:e>
                  <m:sub>
                    <m:sSub>
                      <m:sSubPr>
                        <m:ctrlPr>
                          <w:rPr>
                            <w:rFonts w:ascii="Cambria Math" w:hAnsi="Cambria Math"/>
                            <w:i/>
                          </w:rPr>
                        </m:ctrlPr>
                      </m:sSubPr>
                      <m:e>
                        <m:r>
                          <w:rPr>
                            <w:rFonts w:ascii="Cambria Math" w:hAnsi="Cambria Math"/>
                          </w:rPr>
                          <m:t>p</m:t>
                        </m:r>
                      </m:e>
                      <m:sub>
                        <m:r>
                          <w:rPr>
                            <w:rFonts w:ascii="Cambria Math" w:hAnsi="Cambria Math"/>
                          </w:rPr>
                          <m:t>cement</m:t>
                        </m:r>
                      </m:sub>
                    </m:sSub>
                  </m:sub>
                </m:sSub>
              </m:oMath>
            </m:oMathPara>
          </w:p>
        </w:tc>
        <w:tc>
          <w:tcPr>
            <w:tcW w:w="720" w:type="dxa"/>
            <w:vAlign w:val="bottom"/>
          </w:tcPr>
          <w:p w14:paraId="5C66616A" w14:textId="2384CB9D" w:rsidR="009650AF"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9650AF">
              <w:t>.</w:t>
            </w:r>
            <w:r>
              <w:fldChar w:fldCharType="begin"/>
            </w:r>
            <w:r>
              <w:instrText xml:space="preserve"> SEQ Equation \* ARABIC \s 1 </w:instrText>
            </w:r>
            <w:r>
              <w:fldChar w:fldCharType="separate"/>
            </w:r>
            <w:r w:rsidR="0006023A">
              <w:rPr>
                <w:noProof/>
              </w:rPr>
              <w:t>64</w:t>
            </w:r>
            <w:r>
              <w:rPr>
                <w:noProof/>
              </w:rPr>
              <w:fldChar w:fldCharType="end"/>
            </w:r>
          </w:p>
        </w:tc>
      </w:tr>
    </w:tbl>
    <w:p w14:paraId="3BDE8112" w14:textId="77777777" w:rsidR="009650AF" w:rsidRDefault="009650AF" w:rsidP="009650AF"/>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50AF" w14:paraId="5EDD9C30" w14:textId="77777777" w:rsidTr="009650AF">
        <w:trPr>
          <w:trHeight w:val="576"/>
        </w:trPr>
        <w:tc>
          <w:tcPr>
            <w:tcW w:w="720" w:type="dxa"/>
            <w:vAlign w:val="center"/>
          </w:tcPr>
          <w:p w14:paraId="620A6122" w14:textId="20FDC03B" w:rsidR="009650AF" w:rsidRDefault="009650AF" w:rsidP="009650AF">
            <w:pPr>
              <w:spacing w:line="240" w:lineRule="auto"/>
              <w:jc w:val="center"/>
            </w:pPr>
            <w:r>
              <w:t xml:space="preserve"> </w:t>
            </w:r>
          </w:p>
        </w:tc>
        <w:tc>
          <w:tcPr>
            <w:tcW w:w="7920" w:type="dxa"/>
            <w:vAlign w:val="center"/>
          </w:tcPr>
          <w:p w14:paraId="433D4E23" w14:textId="77777777" w:rsidR="009650AF" w:rsidRPr="003E4C6A" w:rsidRDefault="00077C0B" w:rsidP="009650AF">
            <w:pPr>
              <w:spacing w:line="240" w:lineRule="auto"/>
              <w:jc w:val="center"/>
            </w:pPr>
            <m:oMathPara>
              <m:oMath>
                <m:sSub>
                  <m:sSubPr>
                    <m:ctrlPr>
                      <w:rPr>
                        <w:rFonts w:ascii="Cambria Math" w:hAnsi="Cambria Math"/>
                        <w:i/>
                      </w:rPr>
                    </m:ctrlPr>
                  </m:sSubPr>
                  <m:e>
                    <m:r>
                      <w:rPr>
                        <w:rFonts w:ascii="Cambria Math" w:hAnsi="Cambria Math"/>
                      </w:rPr>
                      <m:t>σ'</m:t>
                    </m:r>
                  </m:e>
                  <m:sub>
                    <m:sSub>
                      <m:sSubPr>
                        <m:ctrlPr>
                          <w:rPr>
                            <w:rFonts w:ascii="Cambria Math" w:hAnsi="Cambria Math"/>
                            <w:i/>
                          </w:rPr>
                        </m:ctrlPr>
                      </m:sSubPr>
                      <m:e>
                        <m:r>
                          <w:rPr>
                            <w:rFonts w:ascii="Cambria Math" w:hAnsi="Cambria Math"/>
                          </w:rPr>
                          <m:t>z</m:t>
                        </m:r>
                      </m:e>
                      <m:sub>
                        <m:r>
                          <w:rPr>
                            <w:rFonts w:ascii="Cambria Math" w:hAnsi="Cambria Math"/>
                          </w:rPr>
                          <m:t>cement</m:t>
                        </m:r>
                      </m:sub>
                    </m:sSub>
                  </m:sub>
                </m:sSub>
                <m:r>
                  <w:rPr>
                    <w:rFonts w:ascii="Cambria Math" w:hAnsi="Cambria Math"/>
                  </w:rPr>
                  <m:t>=</m:t>
                </m:r>
                <m:sSub>
                  <m:sSubPr>
                    <m:ctrlPr>
                      <w:rPr>
                        <w:rFonts w:ascii="Cambria Math" w:hAnsi="Cambria Math"/>
                        <w:i/>
                      </w:rPr>
                    </m:ctrlPr>
                  </m:sSubPr>
                  <m:e>
                    <m:r>
                      <w:rPr>
                        <w:rFonts w:ascii="Cambria Math" w:hAnsi="Cambria Math"/>
                      </w:rPr>
                      <m:t>σ</m:t>
                    </m:r>
                  </m:e>
                  <m:sub>
                    <m:sSub>
                      <m:sSubPr>
                        <m:ctrlPr>
                          <w:rPr>
                            <w:rFonts w:ascii="Cambria Math" w:hAnsi="Cambria Math"/>
                            <w:i/>
                          </w:rPr>
                        </m:ctrlPr>
                      </m:sSubPr>
                      <m:e>
                        <m:r>
                          <w:rPr>
                            <w:rFonts w:ascii="Cambria Math" w:hAnsi="Cambria Math"/>
                          </w:rPr>
                          <m:t>v</m:t>
                        </m:r>
                      </m:e>
                      <m:sub>
                        <m:r>
                          <w:rPr>
                            <w:rFonts w:ascii="Cambria Math" w:hAnsi="Cambria Math"/>
                          </w:rPr>
                          <m:t xml:space="preserve">cement </m:t>
                        </m:r>
                      </m:sub>
                    </m:sSub>
                  </m:sub>
                </m:sSub>
                <m:sSub>
                  <m:sSubPr>
                    <m:ctrlPr>
                      <w:rPr>
                        <w:rFonts w:ascii="Cambria Math" w:hAnsi="Cambria Math"/>
                        <w:i/>
                      </w:rPr>
                    </m:ctrlPr>
                  </m:sSubPr>
                  <m:e>
                    <m:r>
                      <w:rPr>
                        <w:rFonts w:ascii="Cambria Math" w:hAnsi="Cambria Math"/>
                      </w:rPr>
                      <m:t>- P</m:t>
                    </m:r>
                  </m:e>
                  <m:sub>
                    <m:sSub>
                      <m:sSubPr>
                        <m:ctrlPr>
                          <w:rPr>
                            <w:rFonts w:ascii="Cambria Math" w:hAnsi="Cambria Math"/>
                            <w:i/>
                          </w:rPr>
                        </m:ctrlPr>
                      </m:sSubPr>
                      <m:e>
                        <m:r>
                          <w:rPr>
                            <w:rFonts w:ascii="Cambria Math" w:hAnsi="Cambria Math"/>
                          </w:rPr>
                          <m:t>p</m:t>
                        </m:r>
                      </m:e>
                      <m:sub>
                        <m:r>
                          <w:rPr>
                            <w:rFonts w:ascii="Cambria Math" w:hAnsi="Cambria Math"/>
                          </w:rPr>
                          <m:t>cement</m:t>
                        </m:r>
                      </m:sub>
                    </m:sSub>
                  </m:sub>
                </m:sSub>
              </m:oMath>
            </m:oMathPara>
          </w:p>
        </w:tc>
        <w:tc>
          <w:tcPr>
            <w:tcW w:w="720" w:type="dxa"/>
            <w:vAlign w:val="bottom"/>
          </w:tcPr>
          <w:p w14:paraId="21EB6710" w14:textId="53C6A061" w:rsidR="009650AF"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9650AF">
              <w:t>.</w:t>
            </w:r>
            <w:r>
              <w:fldChar w:fldCharType="begin"/>
            </w:r>
            <w:r>
              <w:instrText xml:space="preserve"> SEQ Equation \* ARABIC \s 1 </w:instrText>
            </w:r>
            <w:r>
              <w:fldChar w:fldCharType="separate"/>
            </w:r>
            <w:r w:rsidR="0006023A">
              <w:rPr>
                <w:noProof/>
              </w:rPr>
              <w:t>65</w:t>
            </w:r>
            <w:r>
              <w:rPr>
                <w:noProof/>
              </w:rPr>
              <w:fldChar w:fldCharType="end"/>
            </w:r>
          </w:p>
        </w:tc>
      </w:tr>
    </w:tbl>
    <w:p w14:paraId="76BDD34C" w14:textId="77777777" w:rsidR="009650AF" w:rsidRDefault="009650AF" w:rsidP="009650AF">
      <w:pPr>
        <w:ind w:firstLine="720"/>
      </w:pPr>
    </w:p>
    <w:p w14:paraId="6B600018" w14:textId="77777777" w:rsidR="009650AF" w:rsidRPr="00EC7EFC" w:rsidRDefault="009650AF" w:rsidP="009650AF">
      <w:pPr>
        <w:ind w:firstLine="720"/>
      </w:pPr>
      <w:r w:rsidRPr="00D63FF8">
        <w:t>Equations 2.66, 2.67, and 2.68 are modified from the Kirsch analytical solutions to show the radial, hoop, axial, and shear</w:t>
      </w:r>
      <w:r w:rsidRPr="00EC7EFC">
        <w:t xml:space="preserve"> stress relationship in the rock formation between the far-field stresses, initial pore pressure, and stress from the cement.</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50AF" w14:paraId="6A84EEA2" w14:textId="77777777" w:rsidTr="009650AF">
        <w:trPr>
          <w:trHeight w:val="576"/>
        </w:trPr>
        <w:tc>
          <w:tcPr>
            <w:tcW w:w="720" w:type="dxa"/>
            <w:vAlign w:val="center"/>
          </w:tcPr>
          <w:p w14:paraId="5CF091BA" w14:textId="331C27FC" w:rsidR="009650AF" w:rsidRDefault="009650AF" w:rsidP="009650AF">
            <w:pPr>
              <w:spacing w:line="240" w:lineRule="auto"/>
              <w:jc w:val="center"/>
            </w:pPr>
            <w:r>
              <w:t xml:space="preserve"> </w:t>
            </w:r>
          </w:p>
        </w:tc>
        <w:tc>
          <w:tcPr>
            <w:tcW w:w="7920" w:type="dxa"/>
            <w:vAlign w:val="center"/>
          </w:tcPr>
          <w:p w14:paraId="141373E6" w14:textId="77777777" w:rsidR="009650AF" w:rsidRPr="003E4C6A" w:rsidRDefault="00077C0B" w:rsidP="009650AF">
            <w:pPr>
              <w:spacing w:line="240" w:lineRule="auto"/>
              <w:jc w:val="center"/>
            </w:pPr>
            <m:oMathPara>
              <m:oMath>
                <m:sSub>
                  <m:sSubPr>
                    <m:ctrlPr>
                      <w:rPr>
                        <w:rFonts w:ascii="Cambria Math" w:hAnsi="Cambria Math"/>
                        <w:i/>
                      </w:rPr>
                    </m:ctrlPr>
                  </m:sSubPr>
                  <m:e>
                    <m:sSup>
                      <m:sSupPr>
                        <m:ctrlPr>
                          <w:rPr>
                            <w:rFonts w:ascii="Cambria Math" w:hAnsi="Cambria Math"/>
                            <w:i/>
                          </w:rPr>
                        </m:ctrlPr>
                      </m:sSupPr>
                      <m:e>
                        <m:r>
                          <w:rPr>
                            <w:rFonts w:ascii="Cambria Math" w:hAnsi="Cambria Math"/>
                          </w:rPr>
                          <m:t>σ</m:t>
                        </m:r>
                      </m:e>
                      <m:sup>
                        <m:r>
                          <w:rPr>
                            <w:rFonts w:ascii="Cambria Math" w:hAnsi="Cambria Math"/>
                          </w:rPr>
                          <m:t>'</m:t>
                        </m:r>
                      </m:sup>
                    </m:sSup>
                  </m:e>
                  <m:sub>
                    <m:sSub>
                      <m:sSubPr>
                        <m:ctrlPr>
                          <w:rPr>
                            <w:rFonts w:ascii="Cambria Math" w:hAnsi="Cambria Math"/>
                            <w:i/>
                          </w:rPr>
                        </m:ctrlPr>
                      </m:sSubPr>
                      <m:e>
                        <m:r>
                          <w:rPr>
                            <w:rFonts w:ascii="Cambria Math" w:hAnsi="Cambria Math"/>
                          </w:rPr>
                          <m:t>r</m:t>
                        </m:r>
                      </m:e>
                      <m:sub>
                        <m:r>
                          <w:rPr>
                            <w:rFonts w:ascii="Cambria Math" w:hAnsi="Cambria Math"/>
                          </w:rPr>
                          <m:t>rock</m:t>
                        </m:r>
                      </m:sub>
                    </m:sSub>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d>
                  <m:dPr>
                    <m:ctrlPr>
                      <w:rPr>
                        <w:rFonts w:ascii="Cambria Math" w:hAnsi="Cambria Math"/>
                        <w:i/>
                      </w:rPr>
                    </m:ctrlPr>
                  </m:dPr>
                  <m:e>
                    <m:sSub>
                      <m:sSubPr>
                        <m:ctrlPr>
                          <w:rPr>
                            <w:rFonts w:ascii="Cambria Math" w:hAnsi="Cambria Math"/>
                            <w:i/>
                          </w:rPr>
                        </m:ctrlPr>
                      </m:sSubPr>
                      <m:e>
                        <m:r>
                          <w:rPr>
                            <w:rFonts w:ascii="Cambria Math" w:hAnsi="Cambria Math"/>
                          </w:rPr>
                          <m:t>σ</m:t>
                        </m:r>
                      </m:e>
                      <m:sub>
                        <m:r>
                          <w:rPr>
                            <w:rFonts w:ascii="Cambria Math" w:hAnsi="Cambria Math"/>
                          </w:rPr>
                          <m:t>H</m:t>
                        </m:r>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h</m:t>
                        </m:r>
                      </m:sub>
                    </m:sSub>
                    <m:r>
                      <w:rPr>
                        <w:rFonts w:ascii="Cambria Math" w:hAnsi="Cambria Math"/>
                      </w:rPr>
                      <m:t>-2</m:t>
                    </m:r>
                    <m:sSub>
                      <m:sSubPr>
                        <m:ctrlPr>
                          <w:rPr>
                            <w:rFonts w:ascii="Cambria Math" w:hAnsi="Cambria Math"/>
                            <w:i/>
                          </w:rPr>
                        </m:ctrlPr>
                      </m:sSubPr>
                      <m:e>
                        <m:r>
                          <w:rPr>
                            <w:rFonts w:ascii="Cambria Math" w:hAnsi="Cambria Math"/>
                          </w:rPr>
                          <m:t>P</m:t>
                        </m:r>
                      </m:e>
                      <m:sub>
                        <m:sSub>
                          <m:sSubPr>
                            <m:ctrlPr>
                              <w:rPr>
                                <w:rFonts w:ascii="Cambria Math" w:hAnsi="Cambria Math"/>
                                <w:i/>
                              </w:rPr>
                            </m:ctrlPr>
                          </m:sSubPr>
                          <m:e>
                            <m:r>
                              <w:rPr>
                                <w:rFonts w:ascii="Cambria Math" w:hAnsi="Cambria Math"/>
                              </w:rPr>
                              <m:t>p</m:t>
                            </m:r>
                          </m:e>
                          <m:sub>
                            <m:r>
                              <w:rPr>
                                <w:rFonts w:ascii="Cambria Math" w:hAnsi="Cambria Math"/>
                              </w:rPr>
                              <m:t>rock</m:t>
                            </m:r>
                          </m:sub>
                        </m:sSub>
                      </m:sub>
                    </m:sSub>
                  </m:e>
                </m:d>
                <m:d>
                  <m:dPr>
                    <m:begChr m:val="["/>
                    <m:endChr m:val="]"/>
                    <m:ctrlPr>
                      <w:rPr>
                        <w:rFonts w:ascii="Cambria Math" w:hAnsi="Cambria Math"/>
                        <w:i/>
                      </w:rPr>
                    </m:ctrlPr>
                  </m:dPr>
                  <m:e>
                    <m:r>
                      <w:rPr>
                        <w:rFonts w:ascii="Cambria Math" w:hAnsi="Cambria Math"/>
                      </w:rPr>
                      <m:t>1-</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c</m:t>
                                    </m:r>
                                  </m:sub>
                                </m:sSub>
                              </m:num>
                              <m:den>
                                <m:r>
                                  <w:rPr>
                                    <w:rFonts w:ascii="Cambria Math" w:hAnsi="Cambria Math"/>
                                  </w:rPr>
                                  <m:t>r</m:t>
                                </m:r>
                              </m:den>
                            </m:f>
                          </m:e>
                        </m:d>
                      </m:e>
                      <m:sup>
                        <m:r>
                          <w:rPr>
                            <w:rFonts w:ascii="Cambria Math" w:hAnsi="Cambria Math"/>
                          </w:rPr>
                          <m:t>2</m:t>
                        </m:r>
                      </m:sup>
                    </m:sSup>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d>
                  <m:dPr>
                    <m:ctrlPr>
                      <w:rPr>
                        <w:rFonts w:ascii="Cambria Math" w:hAnsi="Cambria Math"/>
                        <w:i/>
                      </w:rPr>
                    </m:ctrlPr>
                  </m:dPr>
                  <m:e>
                    <m:sSub>
                      <m:sSubPr>
                        <m:ctrlPr>
                          <w:rPr>
                            <w:rFonts w:ascii="Cambria Math" w:hAnsi="Cambria Math"/>
                            <w:i/>
                          </w:rPr>
                        </m:ctrlPr>
                      </m:sSubPr>
                      <m:e>
                        <m:r>
                          <w:rPr>
                            <w:rFonts w:ascii="Cambria Math" w:hAnsi="Cambria Math"/>
                          </w:rPr>
                          <m:t>σ</m:t>
                        </m:r>
                      </m:e>
                      <m:sub>
                        <m:r>
                          <w:rPr>
                            <w:rFonts w:ascii="Cambria Math" w:hAnsi="Cambria Math"/>
                          </w:rPr>
                          <m:t>H</m:t>
                        </m:r>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h</m:t>
                        </m:r>
                      </m:sub>
                    </m:sSub>
                  </m:e>
                </m:d>
                <m:d>
                  <m:dPr>
                    <m:begChr m:val="["/>
                    <m:endChr m:val="]"/>
                    <m:ctrlPr>
                      <w:rPr>
                        <w:rFonts w:ascii="Cambria Math" w:hAnsi="Cambria Math"/>
                        <w:i/>
                      </w:rPr>
                    </m:ctrlPr>
                  </m:dPr>
                  <m:e>
                    <m:r>
                      <w:rPr>
                        <w:rFonts w:ascii="Cambria Math" w:hAnsi="Cambria Math"/>
                      </w:rPr>
                      <m:t>1-4</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c</m:t>
                                    </m:r>
                                  </m:sub>
                                </m:sSub>
                              </m:num>
                              <m:den>
                                <m:r>
                                  <w:rPr>
                                    <w:rFonts w:ascii="Cambria Math" w:hAnsi="Cambria Math"/>
                                  </w:rPr>
                                  <m:t>r</m:t>
                                </m:r>
                              </m:den>
                            </m:f>
                          </m:e>
                        </m:d>
                      </m:e>
                      <m:sup>
                        <m:r>
                          <w:rPr>
                            <w:rFonts w:ascii="Cambria Math" w:hAnsi="Cambria Math"/>
                          </w:rPr>
                          <m:t>2</m:t>
                        </m:r>
                      </m:sup>
                    </m:sSup>
                    <m:r>
                      <w:rPr>
                        <w:rFonts w:ascii="Cambria Math" w:hAnsi="Cambria Math"/>
                      </w:rPr>
                      <m:t>+3</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c</m:t>
                                    </m:r>
                                  </m:sub>
                                </m:sSub>
                              </m:num>
                              <m:den>
                                <m:r>
                                  <w:rPr>
                                    <w:rFonts w:ascii="Cambria Math" w:hAnsi="Cambria Math"/>
                                  </w:rPr>
                                  <m:t>r</m:t>
                                </m:r>
                              </m:den>
                            </m:f>
                          </m:e>
                        </m:d>
                      </m:e>
                      <m:sup>
                        <m:r>
                          <w:rPr>
                            <w:rFonts w:ascii="Cambria Math" w:hAnsi="Cambria Math"/>
                          </w:rPr>
                          <m:t>4</m:t>
                        </m:r>
                      </m:sup>
                    </m:sSup>
                  </m:e>
                </m:d>
                <m:r>
                  <w:rPr>
                    <w:rFonts w:ascii="Cambria Math" w:hAnsi="Cambria Math"/>
                  </w:rPr>
                  <m:t>cos2θ +(</m:t>
                </m:r>
                <m:sSub>
                  <m:sSubPr>
                    <m:ctrlPr>
                      <w:rPr>
                        <w:rFonts w:ascii="Cambria Math" w:hAnsi="Cambria Math"/>
                        <w:i/>
                      </w:rPr>
                    </m:ctrlPr>
                  </m:sSubPr>
                  <m:e>
                    <m:r>
                      <w:rPr>
                        <w:rFonts w:ascii="Cambria Math" w:hAnsi="Cambria Math"/>
                      </w:rPr>
                      <m:t>P</m:t>
                    </m:r>
                  </m:e>
                  <m:sub>
                    <m:r>
                      <w:rPr>
                        <w:rFonts w:ascii="Cambria Math" w:hAnsi="Cambria Math"/>
                      </w:rPr>
                      <m:t>cement</m:t>
                    </m:r>
                  </m:sub>
                </m:sSub>
                <m:r>
                  <w:rPr>
                    <w:rFonts w:ascii="Cambria Math" w:hAnsi="Cambria Math"/>
                  </w:rPr>
                  <m:t>-</m:t>
                </m:r>
                <m:sSub>
                  <m:sSubPr>
                    <m:ctrlPr>
                      <w:rPr>
                        <w:rFonts w:ascii="Cambria Math" w:hAnsi="Cambria Math"/>
                        <w:i/>
                      </w:rPr>
                    </m:ctrlPr>
                  </m:sSubPr>
                  <m:e>
                    <m:r>
                      <w:rPr>
                        <w:rFonts w:ascii="Cambria Math" w:hAnsi="Cambria Math"/>
                      </w:rPr>
                      <m:t>P</m:t>
                    </m:r>
                  </m:e>
                  <m:sub>
                    <m:sSub>
                      <m:sSubPr>
                        <m:ctrlPr>
                          <w:rPr>
                            <w:rFonts w:ascii="Cambria Math" w:hAnsi="Cambria Math"/>
                            <w:i/>
                          </w:rPr>
                        </m:ctrlPr>
                      </m:sSubPr>
                      <m:e>
                        <m:r>
                          <w:rPr>
                            <w:rFonts w:ascii="Cambria Math" w:hAnsi="Cambria Math"/>
                          </w:rPr>
                          <m:t>p</m:t>
                        </m:r>
                      </m:e>
                      <m:sub>
                        <m:r>
                          <w:rPr>
                            <w:rFonts w:ascii="Cambria Math" w:hAnsi="Cambria Math"/>
                          </w:rPr>
                          <m:t>cement</m:t>
                        </m:r>
                      </m:sub>
                    </m:sSub>
                  </m:sub>
                </m:sSub>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c</m:t>
                                </m:r>
                              </m:sub>
                            </m:sSub>
                          </m:num>
                          <m:den>
                            <m:r>
                              <w:rPr>
                                <w:rFonts w:ascii="Cambria Math" w:hAnsi="Cambria Math"/>
                              </w:rPr>
                              <m:t>r</m:t>
                            </m:r>
                          </m:den>
                        </m:f>
                      </m:e>
                    </m:d>
                  </m:e>
                  <m:sup>
                    <m:r>
                      <w:rPr>
                        <w:rFonts w:ascii="Cambria Math" w:hAnsi="Cambria Math"/>
                      </w:rPr>
                      <m:t>2</m:t>
                    </m:r>
                  </m:sup>
                </m:sSup>
              </m:oMath>
            </m:oMathPara>
          </w:p>
        </w:tc>
        <w:tc>
          <w:tcPr>
            <w:tcW w:w="720" w:type="dxa"/>
            <w:vAlign w:val="center"/>
          </w:tcPr>
          <w:p w14:paraId="4952048A" w14:textId="0C221050" w:rsidR="009650AF"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9650AF">
              <w:t>.</w:t>
            </w:r>
            <w:r>
              <w:fldChar w:fldCharType="begin"/>
            </w:r>
            <w:r>
              <w:instrText xml:space="preserve"> SEQ Equation \* ARABIC \s 1 </w:instrText>
            </w:r>
            <w:r>
              <w:fldChar w:fldCharType="separate"/>
            </w:r>
            <w:r w:rsidR="0006023A">
              <w:rPr>
                <w:noProof/>
              </w:rPr>
              <w:t>66</w:t>
            </w:r>
            <w:r>
              <w:rPr>
                <w:noProof/>
              </w:rPr>
              <w:fldChar w:fldCharType="end"/>
            </w:r>
          </w:p>
        </w:tc>
      </w:tr>
    </w:tbl>
    <w:p w14:paraId="08C3A827" w14:textId="77777777" w:rsidR="009650AF" w:rsidRDefault="009650AF" w:rsidP="009650AF">
      <w:pPr>
        <w:ind w:firstLine="720"/>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50AF" w14:paraId="48A7912D" w14:textId="77777777" w:rsidTr="009650AF">
        <w:trPr>
          <w:trHeight w:val="576"/>
        </w:trPr>
        <w:tc>
          <w:tcPr>
            <w:tcW w:w="720" w:type="dxa"/>
            <w:vAlign w:val="center"/>
          </w:tcPr>
          <w:p w14:paraId="551697D7" w14:textId="1EDB77D9" w:rsidR="009650AF" w:rsidRDefault="009650AF" w:rsidP="009650AF">
            <w:pPr>
              <w:spacing w:line="240" w:lineRule="auto"/>
              <w:jc w:val="center"/>
            </w:pPr>
          </w:p>
        </w:tc>
        <w:tc>
          <w:tcPr>
            <w:tcW w:w="7920" w:type="dxa"/>
            <w:vAlign w:val="center"/>
          </w:tcPr>
          <w:p w14:paraId="5ECBEB5F" w14:textId="77777777" w:rsidR="009650AF" w:rsidRPr="003E4C6A" w:rsidRDefault="00077C0B" w:rsidP="009650AF">
            <w:pPr>
              <w:spacing w:line="240" w:lineRule="auto"/>
              <w:jc w:val="center"/>
            </w:pPr>
            <m:oMathPara>
              <m:oMath>
                <m:sSub>
                  <m:sSubPr>
                    <m:ctrlPr>
                      <w:rPr>
                        <w:rFonts w:ascii="Cambria Math" w:hAnsi="Cambria Math"/>
                        <w:i/>
                      </w:rPr>
                    </m:ctrlPr>
                  </m:sSubPr>
                  <m:e>
                    <m:r>
                      <w:rPr>
                        <w:rFonts w:ascii="Cambria Math" w:hAnsi="Cambria Math"/>
                      </w:rPr>
                      <m:t>σ'</m:t>
                    </m:r>
                  </m:e>
                  <m:sub>
                    <m:sSub>
                      <m:sSubPr>
                        <m:ctrlPr>
                          <w:rPr>
                            <w:rFonts w:ascii="Cambria Math" w:hAnsi="Cambria Math"/>
                            <w:i/>
                          </w:rPr>
                        </m:ctrlPr>
                      </m:sSubPr>
                      <m:e>
                        <m:r>
                          <w:rPr>
                            <w:rFonts w:ascii="Cambria Math" w:hAnsi="Cambria Math"/>
                          </w:rPr>
                          <m:t>θ</m:t>
                        </m:r>
                      </m:e>
                      <m:sub>
                        <m:r>
                          <w:rPr>
                            <w:rFonts w:ascii="Cambria Math" w:hAnsi="Cambria Math"/>
                          </w:rPr>
                          <m:t>rock</m:t>
                        </m:r>
                      </m:sub>
                    </m:sSub>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d>
                  <m:dPr>
                    <m:ctrlPr>
                      <w:rPr>
                        <w:rFonts w:ascii="Cambria Math" w:hAnsi="Cambria Math"/>
                        <w:i/>
                      </w:rPr>
                    </m:ctrlPr>
                  </m:dPr>
                  <m:e>
                    <m:sSub>
                      <m:sSubPr>
                        <m:ctrlPr>
                          <w:rPr>
                            <w:rFonts w:ascii="Cambria Math" w:hAnsi="Cambria Math"/>
                            <w:i/>
                          </w:rPr>
                        </m:ctrlPr>
                      </m:sSubPr>
                      <m:e>
                        <m:r>
                          <w:rPr>
                            <w:rFonts w:ascii="Cambria Math" w:hAnsi="Cambria Math"/>
                          </w:rPr>
                          <m:t>σ</m:t>
                        </m:r>
                      </m:e>
                      <m:sub>
                        <m:r>
                          <w:rPr>
                            <w:rFonts w:ascii="Cambria Math" w:hAnsi="Cambria Math"/>
                          </w:rPr>
                          <m:t>H</m:t>
                        </m:r>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h</m:t>
                        </m:r>
                      </m:sub>
                    </m:sSub>
                    <m:r>
                      <w:rPr>
                        <w:rFonts w:ascii="Cambria Math" w:hAnsi="Cambria Math"/>
                      </w:rPr>
                      <m:t>-2</m:t>
                    </m:r>
                    <m:sSub>
                      <m:sSubPr>
                        <m:ctrlPr>
                          <w:rPr>
                            <w:rFonts w:ascii="Cambria Math" w:hAnsi="Cambria Math"/>
                            <w:i/>
                          </w:rPr>
                        </m:ctrlPr>
                      </m:sSubPr>
                      <m:e>
                        <m:r>
                          <w:rPr>
                            <w:rFonts w:ascii="Cambria Math" w:hAnsi="Cambria Math"/>
                          </w:rPr>
                          <m:t>P</m:t>
                        </m:r>
                      </m:e>
                      <m:sub>
                        <m:sSub>
                          <m:sSubPr>
                            <m:ctrlPr>
                              <w:rPr>
                                <w:rFonts w:ascii="Cambria Math" w:hAnsi="Cambria Math"/>
                                <w:i/>
                              </w:rPr>
                            </m:ctrlPr>
                          </m:sSubPr>
                          <m:e>
                            <m:r>
                              <w:rPr>
                                <w:rFonts w:ascii="Cambria Math" w:hAnsi="Cambria Math"/>
                              </w:rPr>
                              <m:t>p</m:t>
                            </m:r>
                          </m:e>
                          <m:sub>
                            <m:r>
                              <w:rPr>
                                <w:rFonts w:ascii="Cambria Math" w:hAnsi="Cambria Math"/>
                              </w:rPr>
                              <m:t>rock</m:t>
                            </m:r>
                          </m:sub>
                        </m:sSub>
                      </m:sub>
                    </m:sSub>
                  </m:e>
                </m:d>
                <m:d>
                  <m:dPr>
                    <m:begChr m:val="["/>
                    <m:endChr m:val="]"/>
                    <m:ctrlPr>
                      <w:rPr>
                        <w:rFonts w:ascii="Cambria Math" w:hAnsi="Cambria Math"/>
                        <w:i/>
                      </w:rPr>
                    </m:ctrlPr>
                  </m:dPr>
                  <m:e>
                    <m:r>
                      <w:rPr>
                        <w:rFonts w:ascii="Cambria Math" w:hAnsi="Cambria Math"/>
                      </w:rPr>
                      <m:t>1-</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c</m:t>
                                    </m:r>
                                  </m:sub>
                                </m:sSub>
                              </m:num>
                              <m:den>
                                <m:r>
                                  <w:rPr>
                                    <w:rFonts w:ascii="Cambria Math" w:hAnsi="Cambria Math"/>
                                  </w:rPr>
                                  <m:t>r</m:t>
                                </m:r>
                              </m:den>
                            </m:f>
                          </m:e>
                        </m:d>
                      </m:e>
                      <m:sup>
                        <m:r>
                          <w:rPr>
                            <w:rFonts w:ascii="Cambria Math" w:hAnsi="Cambria Math"/>
                          </w:rPr>
                          <m:t>2</m:t>
                        </m:r>
                      </m:sup>
                    </m:sSup>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d>
                  <m:dPr>
                    <m:ctrlPr>
                      <w:rPr>
                        <w:rFonts w:ascii="Cambria Math" w:hAnsi="Cambria Math"/>
                        <w:i/>
                      </w:rPr>
                    </m:ctrlPr>
                  </m:dPr>
                  <m:e>
                    <m:sSub>
                      <m:sSubPr>
                        <m:ctrlPr>
                          <w:rPr>
                            <w:rFonts w:ascii="Cambria Math" w:hAnsi="Cambria Math"/>
                            <w:i/>
                          </w:rPr>
                        </m:ctrlPr>
                      </m:sSubPr>
                      <m:e>
                        <m:r>
                          <w:rPr>
                            <w:rFonts w:ascii="Cambria Math" w:hAnsi="Cambria Math"/>
                          </w:rPr>
                          <m:t>σ</m:t>
                        </m:r>
                      </m:e>
                      <m:sub>
                        <m:r>
                          <w:rPr>
                            <w:rFonts w:ascii="Cambria Math" w:hAnsi="Cambria Math"/>
                          </w:rPr>
                          <m:t>H</m:t>
                        </m:r>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h</m:t>
                        </m:r>
                      </m:sub>
                    </m:sSub>
                  </m:e>
                </m:d>
                <m:d>
                  <m:dPr>
                    <m:begChr m:val="["/>
                    <m:endChr m:val="]"/>
                    <m:ctrlPr>
                      <w:rPr>
                        <w:rFonts w:ascii="Cambria Math" w:hAnsi="Cambria Math"/>
                        <w:i/>
                      </w:rPr>
                    </m:ctrlPr>
                  </m:dPr>
                  <m:e>
                    <m:r>
                      <w:rPr>
                        <w:rFonts w:ascii="Cambria Math" w:hAnsi="Cambria Math"/>
                      </w:rPr>
                      <m:t>1+3</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c</m:t>
                                    </m:r>
                                  </m:sub>
                                </m:sSub>
                              </m:num>
                              <m:den>
                                <m:r>
                                  <w:rPr>
                                    <w:rFonts w:ascii="Cambria Math" w:hAnsi="Cambria Math"/>
                                  </w:rPr>
                                  <m:t>r</m:t>
                                </m:r>
                              </m:den>
                            </m:f>
                          </m:e>
                        </m:d>
                      </m:e>
                      <m:sup>
                        <m:r>
                          <w:rPr>
                            <w:rFonts w:ascii="Cambria Math" w:hAnsi="Cambria Math"/>
                          </w:rPr>
                          <m:t>4</m:t>
                        </m:r>
                      </m:sup>
                    </m:sSup>
                  </m:e>
                </m:d>
                <m:r>
                  <w:rPr>
                    <w:rFonts w:ascii="Cambria Math" w:hAnsi="Cambria Math"/>
                  </w:rPr>
                  <m:t>cos2θ-(</m:t>
                </m:r>
                <m:sSub>
                  <m:sSubPr>
                    <m:ctrlPr>
                      <w:rPr>
                        <w:rFonts w:ascii="Cambria Math" w:hAnsi="Cambria Math"/>
                        <w:i/>
                      </w:rPr>
                    </m:ctrlPr>
                  </m:sSubPr>
                  <m:e>
                    <m:r>
                      <w:rPr>
                        <w:rFonts w:ascii="Cambria Math" w:hAnsi="Cambria Math"/>
                      </w:rPr>
                      <m:t>P</m:t>
                    </m:r>
                  </m:e>
                  <m:sub>
                    <m:r>
                      <w:rPr>
                        <w:rFonts w:ascii="Cambria Math" w:hAnsi="Cambria Math"/>
                      </w:rPr>
                      <m:t>cement</m:t>
                    </m:r>
                  </m:sub>
                </m:sSub>
                <m:r>
                  <w:rPr>
                    <w:rFonts w:ascii="Cambria Math" w:hAnsi="Cambria Math"/>
                  </w:rPr>
                  <m:t>-</m:t>
                </m:r>
                <m:sSub>
                  <m:sSubPr>
                    <m:ctrlPr>
                      <w:rPr>
                        <w:rFonts w:ascii="Cambria Math" w:hAnsi="Cambria Math"/>
                        <w:i/>
                      </w:rPr>
                    </m:ctrlPr>
                  </m:sSubPr>
                  <m:e>
                    <m:r>
                      <w:rPr>
                        <w:rFonts w:ascii="Cambria Math" w:hAnsi="Cambria Math"/>
                      </w:rPr>
                      <m:t>P</m:t>
                    </m:r>
                  </m:e>
                  <m:sub>
                    <m:sSub>
                      <m:sSubPr>
                        <m:ctrlPr>
                          <w:rPr>
                            <w:rFonts w:ascii="Cambria Math" w:hAnsi="Cambria Math"/>
                            <w:i/>
                          </w:rPr>
                        </m:ctrlPr>
                      </m:sSubPr>
                      <m:e>
                        <m:r>
                          <w:rPr>
                            <w:rFonts w:ascii="Cambria Math" w:hAnsi="Cambria Math"/>
                          </w:rPr>
                          <m:t>p</m:t>
                        </m:r>
                      </m:e>
                      <m:sub>
                        <m:r>
                          <w:rPr>
                            <w:rFonts w:ascii="Cambria Math" w:hAnsi="Cambria Math"/>
                          </w:rPr>
                          <m:t>cement</m:t>
                        </m:r>
                      </m:sub>
                    </m:sSub>
                  </m:sub>
                </m:sSub>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c</m:t>
                                </m:r>
                              </m:sub>
                            </m:sSub>
                          </m:num>
                          <m:den>
                            <m:r>
                              <w:rPr>
                                <w:rFonts w:ascii="Cambria Math" w:hAnsi="Cambria Math"/>
                              </w:rPr>
                              <m:t>r</m:t>
                            </m:r>
                          </m:den>
                        </m:f>
                      </m:e>
                    </m:d>
                  </m:e>
                  <m:sup>
                    <m:r>
                      <w:rPr>
                        <w:rFonts w:ascii="Cambria Math" w:hAnsi="Cambria Math"/>
                      </w:rPr>
                      <m:t>2</m:t>
                    </m:r>
                  </m:sup>
                </m:sSup>
              </m:oMath>
            </m:oMathPara>
          </w:p>
        </w:tc>
        <w:tc>
          <w:tcPr>
            <w:tcW w:w="720" w:type="dxa"/>
            <w:vAlign w:val="center"/>
          </w:tcPr>
          <w:p w14:paraId="5011744D" w14:textId="4F607B57" w:rsidR="009650AF"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9650AF">
              <w:t>.</w:t>
            </w:r>
            <w:r>
              <w:fldChar w:fldCharType="begin"/>
            </w:r>
            <w:r>
              <w:instrText xml:space="preserve"> SEQ Equation \* ARABIC \s 1 </w:instrText>
            </w:r>
            <w:r>
              <w:fldChar w:fldCharType="separate"/>
            </w:r>
            <w:r w:rsidR="0006023A">
              <w:rPr>
                <w:noProof/>
              </w:rPr>
              <w:t>67</w:t>
            </w:r>
            <w:r>
              <w:rPr>
                <w:noProof/>
              </w:rPr>
              <w:fldChar w:fldCharType="end"/>
            </w:r>
          </w:p>
        </w:tc>
      </w:tr>
    </w:tbl>
    <w:p w14:paraId="5F795811" w14:textId="77777777" w:rsidR="009650AF" w:rsidRDefault="009650AF" w:rsidP="009650AF">
      <w:pPr>
        <w:ind w:firstLine="720"/>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50AF" w14:paraId="21801BE0" w14:textId="77777777" w:rsidTr="009650AF">
        <w:trPr>
          <w:trHeight w:val="576"/>
        </w:trPr>
        <w:tc>
          <w:tcPr>
            <w:tcW w:w="720" w:type="dxa"/>
            <w:vAlign w:val="center"/>
          </w:tcPr>
          <w:p w14:paraId="4D347385" w14:textId="5E929B5B" w:rsidR="009650AF" w:rsidRDefault="009650AF" w:rsidP="009650AF">
            <w:pPr>
              <w:spacing w:line="240" w:lineRule="auto"/>
              <w:jc w:val="center"/>
            </w:pPr>
          </w:p>
        </w:tc>
        <w:tc>
          <w:tcPr>
            <w:tcW w:w="7920" w:type="dxa"/>
            <w:vAlign w:val="center"/>
          </w:tcPr>
          <w:p w14:paraId="70408C01" w14:textId="77777777" w:rsidR="009650AF" w:rsidRPr="003E4C6A" w:rsidRDefault="00077C0B" w:rsidP="009650AF">
            <w:pPr>
              <w:spacing w:line="240" w:lineRule="auto"/>
              <w:jc w:val="center"/>
            </w:pPr>
            <m:oMathPara>
              <m:oMath>
                <m:sSub>
                  <m:sSubPr>
                    <m:ctrlPr>
                      <w:rPr>
                        <w:rFonts w:ascii="Cambria Math" w:hAnsi="Cambria Math"/>
                        <w:i/>
                      </w:rPr>
                    </m:ctrlPr>
                  </m:sSubPr>
                  <m:e>
                    <m:r>
                      <w:rPr>
                        <w:rFonts w:ascii="Cambria Math" w:hAnsi="Cambria Math"/>
                      </w:rPr>
                      <m:t>σ'</m:t>
                    </m:r>
                  </m:e>
                  <m:sub>
                    <m:sSub>
                      <m:sSubPr>
                        <m:ctrlPr>
                          <w:rPr>
                            <w:rFonts w:ascii="Cambria Math" w:hAnsi="Cambria Math"/>
                            <w:i/>
                          </w:rPr>
                        </m:ctrlPr>
                      </m:sSubPr>
                      <m:e>
                        <m:r>
                          <w:rPr>
                            <w:rFonts w:ascii="Cambria Math" w:hAnsi="Cambria Math"/>
                          </w:rPr>
                          <m:t>z</m:t>
                        </m:r>
                      </m:e>
                      <m:sub>
                        <m:r>
                          <w:rPr>
                            <w:rFonts w:ascii="Cambria Math" w:hAnsi="Cambria Math"/>
                          </w:rPr>
                          <m:t>rock</m:t>
                        </m:r>
                      </m:sub>
                    </m:sSub>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v</m:t>
                    </m:r>
                  </m:sub>
                </m:sSub>
                <m:r>
                  <w:rPr>
                    <w:rFonts w:ascii="Cambria Math" w:hAnsi="Cambria Math"/>
                  </w:rPr>
                  <m:t>-2υ</m:t>
                </m:r>
                <m:d>
                  <m:dPr>
                    <m:ctrlPr>
                      <w:rPr>
                        <w:rFonts w:ascii="Cambria Math" w:hAnsi="Cambria Math"/>
                        <w:i/>
                      </w:rPr>
                    </m:ctrlPr>
                  </m:dPr>
                  <m:e>
                    <m:sSub>
                      <m:sSubPr>
                        <m:ctrlPr>
                          <w:rPr>
                            <w:rFonts w:ascii="Cambria Math" w:hAnsi="Cambria Math"/>
                            <w:i/>
                          </w:rPr>
                        </m:ctrlPr>
                      </m:sSubPr>
                      <m:e>
                        <m:r>
                          <w:rPr>
                            <w:rFonts w:ascii="Cambria Math" w:hAnsi="Cambria Math"/>
                          </w:rPr>
                          <m:t>σ</m:t>
                        </m:r>
                      </m:e>
                      <m:sub>
                        <m:r>
                          <w:rPr>
                            <w:rFonts w:ascii="Cambria Math" w:hAnsi="Cambria Math"/>
                          </w:rPr>
                          <m:t>H</m:t>
                        </m:r>
                      </m:sub>
                    </m:sSub>
                    <m:r>
                      <w:rPr>
                        <w:rFonts w:ascii="Cambria Math" w:hAnsi="Cambria Math"/>
                      </w:rPr>
                      <m:t xml:space="preserve">- </m:t>
                    </m:r>
                    <m:sSub>
                      <m:sSubPr>
                        <m:ctrlPr>
                          <w:rPr>
                            <w:rFonts w:ascii="Cambria Math" w:hAnsi="Cambria Math"/>
                            <w:i/>
                          </w:rPr>
                        </m:ctrlPr>
                      </m:sSubPr>
                      <m:e>
                        <m:r>
                          <w:rPr>
                            <w:rFonts w:ascii="Cambria Math" w:hAnsi="Cambria Math"/>
                          </w:rPr>
                          <m:t>σ</m:t>
                        </m:r>
                      </m:e>
                      <m:sub>
                        <m:r>
                          <w:rPr>
                            <w:rFonts w:ascii="Cambria Math" w:hAnsi="Cambria Math"/>
                          </w:rPr>
                          <m:t>h</m:t>
                        </m:r>
                      </m:sub>
                    </m:sSub>
                  </m:e>
                </m:d>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c</m:t>
                                </m:r>
                              </m:sub>
                            </m:sSub>
                          </m:num>
                          <m:den>
                            <m:r>
                              <w:rPr>
                                <w:rFonts w:ascii="Cambria Math" w:hAnsi="Cambria Math"/>
                              </w:rPr>
                              <m:t>r</m:t>
                            </m:r>
                          </m:den>
                        </m:f>
                      </m:e>
                    </m:d>
                  </m:e>
                  <m:sup>
                    <m:r>
                      <w:rPr>
                        <w:rFonts w:ascii="Cambria Math" w:hAnsi="Cambria Math"/>
                      </w:rPr>
                      <m:t>2</m:t>
                    </m:r>
                  </m:sup>
                </m:sSup>
                <m:r>
                  <w:rPr>
                    <w:rFonts w:ascii="Cambria Math" w:hAnsi="Cambria Math"/>
                  </w:rPr>
                  <m:t xml:space="preserve">cos2θ - </m:t>
                </m:r>
                <m:sSub>
                  <m:sSubPr>
                    <m:ctrlPr>
                      <w:rPr>
                        <w:rFonts w:ascii="Cambria Math" w:hAnsi="Cambria Math"/>
                        <w:i/>
                      </w:rPr>
                    </m:ctrlPr>
                  </m:sSubPr>
                  <m:e>
                    <m:r>
                      <w:rPr>
                        <w:rFonts w:ascii="Cambria Math" w:hAnsi="Cambria Math"/>
                      </w:rPr>
                      <m:t>P</m:t>
                    </m:r>
                  </m:e>
                  <m:sub>
                    <m:sSub>
                      <m:sSubPr>
                        <m:ctrlPr>
                          <w:rPr>
                            <w:rFonts w:ascii="Cambria Math" w:hAnsi="Cambria Math"/>
                            <w:i/>
                          </w:rPr>
                        </m:ctrlPr>
                      </m:sSubPr>
                      <m:e>
                        <m:r>
                          <w:rPr>
                            <w:rFonts w:ascii="Cambria Math" w:hAnsi="Cambria Math"/>
                          </w:rPr>
                          <m:t>p</m:t>
                        </m:r>
                      </m:e>
                      <m:sub>
                        <m:r>
                          <w:rPr>
                            <w:rFonts w:ascii="Cambria Math" w:hAnsi="Cambria Math"/>
                          </w:rPr>
                          <m:t>rock</m:t>
                        </m:r>
                      </m:sub>
                    </m:sSub>
                  </m:sub>
                </m:sSub>
              </m:oMath>
            </m:oMathPara>
          </w:p>
        </w:tc>
        <w:tc>
          <w:tcPr>
            <w:tcW w:w="720" w:type="dxa"/>
            <w:vAlign w:val="bottom"/>
          </w:tcPr>
          <w:p w14:paraId="774808A2" w14:textId="0A8F1D70" w:rsidR="009650AF"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9650AF">
              <w:t>.</w:t>
            </w:r>
            <w:r>
              <w:fldChar w:fldCharType="begin"/>
            </w:r>
            <w:r>
              <w:instrText xml:space="preserve"> SEQ Equation \* ARABIC \s 1 </w:instrText>
            </w:r>
            <w:r>
              <w:fldChar w:fldCharType="separate"/>
            </w:r>
            <w:r w:rsidR="0006023A">
              <w:rPr>
                <w:noProof/>
              </w:rPr>
              <w:t>68</w:t>
            </w:r>
            <w:r>
              <w:rPr>
                <w:noProof/>
              </w:rPr>
              <w:fldChar w:fldCharType="end"/>
            </w:r>
          </w:p>
        </w:tc>
      </w:tr>
    </w:tbl>
    <w:p w14:paraId="4ABA1EF1" w14:textId="77777777" w:rsidR="009650AF" w:rsidRDefault="009650AF" w:rsidP="009650AF">
      <w:pPr>
        <w:ind w:firstLine="720"/>
      </w:pPr>
    </w:p>
    <w:p w14:paraId="6141D0BA" w14:textId="77777777" w:rsidR="009650AF" w:rsidRDefault="009650AF" w:rsidP="009650AF">
      <w:pPr>
        <w:ind w:firstLine="720"/>
      </w:pPr>
      <w:r w:rsidRPr="00D63FF8">
        <w:t>Equations 2.60, 2.61, 2.63, 2.64, 2.66 and 2.67 are used to determine the analytical solutions of the radial and hoop stress development</w:t>
      </w:r>
      <w:r w:rsidRPr="00FA60CD">
        <w:t xml:space="preserve"> along a radiu</w:t>
      </w:r>
      <w:r>
        <w:t>s of interest within a wellbore as shown in Weideman (2014). However, these analytical equations do not determine leakage rates for a section of a wellbore or incorporate complex failure analysis.</w:t>
      </w:r>
    </w:p>
    <w:p w14:paraId="34F14CDB" w14:textId="77777777" w:rsidR="009650AF" w:rsidRDefault="009650AF" w:rsidP="009650AF">
      <w:pPr>
        <w:ind w:firstLine="720"/>
      </w:pPr>
      <w:r>
        <w:t xml:space="preserve">Other analytical approaches have used methods to determine leakage flow rates within the cement sheath from the entirety of the wellbore instead of one depth. Lavrov and Torsaeter (2018) created synthetic wells and analyzed the summation of annular Hagen-Poiseulle flow to determine </w:t>
      </w:r>
      <w:r>
        <w:lastRenderedPageBreak/>
        <w:t>tortuosity leakage rates versus overall lengths while Ford et al. 2017, later expanded by Moeinikia et al. 2018, created a “leakage calculator” to analyze the probability of leakage due to a combination of pathways in wellbore cement.</w:t>
      </w:r>
    </w:p>
    <w:p w14:paraId="281E4CDF" w14:textId="4E7CAF4A" w:rsidR="009650AF" w:rsidRDefault="009650AF" w:rsidP="009650AF">
      <w:pPr>
        <w:ind w:firstLine="720"/>
        <w:rPr>
          <w:rFonts w:eastAsiaTheme="minorEastAsia"/>
        </w:rPr>
      </w:pPr>
      <w:r>
        <w:t xml:space="preserve">Lavrov and Torsaeter (2018) stated that </w:t>
      </w:r>
      <w:r w:rsidR="00D63FF8">
        <w:t>the</w:t>
      </w:r>
      <w:r>
        <w:t xml:space="preserve"> microannuli between the cement sheath and casing would not be smooth and introduced tortuosity that will decrease the flow rate. The objective of their work was to determine the “safe length” of cement required such that the resulting flow rate would be under a pre-determined threshold value of 1.1 μL/s. The authors used typical wellbore dimensions (7-5/8”  [~19.4 cm] casing) and pressure gradients (</w:t>
      </w:r>
      <m:oMath>
        <m:r>
          <w:rPr>
            <w:rFonts w:ascii="Cambria Math" w:eastAsiaTheme="minorEastAsia" w:hAnsi="Cambria Math" w:cs="Cambria Math"/>
          </w:rPr>
          <m:t>∇P</m:t>
        </m:r>
      </m:oMath>
      <w:r>
        <w:rPr>
          <w:rFonts w:ascii="Cambria Math" w:eastAsiaTheme="minorEastAsia" w:hAnsi="Cambria Math" w:cs="Cambria Math"/>
        </w:rPr>
        <w:t xml:space="preserve"> = 3 kPa/m)</w:t>
      </w:r>
      <w:r>
        <w:rPr>
          <w:rFonts w:eastAsiaTheme="minorEastAsia"/>
        </w:rPr>
        <w:t xml:space="preserve">. Thin sections of a wellbore are assumed to have a constant microannuli width. To determine the cumulative leakage, the </w:t>
      </w:r>
      <w:r w:rsidRPr="00D63FF8">
        <w:rPr>
          <w:rFonts w:eastAsiaTheme="minorEastAsia"/>
        </w:rPr>
        <w:t>annular Hagen-Poiseulle equation was used with a summation term for the leakage volume as shown in Equation 2.69.</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50AF" w14:paraId="23640CE9" w14:textId="77777777" w:rsidTr="009650AF">
        <w:trPr>
          <w:trHeight w:val="576"/>
        </w:trPr>
        <w:tc>
          <w:tcPr>
            <w:tcW w:w="720" w:type="dxa"/>
            <w:vAlign w:val="center"/>
          </w:tcPr>
          <w:p w14:paraId="2D77BC4A" w14:textId="4469FFB9" w:rsidR="009650AF" w:rsidRDefault="009650AF" w:rsidP="009650AF">
            <w:pPr>
              <w:spacing w:line="240" w:lineRule="auto"/>
              <w:jc w:val="center"/>
            </w:pPr>
          </w:p>
        </w:tc>
        <w:tc>
          <w:tcPr>
            <w:tcW w:w="7920" w:type="dxa"/>
            <w:vAlign w:val="center"/>
          </w:tcPr>
          <w:p w14:paraId="657F1BFA" w14:textId="77777777" w:rsidR="009650AF" w:rsidRPr="009F264F" w:rsidRDefault="009650AF" w:rsidP="009650AF">
            <w:pPr>
              <w:spacing w:line="240" w:lineRule="auto"/>
              <w:jc w:val="center"/>
              <w:rPr>
                <w:rFonts w:eastAsiaTheme="minorEastAsia"/>
              </w:rPr>
            </w:pPr>
            <m:oMathPara>
              <m:oMath>
                <m:r>
                  <w:rPr>
                    <w:rFonts w:ascii="Cambria Math" w:hAnsi="Cambria Math"/>
                  </w:rPr>
                  <m:t>Q=</m:t>
                </m:r>
                <m:f>
                  <m:fPr>
                    <m:ctrlPr>
                      <w:rPr>
                        <w:rFonts w:ascii="Cambria Math" w:hAnsi="Cambria Math"/>
                        <w:i/>
                        <w:iCs/>
                      </w:rPr>
                    </m:ctrlPr>
                  </m:fPr>
                  <m:num>
                    <m:r>
                      <w:rPr>
                        <w:rFonts w:ascii="Cambria Math" w:hAnsi="Cambria Math"/>
                      </w:rPr>
                      <m:t>2π</m:t>
                    </m:r>
                    <m:sSub>
                      <m:sSubPr>
                        <m:ctrlPr>
                          <w:rPr>
                            <w:rFonts w:ascii="Cambria Math" w:hAnsi="Cambria Math"/>
                            <w:i/>
                            <w:iCs/>
                          </w:rPr>
                        </m:ctrlPr>
                      </m:sSubPr>
                      <m:e>
                        <m:r>
                          <w:rPr>
                            <w:rFonts w:ascii="Cambria Math" w:hAnsi="Cambria Math"/>
                          </w:rPr>
                          <m:t>R</m:t>
                        </m:r>
                      </m:e>
                      <m:sub>
                        <m:r>
                          <w:rPr>
                            <w:rFonts w:ascii="Cambria Math" w:hAnsi="Cambria Math"/>
                          </w:rPr>
                          <m:t>0</m:t>
                        </m:r>
                      </m:sub>
                    </m:sSub>
                    <m:r>
                      <w:rPr>
                        <w:rFonts w:ascii="Cambria Math" w:hAnsi="Cambria Math"/>
                      </w:rPr>
                      <m:t>ΔP</m:t>
                    </m:r>
                  </m:num>
                  <m:den>
                    <m:r>
                      <w:rPr>
                        <w:rFonts w:ascii="Cambria Math" w:hAnsi="Cambria Math"/>
                      </w:rPr>
                      <m:t>12μΔz</m:t>
                    </m:r>
                    <m:nary>
                      <m:naryPr>
                        <m:chr m:val="∑"/>
                        <m:limLoc m:val="subSup"/>
                        <m:supHide m:val="1"/>
                        <m:ctrlPr>
                          <w:rPr>
                            <w:rFonts w:ascii="Cambria Math" w:hAnsi="Cambria Math"/>
                            <w:i/>
                            <w:iCs/>
                          </w:rPr>
                        </m:ctrlPr>
                      </m:naryPr>
                      <m:sub>
                        <m:r>
                          <w:rPr>
                            <w:rFonts w:ascii="Cambria Math" w:hAnsi="Cambria Math"/>
                          </w:rPr>
                          <m:t>i</m:t>
                        </m:r>
                      </m:sub>
                      <m:sup/>
                      <m:e>
                        <m:sSubSup>
                          <m:sSubSupPr>
                            <m:ctrlPr>
                              <w:rPr>
                                <w:rFonts w:ascii="Cambria Math" w:hAnsi="Cambria Math"/>
                                <w:i/>
                                <w:iCs/>
                              </w:rPr>
                            </m:ctrlPr>
                          </m:sSubSupPr>
                          <m:e>
                            <m:r>
                              <w:rPr>
                                <w:rFonts w:ascii="Cambria Math" w:hAnsi="Cambria Math"/>
                              </w:rPr>
                              <m:t>w</m:t>
                            </m:r>
                          </m:e>
                          <m:sub>
                            <m:r>
                              <w:rPr>
                                <w:rFonts w:ascii="Cambria Math" w:hAnsi="Cambria Math"/>
                              </w:rPr>
                              <m:t>i</m:t>
                            </m:r>
                          </m:sub>
                          <m:sup>
                            <m:r>
                              <w:rPr>
                                <w:rFonts w:ascii="Cambria Math" w:hAnsi="Cambria Math"/>
                              </w:rPr>
                              <m:t>-3</m:t>
                            </m:r>
                          </m:sup>
                        </m:sSubSup>
                      </m:e>
                    </m:nary>
                  </m:den>
                </m:f>
              </m:oMath>
            </m:oMathPara>
          </w:p>
        </w:tc>
        <w:tc>
          <w:tcPr>
            <w:tcW w:w="720" w:type="dxa"/>
            <w:vAlign w:val="bottom"/>
          </w:tcPr>
          <w:p w14:paraId="58612F65" w14:textId="485A8367" w:rsidR="009650AF"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9650AF">
              <w:t>.</w:t>
            </w:r>
            <w:r>
              <w:fldChar w:fldCharType="begin"/>
            </w:r>
            <w:r>
              <w:instrText xml:space="preserve"> SEQ Equation \* ARABIC \s 1 </w:instrText>
            </w:r>
            <w:r>
              <w:fldChar w:fldCharType="separate"/>
            </w:r>
            <w:r w:rsidR="0006023A">
              <w:rPr>
                <w:noProof/>
              </w:rPr>
              <w:t>69</w:t>
            </w:r>
            <w:r>
              <w:rPr>
                <w:noProof/>
              </w:rPr>
              <w:fldChar w:fldCharType="end"/>
            </w:r>
          </w:p>
        </w:tc>
      </w:tr>
    </w:tbl>
    <w:p w14:paraId="50500A9B" w14:textId="77777777" w:rsidR="009650AF" w:rsidRDefault="009650AF" w:rsidP="009650AF">
      <w:pPr>
        <w:ind w:firstLine="720"/>
      </w:pPr>
    </w:p>
    <w:p w14:paraId="29B3AC7C" w14:textId="3931067E" w:rsidR="009650AF" w:rsidRDefault="009650AF" w:rsidP="009650AF">
      <w:pPr>
        <w:ind w:firstLine="720"/>
      </w:pPr>
      <w:r>
        <w:t>Since the flow rate is a derivation of the Hagen-Poiseulle equation, the fluid is assumed to be incompressible. Therefore, the authors used water as the leakage fluid and classified it as the “leakage capacity of the well” or the “hydraulic conductivity” of the well. The mean microannuli in the Gaussian distribution is 20 μm with a standard deviation of 4 μm (i.e. 20%). 10,000 synthetic wells were produce</w:t>
      </w:r>
      <w:r w:rsidR="008D75B6">
        <w:t>d</w:t>
      </w:r>
      <w:r>
        <w:t xml:space="preserve"> with cement sheath lengths varying from 10 m to 1,000 m. </w:t>
      </w:r>
    </w:p>
    <w:p w14:paraId="6CECD228" w14:textId="50902957" w:rsidR="009650AF" w:rsidRDefault="009650AF" w:rsidP="009650AF">
      <w:pPr>
        <w:ind w:firstLine="720"/>
      </w:pPr>
      <w:r>
        <w:t>Lavrov and Torsaeter (2018) showed that in 95% of the synthetic wells, the cement sheath length</w:t>
      </w:r>
      <w:r w:rsidR="00A314A8">
        <w:t xml:space="preserve"> of</w:t>
      </w:r>
      <w:r>
        <w:t xml:space="preserve"> 60 m </w:t>
      </w:r>
      <w:r w:rsidR="00924F5C">
        <w:t xml:space="preserve">would </w:t>
      </w:r>
      <w:r>
        <w:t>prevent 95% of the wells from experiencing leakage greater than 1.1 μL/s. The tortuosity of the microannuli causes the resulting leakage to decrease dramatically which is in agreement with Corina et al. (2020)</w:t>
      </w:r>
      <w:r w:rsidR="00644923">
        <w:t>, but</w:t>
      </w:r>
      <w:r>
        <w:t xml:space="preserve"> there are some limitations with the methodology described by Lavrov and Torsaeter (2018). The microannuli width they chose (20 ± 4 μm) is arbitrary. </w:t>
      </w:r>
      <w:r>
        <w:lastRenderedPageBreak/>
        <w:t xml:space="preserve">According to Feng et al. (2017), those authors showed microannuli widths of 200+ μm. Lavrov and Torsaeter (2018) state that even small variations of microannuli changes (2 μm) can cause significant changes in recommended (safe) cement sheath lengths. The example they described showed a difference from 10 m to 250 m. This methodology also is only valid for water. Assuming that water leakage is the “leakage capacity” of a well severely underestimates the leakage potential when considering gas has less </w:t>
      </w:r>
      <w:r w:rsidRPr="00A314A8">
        <w:t>viscosity and density</w:t>
      </w:r>
      <w:r w:rsidR="00924F5C">
        <w:t>. Therefore, gas</w:t>
      </w:r>
      <w:r w:rsidRPr="00A314A8">
        <w:t xml:space="preserve"> should have higher flow rates when compared to water. The final issue with this method lies with Equation 2.69. As described in Section 2.4, Hagen-Poiseulle flow was created for horizontal flow in which gravity is neglected. When considering vertical wells (or vertical parts of wells</w:t>
      </w:r>
      <w:r>
        <w:t>),</w:t>
      </w:r>
      <w:r w:rsidR="00AA13C8">
        <w:t xml:space="preserve"> the weight of the water will have a negative effect on flow rates.</w:t>
      </w:r>
      <w:r>
        <w:t xml:space="preserve"> </w:t>
      </w:r>
      <w:r w:rsidR="00AA13C8">
        <w:t>G</w:t>
      </w:r>
      <w:r>
        <w:t>ravity forces would be countering any pressure driven flow upwards</w:t>
      </w:r>
      <w:r w:rsidR="00AA13C8">
        <w:t xml:space="preserve"> and should be accounted for in leakage predictions</w:t>
      </w:r>
      <w:r>
        <w:t>.</w:t>
      </w:r>
    </w:p>
    <w:p w14:paraId="544742D0" w14:textId="77777777" w:rsidR="009650AF" w:rsidRDefault="009650AF" w:rsidP="009650AF">
      <w:pPr>
        <w:ind w:firstLine="720"/>
      </w:pPr>
      <w:r>
        <w:t xml:space="preserve">Another method shown by Ford et al. (2017) and later expanded by Moeinikia et al. (2018) combines the cumulative leakage through wellbore cement by performing a Monte Carlo simulation of leakage rates for each leakage pathway resulting in a leakage calculator for a given well. The leakage calculator investigates the combination of different leakage pathways within the wellbore cement and provides confidence intervals for potential leakage rates. The potential leakage pathways are cement permeability, flow through cement cracks, and flow through microannuli at the cement interface. Leakage due to cement permeability is quantified using Darcy </w:t>
      </w:r>
      <w:r w:rsidRPr="00A314A8">
        <w:t xml:space="preserve">flow (Equation 2.52 from Section 2.7), leakage due to cement cracks is quantified by Hagen-Poiseulle slot flow (Equation 2.49 from Section 2.6), and leakage along the microannuli is quantified using the annular Hagen-Poiseulle flow equation (Equation 2.41 from Section 2.5). The authors of both papers showed this method as a proof of concept in which the cement permeability, </w:t>
      </w:r>
      <w:r w:rsidRPr="00A314A8">
        <w:lastRenderedPageBreak/>
        <w:t>microannuli width, fracture aperture, and fracture width are not known. These values are</w:t>
      </w:r>
      <w:r>
        <w:t xml:space="preserve"> to be determined through physical experiments or other numerical methods such as FEA models.</w:t>
      </w:r>
    </w:p>
    <w:p w14:paraId="4CDB102F" w14:textId="0F9D207F" w:rsidR="009650AF" w:rsidRDefault="009650AF" w:rsidP="009650AF">
      <w:pPr>
        <w:ind w:firstLine="720"/>
      </w:pPr>
      <w:r>
        <w:t>The issues with these different analytical methods are that the thick wall cylinder with Kirsch analytical equations lack the complexity to accurately represent complex geometries (such as nonconcentric wellbores), complicated boundary conditions, complex failure analysis (such as fracture mechanics), and the solutions are for a discrete depth. The method presented by Lavrov and Torsaeter (2018) assumes a microannuli width (plus variation), has all the assumptions associated with Hagen-Poiseulle flow (i.e. only valid for incompressible fluids), and doesn’t incorporate the effect of gravity on the fluid flow. The leakage calculator presented by Ford et al. (2017) and Moeinikia et al. (2018) has too many leakage pathway variables assumed (the user has to input fracture magnitudes and permeability), is only valid for incompressible fluids, and neglect the effect of gravity on the fluid. Given that these analytical methods do not predict the leakage magnitudes (microannuli or fracture width), researchers have used numerical methods to bridge this gap.</w:t>
      </w:r>
    </w:p>
    <w:p w14:paraId="0B08C720" w14:textId="77777777" w:rsidR="009650AF" w:rsidRDefault="009650AF" w:rsidP="009650AF">
      <w:pPr>
        <w:pStyle w:val="Heading3"/>
      </w:pPr>
      <w:bookmarkStart w:id="44" w:name="_Toc67566034"/>
      <w:r>
        <w:t>Numerical Methods</w:t>
      </w:r>
      <w:bookmarkEnd w:id="44"/>
    </w:p>
    <w:p w14:paraId="6ACBC740" w14:textId="154041BC" w:rsidR="009650AF" w:rsidRDefault="009650AF" w:rsidP="009650AF">
      <w:pPr>
        <w:ind w:firstLine="720"/>
      </w:pPr>
      <w:r w:rsidRPr="00DC733F">
        <w:t>The analytical model discussed in the previous section lacks complexity to accurately represent complex geometries (such as non-concentric wellbores), complicat</w:t>
      </w:r>
      <w:r w:rsidRPr="006C3C73">
        <w:t>ed boundary conditions, and complex failure analysis such as fracture mechanics and d</w:t>
      </w:r>
      <w:r>
        <w:t>ebonding mechanisms that researchers have used finite element models to address these shortcomings</w:t>
      </w:r>
      <w:r w:rsidRPr="006C3C73">
        <w:t xml:space="preserve">. </w:t>
      </w:r>
      <w:r>
        <w:t>F</w:t>
      </w:r>
      <w:r w:rsidRPr="00FA60CD">
        <w:t xml:space="preserve">inite element models have become an important tool to study the creation and severity of leakage pathways in </w:t>
      </w:r>
      <w:r w:rsidRPr="001E64C9">
        <w:t>cement</w:t>
      </w:r>
      <w:r w:rsidRPr="00EC7EFC">
        <w:t xml:space="preserve"> sheaths for over 20 years</w:t>
      </w:r>
      <w:r>
        <w:t xml:space="preserve">. The following sections address the various numerical FEA models for leakage estimation. The traditional models did not incorporate fluid propagation </w:t>
      </w:r>
      <w:r>
        <w:lastRenderedPageBreak/>
        <w:t xml:space="preserve">whereas recent models have developed fluid propagation capabilities. The foundation of the FEA methods used in leakage simulations </w:t>
      </w:r>
      <w:r w:rsidRPr="00A314A8">
        <w:t>is outlined in Appendix K.</w:t>
      </w:r>
    </w:p>
    <w:p w14:paraId="26A7DE09" w14:textId="77777777" w:rsidR="009650AF" w:rsidRPr="00B92E3D" w:rsidRDefault="009650AF" w:rsidP="009650AF">
      <w:r w:rsidRPr="00B92E3D">
        <w:rPr>
          <w:rStyle w:val="Heading4Char"/>
        </w:rPr>
        <w:t>FEA Models without Fluid Propagation</w:t>
      </w:r>
      <w:r w:rsidRPr="00B92E3D">
        <w:t xml:space="preserve"> </w:t>
      </w:r>
    </w:p>
    <w:p w14:paraId="10FDB572" w14:textId="51B306AE" w:rsidR="009650AF" w:rsidRDefault="009650AF" w:rsidP="009650AF">
      <w:r>
        <w:tab/>
      </w:r>
      <w:r w:rsidRPr="00EC7EFC">
        <w:t xml:space="preserve">Bosma et al. (1999) used a 2D-FEA to evaluate </w:t>
      </w:r>
      <w:r>
        <w:t xml:space="preserve">different forms of cement failure as a thermo-elasto-plastic model with Mohr-Coulomb plasticity to describe shear failure, and smeared cracking to determine debonding. A major conclusion of their work is that the failure of the cement sheath is dependent on the initial stress within the sheath such that if an initial stress in the cement is present, shear failure and debonding were </w:t>
      </w:r>
      <w:r w:rsidR="00924F5C">
        <w:t xml:space="preserve">the </w:t>
      </w:r>
      <w:r>
        <w:t>predominate failure mechanisms. P</w:t>
      </w:r>
      <w:r w:rsidRPr="00EC7EFC">
        <w:t>revious cement integrity analysis used compressive strength as the only in</w:t>
      </w:r>
      <w:r>
        <w:t>dicator for cement integrity, and t</w:t>
      </w:r>
      <w:r w:rsidRPr="00EC7EFC">
        <w:t xml:space="preserve">heir research determined that the compressive strength is not sufficient for determining the ability of </w:t>
      </w:r>
      <w:r>
        <w:t>the cement to provide a seal.</w:t>
      </w:r>
      <w:r w:rsidRPr="00EC7EFC">
        <w:t xml:space="preserve"> Bosma et al. (1999) determined other mechanical properties should be evaluated such as You</w:t>
      </w:r>
      <w:r>
        <w:t>ng’s modulus, Poisson’s ratio, tensile strength, shear s</w:t>
      </w:r>
      <w:r w:rsidRPr="00EC7EFC">
        <w:t>t</w:t>
      </w:r>
      <w:r>
        <w:t>rength, bonding s</w:t>
      </w:r>
      <w:r w:rsidRPr="00EC7EFC">
        <w:t>trength, and cement shrinkage and expansion.</w:t>
      </w:r>
      <w:r>
        <w:t xml:space="preserve"> A limitation of their work is that they did not consider the porous nature of the cement and rock formation.  </w:t>
      </w:r>
    </w:p>
    <w:p w14:paraId="70269666" w14:textId="08A65195" w:rsidR="009650AF" w:rsidRPr="00EC7EFC" w:rsidRDefault="009650AF" w:rsidP="009650AF">
      <w:pPr>
        <w:ind w:firstLine="720"/>
      </w:pPr>
      <w:r w:rsidRPr="006C3C73">
        <w:t xml:space="preserve">Fleckenstein et al. (2001) </w:t>
      </w:r>
      <w:r>
        <w:t>performed linear elastic 2D</w:t>
      </w:r>
      <w:r w:rsidRPr="006C3C73">
        <w:t xml:space="preserve"> </w:t>
      </w:r>
      <w:r w:rsidRPr="00780C50">
        <w:t xml:space="preserve">FEA </w:t>
      </w:r>
      <w:r>
        <w:t xml:space="preserve">in which they </w:t>
      </w:r>
      <w:r w:rsidRPr="00FA60CD">
        <w:t xml:space="preserve">evaluated von-Mises stresses for </w:t>
      </w:r>
      <w:r w:rsidRPr="00EC7EFC">
        <w:t>cement sheath failure</w:t>
      </w:r>
      <w:r w:rsidR="00924F5C">
        <w:t>.</w:t>
      </w:r>
      <w:r>
        <w:t xml:space="preserve"> </w:t>
      </w:r>
      <w:r w:rsidR="00924F5C">
        <w:t>The authors’</w:t>
      </w:r>
      <w:r w:rsidRPr="00EC7EFC">
        <w:t xml:space="preserve"> determined that the primary failure mechanism of cement sheath failure is radial cracking due to tensile, tangential stresses</w:t>
      </w:r>
      <w:r>
        <w:t xml:space="preserve"> (tensile hoop stresses).</w:t>
      </w:r>
      <w:r w:rsidRPr="00EC7EFC">
        <w:t xml:space="preserve"> The tangential stresses are reduced with ductile cement compositions that have higher Poisson’s ratios and l</w:t>
      </w:r>
      <w:r>
        <w:t xml:space="preserve">ower values of Young’s modulus. </w:t>
      </w:r>
      <w:r w:rsidRPr="00EC7EFC">
        <w:t>Brittle cement compositions tend to develop greater tensile tangential stresses resulting in greater cement failure (cracking).</w:t>
      </w:r>
      <w:r w:rsidR="00924F5C">
        <w:t xml:space="preserve"> A limitation of Fleckenstein et al. (2001) is that they did not evaluate the cement and rock formation as a poro-elastic material. </w:t>
      </w:r>
    </w:p>
    <w:p w14:paraId="1364CBE8" w14:textId="77777777" w:rsidR="009650AF" w:rsidRDefault="009650AF" w:rsidP="009650AF">
      <w:pPr>
        <w:ind w:firstLine="720"/>
      </w:pPr>
      <w:r w:rsidRPr="00EC7EFC">
        <w:lastRenderedPageBreak/>
        <w:t xml:space="preserve">Ravi et al. (2002) extended Bosma et al.’s (1999) </w:t>
      </w:r>
      <w:r>
        <w:t xml:space="preserve">2D elasto-plastic </w:t>
      </w:r>
      <w:r w:rsidRPr="00EC7EFC">
        <w:t>model by performing staged simulations to represent the drilling of a wellbore, completion of the wel</w:t>
      </w:r>
      <w:r>
        <w:t xml:space="preserve">l, and production of the well. </w:t>
      </w:r>
      <w:r w:rsidRPr="00EC7EFC">
        <w:t>The</w:t>
      </w:r>
      <w:r>
        <w:t xml:space="preserve"> same</w:t>
      </w:r>
      <w:r w:rsidRPr="00EC7EFC">
        <w:t xml:space="preserve"> failure modes</w:t>
      </w:r>
      <w:r>
        <w:t xml:space="preserve"> were analyzed as with Bosma et al.’s (1999) model, except Ravi et al. (2002) also included cement shrinkage and expansion parameters. Ravi et al. (2002) determined that the</w:t>
      </w:r>
      <w:r w:rsidRPr="00EC7EFC">
        <w:t xml:space="preserve"> </w:t>
      </w:r>
      <w:r>
        <w:t>integrity of the cement sheath is controlled by its mechanical properties, formation properties, and well operating parameters</w:t>
      </w:r>
      <w:r w:rsidRPr="00EC7EFC">
        <w:t>.</w:t>
      </w:r>
      <w:r w:rsidRPr="00EC7EFC" w:rsidDel="00EC7EFC">
        <w:t xml:space="preserve"> </w:t>
      </w:r>
      <w:r w:rsidRPr="00AE2B0D">
        <w:t xml:space="preserve">Pattillo and Kristiansen (2002) implemented a staged 2D </w:t>
      </w:r>
      <w:r>
        <w:t xml:space="preserve">elasto-plastic </w:t>
      </w:r>
      <w:r w:rsidRPr="00AE2B0D">
        <w:t xml:space="preserve">FEA approach to investigate tubular failure based off Drucker-Prager criteria in horizontal wellbores with </w:t>
      </w:r>
      <w:r>
        <w:t xml:space="preserve">imperfect cementing placement. </w:t>
      </w:r>
      <w:r w:rsidRPr="00AE2B0D">
        <w:t>Their simulation stages included the history of the formation from discovery in-situ stresses, global pore pressure depletion for the field, addition of the wellbore to the fo</w:t>
      </w:r>
      <w:r>
        <w:t xml:space="preserve">rmation, and local production. </w:t>
      </w:r>
      <w:r w:rsidRPr="00AE2B0D">
        <w:t>The goal of their study was to investigate how the change</w:t>
      </w:r>
      <w:r>
        <w:t>s in vertical stresses affect horizontal wellbore failure. A limitation of Pattillo and Kristiansen’s (2002) 2D approach is that anisotropic stresses were not included. Only the vertical and one horizontal stress were analyzed due to the 2D nature of horizontal wellbores.</w:t>
      </w:r>
      <w:r w:rsidRPr="00AE2B0D">
        <w:t xml:space="preserve">   </w:t>
      </w:r>
    </w:p>
    <w:p w14:paraId="1CEF38B5" w14:textId="77777777" w:rsidR="009650AF" w:rsidRDefault="009650AF" w:rsidP="009650AF">
      <w:pPr>
        <w:ind w:firstLine="720"/>
      </w:pPr>
      <w:r w:rsidRPr="00AE2B0D">
        <w:t>Gray et al. (2009) established a framework for a</w:t>
      </w:r>
      <w:r>
        <w:t xml:space="preserve"> 3D elasto-plastic</w:t>
      </w:r>
      <w:r w:rsidRPr="00AE2B0D">
        <w:t xml:space="preserve"> life-of-well </w:t>
      </w:r>
      <w:r>
        <w:t>FEA</w:t>
      </w:r>
      <w:r w:rsidRPr="00AE2B0D">
        <w:t xml:space="preserve"> to evaluate cement debonding (based off contact bond strength) and failure </w:t>
      </w:r>
      <w:r>
        <w:t>(based off Mohr-Coulomb criterion</w:t>
      </w:r>
      <w:r w:rsidRPr="00AE2B0D">
        <w:t xml:space="preserve">) at all stages of </w:t>
      </w:r>
      <w:r>
        <w:t xml:space="preserve">a wellbore after construction. </w:t>
      </w:r>
      <w:r w:rsidRPr="00AE2B0D">
        <w:t>Their model in</w:t>
      </w:r>
      <w:r>
        <w:t xml:space="preserve">cluded far-field stresses, </w:t>
      </w:r>
      <w:r w:rsidRPr="00AE2B0D">
        <w:t>cement hardening and shrinkage,</w:t>
      </w:r>
      <w:r>
        <w:t xml:space="preserve"> and</w:t>
      </w:r>
      <w:r w:rsidRPr="00AE2B0D">
        <w:t xml:space="preserve"> debonding at the casing/cement and </w:t>
      </w:r>
      <w:r>
        <w:t>cement/formation interfaces.</w:t>
      </w:r>
      <w:r w:rsidRPr="00AE2B0D">
        <w:t xml:space="preserve"> Nygaard et al. (2014) and Weideman </w:t>
      </w:r>
      <w:r>
        <w:t>and Nygaard</w:t>
      </w:r>
      <w:r w:rsidRPr="00AE2B0D">
        <w:t xml:space="preserve"> (2014) expanded Gray</w:t>
      </w:r>
      <w:r>
        <w:t xml:space="preserve"> et al.</w:t>
      </w:r>
      <w:r w:rsidRPr="00AE2B0D">
        <w:t>’s</w:t>
      </w:r>
      <w:r>
        <w:t xml:space="preserve"> (2009) model</w:t>
      </w:r>
      <w:r w:rsidRPr="00AE2B0D">
        <w:t xml:space="preserve"> to include temperature changes and poroelasticity while evaluating wellbore near term and long-term integrity, cement and casing deformation (Li and Nygaard</w:t>
      </w:r>
      <w:r>
        <w:t xml:space="preserve"> </w:t>
      </w:r>
      <w:r w:rsidRPr="00AE2B0D">
        <w:t>2017), and quantify micro-annuli widths (</w:t>
      </w:r>
      <w:r>
        <w:t xml:space="preserve">Bois et al. 2012; </w:t>
      </w:r>
      <w:r w:rsidRPr="00AE2B0D">
        <w:t>Zhang et al. 2017</w:t>
      </w:r>
      <w:r>
        <w:t>; Crain et al. 2018</w:t>
      </w:r>
      <w:r w:rsidRPr="00AE2B0D">
        <w:t>).</w:t>
      </w:r>
      <w:r w:rsidRPr="001E64C9">
        <w:t xml:space="preserve"> </w:t>
      </w:r>
      <w:r>
        <w:t xml:space="preserve">The results of the expanded Gray et al. (2009) models determined that changes in wellbore pressure </w:t>
      </w:r>
      <w:r>
        <w:lastRenderedPageBreak/>
        <w:t xml:space="preserve">and temperature are predominant factors that cause cement sheath debonding, but the authors are not in agreement on which cement sheath interface is experiencing debonding. Zhang et al. (2017) concluded that debonding occurs at the cement/rock formation interface while Nygaard et al. (2014) and Weideman and Nygaard (2014) determined debonding to occur at the casing/cement interface. Gray et al. (2009) experienced debonding at the casing/cement interface, but the authors only modeled debonding criterion at the casing/cement interface. </w:t>
      </w:r>
    </w:p>
    <w:p w14:paraId="205F3ECA" w14:textId="77777777" w:rsidR="009650AF" w:rsidRDefault="009650AF" w:rsidP="009650AF">
      <w:pPr>
        <w:ind w:firstLine="720"/>
      </w:pPr>
      <w:r w:rsidRPr="00CB1C85">
        <w:t xml:space="preserve">The studies presented in the previous paragraph have either attempted to quantify which parameters are important in cement sheath failure (but ignored important cement sheath characteristics such as cement pore pressure) or focused on specific scenarios without considering variations in wellbore parameters. </w:t>
      </w:r>
      <w:r>
        <w:t>The summary of the staged FEA models that do not evaluate fluid interaction show that cement sheath debonding is the primary failure mechanisms and the main causes are as follows:</w:t>
      </w:r>
    </w:p>
    <w:p w14:paraId="00F8865B" w14:textId="77777777" w:rsidR="009650AF" w:rsidRDefault="009650AF" w:rsidP="00FF2CA0">
      <w:pPr>
        <w:pStyle w:val="ListParagraph"/>
        <w:numPr>
          <w:ilvl w:val="0"/>
          <w:numId w:val="7"/>
        </w:numPr>
        <w:spacing w:before="200" w:after="200" w:line="276" w:lineRule="auto"/>
        <w:ind w:left="547"/>
      </w:pPr>
      <w:r>
        <w:t>Changes in Internal Casing Pressure</w:t>
      </w:r>
    </w:p>
    <w:p w14:paraId="594702A9" w14:textId="4CCA4653" w:rsidR="009650AF" w:rsidRDefault="009650AF" w:rsidP="00FF2CA0">
      <w:pPr>
        <w:pStyle w:val="ListParagraph"/>
        <w:numPr>
          <w:ilvl w:val="1"/>
          <w:numId w:val="7"/>
        </w:numPr>
        <w:spacing w:after="200" w:line="276" w:lineRule="auto"/>
      </w:pPr>
      <w:r>
        <w:t>Nygaard et al. 2014; Weideman and Nygaard 2014</w:t>
      </w:r>
      <w:r w:rsidR="00B51DDC">
        <w:t>; Patel and Salehi 2019</w:t>
      </w:r>
      <w:r>
        <w:t>.</w:t>
      </w:r>
    </w:p>
    <w:p w14:paraId="143DF0AE" w14:textId="77777777" w:rsidR="009650AF" w:rsidRDefault="009650AF" w:rsidP="00FF2CA0">
      <w:pPr>
        <w:pStyle w:val="ListParagraph"/>
        <w:numPr>
          <w:ilvl w:val="0"/>
          <w:numId w:val="7"/>
        </w:numPr>
        <w:spacing w:after="200" w:line="276" w:lineRule="auto"/>
        <w:ind w:left="540"/>
      </w:pPr>
      <w:r>
        <w:t>Changes in Internal Casing Temperature</w:t>
      </w:r>
    </w:p>
    <w:p w14:paraId="2746F5A4" w14:textId="40183D25" w:rsidR="009650AF" w:rsidRPr="00B92E3D" w:rsidRDefault="009650AF" w:rsidP="00FF2CA0">
      <w:pPr>
        <w:pStyle w:val="ListParagraph"/>
        <w:numPr>
          <w:ilvl w:val="1"/>
          <w:numId w:val="7"/>
        </w:numPr>
        <w:spacing w:after="200" w:line="276" w:lineRule="auto"/>
        <w:rPr>
          <w:lang w:val="nb-NO"/>
        </w:rPr>
      </w:pPr>
      <w:r w:rsidRPr="00B92E3D">
        <w:rPr>
          <w:lang w:val="nb-NO"/>
        </w:rPr>
        <w:t>Nygaard et al. 2014</w:t>
      </w:r>
      <w:r w:rsidR="00B51DDC">
        <w:rPr>
          <w:lang w:val="nb-NO"/>
        </w:rPr>
        <w:t>;</w:t>
      </w:r>
      <w:r w:rsidR="00B51DDC" w:rsidRPr="00B51DDC">
        <w:rPr>
          <w:lang w:val="nb-NO"/>
        </w:rPr>
        <w:t xml:space="preserve"> </w:t>
      </w:r>
      <w:r w:rsidR="00B51DDC" w:rsidRPr="00B92E3D">
        <w:rPr>
          <w:lang w:val="nb-NO"/>
        </w:rPr>
        <w:t>Lavrov et al. 2015;</w:t>
      </w:r>
      <w:r w:rsidR="00B51DDC">
        <w:rPr>
          <w:lang w:val="nb-NO"/>
        </w:rPr>
        <w:t xml:space="preserve"> Zhang et al. 2017</w:t>
      </w:r>
      <w:r w:rsidRPr="00B92E3D">
        <w:rPr>
          <w:lang w:val="nb-NO"/>
        </w:rPr>
        <w:t>.</w:t>
      </w:r>
    </w:p>
    <w:p w14:paraId="684A516B" w14:textId="77777777" w:rsidR="009650AF" w:rsidRDefault="009650AF" w:rsidP="00FF2CA0">
      <w:pPr>
        <w:pStyle w:val="ListParagraph"/>
        <w:numPr>
          <w:ilvl w:val="0"/>
          <w:numId w:val="7"/>
        </w:numPr>
        <w:spacing w:after="200" w:line="276" w:lineRule="auto"/>
        <w:ind w:left="540"/>
      </w:pPr>
      <w:r>
        <w:t>Depths/Wellbore Dimensions</w:t>
      </w:r>
    </w:p>
    <w:p w14:paraId="06226299" w14:textId="77777777" w:rsidR="009650AF" w:rsidRPr="00B92E3D" w:rsidRDefault="009650AF" w:rsidP="00FF2CA0">
      <w:pPr>
        <w:pStyle w:val="ListParagraph"/>
        <w:numPr>
          <w:ilvl w:val="1"/>
          <w:numId w:val="7"/>
        </w:numPr>
        <w:rPr>
          <w:lang w:val="nb-NO"/>
        </w:rPr>
      </w:pPr>
      <w:r w:rsidRPr="00B92E3D">
        <w:rPr>
          <w:lang w:val="nb-NO"/>
        </w:rPr>
        <w:t>Crain et al. 2018.</w:t>
      </w:r>
    </w:p>
    <w:p w14:paraId="702D2A32" w14:textId="5815981A" w:rsidR="009650AF" w:rsidRDefault="009650AF" w:rsidP="009650AF">
      <w:pPr>
        <w:ind w:firstLine="720"/>
      </w:pPr>
      <w:r>
        <w:t>The primary limitations of the staged well life cycle models are that they consist of thin sections that do not investigate if a leakage path to the top of cement is continuous and they do not implement the effect of fluid propagation.</w:t>
      </w:r>
    </w:p>
    <w:p w14:paraId="0FB8BD39" w14:textId="77777777" w:rsidR="009650AF" w:rsidRPr="00B92E3D" w:rsidRDefault="009650AF" w:rsidP="009650AF">
      <w:pPr>
        <w:rPr>
          <w:b/>
        </w:rPr>
      </w:pPr>
      <w:r w:rsidRPr="00B92E3D">
        <w:rPr>
          <w:b/>
        </w:rPr>
        <w:t>FEA Models with Fluid Propagation</w:t>
      </w:r>
    </w:p>
    <w:p w14:paraId="3D3FED54" w14:textId="77777777" w:rsidR="009650AF" w:rsidRDefault="009650AF" w:rsidP="009650AF">
      <w:r>
        <w:tab/>
        <w:t xml:space="preserve">To compensate for the limitations of FEA models that do not include fluid interactions, a new approach was developed by Zielonka et al. (2014) that replicates the hydraulic fracturing process of an injected fluid at an </w:t>
      </w:r>
      <w:r w:rsidRPr="00A314A8">
        <w:t xml:space="preserve">interface, such as cement sheath interfaces. The new methodology </w:t>
      </w:r>
      <w:r w:rsidRPr="00A314A8">
        <w:lastRenderedPageBreak/>
        <w:t xml:space="preserve">involves Reynold’s Lubrication Theorem (Equation 2.70) which states that the change in gap width with respect to time </w:t>
      </w:r>
      <m:oMath>
        <m:d>
          <m:dPr>
            <m:ctrlPr>
              <w:rPr>
                <w:rFonts w:ascii="Cambria Math" w:hAnsi="Cambria Math"/>
                <w:i/>
              </w:rPr>
            </m:ctrlPr>
          </m:dPr>
          <m:e>
            <m:f>
              <m:fPr>
                <m:ctrlPr>
                  <w:rPr>
                    <w:rFonts w:ascii="Cambria Math" w:hAnsi="Cambria Math"/>
                    <w:i/>
                  </w:rPr>
                </m:ctrlPr>
              </m:fPr>
              <m:num>
                <m:r>
                  <w:rPr>
                    <w:rFonts w:ascii="Cambria Math" w:hAnsi="Cambria Math"/>
                  </w:rPr>
                  <m:t>δw</m:t>
                </m:r>
              </m:num>
              <m:den>
                <m:r>
                  <w:rPr>
                    <w:rFonts w:ascii="Cambria Math" w:hAnsi="Cambria Math"/>
                  </w:rPr>
                  <m:t>δt</m:t>
                </m:r>
              </m:den>
            </m:f>
            <m:ctrlPr>
              <w:rPr>
                <w:rFonts w:ascii="Cambria Math" w:eastAsiaTheme="minorEastAsia" w:hAnsi="Cambria Math"/>
                <w:i/>
              </w:rPr>
            </m:ctrlPr>
          </m:e>
        </m:d>
      </m:oMath>
      <w:r w:rsidRPr="00A314A8">
        <w:t xml:space="preserve"> plus the fracturing fluid flux per unit width (</w:t>
      </w:r>
      <m:oMath>
        <m:r>
          <m:rPr>
            <m:sty m:val="p"/>
          </m:rPr>
          <w:rPr>
            <w:rFonts w:ascii="Cambria Math" w:hAnsi="Cambria Math"/>
          </w:rPr>
          <m:t>∇</m:t>
        </m:r>
        <m:r>
          <w:rPr>
            <w:rFonts w:ascii="Cambria Math" w:hAnsi="Cambria Math"/>
          </w:rPr>
          <m:t>∙</m:t>
        </m:r>
        <m:r>
          <m:rPr>
            <m:sty m:val="bi"/>
          </m:rPr>
          <w:rPr>
            <w:rFonts w:ascii="Cambria Math" w:hAnsi="Cambria Math"/>
          </w:rPr>
          <m:t>q</m:t>
        </m:r>
      </m:oMath>
      <w:r w:rsidRPr="00A314A8">
        <w:t>) plus the normal flow velocities through the top (</w:t>
      </w:r>
      <m:oMath>
        <m:sSub>
          <m:sSubPr>
            <m:ctrlPr>
              <w:rPr>
                <w:rFonts w:ascii="Cambria Math" w:hAnsi="Cambria Math"/>
                <w:i/>
              </w:rPr>
            </m:ctrlPr>
          </m:sSubPr>
          <m:e>
            <m:r>
              <w:rPr>
                <w:rFonts w:ascii="Cambria Math" w:hAnsi="Cambria Math"/>
              </w:rPr>
              <m:t>v</m:t>
            </m:r>
          </m:e>
          <m:sub>
            <m:r>
              <w:rPr>
                <w:rFonts w:ascii="Cambria Math" w:hAnsi="Cambria Math"/>
              </w:rPr>
              <m:t>t</m:t>
            </m:r>
          </m:sub>
        </m:sSub>
      </m:oMath>
      <w:r w:rsidRPr="00A314A8">
        <w:t>) and bottom (</w:t>
      </w:r>
      <m:oMath>
        <m:sSub>
          <m:sSubPr>
            <m:ctrlPr>
              <w:rPr>
                <w:rFonts w:ascii="Cambria Math" w:hAnsi="Cambria Math"/>
                <w:i/>
              </w:rPr>
            </m:ctrlPr>
          </m:sSubPr>
          <m:e>
            <m:r>
              <w:rPr>
                <w:rFonts w:ascii="Cambria Math" w:hAnsi="Cambria Math"/>
              </w:rPr>
              <m:t>v</m:t>
            </m:r>
          </m:e>
          <m:sub>
            <m:r>
              <w:rPr>
                <w:rFonts w:ascii="Cambria Math" w:hAnsi="Cambria Math"/>
              </w:rPr>
              <m:t>b</m:t>
            </m:r>
          </m:sub>
        </m:sSub>
      </m:oMath>
      <w:r w:rsidRPr="00A314A8">
        <w:t>) surfaces of the fracture (leak-off velocities) is equal to the injection rate (</w:t>
      </w:r>
      <m:oMath>
        <m:sSub>
          <m:sSubPr>
            <m:ctrlPr>
              <w:rPr>
                <w:rFonts w:ascii="Cambria Math" w:hAnsi="Cambria Math"/>
                <w:i/>
              </w:rPr>
            </m:ctrlPr>
          </m:sSubPr>
          <m:e>
            <m:r>
              <w:rPr>
                <w:rFonts w:ascii="Cambria Math" w:hAnsi="Cambria Math"/>
              </w:rPr>
              <m:t>Q</m:t>
            </m:r>
          </m:e>
          <m:sub>
            <m:r>
              <w:rPr>
                <w:rFonts w:ascii="Cambria Math" w:hAnsi="Cambria Math"/>
              </w:rPr>
              <m:t>o</m:t>
            </m:r>
          </m:sub>
        </m:sSub>
      </m:oMath>
      <w:r w:rsidRPr="00A314A8">
        <w:t>) multiplied by the Dirac delta function [</w:t>
      </w:r>
      <m:oMath>
        <m:r>
          <w:rPr>
            <w:rFonts w:ascii="Cambria Math" w:hAnsi="Cambria Math"/>
          </w:rPr>
          <m:t>δ(x-</m:t>
        </m:r>
        <m:sSub>
          <m:sSubPr>
            <m:ctrlPr>
              <w:rPr>
                <w:rFonts w:ascii="Cambria Math" w:hAnsi="Cambria Math"/>
                <w:i/>
              </w:rPr>
            </m:ctrlPr>
          </m:sSubPr>
          <m:e>
            <m:r>
              <w:rPr>
                <w:rFonts w:ascii="Cambria Math" w:hAnsi="Cambria Math"/>
              </w:rPr>
              <m:t>x</m:t>
            </m:r>
          </m:e>
          <m:sub>
            <m:r>
              <w:rPr>
                <w:rFonts w:ascii="Cambria Math" w:hAnsi="Cambria Math"/>
              </w:rPr>
              <m:t>o</m:t>
            </m:r>
          </m:sub>
        </m:sSub>
        <m:r>
          <w:rPr>
            <w:rFonts w:ascii="Cambria Math" w:hAnsi="Cambria Math"/>
          </w:rPr>
          <m:t>)</m:t>
        </m:r>
      </m:oMath>
      <w:r w:rsidRPr="00A314A8">
        <w:t>]. A schematic of the fracturing fluid velocities within a fracture is shown in Figure 2.21.</w:t>
      </w:r>
      <w:r>
        <w:t xml:space="preserve">  </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50AF" w14:paraId="5C68F153" w14:textId="77777777" w:rsidTr="009650AF">
        <w:trPr>
          <w:trHeight w:val="576"/>
        </w:trPr>
        <w:tc>
          <w:tcPr>
            <w:tcW w:w="720" w:type="dxa"/>
            <w:vAlign w:val="center"/>
          </w:tcPr>
          <w:p w14:paraId="58807D24" w14:textId="77777777" w:rsidR="009650AF" w:rsidRDefault="009650AF" w:rsidP="009650AF">
            <w:pPr>
              <w:spacing w:line="240" w:lineRule="auto"/>
              <w:jc w:val="center"/>
            </w:pPr>
          </w:p>
        </w:tc>
        <w:tc>
          <w:tcPr>
            <w:tcW w:w="7920" w:type="dxa"/>
            <w:vAlign w:val="center"/>
          </w:tcPr>
          <w:p w14:paraId="544DAECF" w14:textId="77777777" w:rsidR="009650AF" w:rsidRPr="003E4C6A" w:rsidRDefault="00077C0B" w:rsidP="009650AF">
            <w:pPr>
              <w:spacing w:line="240" w:lineRule="auto"/>
              <w:jc w:val="center"/>
            </w:pPr>
            <m:oMathPara>
              <m:oMath>
                <m:f>
                  <m:fPr>
                    <m:ctrlPr>
                      <w:rPr>
                        <w:rFonts w:ascii="Cambria Math" w:hAnsi="Cambria Math"/>
                        <w:i/>
                      </w:rPr>
                    </m:ctrlPr>
                  </m:fPr>
                  <m:num>
                    <m:r>
                      <w:rPr>
                        <w:rFonts w:ascii="Cambria Math" w:hAnsi="Cambria Math"/>
                      </w:rPr>
                      <m:t>δw</m:t>
                    </m:r>
                  </m:num>
                  <m:den>
                    <m:r>
                      <w:rPr>
                        <w:rFonts w:ascii="Cambria Math" w:hAnsi="Cambria Math"/>
                      </w:rPr>
                      <m:t>δt</m:t>
                    </m:r>
                  </m:den>
                </m:f>
                <m:r>
                  <w:rPr>
                    <w:rFonts w:ascii="Cambria Math" w:hAnsi="Cambria Math"/>
                  </w:rPr>
                  <m:t>+</m:t>
                </m:r>
                <m:r>
                  <m:rPr>
                    <m:sty m:val="p"/>
                  </m:rPr>
                  <w:rPr>
                    <w:rFonts w:ascii="Cambria Math" w:hAnsi="Cambria Math"/>
                  </w:rPr>
                  <m:t>∇</m:t>
                </m:r>
                <m:r>
                  <w:rPr>
                    <w:rFonts w:ascii="Cambria Math" w:hAnsi="Cambria Math"/>
                  </w:rPr>
                  <m:t>∙</m:t>
                </m:r>
                <m:r>
                  <m:rPr>
                    <m:sty m:val="bi"/>
                  </m:rPr>
                  <w:rPr>
                    <w:rFonts w:ascii="Cambria Math" w:hAnsi="Cambria Math"/>
                  </w:rPr>
                  <m:t>q</m:t>
                </m:r>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o</m:t>
                    </m:r>
                  </m:sub>
                </m:sSub>
                <m:d>
                  <m:dPr>
                    <m:ctrlPr>
                      <w:rPr>
                        <w:rFonts w:ascii="Cambria Math" w:hAnsi="Cambria Math"/>
                        <w:i/>
                      </w:rPr>
                    </m:ctrlPr>
                  </m:dPr>
                  <m:e>
                    <m:r>
                      <w:rPr>
                        <w:rFonts w:ascii="Cambria Math" w:hAnsi="Cambria Math"/>
                      </w:rPr>
                      <m:t>t</m:t>
                    </m:r>
                  </m:e>
                </m:d>
                <m:r>
                  <w:rPr>
                    <w:rFonts w:ascii="Cambria Math" w:hAnsi="Cambria Math"/>
                  </w:rPr>
                  <m:t>δ</m:t>
                </m:r>
                <m:d>
                  <m:dPr>
                    <m:ctrlPr>
                      <w:rPr>
                        <w:rFonts w:ascii="Cambria Math" w:hAnsi="Cambria Math"/>
                        <w:i/>
                      </w:rPr>
                    </m:ctrlPr>
                  </m:dPr>
                  <m:e>
                    <m:r>
                      <w:rPr>
                        <w:rFonts w:ascii="Cambria Math" w:hAnsi="Cambria Math"/>
                      </w:rPr>
                      <m:t>x-</m:t>
                    </m:r>
                    <m:sSub>
                      <m:sSubPr>
                        <m:ctrlPr>
                          <w:rPr>
                            <w:rFonts w:ascii="Cambria Math" w:hAnsi="Cambria Math"/>
                            <w:i/>
                          </w:rPr>
                        </m:ctrlPr>
                      </m:sSubPr>
                      <m:e>
                        <m:r>
                          <w:rPr>
                            <w:rFonts w:ascii="Cambria Math" w:hAnsi="Cambria Math"/>
                          </w:rPr>
                          <m:t>x</m:t>
                        </m:r>
                      </m:e>
                      <m:sub>
                        <m:r>
                          <w:rPr>
                            <w:rFonts w:ascii="Cambria Math" w:hAnsi="Cambria Math"/>
                          </w:rPr>
                          <m:t>o</m:t>
                        </m:r>
                      </m:sub>
                    </m:sSub>
                  </m:e>
                </m:d>
              </m:oMath>
            </m:oMathPara>
          </w:p>
        </w:tc>
        <w:tc>
          <w:tcPr>
            <w:tcW w:w="720" w:type="dxa"/>
            <w:vAlign w:val="bottom"/>
          </w:tcPr>
          <w:p w14:paraId="43382825" w14:textId="609640EB" w:rsidR="009650AF"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9650AF">
              <w:t>.</w:t>
            </w:r>
            <w:r>
              <w:fldChar w:fldCharType="begin"/>
            </w:r>
            <w:r>
              <w:instrText xml:space="preserve"> SEQ Equation \* ARABIC \s 1 </w:instrText>
            </w:r>
            <w:r>
              <w:fldChar w:fldCharType="separate"/>
            </w:r>
            <w:r w:rsidR="0006023A">
              <w:rPr>
                <w:noProof/>
              </w:rPr>
              <w:t>70</w:t>
            </w:r>
            <w:r>
              <w:rPr>
                <w:noProof/>
              </w:rPr>
              <w:fldChar w:fldCharType="end"/>
            </w:r>
          </w:p>
        </w:tc>
      </w:tr>
    </w:tbl>
    <w:p w14:paraId="40FEEDD8" w14:textId="77777777" w:rsidR="009650AF" w:rsidRDefault="009650AF" w:rsidP="00BC23AD">
      <w:pPr>
        <w:pStyle w:val="NoSpacing"/>
      </w:pPr>
      <w:r>
        <w:tab/>
      </w:r>
      <w:r>
        <w:rPr>
          <w:noProof/>
        </w:rPr>
        <w:drawing>
          <wp:inline distT="0" distB="0" distL="0" distR="0" wp14:anchorId="746A5FB4" wp14:editId="2FE66225">
            <wp:extent cx="5486400" cy="2285391"/>
            <wp:effectExtent l="0" t="0" r="0" b="63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486400" cy="2285391"/>
                    </a:xfrm>
                    <a:prstGeom prst="rect">
                      <a:avLst/>
                    </a:prstGeom>
                    <a:noFill/>
                  </pic:spPr>
                </pic:pic>
              </a:graphicData>
            </a:graphic>
          </wp:inline>
        </w:drawing>
      </w:r>
    </w:p>
    <w:p w14:paraId="0EF75881" w14:textId="5D3286FA" w:rsidR="009650AF" w:rsidRDefault="009650AF" w:rsidP="00BC23AD">
      <w:pPr>
        <w:pStyle w:val="Caption"/>
      </w:pPr>
      <w:bookmarkStart w:id="45" w:name="_Toc67566204"/>
      <w:r>
        <w:t xml:space="preserve">Figure </w:t>
      </w:r>
      <w:r w:rsidR="00077C0B">
        <w:fldChar w:fldCharType="begin"/>
      </w:r>
      <w:r w:rsidR="00077C0B">
        <w:instrText xml:space="preserve"> STYLEREF 1 \s </w:instrText>
      </w:r>
      <w:r w:rsidR="00077C0B">
        <w:fldChar w:fldCharType="separate"/>
      </w:r>
      <w:r w:rsidR="0006023A">
        <w:rPr>
          <w:noProof/>
        </w:rPr>
        <w:t>2</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21</w:t>
      </w:r>
      <w:r w:rsidR="00077C0B">
        <w:rPr>
          <w:noProof/>
        </w:rPr>
        <w:fldChar w:fldCharType="end"/>
      </w:r>
      <w:r>
        <w:t>: Schematic showing the fracturing fluid flow (</w:t>
      </w:r>
      <m:oMath>
        <m:r>
          <m:rPr>
            <m:sty m:val="bi"/>
          </m:rPr>
          <w:rPr>
            <w:rFonts w:ascii="Cambria Math" w:hAnsi="Cambria Math"/>
          </w:rPr>
          <m:t>q</m:t>
        </m:r>
      </m:oMath>
      <w:r>
        <w:t>), fracture width (</w:t>
      </w:r>
      <m:oMath>
        <m:r>
          <m:rPr>
            <m:sty m:val="bi"/>
          </m:rPr>
          <w:rPr>
            <w:rFonts w:ascii="Cambria Math" w:hAnsi="Cambria Math"/>
          </w:rPr>
          <m:t>w</m:t>
        </m:r>
      </m:oMath>
      <w:r>
        <w:t>), pressures surrounding the fracture (</w:t>
      </w:r>
      <m:oMath>
        <m:sSubSup>
          <m:sSubSupPr>
            <m:ctrlPr>
              <w:rPr>
                <w:rFonts w:ascii="Cambria Math" w:hAnsi="Cambria Math"/>
                <w:i/>
              </w:rPr>
            </m:ctrlPr>
          </m:sSubSupPr>
          <m:e>
            <m:r>
              <m:rPr>
                <m:sty m:val="bi"/>
              </m:rPr>
              <w:rPr>
                <w:rFonts w:ascii="Cambria Math" w:hAnsi="Cambria Math"/>
              </w:rPr>
              <m:t>P</m:t>
            </m:r>
          </m:e>
          <m:sub>
            <m:r>
              <m:rPr>
                <m:sty m:val="bi"/>
              </m:rPr>
              <w:rPr>
                <w:rFonts w:ascii="Cambria Math" w:hAnsi="Cambria Math"/>
              </w:rPr>
              <m:t>p</m:t>
            </m:r>
          </m:sub>
          <m:sup>
            <m:r>
              <m:rPr>
                <m:sty m:val="bi"/>
              </m:rPr>
              <w:rPr>
                <w:rFonts w:ascii="Cambria Math" w:hAnsi="Cambria Math"/>
              </w:rPr>
              <m:t>t</m:t>
            </m:r>
          </m:sup>
        </m:sSubSup>
        <m:r>
          <m:rPr>
            <m:sty m:val="bi"/>
          </m:rPr>
          <w:rPr>
            <w:rFonts w:ascii="Cambria Math" w:hAnsi="Cambria Math"/>
          </w:rPr>
          <m:t>,</m:t>
        </m:r>
        <m:sSubSup>
          <m:sSubSupPr>
            <m:ctrlPr>
              <w:rPr>
                <w:rFonts w:ascii="Cambria Math" w:hAnsi="Cambria Math"/>
                <w:i/>
              </w:rPr>
            </m:ctrlPr>
          </m:sSubSupPr>
          <m:e>
            <m:r>
              <m:rPr>
                <m:sty m:val="bi"/>
              </m:rPr>
              <w:rPr>
                <w:rFonts w:ascii="Cambria Math" w:hAnsi="Cambria Math"/>
              </w:rPr>
              <m:t>P</m:t>
            </m:r>
          </m:e>
          <m:sub>
            <m:r>
              <m:rPr>
                <m:sty m:val="bi"/>
              </m:rPr>
              <w:rPr>
                <w:rFonts w:ascii="Cambria Math" w:hAnsi="Cambria Math"/>
              </w:rPr>
              <m:t>p</m:t>
            </m:r>
          </m:sub>
          <m:sup>
            <m:r>
              <m:rPr>
                <m:sty m:val="bi"/>
              </m:rPr>
              <w:rPr>
                <w:rFonts w:ascii="Cambria Math" w:hAnsi="Cambria Math"/>
              </w:rPr>
              <m:t>b</m:t>
            </m:r>
          </m:sup>
        </m:sSubSup>
      </m:oMath>
      <w:r>
        <w:t>), and the leak-off velocities (</w:t>
      </w:r>
      <m:oMath>
        <m:sSub>
          <m:sSubPr>
            <m:ctrlPr>
              <w:rPr>
                <w:rFonts w:ascii="Cambria Math" w:hAnsi="Cambria Math"/>
                <w:i/>
              </w:rPr>
            </m:ctrlPr>
          </m:sSubPr>
          <m:e>
            <m:r>
              <m:rPr>
                <m:sty m:val="bi"/>
              </m:rPr>
              <w:rPr>
                <w:rFonts w:ascii="Cambria Math" w:hAnsi="Cambria Math"/>
              </w:rPr>
              <m:t>v</m:t>
            </m:r>
          </m:e>
          <m:sub>
            <m:r>
              <m:rPr>
                <m:sty m:val="bi"/>
              </m:rPr>
              <w:rPr>
                <w:rFonts w:ascii="Cambria Math" w:hAnsi="Cambria Math"/>
              </w:rPr>
              <m:t>t</m:t>
            </m:r>
          </m:sub>
        </m:sSub>
        <m:r>
          <m:rPr>
            <m:sty m:val="bi"/>
          </m:rPr>
          <w:rPr>
            <w:rFonts w:ascii="Cambria Math" w:hAnsi="Cambria Math"/>
          </w:rPr>
          <m:t>,</m:t>
        </m:r>
        <m:sSub>
          <m:sSubPr>
            <m:ctrlPr>
              <w:rPr>
                <w:rFonts w:ascii="Cambria Math" w:hAnsi="Cambria Math"/>
                <w:i/>
              </w:rPr>
            </m:ctrlPr>
          </m:sSubPr>
          <m:e>
            <m:r>
              <m:rPr>
                <m:sty m:val="bi"/>
              </m:rPr>
              <w:rPr>
                <w:rFonts w:ascii="Cambria Math" w:hAnsi="Cambria Math"/>
              </w:rPr>
              <m:t>v</m:t>
            </m:r>
          </m:e>
          <m:sub>
            <m:r>
              <m:rPr>
                <m:sty m:val="bi"/>
              </m:rPr>
              <w:rPr>
                <w:rFonts w:ascii="Cambria Math" w:hAnsi="Cambria Math"/>
              </w:rPr>
              <m:t>b</m:t>
            </m:r>
          </m:sub>
        </m:sSub>
      </m:oMath>
      <w:r>
        <w:rPr>
          <w:rFonts w:eastAsiaTheme="minorEastAsia"/>
        </w:rPr>
        <w:t>)</w:t>
      </w:r>
      <w:r>
        <w:t>.</w:t>
      </w:r>
      <w:bookmarkEnd w:id="45"/>
    </w:p>
    <w:p w14:paraId="3C636C68" w14:textId="77777777" w:rsidR="009650AF" w:rsidRPr="0018711D" w:rsidRDefault="009650AF" w:rsidP="009650AF">
      <w:pPr>
        <w:ind w:firstLine="720"/>
      </w:pPr>
      <w:r>
        <w:t>The fracturing fluid velocity (</w:t>
      </w:r>
      <m:oMath>
        <m:r>
          <m:rPr>
            <m:sty m:val="bi"/>
          </m:rPr>
          <w:rPr>
            <w:rFonts w:ascii="Cambria Math" w:hAnsi="Cambria Math"/>
          </w:rPr>
          <m:t>q</m:t>
        </m:r>
      </m:oMath>
      <w:r>
        <w:t xml:space="preserve">) </w:t>
      </w:r>
      <w:r w:rsidRPr="00A314A8">
        <w:t xml:space="preserve">in Equation 2.70 is quantified by the Hagen-Poiseulle equation for 2D slot flow shown in Equation 2.71 where </w:t>
      </w:r>
      <m:oMath>
        <m:r>
          <m:rPr>
            <m:sty m:val="p"/>
          </m:rPr>
          <w:rPr>
            <w:rFonts w:ascii="Cambria Math" w:hAnsi="Cambria Math"/>
          </w:rPr>
          <m:t>Δ</m:t>
        </m:r>
        <m:sSub>
          <m:sSubPr>
            <m:ctrlPr>
              <w:rPr>
                <w:rFonts w:ascii="Cambria Math" w:hAnsi="Cambria Math"/>
                <w:i/>
              </w:rPr>
            </m:ctrlPr>
          </m:sSubPr>
          <m:e>
            <m:r>
              <w:rPr>
                <w:rFonts w:ascii="Cambria Math" w:hAnsi="Cambria Math"/>
              </w:rPr>
              <m:t>P</m:t>
            </m:r>
          </m:e>
          <m:sub>
            <m:r>
              <w:rPr>
                <w:rFonts w:ascii="Cambria Math" w:hAnsi="Cambria Math"/>
              </w:rPr>
              <m:t>f</m:t>
            </m:r>
          </m:sub>
        </m:sSub>
      </m:oMath>
      <w:r w:rsidRPr="00A314A8">
        <w:rPr>
          <w:rFonts w:eastAsiaTheme="minorEastAsia"/>
        </w:rPr>
        <w:t xml:space="preserve"> is the pressure drop through the fracture, </w:t>
      </w:r>
      <m:oMath>
        <m:r>
          <m:rPr>
            <m:sty m:val="p"/>
          </m:rPr>
          <w:rPr>
            <w:rFonts w:ascii="Cambria Math" w:eastAsiaTheme="minorEastAsia" w:hAnsi="Cambria Math"/>
          </w:rPr>
          <m:t>Δ</m:t>
        </m:r>
        <m:r>
          <w:rPr>
            <w:rFonts w:ascii="Cambria Math" w:eastAsiaTheme="minorEastAsia" w:hAnsi="Cambria Math"/>
          </w:rPr>
          <m:t>x</m:t>
        </m:r>
      </m:oMath>
      <w:r w:rsidRPr="00A314A8">
        <w:rPr>
          <w:rFonts w:eastAsiaTheme="minorEastAsia"/>
        </w:rPr>
        <w:t xml:space="preserve"> is the length, and </w:t>
      </w:r>
      <m:oMath>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f</m:t>
            </m:r>
          </m:sub>
        </m:sSub>
      </m:oMath>
      <w:r w:rsidRPr="00A314A8">
        <w:rPr>
          <w:rFonts w:eastAsiaTheme="minorEastAsia"/>
        </w:rPr>
        <w:t xml:space="preserve"> is the fracturing fluid viscosity. Since Equation 2.71 is from the Hagen-Poiseulle equation, the assumptions listed in Section 2.4 apply</w:t>
      </w:r>
      <w:r>
        <w:rPr>
          <w:rFonts w:eastAsiaTheme="minorEastAsia"/>
        </w:rPr>
        <w:t xml:space="preserve"> to the fracturing fluid velocity. </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50AF" w14:paraId="6DDD37C9" w14:textId="77777777" w:rsidTr="009650AF">
        <w:trPr>
          <w:trHeight w:val="576"/>
        </w:trPr>
        <w:tc>
          <w:tcPr>
            <w:tcW w:w="720" w:type="dxa"/>
            <w:vAlign w:val="center"/>
          </w:tcPr>
          <w:p w14:paraId="4D429D9C" w14:textId="77777777" w:rsidR="009650AF" w:rsidRDefault="009650AF" w:rsidP="009650AF">
            <w:pPr>
              <w:spacing w:line="240" w:lineRule="auto"/>
              <w:jc w:val="center"/>
            </w:pPr>
          </w:p>
        </w:tc>
        <w:tc>
          <w:tcPr>
            <w:tcW w:w="7920" w:type="dxa"/>
            <w:vAlign w:val="center"/>
          </w:tcPr>
          <w:p w14:paraId="0FA53C9F" w14:textId="77777777" w:rsidR="009650AF" w:rsidRPr="0018711D" w:rsidRDefault="009650AF" w:rsidP="009650AF">
            <w:pPr>
              <w:spacing w:line="240" w:lineRule="auto"/>
              <w:jc w:val="center"/>
              <w:rPr>
                <w:rFonts w:eastAsiaTheme="minorEastAsia"/>
              </w:rPr>
            </w:pPr>
            <m:oMathPara>
              <m:oMath>
                <m:r>
                  <m:rPr>
                    <m:sty m:val="bi"/>
                  </m:rPr>
                  <w:rPr>
                    <w:rFonts w:ascii="Cambria Math" w:hAnsi="Cambria Math"/>
                  </w:rPr>
                  <m:t>q</m:t>
                </m:r>
                <m:r>
                  <w:rPr>
                    <w:rFonts w:ascii="Cambria Math" w:hAnsi="Cambria Math"/>
                  </w:rPr>
                  <m:t>=-</m:t>
                </m:r>
                <m:f>
                  <m:fPr>
                    <m:ctrlPr>
                      <w:rPr>
                        <w:rFonts w:ascii="Cambria Math" w:hAnsi="Cambria Math"/>
                        <w:i/>
                        <w:iCs/>
                      </w:rPr>
                    </m:ctrlPr>
                  </m:fPr>
                  <m:num>
                    <m:sSup>
                      <m:sSupPr>
                        <m:ctrlPr>
                          <w:rPr>
                            <w:rFonts w:ascii="Cambria Math" w:hAnsi="Cambria Math"/>
                            <w:i/>
                            <w:iCs/>
                          </w:rPr>
                        </m:ctrlPr>
                      </m:sSupPr>
                      <m:e>
                        <m:r>
                          <w:rPr>
                            <w:rFonts w:ascii="Cambria Math" w:hAnsi="Cambria Math"/>
                          </w:rPr>
                          <m:t>w</m:t>
                        </m:r>
                      </m:e>
                      <m:sup>
                        <m:r>
                          <w:rPr>
                            <w:rFonts w:ascii="Cambria Math" w:hAnsi="Cambria Math"/>
                          </w:rPr>
                          <m:t>3</m:t>
                        </m:r>
                      </m:sup>
                    </m:sSup>
                  </m:num>
                  <m:den>
                    <m:r>
                      <w:rPr>
                        <w:rFonts w:ascii="Cambria Math" w:hAnsi="Cambria Math"/>
                      </w:rPr>
                      <m:t>12</m:t>
                    </m:r>
                    <m:sSub>
                      <m:sSubPr>
                        <m:ctrlPr>
                          <w:rPr>
                            <w:rFonts w:ascii="Cambria Math" w:hAnsi="Cambria Math"/>
                            <w:i/>
                            <w:iCs/>
                          </w:rPr>
                        </m:ctrlPr>
                      </m:sSubPr>
                      <m:e>
                        <m:r>
                          <w:rPr>
                            <w:rFonts w:ascii="Cambria Math" w:hAnsi="Cambria Math"/>
                          </w:rPr>
                          <m:t>μ</m:t>
                        </m:r>
                      </m:e>
                      <m:sub>
                        <m:r>
                          <w:rPr>
                            <w:rFonts w:ascii="Cambria Math" w:hAnsi="Cambria Math"/>
                          </w:rPr>
                          <m:t>f</m:t>
                        </m:r>
                      </m:sub>
                    </m:sSub>
                  </m:den>
                </m:f>
                <m:r>
                  <w:rPr>
                    <w:rFonts w:ascii="Cambria Math" w:hAnsi="Cambria Math"/>
                  </w:rPr>
                  <m:t>∇</m:t>
                </m:r>
                <m:sSub>
                  <m:sSubPr>
                    <m:ctrlPr>
                      <w:rPr>
                        <w:rFonts w:ascii="Cambria Math" w:hAnsi="Cambria Math"/>
                        <w:i/>
                        <w:iCs/>
                      </w:rPr>
                    </m:ctrlPr>
                  </m:sSubPr>
                  <m:e>
                    <m:r>
                      <w:rPr>
                        <w:rFonts w:ascii="Cambria Math" w:hAnsi="Cambria Math"/>
                      </w:rPr>
                      <m:t>P</m:t>
                    </m:r>
                  </m:e>
                  <m:sub>
                    <m:r>
                      <w:rPr>
                        <w:rFonts w:ascii="Cambria Math" w:hAnsi="Cambria Math"/>
                      </w:rPr>
                      <m:t>f</m:t>
                    </m:r>
                  </m:sub>
                </m:sSub>
                <m:r>
                  <m:rPr>
                    <m:sty m:val="bi"/>
                  </m:rPr>
                  <w:rPr>
                    <w:rFonts w:ascii="Cambria Math" w:hAnsi="Cambria Math"/>
                  </w:rPr>
                  <m:t>=</m:t>
                </m:r>
                <m:r>
                  <w:rPr>
                    <w:rFonts w:ascii="Cambria Math" w:hAnsi="Cambria Math"/>
                  </w:rPr>
                  <m:t>-</m:t>
                </m:r>
                <m:f>
                  <m:fPr>
                    <m:ctrlPr>
                      <w:rPr>
                        <w:rFonts w:ascii="Cambria Math" w:hAnsi="Cambria Math"/>
                        <w:i/>
                        <w:iCs/>
                      </w:rPr>
                    </m:ctrlPr>
                  </m:fPr>
                  <m:num>
                    <m:sSup>
                      <m:sSupPr>
                        <m:ctrlPr>
                          <w:rPr>
                            <w:rFonts w:ascii="Cambria Math" w:hAnsi="Cambria Math"/>
                            <w:i/>
                            <w:iCs/>
                          </w:rPr>
                        </m:ctrlPr>
                      </m:sSupPr>
                      <m:e>
                        <m:r>
                          <w:rPr>
                            <w:rFonts w:ascii="Cambria Math" w:hAnsi="Cambria Math"/>
                          </w:rPr>
                          <m:t>w</m:t>
                        </m:r>
                      </m:e>
                      <m:sup>
                        <m:r>
                          <w:rPr>
                            <w:rFonts w:ascii="Cambria Math" w:hAnsi="Cambria Math"/>
                          </w:rPr>
                          <m:t>3</m:t>
                        </m:r>
                      </m:sup>
                    </m:sSup>
                  </m:num>
                  <m:den>
                    <m:r>
                      <w:rPr>
                        <w:rFonts w:ascii="Cambria Math" w:hAnsi="Cambria Math"/>
                      </w:rPr>
                      <m:t>12</m:t>
                    </m:r>
                    <m:sSub>
                      <m:sSubPr>
                        <m:ctrlPr>
                          <w:rPr>
                            <w:rFonts w:ascii="Cambria Math" w:hAnsi="Cambria Math"/>
                            <w:i/>
                            <w:iCs/>
                          </w:rPr>
                        </m:ctrlPr>
                      </m:sSubPr>
                      <m:e>
                        <m:r>
                          <w:rPr>
                            <w:rFonts w:ascii="Cambria Math" w:hAnsi="Cambria Math"/>
                          </w:rPr>
                          <m:t>μ</m:t>
                        </m:r>
                      </m:e>
                      <m:sub>
                        <m:r>
                          <w:rPr>
                            <w:rFonts w:ascii="Cambria Math" w:hAnsi="Cambria Math"/>
                          </w:rPr>
                          <m:t>f</m:t>
                        </m:r>
                      </m:sub>
                    </m:sSub>
                  </m:den>
                </m:f>
                <m:f>
                  <m:fPr>
                    <m:ctrlPr>
                      <w:rPr>
                        <w:rFonts w:ascii="Cambria Math" w:hAnsi="Cambria Math"/>
                        <w:i/>
                        <w:iCs/>
                      </w:rPr>
                    </m:ctrlPr>
                  </m:fPr>
                  <m:num>
                    <m:r>
                      <w:rPr>
                        <w:rFonts w:ascii="Cambria Math" w:hAnsi="Cambria Math"/>
                      </w:rPr>
                      <m:t>Δ</m:t>
                    </m:r>
                    <m:sSub>
                      <m:sSubPr>
                        <m:ctrlPr>
                          <w:rPr>
                            <w:rFonts w:ascii="Cambria Math" w:hAnsi="Cambria Math"/>
                            <w:i/>
                            <w:iCs/>
                          </w:rPr>
                        </m:ctrlPr>
                      </m:sSubPr>
                      <m:e>
                        <m:r>
                          <w:rPr>
                            <w:rFonts w:ascii="Cambria Math" w:hAnsi="Cambria Math"/>
                          </w:rPr>
                          <m:t>P</m:t>
                        </m:r>
                      </m:e>
                      <m:sub>
                        <m:r>
                          <w:rPr>
                            <w:rFonts w:ascii="Cambria Math" w:hAnsi="Cambria Math"/>
                          </w:rPr>
                          <m:t>f</m:t>
                        </m:r>
                      </m:sub>
                    </m:sSub>
                  </m:num>
                  <m:den>
                    <m:r>
                      <w:rPr>
                        <w:rFonts w:ascii="Cambria Math" w:hAnsi="Cambria Math"/>
                      </w:rPr>
                      <m:t>Δx</m:t>
                    </m:r>
                  </m:den>
                </m:f>
              </m:oMath>
            </m:oMathPara>
          </w:p>
        </w:tc>
        <w:tc>
          <w:tcPr>
            <w:tcW w:w="720" w:type="dxa"/>
            <w:vAlign w:val="bottom"/>
          </w:tcPr>
          <w:p w14:paraId="51135629" w14:textId="1D873EE4" w:rsidR="009650AF"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9650AF">
              <w:t>.</w:t>
            </w:r>
            <w:r>
              <w:fldChar w:fldCharType="begin"/>
            </w:r>
            <w:r>
              <w:instrText xml:space="preserve"> SEQ Equation \* AR</w:instrText>
            </w:r>
            <w:r>
              <w:instrText xml:space="preserve">ABIC \s 1 </w:instrText>
            </w:r>
            <w:r>
              <w:fldChar w:fldCharType="separate"/>
            </w:r>
            <w:r w:rsidR="0006023A">
              <w:rPr>
                <w:noProof/>
              </w:rPr>
              <w:t>71</w:t>
            </w:r>
            <w:r>
              <w:rPr>
                <w:noProof/>
              </w:rPr>
              <w:fldChar w:fldCharType="end"/>
            </w:r>
          </w:p>
        </w:tc>
      </w:tr>
    </w:tbl>
    <w:p w14:paraId="5AB21281" w14:textId="77777777" w:rsidR="009650AF" w:rsidRDefault="009650AF" w:rsidP="009650AF">
      <w:pPr>
        <w:ind w:firstLine="720"/>
      </w:pPr>
    </w:p>
    <w:p w14:paraId="7C7CBBB2" w14:textId="77777777" w:rsidR="009650AF" w:rsidRDefault="009650AF" w:rsidP="009650AF">
      <w:pPr>
        <w:ind w:firstLine="720"/>
      </w:pPr>
      <w:r>
        <w:lastRenderedPageBreak/>
        <w:t xml:space="preserve">The leak-off velocities are </w:t>
      </w:r>
      <w:r w:rsidRPr="00A314A8">
        <w:t>described by Equations 2.72 (</w:t>
      </w:r>
      <m:oMath>
        <m:sSub>
          <m:sSubPr>
            <m:ctrlPr>
              <w:rPr>
                <w:rFonts w:ascii="Cambria Math" w:hAnsi="Cambria Math"/>
                <w:i/>
              </w:rPr>
            </m:ctrlPr>
          </m:sSubPr>
          <m:e>
            <m:r>
              <w:rPr>
                <w:rFonts w:ascii="Cambria Math" w:hAnsi="Cambria Math"/>
              </w:rPr>
              <m:t>v</m:t>
            </m:r>
          </m:e>
          <m:sub>
            <m:r>
              <w:rPr>
                <w:rFonts w:ascii="Cambria Math" w:hAnsi="Cambria Math"/>
              </w:rPr>
              <m:t>t</m:t>
            </m:r>
          </m:sub>
        </m:sSub>
      </m:oMath>
      <w:r w:rsidRPr="00A314A8">
        <w:t>) and 2.73 (</w:t>
      </w:r>
      <m:oMath>
        <m:sSub>
          <m:sSubPr>
            <m:ctrlPr>
              <w:rPr>
                <w:rFonts w:ascii="Cambria Math" w:hAnsi="Cambria Math"/>
                <w:i/>
              </w:rPr>
            </m:ctrlPr>
          </m:sSubPr>
          <m:e>
            <m:r>
              <w:rPr>
                <w:rFonts w:ascii="Cambria Math" w:hAnsi="Cambria Math"/>
              </w:rPr>
              <m:t>v</m:t>
            </m:r>
          </m:e>
          <m:sub>
            <m:r>
              <w:rPr>
                <w:rFonts w:ascii="Cambria Math" w:hAnsi="Cambria Math"/>
              </w:rPr>
              <m:t>b</m:t>
            </m:r>
          </m:sub>
        </m:sSub>
      </m:oMath>
      <w:r w:rsidRPr="00A314A8">
        <w:t xml:space="preserve">) in which </w:t>
      </w:r>
      <m:oMath>
        <m:sSub>
          <m:sSubPr>
            <m:ctrlPr>
              <w:rPr>
                <w:rFonts w:ascii="Cambria Math" w:hAnsi="Cambria Math"/>
                <w:i/>
              </w:rPr>
            </m:ctrlPr>
          </m:sSubPr>
          <m:e>
            <m:r>
              <w:rPr>
                <w:rFonts w:ascii="Cambria Math" w:hAnsi="Cambria Math"/>
              </w:rPr>
              <m:t>c</m:t>
            </m:r>
          </m:e>
          <m:sub>
            <m:r>
              <w:rPr>
                <w:rFonts w:ascii="Cambria Math" w:hAnsi="Cambria Math"/>
              </w:rPr>
              <m:t>t</m:t>
            </m:r>
          </m:sub>
        </m:sSub>
      </m:oMath>
      <w:r w:rsidRPr="00A314A8">
        <w:t xml:space="preserve"> and </w:t>
      </w:r>
      <m:oMath>
        <m:sSub>
          <m:sSubPr>
            <m:ctrlPr>
              <w:rPr>
                <w:rFonts w:ascii="Cambria Math" w:hAnsi="Cambria Math"/>
                <w:i/>
              </w:rPr>
            </m:ctrlPr>
          </m:sSubPr>
          <m:e>
            <m:r>
              <w:rPr>
                <w:rFonts w:ascii="Cambria Math" w:hAnsi="Cambria Math"/>
              </w:rPr>
              <m:t>c</m:t>
            </m:r>
          </m:e>
          <m:sub>
            <m:r>
              <w:rPr>
                <w:rFonts w:ascii="Cambria Math" w:hAnsi="Cambria Math"/>
              </w:rPr>
              <m:t>b</m:t>
            </m:r>
          </m:sub>
        </m:sSub>
      </m:oMath>
      <w:r w:rsidRPr="00A314A8">
        <w:t xml:space="preserve"> are the leak-off coefficients for the top and bottom respectively</w:t>
      </w:r>
      <w:r>
        <w:t xml:space="preserve">, and </w:t>
      </w:r>
      <m:oMath>
        <m:sSubSup>
          <m:sSubSupPr>
            <m:ctrlPr>
              <w:rPr>
                <w:rFonts w:ascii="Cambria Math" w:hAnsi="Cambria Math"/>
                <w:i/>
              </w:rPr>
            </m:ctrlPr>
          </m:sSubSupPr>
          <m:e>
            <m:r>
              <w:rPr>
                <w:rFonts w:ascii="Cambria Math" w:hAnsi="Cambria Math"/>
              </w:rPr>
              <m:t>P</m:t>
            </m:r>
          </m:e>
          <m:sub>
            <m:r>
              <w:rPr>
                <w:rFonts w:ascii="Cambria Math" w:hAnsi="Cambria Math"/>
              </w:rPr>
              <m:t>p</m:t>
            </m:r>
          </m:sub>
          <m:sup>
            <m:r>
              <w:rPr>
                <w:rFonts w:ascii="Cambria Math" w:hAnsi="Cambria Math"/>
              </w:rPr>
              <m:t>t</m:t>
            </m:r>
          </m:sup>
        </m:sSubSup>
      </m:oMath>
      <w:r>
        <w:t xml:space="preserve"> and </w:t>
      </w:r>
      <m:oMath>
        <m:sSubSup>
          <m:sSubSupPr>
            <m:ctrlPr>
              <w:rPr>
                <w:rFonts w:ascii="Cambria Math" w:hAnsi="Cambria Math"/>
                <w:i/>
              </w:rPr>
            </m:ctrlPr>
          </m:sSubSupPr>
          <m:e>
            <m:r>
              <w:rPr>
                <w:rFonts w:ascii="Cambria Math" w:hAnsi="Cambria Math"/>
              </w:rPr>
              <m:t>P</m:t>
            </m:r>
          </m:e>
          <m:sub>
            <m:r>
              <w:rPr>
                <w:rFonts w:ascii="Cambria Math" w:hAnsi="Cambria Math"/>
              </w:rPr>
              <m:t>p</m:t>
            </m:r>
          </m:sub>
          <m:sup>
            <m:r>
              <w:rPr>
                <w:rFonts w:ascii="Cambria Math" w:hAnsi="Cambria Math"/>
              </w:rPr>
              <m:t>b</m:t>
            </m:r>
          </m:sup>
        </m:sSubSup>
      </m:oMath>
      <w:r>
        <w:t xml:space="preserve"> are the pore pressure for the top and bottom, respectively.</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50AF" w14:paraId="26A60032" w14:textId="77777777" w:rsidTr="009650AF">
        <w:trPr>
          <w:trHeight w:val="576"/>
        </w:trPr>
        <w:tc>
          <w:tcPr>
            <w:tcW w:w="720" w:type="dxa"/>
            <w:vAlign w:val="center"/>
          </w:tcPr>
          <w:p w14:paraId="58399DE3" w14:textId="77777777" w:rsidR="009650AF" w:rsidRDefault="009650AF" w:rsidP="009650AF">
            <w:pPr>
              <w:spacing w:line="240" w:lineRule="auto"/>
              <w:jc w:val="center"/>
            </w:pPr>
          </w:p>
        </w:tc>
        <w:tc>
          <w:tcPr>
            <w:tcW w:w="7920" w:type="dxa"/>
            <w:vAlign w:val="center"/>
          </w:tcPr>
          <w:p w14:paraId="356B01FB" w14:textId="77777777" w:rsidR="009650AF" w:rsidRPr="009F264F" w:rsidRDefault="00077C0B" w:rsidP="009650AF">
            <w:pPr>
              <w:spacing w:line="240" w:lineRule="auto"/>
              <w:jc w:val="center"/>
              <w:rPr>
                <w:rFonts w:eastAsiaTheme="minorEastAsia"/>
              </w:rPr>
            </w:pPr>
            <m:oMathPara>
              <m:oMath>
                <m:sSub>
                  <m:sSubPr>
                    <m:ctrlPr>
                      <w:rPr>
                        <w:rFonts w:ascii="Cambria Math" w:hAnsi="Cambria Math"/>
                        <w:i/>
                      </w:rPr>
                    </m:ctrlPr>
                  </m:sSubPr>
                  <m:e>
                    <m:r>
                      <w:rPr>
                        <w:rFonts w:ascii="Cambria Math" w:hAnsi="Cambria Math"/>
                      </w:rPr>
                      <m:t>v</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t</m:t>
                    </m:r>
                  </m:sub>
                </m:sSub>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f</m:t>
                        </m:r>
                      </m:sub>
                    </m:sSub>
                    <m:r>
                      <w:rPr>
                        <w:rFonts w:ascii="Cambria Math" w:hAnsi="Cambria Math"/>
                      </w:rPr>
                      <m:t>-</m:t>
                    </m:r>
                    <m:sSubSup>
                      <m:sSubSupPr>
                        <m:ctrlPr>
                          <w:rPr>
                            <w:rFonts w:ascii="Cambria Math" w:hAnsi="Cambria Math"/>
                            <w:i/>
                          </w:rPr>
                        </m:ctrlPr>
                      </m:sSubSupPr>
                      <m:e>
                        <m:r>
                          <w:rPr>
                            <w:rFonts w:ascii="Cambria Math" w:hAnsi="Cambria Math"/>
                          </w:rPr>
                          <m:t>P</m:t>
                        </m:r>
                      </m:e>
                      <m:sub>
                        <m:r>
                          <w:rPr>
                            <w:rFonts w:ascii="Cambria Math" w:hAnsi="Cambria Math"/>
                          </w:rPr>
                          <m:t>p</m:t>
                        </m:r>
                      </m:sub>
                      <m:sup>
                        <m:r>
                          <w:rPr>
                            <w:rFonts w:ascii="Cambria Math" w:hAnsi="Cambria Math"/>
                          </w:rPr>
                          <m:t>t</m:t>
                        </m:r>
                      </m:sup>
                    </m:sSubSup>
                  </m:e>
                </m:d>
              </m:oMath>
            </m:oMathPara>
          </w:p>
        </w:tc>
        <w:tc>
          <w:tcPr>
            <w:tcW w:w="720" w:type="dxa"/>
            <w:vAlign w:val="bottom"/>
          </w:tcPr>
          <w:p w14:paraId="6537BEF7" w14:textId="2A107B74" w:rsidR="009650AF"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9650AF">
              <w:t>.</w:t>
            </w:r>
            <w:r>
              <w:fldChar w:fldCharType="begin"/>
            </w:r>
            <w:r>
              <w:instrText xml:space="preserve"> SEQ Equation \* ARABIC \s 1 </w:instrText>
            </w:r>
            <w:r>
              <w:fldChar w:fldCharType="separate"/>
            </w:r>
            <w:r w:rsidR="0006023A">
              <w:rPr>
                <w:noProof/>
              </w:rPr>
              <w:t>72</w:t>
            </w:r>
            <w:r>
              <w:rPr>
                <w:noProof/>
              </w:rPr>
              <w:fldChar w:fldCharType="end"/>
            </w:r>
          </w:p>
        </w:tc>
      </w:tr>
    </w:tbl>
    <w:p w14:paraId="4962384F" w14:textId="77777777" w:rsidR="009650AF" w:rsidRDefault="009650AF" w:rsidP="009650AF">
      <w:pPr>
        <w:ind w:firstLine="720"/>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50AF" w14:paraId="3FE2B16E" w14:textId="77777777" w:rsidTr="009650AF">
        <w:trPr>
          <w:trHeight w:val="576"/>
        </w:trPr>
        <w:tc>
          <w:tcPr>
            <w:tcW w:w="720" w:type="dxa"/>
            <w:vAlign w:val="center"/>
          </w:tcPr>
          <w:p w14:paraId="581706BD" w14:textId="77777777" w:rsidR="009650AF" w:rsidRDefault="009650AF" w:rsidP="009650AF">
            <w:pPr>
              <w:spacing w:line="240" w:lineRule="auto"/>
              <w:jc w:val="center"/>
            </w:pPr>
          </w:p>
        </w:tc>
        <w:tc>
          <w:tcPr>
            <w:tcW w:w="7920" w:type="dxa"/>
            <w:vAlign w:val="center"/>
          </w:tcPr>
          <w:p w14:paraId="066A6AEA" w14:textId="77777777" w:rsidR="009650AF" w:rsidRPr="009F264F" w:rsidRDefault="00077C0B" w:rsidP="009650AF">
            <w:pPr>
              <w:spacing w:line="240" w:lineRule="auto"/>
              <w:jc w:val="center"/>
              <w:rPr>
                <w:rFonts w:eastAsiaTheme="minorEastAsia"/>
              </w:rPr>
            </w:pPr>
            <m:oMathPara>
              <m:oMath>
                <m:sSub>
                  <m:sSubPr>
                    <m:ctrlPr>
                      <w:rPr>
                        <w:rFonts w:ascii="Cambria Math" w:hAnsi="Cambria Math"/>
                        <w:i/>
                      </w:rPr>
                    </m:ctrlPr>
                  </m:sSubPr>
                  <m:e>
                    <m:r>
                      <w:rPr>
                        <w:rFonts w:ascii="Cambria Math" w:hAnsi="Cambria Math"/>
                      </w:rPr>
                      <m:t>v</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b</m:t>
                    </m:r>
                  </m:sub>
                </m:sSub>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f</m:t>
                        </m:r>
                      </m:sub>
                    </m:sSub>
                    <m:r>
                      <w:rPr>
                        <w:rFonts w:ascii="Cambria Math" w:hAnsi="Cambria Math"/>
                      </w:rPr>
                      <m:t>-</m:t>
                    </m:r>
                    <m:sSubSup>
                      <m:sSubSupPr>
                        <m:ctrlPr>
                          <w:rPr>
                            <w:rFonts w:ascii="Cambria Math" w:hAnsi="Cambria Math"/>
                            <w:i/>
                          </w:rPr>
                        </m:ctrlPr>
                      </m:sSubSupPr>
                      <m:e>
                        <m:r>
                          <w:rPr>
                            <w:rFonts w:ascii="Cambria Math" w:hAnsi="Cambria Math"/>
                          </w:rPr>
                          <m:t>P</m:t>
                        </m:r>
                      </m:e>
                      <m:sub>
                        <m:r>
                          <w:rPr>
                            <w:rFonts w:ascii="Cambria Math" w:hAnsi="Cambria Math"/>
                          </w:rPr>
                          <m:t>p</m:t>
                        </m:r>
                      </m:sub>
                      <m:sup>
                        <m:r>
                          <w:rPr>
                            <w:rFonts w:ascii="Cambria Math" w:hAnsi="Cambria Math"/>
                          </w:rPr>
                          <m:t>b</m:t>
                        </m:r>
                      </m:sup>
                    </m:sSubSup>
                  </m:e>
                </m:d>
              </m:oMath>
            </m:oMathPara>
          </w:p>
        </w:tc>
        <w:tc>
          <w:tcPr>
            <w:tcW w:w="720" w:type="dxa"/>
            <w:vAlign w:val="bottom"/>
          </w:tcPr>
          <w:p w14:paraId="3B9435DA" w14:textId="1DDC6B36" w:rsidR="009650AF" w:rsidRPr="00470CB5" w:rsidRDefault="00077C0B" w:rsidP="00BC23AD">
            <w:pPr>
              <w:pStyle w:val="Caption"/>
              <w:rPr>
                <w:i/>
              </w:rPr>
            </w:pPr>
            <w:r>
              <w:fldChar w:fldCharType="begin"/>
            </w:r>
            <w:r>
              <w:instrText xml:space="preserve"> STYLEREF 1 \s </w:instrText>
            </w:r>
            <w:r>
              <w:fldChar w:fldCharType="separate"/>
            </w:r>
            <w:r w:rsidR="0006023A">
              <w:rPr>
                <w:noProof/>
              </w:rPr>
              <w:t>2</w:t>
            </w:r>
            <w:r>
              <w:rPr>
                <w:noProof/>
              </w:rPr>
              <w:fldChar w:fldCharType="end"/>
            </w:r>
            <w:r w:rsidR="009650AF">
              <w:t>.</w:t>
            </w:r>
            <w:r>
              <w:fldChar w:fldCharType="begin"/>
            </w:r>
            <w:r>
              <w:instrText xml:space="preserve"> SEQ Equation \* ARABIC \s 1 </w:instrText>
            </w:r>
            <w:r>
              <w:fldChar w:fldCharType="separate"/>
            </w:r>
            <w:r w:rsidR="0006023A">
              <w:rPr>
                <w:noProof/>
              </w:rPr>
              <w:t>73</w:t>
            </w:r>
            <w:r>
              <w:rPr>
                <w:noProof/>
              </w:rPr>
              <w:fldChar w:fldCharType="end"/>
            </w:r>
          </w:p>
        </w:tc>
      </w:tr>
    </w:tbl>
    <w:p w14:paraId="76BD9C81" w14:textId="77777777" w:rsidR="009650AF" w:rsidRDefault="009650AF" w:rsidP="009650AF">
      <w:pPr>
        <w:ind w:firstLine="720"/>
      </w:pPr>
    </w:p>
    <w:p w14:paraId="6329EF02" w14:textId="77777777" w:rsidR="009650AF" w:rsidRPr="00A314A8" w:rsidRDefault="009650AF" w:rsidP="009650AF">
      <w:r>
        <w:tab/>
      </w:r>
      <w:r w:rsidRPr="00A314A8">
        <w:t>The Reynold’s Lubrication Theorem only describes the fluid velocities. The fracture gap (</w:t>
      </w:r>
      <m:oMath>
        <m:r>
          <w:rPr>
            <w:rFonts w:ascii="Cambria Math" w:hAnsi="Cambria Math"/>
          </w:rPr>
          <m:t>w</m:t>
        </m:r>
      </m:oMath>
      <w:r w:rsidRPr="00A314A8">
        <w:t xml:space="preserve">) within Equation 2.70 is determined by failure criteria within the FEA model which is the traction separation cohesive law (SIMULIA 2016; ANSYS 2019). </w:t>
      </w:r>
    </w:p>
    <w:p w14:paraId="5AC2FA2A" w14:textId="521FA2D8" w:rsidR="009650AF" w:rsidRDefault="009650AF" w:rsidP="009650AF">
      <w:pPr>
        <w:ind w:firstLine="720"/>
        <w:rPr>
          <w:rFonts w:eastAsiaTheme="minorEastAsia"/>
        </w:rPr>
      </w:pPr>
      <w:r w:rsidRPr="00A314A8">
        <w:t>One limitation of this methodology is that for the fluid pressure to be applied in the fracture, the separation distance between the interfaces has to be completely debonded. From Section 2.3.1, the cohesive zone is considered completely debonded when the separation gap is larger or equal to the complete separation distance (</w:t>
      </w:r>
      <m:oMath>
        <m:sSub>
          <m:sSubPr>
            <m:ctrlPr>
              <w:rPr>
                <w:rFonts w:ascii="Cambria Math" w:hAnsi="Cambria Math"/>
                <w:i/>
              </w:rPr>
            </m:ctrlPr>
          </m:sSubPr>
          <m:e>
            <m:r>
              <w:rPr>
                <w:rFonts w:ascii="Cambria Math" w:hAnsi="Cambria Math"/>
              </w:rPr>
              <m:t>δ</m:t>
            </m:r>
          </m:e>
          <m:sub>
            <m:r>
              <w:rPr>
                <w:rFonts w:ascii="Cambria Math" w:hAnsi="Cambria Math"/>
              </w:rPr>
              <m:t>f</m:t>
            </m:r>
          </m:sub>
        </m:sSub>
      </m:oMath>
      <w:r w:rsidRPr="00A314A8">
        <w:rPr>
          <w:rFonts w:eastAsiaTheme="minorEastAsia"/>
        </w:rPr>
        <w:t xml:space="preserve">). This nuance has two implications: first for the hydraulic fracture to initiate, a defect has to be imposed in the FEA model. Secondly, </w:t>
      </w:r>
      <m:oMath>
        <m:sSub>
          <m:sSubPr>
            <m:ctrlPr>
              <w:rPr>
                <w:rFonts w:ascii="Cambria Math" w:hAnsi="Cambria Math"/>
                <w:i/>
              </w:rPr>
            </m:ctrlPr>
          </m:sSubPr>
          <m:e>
            <m:r>
              <w:rPr>
                <w:rFonts w:ascii="Cambria Math" w:hAnsi="Cambria Math"/>
              </w:rPr>
              <m:t>δ</m:t>
            </m:r>
          </m:e>
          <m:sub>
            <m:r>
              <w:rPr>
                <w:rFonts w:ascii="Cambria Math" w:hAnsi="Cambria Math"/>
              </w:rPr>
              <m:t>f</m:t>
            </m:r>
          </m:sub>
        </m:sSub>
      </m:oMath>
      <w:r w:rsidRPr="00A314A8">
        <w:rPr>
          <w:rFonts w:eastAsiaTheme="minorEastAsia"/>
        </w:rPr>
        <w:t xml:space="preserve"> is dependent on the traction</w:t>
      </w:r>
      <w:r w:rsidR="00AA13C8" w:rsidRPr="00A314A8">
        <w:rPr>
          <w:rFonts w:eastAsiaTheme="minorEastAsia"/>
        </w:rPr>
        <w:t xml:space="preserve"> separation law parameters used.</w:t>
      </w:r>
      <w:r w:rsidRPr="00A314A8">
        <w:rPr>
          <w:rFonts w:eastAsiaTheme="minorEastAsia"/>
        </w:rPr>
        <w:t xml:space="preserve"> As described in Section 2.3.1</w:t>
      </w:r>
      <w:r w:rsidR="00AA13C8" w:rsidRPr="00A314A8">
        <w:rPr>
          <w:rFonts w:eastAsiaTheme="minorEastAsia"/>
        </w:rPr>
        <w:t>, the parameters determined by</w:t>
      </w:r>
      <w:r w:rsidRPr="00A314A8">
        <w:rPr>
          <w:rFonts w:eastAsiaTheme="minorEastAsia"/>
        </w:rPr>
        <w:t xml:space="preserve"> Wang and Taleghani (2014) resulted in a complete separation</w:t>
      </w:r>
      <w:r>
        <w:rPr>
          <w:rFonts w:eastAsiaTheme="minorEastAsia"/>
        </w:rPr>
        <w:t xml:space="preserve"> distance of 400 μm (</w:t>
      </w:r>
      <m:oMath>
        <m:sSub>
          <m:sSubPr>
            <m:ctrlPr>
              <w:rPr>
                <w:rFonts w:ascii="Cambria Math" w:hAnsi="Cambria Math"/>
                <w:i/>
              </w:rPr>
            </m:ctrlPr>
          </m:sSubPr>
          <m:e>
            <m:r>
              <w:rPr>
                <w:rFonts w:ascii="Cambria Math" w:hAnsi="Cambria Math"/>
              </w:rPr>
              <m:t>δ</m:t>
            </m:r>
          </m:e>
          <m:sub>
            <m:r>
              <w:rPr>
                <w:rFonts w:ascii="Cambria Math" w:hAnsi="Cambria Math"/>
              </w:rPr>
              <m:t>f</m:t>
            </m:r>
          </m:sub>
        </m:sSub>
      </m:oMath>
      <w:r>
        <w:rPr>
          <w:rFonts w:eastAsiaTheme="minorEastAsia"/>
        </w:rPr>
        <w:t xml:space="preserve"> = 400 μm). Feng et al. (2017) implemented an </w:t>
      </w:r>
      <w:r w:rsidRPr="00DF66BB">
        <w:rPr>
          <w:rFonts w:eastAsiaTheme="minorEastAsia"/>
        </w:rPr>
        <w:t>initial crack defect</w:t>
      </w:r>
      <w:r>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i</m:t>
            </m:r>
          </m:sub>
        </m:sSub>
      </m:oMath>
      <w:r>
        <w:rPr>
          <w:rFonts w:eastAsiaTheme="minorEastAsia"/>
        </w:rPr>
        <w:t xml:space="preserve">) of </w:t>
      </w:r>
      <w:r w:rsidRPr="00DF66BB">
        <w:rPr>
          <w:rFonts w:eastAsiaTheme="minorEastAsia"/>
        </w:rPr>
        <w:t xml:space="preserve">2 mm. As </w:t>
      </w:r>
      <w:r>
        <w:rPr>
          <w:rFonts w:eastAsiaTheme="minorEastAsia"/>
        </w:rPr>
        <w:t xml:space="preserve">reported </w:t>
      </w:r>
      <w:r w:rsidRPr="00DF66BB">
        <w:rPr>
          <w:rFonts w:eastAsiaTheme="minorEastAsia"/>
        </w:rPr>
        <w:t xml:space="preserve">by Gray et al. (2009) and Crain et al. (2018), microannuli magnitudes are in the order of microns (μm), not millimeters (mm). Both Gray et al. (2009) and Crain et al. (2018) report magnitudes of less than 100 μm. For the R.L.T. FEA model methodology to work, significant defects have to be implemented in the models. </w:t>
      </w:r>
    </w:p>
    <w:p w14:paraId="05040051" w14:textId="24517B86" w:rsidR="009650AF" w:rsidRDefault="009650AF" w:rsidP="009650AF">
      <w:pPr>
        <w:ind w:firstLine="720"/>
        <w:rPr>
          <w:rFonts w:eastAsiaTheme="minorEastAsia"/>
          <w:highlight w:val="yellow"/>
        </w:rPr>
      </w:pPr>
      <w:r>
        <w:rPr>
          <w:rFonts w:eastAsiaTheme="minorEastAsia"/>
        </w:rPr>
        <w:lastRenderedPageBreak/>
        <w:t xml:space="preserve">Another nuance of the R.L.T. FEA methodology </w:t>
      </w:r>
      <w:r w:rsidRPr="00A314A8">
        <w:rPr>
          <w:rFonts w:eastAsiaTheme="minorEastAsia"/>
        </w:rPr>
        <w:t xml:space="preserve">is shown in Equation 2.70. The right hand side consists of the injection rate term </w:t>
      </w:r>
      <w:r w:rsidRPr="00A314A8">
        <w:t>(</w:t>
      </w:r>
      <m:oMath>
        <m:sSub>
          <m:sSubPr>
            <m:ctrlPr>
              <w:rPr>
                <w:rFonts w:ascii="Cambria Math" w:hAnsi="Cambria Math"/>
                <w:i/>
              </w:rPr>
            </m:ctrlPr>
          </m:sSubPr>
          <m:e>
            <m:r>
              <w:rPr>
                <w:rFonts w:ascii="Cambria Math" w:hAnsi="Cambria Math"/>
              </w:rPr>
              <m:t>Q</m:t>
            </m:r>
          </m:e>
          <m:sub>
            <m:r>
              <w:rPr>
                <w:rFonts w:ascii="Cambria Math" w:hAnsi="Cambria Math"/>
              </w:rPr>
              <m:t>o</m:t>
            </m:r>
          </m:sub>
        </m:sSub>
      </m:oMath>
      <w:r w:rsidRPr="00A314A8">
        <w:t xml:space="preserve">). This implies that </w:t>
      </w:r>
      <w:r w:rsidR="00CB04C5">
        <w:t xml:space="preserve">an injection rate has to be occurring for the model to have hydraulic fluid propagation. </w:t>
      </w:r>
      <w:r>
        <w:t>If zero injection is applied, then the fracturing fluid flux (</w:t>
      </w:r>
      <m:oMath>
        <m:r>
          <m:rPr>
            <m:sty m:val="p"/>
          </m:rPr>
          <w:rPr>
            <w:rFonts w:ascii="Cambria Math" w:hAnsi="Cambria Math"/>
          </w:rPr>
          <m:t>∇</m:t>
        </m:r>
        <m:r>
          <w:rPr>
            <w:rFonts w:ascii="Cambria Math" w:hAnsi="Cambria Math"/>
          </w:rPr>
          <m:t>∙</m:t>
        </m:r>
        <m:r>
          <m:rPr>
            <m:sty m:val="bi"/>
          </m:rPr>
          <w:rPr>
            <w:rFonts w:ascii="Cambria Math" w:hAnsi="Cambria Math"/>
          </w:rPr>
          <m:t>q</m:t>
        </m:r>
      </m:oMath>
      <w:r>
        <w:t>) is dependent on the leak-off velocities (</w:t>
      </w:r>
      <m:oMath>
        <m:sSub>
          <m:sSubPr>
            <m:ctrlPr>
              <w:rPr>
                <w:rFonts w:ascii="Cambria Math" w:hAnsi="Cambria Math"/>
                <w:i/>
              </w:rPr>
            </m:ctrlPr>
          </m:sSubPr>
          <m:e>
            <m:r>
              <w:rPr>
                <w:rFonts w:ascii="Cambria Math" w:hAnsi="Cambria Math"/>
              </w:rPr>
              <m:t>v</m:t>
            </m:r>
          </m:e>
          <m:sub>
            <m:r>
              <w:rPr>
                <w:rFonts w:ascii="Cambria Math" w:hAnsi="Cambria Math"/>
              </w:rPr>
              <m:t>t</m:t>
            </m:r>
          </m:sub>
        </m:sSub>
      </m:oMath>
      <w:r>
        <w:rPr>
          <w:rFonts w:eastAsiaTheme="minorEastAsia"/>
        </w:rPr>
        <w:t xml:space="preserve"> and </w:t>
      </w:r>
      <m:oMath>
        <m:sSub>
          <m:sSubPr>
            <m:ctrlPr>
              <w:rPr>
                <w:rFonts w:ascii="Cambria Math" w:hAnsi="Cambria Math"/>
                <w:i/>
              </w:rPr>
            </m:ctrlPr>
          </m:sSubPr>
          <m:e>
            <m:r>
              <w:rPr>
                <w:rFonts w:ascii="Cambria Math" w:hAnsi="Cambria Math"/>
              </w:rPr>
              <m:t>v</m:t>
            </m:r>
          </m:e>
          <m:sub>
            <m:r>
              <w:rPr>
                <w:rFonts w:ascii="Cambria Math" w:hAnsi="Cambria Math"/>
              </w:rPr>
              <m:t>b</m:t>
            </m:r>
          </m:sub>
        </m:sSub>
      </m:oMath>
      <w:r>
        <w:rPr>
          <w:rFonts w:eastAsiaTheme="minorEastAsia"/>
        </w:rPr>
        <w:t>). Without an injection fluid, the pore pressure of the top and bottom (</w:t>
      </w:r>
      <m:oMath>
        <m:sSubSup>
          <m:sSubSupPr>
            <m:ctrlPr>
              <w:rPr>
                <w:rFonts w:ascii="Cambria Math" w:hAnsi="Cambria Math"/>
                <w:i/>
              </w:rPr>
            </m:ctrlPr>
          </m:sSubSupPr>
          <m:e>
            <m:r>
              <w:rPr>
                <w:rFonts w:ascii="Cambria Math" w:hAnsi="Cambria Math"/>
              </w:rPr>
              <m:t>P</m:t>
            </m:r>
          </m:e>
          <m:sub>
            <m:r>
              <w:rPr>
                <w:rFonts w:ascii="Cambria Math" w:hAnsi="Cambria Math"/>
              </w:rPr>
              <m:t>p</m:t>
            </m:r>
          </m:sub>
          <m:sup>
            <m:r>
              <w:rPr>
                <w:rFonts w:ascii="Cambria Math" w:hAnsi="Cambria Math"/>
              </w:rPr>
              <m:t>t</m:t>
            </m:r>
          </m:sup>
        </m:sSubSup>
      </m:oMath>
      <w:r>
        <w:t xml:space="preserve"> and </w:t>
      </w:r>
      <m:oMath>
        <m:sSubSup>
          <m:sSubSupPr>
            <m:ctrlPr>
              <w:rPr>
                <w:rFonts w:ascii="Cambria Math" w:hAnsi="Cambria Math"/>
                <w:i/>
              </w:rPr>
            </m:ctrlPr>
          </m:sSubSupPr>
          <m:e>
            <m:r>
              <w:rPr>
                <w:rFonts w:ascii="Cambria Math" w:hAnsi="Cambria Math"/>
              </w:rPr>
              <m:t>P</m:t>
            </m:r>
          </m:e>
          <m:sub>
            <m:r>
              <w:rPr>
                <w:rFonts w:ascii="Cambria Math" w:hAnsi="Cambria Math"/>
              </w:rPr>
              <m:t>p</m:t>
            </m:r>
          </m:sub>
          <m:sup>
            <m:r>
              <w:rPr>
                <w:rFonts w:ascii="Cambria Math" w:hAnsi="Cambria Math"/>
              </w:rPr>
              <m:t>b</m:t>
            </m:r>
          </m:sup>
        </m:sSubSup>
      </m:oMath>
      <w:r>
        <w:rPr>
          <w:rFonts w:eastAsiaTheme="minorEastAsia"/>
        </w:rPr>
        <w:t>) will be larger than the hydraulic fluid pressure (</w:t>
      </w:r>
      <m:oMath>
        <m:sSub>
          <m:sSubPr>
            <m:ctrlPr>
              <w:rPr>
                <w:rFonts w:ascii="Cambria Math" w:hAnsi="Cambria Math"/>
                <w:i/>
              </w:rPr>
            </m:ctrlPr>
          </m:sSubPr>
          <m:e>
            <m:r>
              <w:rPr>
                <w:rFonts w:ascii="Cambria Math" w:hAnsi="Cambria Math"/>
              </w:rPr>
              <m:t>P</m:t>
            </m:r>
          </m:e>
          <m:sub>
            <m:r>
              <w:rPr>
                <w:rFonts w:ascii="Cambria Math" w:hAnsi="Cambria Math"/>
              </w:rPr>
              <m:t>f</m:t>
            </m:r>
          </m:sub>
        </m:sSub>
      </m:oMath>
      <w:r>
        <w:rPr>
          <w:rFonts w:eastAsiaTheme="minorEastAsia"/>
        </w:rPr>
        <w:t xml:space="preserve">). </w:t>
      </w:r>
      <w:r w:rsidR="00644923">
        <w:rPr>
          <w:rFonts w:eastAsiaTheme="minorEastAsia"/>
        </w:rPr>
        <w:t>T</w:t>
      </w:r>
      <w:r>
        <w:rPr>
          <w:rFonts w:eastAsiaTheme="minorEastAsia"/>
        </w:rPr>
        <w:t>he pore pressures would not be high enough to cause hydraulic fracture propagation (if they were high enough, then the wellbore would have been fractured during completions). So the R.L.T. FEA model can replicate the hydraulic fracturing process (such as during completions), but cannot predict fluid leakage during the life of the well.</w:t>
      </w:r>
    </w:p>
    <w:p w14:paraId="058CDBDA" w14:textId="54D1AA85" w:rsidR="009650AF" w:rsidRDefault="009650AF" w:rsidP="009650AF">
      <w:pPr>
        <w:ind w:firstLine="720"/>
        <w:rPr>
          <w:rFonts w:eastAsiaTheme="minorEastAsia"/>
        </w:rPr>
      </w:pPr>
      <w:r w:rsidRPr="00D87FDE">
        <w:rPr>
          <w:rFonts w:eastAsiaTheme="minorEastAsia"/>
        </w:rPr>
        <w:t xml:space="preserve">An additional limitation of models that implement R.L.T. is that the </w:t>
      </w:r>
      <w:r w:rsidR="00AA13C8">
        <w:rPr>
          <w:rFonts w:eastAsiaTheme="minorEastAsia"/>
        </w:rPr>
        <w:t xml:space="preserve">simulations </w:t>
      </w:r>
      <w:r w:rsidRPr="00D87FDE">
        <w:rPr>
          <w:rFonts w:eastAsiaTheme="minorEastAsia"/>
        </w:rPr>
        <w:t>are not staged like the traditional well life cycle models described in the previous section</w:t>
      </w:r>
      <w:r w:rsidR="00AA13C8">
        <w:rPr>
          <w:rFonts w:eastAsiaTheme="minorEastAsia"/>
        </w:rPr>
        <w:t>. Neglecting to stage the construction of the well results in inaccurate stresses at material interfaces as described by Weideman (2014).</w:t>
      </w:r>
      <w:r>
        <w:rPr>
          <w:rFonts w:eastAsiaTheme="minorEastAsia"/>
        </w:rPr>
        <w:t xml:space="preserve"> </w:t>
      </w:r>
      <w:r w:rsidRPr="0093324A">
        <w:rPr>
          <w:rFonts w:eastAsiaTheme="minorEastAsia"/>
          <w:lang w:val="nb-NO"/>
        </w:rPr>
        <w:t xml:space="preserve">The methodology presented by </w:t>
      </w:r>
      <w:r w:rsidRPr="0093324A">
        <w:rPr>
          <w:lang w:val="nb-NO"/>
        </w:rPr>
        <w:t>Zielonka</w:t>
      </w:r>
      <w:r w:rsidRPr="0093324A">
        <w:rPr>
          <w:rFonts w:eastAsiaTheme="minorEastAsia"/>
          <w:lang w:val="nb-NO"/>
        </w:rPr>
        <w:t xml:space="preserve"> et al. (2014), Feng et al. (2017), Gosavi et al. (2017), Kumar et al. (2017), Searles et al. (2018), Jiang et al. (2020), and Xu et al. </w:t>
      </w:r>
      <w:r w:rsidRPr="001D4C8D">
        <w:rPr>
          <w:rFonts w:eastAsiaTheme="minorEastAsia"/>
        </w:rPr>
        <w:t xml:space="preserve">(2020) use a two-step model in which the cement boundary conditions are applied in the first step (far-field stresses, pore pressure, casing pressure), and the fluid injection occurs in the second step. This methodology ignores the microannuli that occur during the well’s lifecycle. From the previous section, the microannuli occurs due to a difference in stresses between the cement sheath and casing. One scenario </w:t>
      </w:r>
      <w:r w:rsidR="00216CCE">
        <w:rPr>
          <w:rFonts w:eastAsiaTheme="minorEastAsia"/>
        </w:rPr>
        <w:t>where</w:t>
      </w:r>
      <w:r w:rsidR="00216CCE" w:rsidRPr="001D4C8D">
        <w:rPr>
          <w:rFonts w:eastAsiaTheme="minorEastAsia"/>
        </w:rPr>
        <w:t xml:space="preserve"> </w:t>
      </w:r>
      <w:r w:rsidRPr="001D4C8D">
        <w:rPr>
          <w:rFonts w:eastAsiaTheme="minorEastAsia"/>
        </w:rPr>
        <w:t>microannuli occurs is during cement hydration (</w:t>
      </w:r>
      <w:r w:rsidR="00B51DDC" w:rsidRPr="001D4C8D">
        <w:rPr>
          <w:rFonts w:eastAsiaTheme="minorEastAsia"/>
        </w:rPr>
        <w:t>Bois et al. 2017</w:t>
      </w:r>
      <w:r w:rsidR="00B51DDC">
        <w:rPr>
          <w:rFonts w:eastAsiaTheme="minorEastAsia"/>
        </w:rPr>
        <w:t xml:space="preserve">; </w:t>
      </w:r>
      <w:r w:rsidR="00B51DDC" w:rsidRPr="001D4C8D">
        <w:rPr>
          <w:rFonts w:eastAsiaTheme="minorEastAsia"/>
        </w:rPr>
        <w:t>Vu et al. 2018</w:t>
      </w:r>
      <w:r w:rsidR="00A85E40" w:rsidRPr="001D4C8D">
        <w:rPr>
          <w:rFonts w:eastAsiaTheme="minorEastAsia"/>
        </w:rPr>
        <w:t>; Bois et al. 2019;</w:t>
      </w:r>
      <w:r w:rsidR="00B51DDC">
        <w:rPr>
          <w:rFonts w:eastAsiaTheme="minorEastAsia"/>
        </w:rPr>
        <w:t xml:space="preserve"> </w:t>
      </w:r>
      <w:r w:rsidRPr="001D4C8D">
        <w:rPr>
          <w:rFonts w:eastAsiaTheme="minorEastAsia"/>
        </w:rPr>
        <w:t>Gheibi et al. 2021)</w:t>
      </w:r>
      <w:r>
        <w:rPr>
          <w:rFonts w:eastAsiaTheme="minorEastAsia"/>
        </w:rPr>
        <w:t>.</w:t>
      </w:r>
    </w:p>
    <w:p w14:paraId="07DAE50F" w14:textId="56400775" w:rsidR="009650AF" w:rsidRDefault="009650AF" w:rsidP="009650AF">
      <w:pPr>
        <w:ind w:firstLine="720"/>
        <w:rPr>
          <w:shd w:val="clear" w:color="auto" w:fill="FFFFFF"/>
        </w:rPr>
      </w:pPr>
      <w:r w:rsidRPr="00E333AA">
        <w:rPr>
          <w:shd w:val="clear" w:color="auto" w:fill="FFFFFF"/>
        </w:rPr>
        <w:t>B</w:t>
      </w:r>
      <w:r>
        <w:rPr>
          <w:shd w:val="clear" w:color="auto" w:fill="FFFFFF"/>
        </w:rPr>
        <w:t xml:space="preserve">ois et al. (2017) developed a 2D </w:t>
      </w:r>
      <w:r w:rsidRPr="00E333AA">
        <w:rPr>
          <w:shd w:val="clear" w:color="auto" w:fill="FFFFFF"/>
        </w:rPr>
        <w:t>the</w:t>
      </w:r>
      <w:r>
        <w:rPr>
          <w:shd w:val="clear" w:color="auto" w:fill="FFFFFF"/>
        </w:rPr>
        <w:t>rmo-chemo-poro-elasto-plastic</w:t>
      </w:r>
      <w:r w:rsidRPr="00E333AA">
        <w:rPr>
          <w:shd w:val="clear" w:color="auto" w:fill="FFFFFF"/>
        </w:rPr>
        <w:t xml:space="preserve"> </w:t>
      </w:r>
      <w:r>
        <w:rPr>
          <w:shd w:val="clear" w:color="auto" w:fill="FFFFFF"/>
        </w:rPr>
        <w:t xml:space="preserve">FEA </w:t>
      </w:r>
      <w:r w:rsidRPr="00E333AA">
        <w:rPr>
          <w:shd w:val="clear" w:color="auto" w:fill="FFFFFF"/>
        </w:rPr>
        <w:t xml:space="preserve">model which </w:t>
      </w:r>
      <w:r>
        <w:rPr>
          <w:shd w:val="clear" w:color="auto" w:fill="FFFFFF"/>
        </w:rPr>
        <w:t xml:space="preserve">investigates gas migration within the cement sheath. The unique aspect with this method is that the model determines the cement mechanical and chemical properties based off the degree of </w:t>
      </w:r>
      <w:r>
        <w:rPr>
          <w:shd w:val="clear" w:color="auto" w:fill="FFFFFF"/>
        </w:rPr>
        <w:lastRenderedPageBreak/>
        <w:t>cement hydration (according to Arrhenius thermo-activated law) whereas previous models (such as</w:t>
      </w:r>
      <w:r w:rsidR="00A85E40">
        <w:rPr>
          <w:shd w:val="clear" w:color="auto" w:fill="FFFFFF"/>
        </w:rPr>
        <w:t xml:space="preserve"> </w:t>
      </w:r>
      <w:r w:rsidR="00A85E40" w:rsidRPr="00B92E3D">
        <w:rPr>
          <w:lang w:val="nb-NO"/>
        </w:rPr>
        <w:t xml:space="preserve">Nygaard et al. </w:t>
      </w:r>
      <w:r w:rsidR="00A85E40" w:rsidRPr="00F44267">
        <w:t>(2014)</w:t>
      </w:r>
      <w:r w:rsidR="00A85E40">
        <w:t xml:space="preserve">, </w:t>
      </w:r>
      <w:r w:rsidR="00A85E40" w:rsidRPr="00B92E3D">
        <w:rPr>
          <w:lang w:val="nb-NO"/>
        </w:rPr>
        <w:t xml:space="preserve">Lavrov et al. </w:t>
      </w:r>
      <w:r w:rsidR="00A85E40">
        <w:rPr>
          <w:lang w:val="nb-NO"/>
        </w:rPr>
        <w:t>(</w:t>
      </w:r>
      <w:r w:rsidR="00A85E40" w:rsidRPr="00B92E3D">
        <w:rPr>
          <w:lang w:val="nb-NO"/>
        </w:rPr>
        <w:t>2015</w:t>
      </w:r>
      <w:r w:rsidR="00A85E40">
        <w:rPr>
          <w:lang w:val="nb-NO"/>
        </w:rPr>
        <w:t xml:space="preserve">), </w:t>
      </w:r>
      <w:r w:rsidR="00A85E40" w:rsidRPr="00B92E3D">
        <w:rPr>
          <w:lang w:val="nb-NO"/>
        </w:rPr>
        <w:t xml:space="preserve">Zhang et al. </w:t>
      </w:r>
      <w:r w:rsidR="00A85E40">
        <w:rPr>
          <w:lang w:val="nb-NO"/>
        </w:rPr>
        <w:t>(</w:t>
      </w:r>
      <w:r w:rsidR="00A85E40" w:rsidRPr="00B92E3D">
        <w:rPr>
          <w:lang w:val="nb-NO"/>
        </w:rPr>
        <w:t>2017</w:t>
      </w:r>
      <w:r w:rsidR="00A85E40">
        <w:rPr>
          <w:lang w:val="nb-NO"/>
        </w:rPr>
        <w:t>),</w:t>
      </w:r>
      <w:r w:rsidR="00A85E40" w:rsidRPr="00B92E3D">
        <w:rPr>
          <w:lang w:val="nb-NO"/>
        </w:rPr>
        <w:t xml:space="preserve"> </w:t>
      </w:r>
      <w:r w:rsidR="00A85E40">
        <w:rPr>
          <w:lang w:val="nb-NO"/>
        </w:rPr>
        <w:t xml:space="preserve">and </w:t>
      </w:r>
      <w:r>
        <w:rPr>
          <w:shd w:val="clear" w:color="auto" w:fill="FFFFFF"/>
        </w:rPr>
        <w:t xml:space="preserve">Crain et al. </w:t>
      </w:r>
      <w:r w:rsidRPr="00F44267">
        <w:rPr>
          <w:shd w:val="clear" w:color="auto" w:fill="FFFFFF"/>
          <w:lang w:val="nb-NO"/>
        </w:rPr>
        <w:t>(2018)</w:t>
      </w:r>
      <w:r w:rsidRPr="00B92E3D">
        <w:rPr>
          <w:lang w:val="nb-NO"/>
        </w:rPr>
        <w:t xml:space="preserve"> </w:t>
      </w:r>
      <w:r w:rsidRPr="00F44267">
        <w:t>to name a few)</w:t>
      </w:r>
      <w:r>
        <w:rPr>
          <w:shd w:val="clear" w:color="auto" w:fill="FFFFFF"/>
        </w:rPr>
        <w:t xml:space="preserve"> assume mechanical properties for the cement. According to </w:t>
      </w:r>
      <w:r w:rsidR="00A85E40">
        <w:rPr>
          <w:shd w:val="clear" w:color="auto" w:fill="FFFFFF"/>
        </w:rPr>
        <w:t>Bois et al. (2017)</w:t>
      </w:r>
      <w:r>
        <w:rPr>
          <w:shd w:val="clear" w:color="auto" w:fill="FFFFFF"/>
        </w:rPr>
        <w:t>, two conditions are required for gas migration: a leakage pathway and underbalanced conditions which are when the formation pore pressure is larger than the cement pore pressure. This methodology was later expanded by Vu et al. (2018) which the model determines cement sheath failure from a hydration point of view. Debonding of the cement sheath to the steel casing can occur due to changes within the cement itself such as cement shrinkage. The last expansion of the cement hydration methodology is performed by Bois et al. (2019) in which the authors included hydraulic propagation of the microannuli caused by cement hydration. The authors state that debonding is the most likely failure mechanism</w:t>
      </w:r>
      <w:r w:rsidR="00CB04C5">
        <w:rPr>
          <w:shd w:val="clear" w:color="auto" w:fill="FFFFFF"/>
        </w:rPr>
        <w:t>,</w:t>
      </w:r>
      <w:r>
        <w:rPr>
          <w:shd w:val="clear" w:color="auto" w:fill="FFFFFF"/>
        </w:rPr>
        <w:t xml:space="preserve"> and the mechanical properties of cement are not important. One issue with the methodology introduced by Bois et al. (2019) is that the hydraulic propagating fluid is incompressible. The authors do not consider the fluid propagation of a gas. Bois et al.’s (2019) methodology also simulates the wellbore as decoupled entities. The decoupled simulations are referred to as system response curves (SRC) in which the components of the wellbore are modeled individually to get the stress versus displacement curves. Then the authors match the stresses for the components since the stresses at the boundaries of the individual components have to match (due to Newton’s third law). If the displacements are different between the components, then the difference is the resulting gap. Using this method, complex bonding properties (such as the traction separation law) are not included. Bonding is boiled down to a zero-traction tensile failure.</w:t>
      </w:r>
    </w:p>
    <w:p w14:paraId="73922007" w14:textId="2F644814" w:rsidR="009650AF" w:rsidRDefault="009650AF" w:rsidP="00644923">
      <w:pPr>
        <w:ind w:firstLine="720"/>
        <w:rPr>
          <w:shd w:val="clear" w:color="auto" w:fill="FFFFFF"/>
        </w:rPr>
      </w:pPr>
      <w:r>
        <w:rPr>
          <w:shd w:val="clear" w:color="auto" w:fill="FFFFFF"/>
        </w:rPr>
        <w:t xml:space="preserve">Another method that investigates the cement sheath during hydration is presented by Gheibi et al. (2021). The authors developed a modified discrete element model based approach that analyzes the integrity of the cement sheath by considering the cement as an aging material in </w:t>
      </w:r>
      <w:r>
        <w:rPr>
          <w:shd w:val="clear" w:color="auto" w:fill="FFFFFF"/>
        </w:rPr>
        <w:lastRenderedPageBreak/>
        <w:t>which its poro</w:t>
      </w:r>
      <w:r w:rsidR="00A314A8">
        <w:rPr>
          <w:shd w:val="clear" w:color="auto" w:fill="FFFFFF"/>
        </w:rPr>
        <w:t>-</w:t>
      </w:r>
      <w:r>
        <w:rPr>
          <w:shd w:val="clear" w:color="auto" w:fill="FFFFFF"/>
        </w:rPr>
        <w:t xml:space="preserve">elastic properties (pore pressure, setting stress, and compaction) are estimated using micro-mechanical methods. The model incorporates both of the cement’s continuum and discontinuum features. When the cement is in the elastic region, the elements are acting as a continuum which is normal finite element methods. Once failure occurs, the discontinuum code is activated and the fractures form utilizing special elements with “springs” that break to form fractures when the stress exceeds Mohr-Coulomb failure criterion. The results from Gheibi et al. (2021) show that an increase in the wellbore pressure can cause radial fractures </w:t>
      </w:r>
      <w:r w:rsidR="00644923">
        <w:rPr>
          <w:shd w:val="clear" w:color="auto" w:fill="FFFFFF"/>
        </w:rPr>
        <w:t xml:space="preserve">and shear failure in the cement, </w:t>
      </w:r>
      <w:r w:rsidR="000C7ED4">
        <w:rPr>
          <w:shd w:val="clear" w:color="auto" w:fill="FFFFFF"/>
        </w:rPr>
        <w:t>but</w:t>
      </w:r>
      <w:r w:rsidR="00644923">
        <w:rPr>
          <w:shd w:val="clear" w:color="auto" w:fill="FFFFFF"/>
        </w:rPr>
        <w:t xml:space="preserve"> the cement failure was </w:t>
      </w:r>
      <w:r>
        <w:rPr>
          <w:shd w:val="clear" w:color="auto" w:fill="FFFFFF"/>
        </w:rPr>
        <w:t xml:space="preserve">limited to the cement sheath and did not propagate into the rock formation or the steel casing. The magnitude of the fractures from Gheibi et al.’s (2021) model ranged from 1 to 50 μm. </w:t>
      </w:r>
    </w:p>
    <w:p w14:paraId="6A8D25A4" w14:textId="56BEFC15" w:rsidR="00A314A8" w:rsidRPr="00A85E40" w:rsidRDefault="009650AF" w:rsidP="00A85E40">
      <w:pPr>
        <w:ind w:firstLine="720"/>
        <w:rPr>
          <w:rFonts w:eastAsiaTheme="minorEastAsia"/>
        </w:rPr>
      </w:pPr>
      <w:r>
        <w:rPr>
          <w:rFonts w:eastAsiaTheme="minorEastAsia"/>
        </w:rPr>
        <w:t>One critical</w:t>
      </w:r>
      <w:r w:rsidRPr="002B70C3">
        <w:rPr>
          <w:rFonts w:eastAsiaTheme="minorEastAsia"/>
        </w:rPr>
        <w:t xml:space="preserve"> limitation of </w:t>
      </w:r>
      <w:r>
        <w:rPr>
          <w:rFonts w:eastAsiaTheme="minorEastAsia"/>
        </w:rPr>
        <w:t xml:space="preserve">the fluid penetration models </w:t>
      </w:r>
      <w:r w:rsidR="007541B6">
        <w:rPr>
          <w:rFonts w:eastAsiaTheme="minorEastAsia"/>
        </w:rPr>
        <w:t>is</w:t>
      </w:r>
      <w:r w:rsidRPr="002B70C3">
        <w:rPr>
          <w:rFonts w:eastAsiaTheme="minorEastAsia"/>
        </w:rPr>
        <w:t xml:space="preserve"> that they do not accommodate for gas hydraulic propagation. Since the R.L.T. is based upon Hagen-Poiseulle flow, the fluid is assumed to be incompressible. The R.L.T. models have to have large fractures for the interfaces to be considered “open” with a fluid penetrating pressure and have to have an injection pressure. The methodologies presented by Bois et al. (2017) [and expansions Vu et al. (2018) and Bois et al. (2019)] assume 2D models that investigate cement hydration induced failure. However, these models do not consider the entire wellbore or life cycle events that occur after hydration. Gheibi et al. (2021) also considers 2D models and investigates failure during cement hydration. The failure mechanics used (Mohr-Coulomb) incorporate bulk cement failure, but does not look at interface failure.  </w:t>
      </w:r>
    </w:p>
    <w:p w14:paraId="009E38CC" w14:textId="77777777" w:rsidR="009650AF" w:rsidRDefault="009650AF" w:rsidP="009650AF">
      <w:pPr>
        <w:pStyle w:val="Heading2"/>
      </w:pPr>
      <w:bookmarkStart w:id="46" w:name="_Toc67566035"/>
      <w:r>
        <w:t>Summary of Previous Work</w:t>
      </w:r>
      <w:bookmarkEnd w:id="46"/>
    </w:p>
    <w:p w14:paraId="50F58C6D" w14:textId="24BD3DEF" w:rsidR="009650AF" w:rsidRDefault="009650AF" w:rsidP="009650AF">
      <w:pPr>
        <w:ind w:firstLine="720"/>
        <w:rPr>
          <w:rFonts w:eastAsiaTheme="minorEastAsia"/>
        </w:rPr>
      </w:pPr>
      <w:r>
        <w:rPr>
          <w:rFonts w:eastAsiaTheme="minorEastAsia"/>
        </w:rPr>
        <w:t xml:space="preserve">From all the potential leakage pathways in a wellbore, the general consensus from experimental and numerical methods is that the cement used when completing and abandoning </w:t>
      </w:r>
      <w:r>
        <w:rPr>
          <w:rFonts w:eastAsiaTheme="minorEastAsia"/>
        </w:rPr>
        <w:lastRenderedPageBreak/>
        <w:t>wellbores is the most at risk for integrity issues. The steel casing has been well studied and is designed with safety factors and design considerations for extreme conditions</w:t>
      </w:r>
      <w:r w:rsidR="00E60DDD">
        <w:rPr>
          <w:rFonts w:eastAsiaTheme="minorEastAsia"/>
        </w:rPr>
        <w:t xml:space="preserve"> in the GoM</w:t>
      </w:r>
      <w:r>
        <w:rPr>
          <w:rFonts w:eastAsiaTheme="minorEastAsia"/>
        </w:rPr>
        <w:t>. The surrounding rock formation has also been studied extensive</w:t>
      </w:r>
      <w:r w:rsidR="000C7ED4">
        <w:rPr>
          <w:rFonts w:eastAsiaTheme="minorEastAsia"/>
        </w:rPr>
        <w:t>ly in the past however, there are</w:t>
      </w:r>
      <w:r>
        <w:rPr>
          <w:rFonts w:eastAsiaTheme="minorEastAsia"/>
        </w:rPr>
        <w:t xml:space="preserve"> less design aspects engineers can do for long term integrity with respect to the formation. The cement used when completing and eventually plugging the well is less understood with many design aspects tha</w:t>
      </w:r>
      <w:r w:rsidR="00F12A17">
        <w:rPr>
          <w:rFonts w:eastAsiaTheme="minorEastAsia"/>
        </w:rPr>
        <w:t>t</w:t>
      </w:r>
      <w:r>
        <w:rPr>
          <w:rFonts w:eastAsiaTheme="minorEastAsia"/>
        </w:rPr>
        <w:t xml:space="preserve"> can change the properties. </w:t>
      </w:r>
      <w:r w:rsidR="00644923">
        <w:rPr>
          <w:rFonts w:eastAsiaTheme="minorEastAsia"/>
        </w:rPr>
        <w:t>E</w:t>
      </w:r>
      <w:r>
        <w:rPr>
          <w:rFonts w:eastAsiaTheme="minorEastAsia"/>
        </w:rPr>
        <w:t>ven with all the research focusing on the cement sheath, many aspects have not been addressed. Numerical models that predict cement sheath integrity assume the leaking fluid is incompressible, but do not investigate gases (</w:t>
      </w:r>
      <w:r w:rsidR="00A85E40">
        <w:rPr>
          <w:rFonts w:eastAsiaTheme="minorEastAsia"/>
        </w:rPr>
        <w:t>Gray et al. 2009; Zielonka et al. 2014; Feng et al. 2017; Gosavi et al. 2017; Kumar et al. 2017; Crain et al. 2018; Searles et al. 2018; Bois et al. 2019; Jiang et al. 2020; Xu et al. 2020; Gheibi et al. 2021</w:t>
      </w:r>
      <w:r>
        <w:rPr>
          <w:rFonts w:eastAsiaTheme="minorEastAsia"/>
        </w:rPr>
        <w:t>). The methods that do investigate gases, have assumptions that are voided for wellbore conditions (Al Ramadan et al. 2019; Corina et al. 2020) or assume microannuli/effective permeability values (</w:t>
      </w:r>
      <w:r w:rsidR="00A85E40">
        <w:rPr>
          <w:rFonts w:eastAsiaTheme="minorEastAsia"/>
        </w:rPr>
        <w:t xml:space="preserve">Ford et al. 2017; Lavrov and Torsaeter 2018; Moeinika et al. 2018; </w:t>
      </w:r>
      <w:r>
        <w:rPr>
          <w:rFonts w:eastAsiaTheme="minorEastAsia"/>
        </w:rPr>
        <w:t xml:space="preserve">Al Ramadan et al. 2019;). </w:t>
      </w:r>
    </w:p>
    <w:p w14:paraId="23B3AE4E" w14:textId="35105512" w:rsidR="00DF553A" w:rsidRPr="00294ABA" w:rsidRDefault="009650AF" w:rsidP="00A85E40">
      <w:pPr>
        <w:ind w:firstLine="720"/>
      </w:pPr>
      <w:r>
        <w:t>The various models have shown the likely leakage mechanisms and locations, but have failed to provide comprehensive quantification of the microannuli widths. Many models just assume a microannuli (or permeability) value (</w:t>
      </w:r>
      <w:r w:rsidR="00A85E40">
        <w:t xml:space="preserve">Ford et al. 2017; </w:t>
      </w:r>
      <w:r>
        <w:t xml:space="preserve">Lavrov and Torsaeter 2018; Moeinkia et al. 2018). Other models have treated wellbore leakage as a hydraulic fracturing process but due to their assumptions, water is assumed to be the fracturing fluid (Zielonka et al. 2014; Feng et al. 2017; Jiang et al. 2020). The water assumption makes the numerical approximation simple, but could potentially underestimate wellbore leakage if gas if the fracturing fluid. Therefore, this dissertation will investigate if leakage </w:t>
      </w:r>
      <w:r w:rsidR="000C1324">
        <w:t xml:space="preserve">occurs </w:t>
      </w:r>
      <w:r>
        <w:t xml:space="preserve">in </w:t>
      </w:r>
      <w:r w:rsidR="00DE6F14">
        <w:t>GoM</w:t>
      </w:r>
      <w:r>
        <w:t xml:space="preserve"> wells by developing a realistic FEA model with fluid propagation mechanics to determine if a continuous leakage pathway is occurring and to provide accurate fluid leakage rates</w:t>
      </w:r>
      <w:r w:rsidR="00E53CC2">
        <w:t xml:space="preserve">. </w:t>
      </w:r>
    </w:p>
    <w:p w14:paraId="139FE381" w14:textId="71D0A7DA" w:rsidR="004961FD" w:rsidRDefault="0064135B" w:rsidP="009F78C5">
      <w:pPr>
        <w:pStyle w:val="Heading1"/>
      </w:pPr>
      <w:bookmarkStart w:id="47" w:name="_Toc67566036"/>
      <w:r>
        <w:lastRenderedPageBreak/>
        <w:t>Field Description</w:t>
      </w:r>
      <w:bookmarkEnd w:id="47"/>
      <w:r>
        <w:t xml:space="preserve"> </w:t>
      </w:r>
    </w:p>
    <w:p w14:paraId="1A611E39" w14:textId="6EDFD76F" w:rsidR="00BA653E" w:rsidRPr="00BA653E" w:rsidRDefault="00BA653E" w:rsidP="00920806">
      <w:pPr>
        <w:ind w:firstLine="720"/>
      </w:pPr>
      <w:r w:rsidRPr="00BA653E">
        <w:t xml:space="preserve">This section gives an overview of the current status of the wells in </w:t>
      </w:r>
      <w:r w:rsidR="00610B0F">
        <w:t xml:space="preserve">the Gulf of Mexico </w:t>
      </w:r>
      <w:r w:rsidR="00610B0F">
        <w:rPr>
          <w:szCs w:val="24"/>
        </w:rPr>
        <w:t>(</w:t>
      </w:r>
      <w:r w:rsidR="00610B0F" w:rsidRPr="00EC7EFC">
        <w:rPr>
          <w:szCs w:val="24"/>
        </w:rPr>
        <w:t>GoM</w:t>
      </w:r>
      <w:r w:rsidR="00610B0F">
        <w:rPr>
          <w:szCs w:val="24"/>
        </w:rPr>
        <w:t>)</w:t>
      </w:r>
      <w:r w:rsidR="00610B0F" w:rsidRPr="00EC7EFC">
        <w:rPr>
          <w:szCs w:val="24"/>
        </w:rPr>
        <w:t xml:space="preserve"> </w:t>
      </w:r>
      <w:r w:rsidRPr="00BA653E">
        <w:t xml:space="preserve">and describes the fields used in the numerical analysis.  </w:t>
      </w:r>
    </w:p>
    <w:p w14:paraId="5B540DAE" w14:textId="25070BEC" w:rsidR="00E74AF7" w:rsidRDefault="0064135B" w:rsidP="00BA653E">
      <w:pPr>
        <w:pStyle w:val="Heading2"/>
      </w:pPr>
      <w:bookmarkStart w:id="48" w:name="_Toc67566037"/>
      <w:r>
        <w:t>Gulf of Mexico</w:t>
      </w:r>
      <w:bookmarkEnd w:id="48"/>
    </w:p>
    <w:p w14:paraId="613D7403" w14:textId="50D6672F" w:rsidR="00DC485D" w:rsidRPr="00DC733F" w:rsidRDefault="00DC485D" w:rsidP="00DC485D">
      <w:pPr>
        <w:ind w:firstLine="720"/>
      </w:pPr>
      <w:r w:rsidRPr="00EC7EFC">
        <w:rPr>
          <w:szCs w:val="24"/>
        </w:rPr>
        <w:t>Drilling in the</w:t>
      </w:r>
      <w:r w:rsidR="00A314A8">
        <w:rPr>
          <w:szCs w:val="24"/>
        </w:rPr>
        <w:t xml:space="preserve"> </w:t>
      </w:r>
      <w:r w:rsidRPr="00EC7EFC">
        <w:rPr>
          <w:szCs w:val="24"/>
        </w:rPr>
        <w:t xml:space="preserve">GoM started in the early </w:t>
      </w:r>
      <w:r w:rsidRPr="001E64C9">
        <w:rPr>
          <w:szCs w:val="24"/>
        </w:rPr>
        <w:t>1900’s</w:t>
      </w:r>
      <w:r w:rsidRPr="00EC7EFC">
        <w:rPr>
          <w:szCs w:val="24"/>
        </w:rPr>
        <w:t xml:space="preserve"> with very primitive rigs connected to land by </w:t>
      </w:r>
      <w:r w:rsidRPr="001E64C9">
        <w:rPr>
          <w:szCs w:val="24"/>
        </w:rPr>
        <w:t>piers</w:t>
      </w:r>
      <w:r>
        <w:t xml:space="preserve"> in shallow water (~6 m [~20 ft.]). </w:t>
      </w:r>
      <w:r w:rsidRPr="00EC7EFC">
        <w:t xml:space="preserve">The oil industry boomed in the GoM after the Second World War leading to two major changes: more wells </w:t>
      </w:r>
      <w:r w:rsidRPr="001E64C9">
        <w:t>were drilled</w:t>
      </w:r>
      <w:r w:rsidRPr="00EC7EFC">
        <w:t xml:space="preserve">, </w:t>
      </w:r>
      <w:r w:rsidRPr="001E64C9">
        <w:t>and</w:t>
      </w:r>
      <w:r w:rsidRPr="00EC7EFC">
        <w:t xml:space="preserve"> technological advancements allowed wells to b</w:t>
      </w:r>
      <w:r>
        <w:t xml:space="preserve">e in deeper waters (BSEE.gov). </w:t>
      </w:r>
      <w:r w:rsidRPr="00EC7EFC">
        <w:t xml:space="preserve">The deepest wells are now drilled in </w:t>
      </w:r>
      <w:r>
        <w:t>3</w:t>
      </w:r>
      <w:r w:rsidR="00920806">
        <w:t>,</w:t>
      </w:r>
      <w:r>
        <w:t>0</w:t>
      </w:r>
      <w:r w:rsidR="00920806">
        <w:t>48</w:t>
      </w:r>
      <w:r>
        <w:t xml:space="preserve"> m (</w:t>
      </w:r>
      <w:r w:rsidRPr="00EC7EFC">
        <w:t>10,000 ft.</w:t>
      </w:r>
      <w:r>
        <w:t>)</w:t>
      </w:r>
      <w:r w:rsidRPr="00EC7EFC">
        <w:t xml:space="preserve"> of water, but the majority of wells drilled are still in shallow water (&lt;</w:t>
      </w:r>
      <w:r>
        <w:t>73 m [</w:t>
      </w:r>
      <w:r w:rsidRPr="00EC7EFC">
        <w:t>240 ft.</w:t>
      </w:r>
      <w:r>
        <w:t>]</w:t>
      </w:r>
      <w:r w:rsidRPr="00EC7EFC">
        <w:t xml:space="preserve">).  </w:t>
      </w:r>
    </w:p>
    <w:p w14:paraId="0D988922" w14:textId="09D098AD" w:rsidR="00DC485D" w:rsidRDefault="00DC485D" w:rsidP="00DC485D">
      <w:pPr>
        <w:ind w:firstLine="720"/>
      </w:pPr>
      <w:r w:rsidRPr="006C3C73">
        <w:t>The GoM</w:t>
      </w:r>
      <w:r w:rsidRPr="00780C50">
        <w:t xml:space="preserve"> </w:t>
      </w:r>
      <w:r w:rsidRPr="001E64C9">
        <w:t>is categorized</w:t>
      </w:r>
      <w:r w:rsidRPr="00EC7EFC">
        <w:t xml:space="preserve"> into two major </w:t>
      </w:r>
      <w:r>
        <w:t>areas</w:t>
      </w:r>
      <w:r w:rsidRPr="00EC7EFC">
        <w:t xml:space="preserve">: </w:t>
      </w:r>
      <w:r w:rsidRPr="001E64C9">
        <w:t>state owned</w:t>
      </w:r>
      <w:r w:rsidRPr="00EC7EFC">
        <w:t xml:space="preserve"> se</w:t>
      </w:r>
      <w:r>
        <w:t xml:space="preserve">abed and federal owned seabed. </w:t>
      </w:r>
      <w:r w:rsidRPr="00EC7EFC">
        <w:t>The individual coastal states own the seabed within three miles of the individual state’s coast while the Federal government owns the seabed from the three-mile mark to a line approxi</w:t>
      </w:r>
      <w:r>
        <w:t xml:space="preserve">mately 200-300 miles offshore. </w:t>
      </w:r>
      <w:r w:rsidR="00BA653E">
        <w:t xml:space="preserve">Only the federal </w:t>
      </w:r>
      <w:r w:rsidRPr="00EC7EFC">
        <w:t xml:space="preserve">area known as the </w:t>
      </w:r>
      <w:r>
        <w:t>Outer Continental Shelf (OCS)</w:t>
      </w:r>
      <w:r w:rsidR="00BA653E">
        <w:rPr>
          <w:rStyle w:val="FootnoteReference"/>
        </w:rPr>
        <w:footnoteReference w:id="2"/>
      </w:r>
      <w:r w:rsidR="00BA653E">
        <w:t xml:space="preserve"> is considered in this </w:t>
      </w:r>
      <w:r w:rsidR="00616D5D">
        <w:t>dissertation</w:t>
      </w:r>
      <w:r>
        <w:t xml:space="preserve">. </w:t>
      </w:r>
    </w:p>
    <w:p w14:paraId="2FD1A25D" w14:textId="5E18C05E" w:rsidR="00DC485D" w:rsidRDefault="00DC485D" w:rsidP="00DC485D">
      <w:pPr>
        <w:ind w:firstLine="720"/>
        <w:rPr>
          <w:rFonts w:cs="Times New Roman"/>
          <w:szCs w:val="24"/>
        </w:rPr>
      </w:pPr>
      <w:r w:rsidRPr="00DC733F">
        <w:rPr>
          <w:rFonts w:cs="Times New Roman"/>
        </w:rPr>
        <w:t xml:space="preserve">The OCS is divided up into three regions: the Western Gulf of Mexico Planning Area, the </w:t>
      </w:r>
      <w:r w:rsidRPr="00EF1323">
        <w:rPr>
          <w:rFonts w:cs="Times New Roman"/>
        </w:rPr>
        <w:t xml:space="preserve">Central Gulf of Mexico Planning Area, and the Eastern Gulf of Mexico </w:t>
      </w:r>
      <w:r w:rsidRPr="00EF1323">
        <w:rPr>
          <w:rFonts w:cs="Times New Roman"/>
          <w:szCs w:val="24"/>
        </w:rPr>
        <w:t>Planning Area as illustrated in Figure 3.</w:t>
      </w:r>
      <w:r w:rsidR="004356F7" w:rsidRPr="00EF1323">
        <w:rPr>
          <w:rFonts w:cs="Times New Roman"/>
          <w:szCs w:val="24"/>
        </w:rPr>
        <w:t>1</w:t>
      </w:r>
      <w:r w:rsidRPr="00EF1323">
        <w:rPr>
          <w:rFonts w:cs="Times New Roman"/>
          <w:szCs w:val="24"/>
        </w:rPr>
        <w:t>. Only</w:t>
      </w:r>
      <w:r w:rsidRPr="00EC7EFC">
        <w:rPr>
          <w:rFonts w:cs="Times New Roman"/>
          <w:szCs w:val="24"/>
        </w:rPr>
        <w:t xml:space="preserve"> the Western Planning Area and the Central Planning Area have active leases at</w:t>
      </w:r>
      <w:r>
        <w:rPr>
          <w:rFonts w:cs="Times New Roman"/>
          <w:szCs w:val="24"/>
        </w:rPr>
        <w:t xml:space="preserve"> the time of this publication. </w:t>
      </w:r>
      <w:r w:rsidRPr="00EC7EFC">
        <w:rPr>
          <w:rFonts w:cs="Times New Roman"/>
          <w:szCs w:val="24"/>
        </w:rPr>
        <w:t>The Eastern Planning Area is under a congressional moratorium</w:t>
      </w:r>
      <w:r w:rsidR="00F525BA">
        <w:rPr>
          <w:rFonts w:cs="Times New Roman"/>
          <w:szCs w:val="24"/>
        </w:rPr>
        <w:t xml:space="preserve"> </w:t>
      </w:r>
      <w:r w:rsidR="00F525BA">
        <w:rPr>
          <w:rFonts w:cs="Times New Roman"/>
          <w:szCs w:val="24"/>
        </w:rPr>
        <w:lastRenderedPageBreak/>
        <w:t xml:space="preserve">and </w:t>
      </w:r>
      <w:r w:rsidR="00A314A8">
        <w:rPr>
          <w:rFonts w:cs="Times New Roman"/>
          <w:szCs w:val="24"/>
        </w:rPr>
        <w:t>cannot</w:t>
      </w:r>
      <w:r w:rsidR="00F525BA">
        <w:rPr>
          <w:rFonts w:cs="Times New Roman"/>
          <w:szCs w:val="24"/>
        </w:rPr>
        <w:t xml:space="preserve"> be drilled</w:t>
      </w:r>
      <w:r>
        <w:rPr>
          <w:rFonts w:cs="Times New Roman"/>
          <w:szCs w:val="24"/>
        </w:rPr>
        <w:t xml:space="preserve">. </w:t>
      </w:r>
      <w:r w:rsidRPr="00EC7EFC">
        <w:rPr>
          <w:rFonts w:cs="Times New Roman"/>
          <w:szCs w:val="24"/>
        </w:rPr>
        <w:t xml:space="preserve">The planning areas </w:t>
      </w:r>
      <w:r w:rsidRPr="001E64C9">
        <w:rPr>
          <w:rFonts w:cs="Times New Roman"/>
          <w:szCs w:val="24"/>
        </w:rPr>
        <w:t>are then subdivided</w:t>
      </w:r>
      <w:r w:rsidRPr="00EC7EFC">
        <w:rPr>
          <w:rFonts w:cs="Times New Roman"/>
          <w:szCs w:val="24"/>
        </w:rPr>
        <w:t xml:space="preserve"> into Official Projection Diagrams (OPD’s) which </w:t>
      </w:r>
      <w:r w:rsidRPr="001E64C9">
        <w:rPr>
          <w:rFonts w:cs="Times New Roman"/>
          <w:szCs w:val="24"/>
        </w:rPr>
        <w:t>are then divided</w:t>
      </w:r>
      <w:r w:rsidRPr="00EC7EFC">
        <w:rPr>
          <w:rFonts w:cs="Times New Roman"/>
          <w:szCs w:val="24"/>
        </w:rPr>
        <w:t xml:space="preserve"> into grids similar to onshore townships and ranges.</w:t>
      </w:r>
    </w:p>
    <w:p w14:paraId="184E886E" w14:textId="77777777" w:rsidR="00DC485D" w:rsidRDefault="00DC485D" w:rsidP="00BC23AD">
      <w:pPr>
        <w:pStyle w:val="NoSpacing"/>
      </w:pPr>
      <w:r w:rsidRPr="001E64C9">
        <w:rPr>
          <w:noProof/>
        </w:rPr>
        <w:drawing>
          <wp:inline distT="0" distB="0" distL="0" distR="0" wp14:anchorId="50E7FF30" wp14:editId="6F35B41E">
            <wp:extent cx="5943600" cy="318227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3600" cy="3182279"/>
                    </a:xfrm>
                    <a:prstGeom prst="rect">
                      <a:avLst/>
                    </a:prstGeom>
                    <a:noFill/>
                  </pic:spPr>
                </pic:pic>
              </a:graphicData>
            </a:graphic>
          </wp:inline>
        </w:drawing>
      </w:r>
    </w:p>
    <w:p w14:paraId="7C63B7DC" w14:textId="69B9231B" w:rsidR="00607C1F" w:rsidRDefault="00DC485D" w:rsidP="00BC23AD">
      <w:pPr>
        <w:pStyle w:val="Caption"/>
        <w:rPr>
          <w:rStyle w:val="Hyperlink"/>
        </w:rPr>
      </w:pPr>
      <w:bookmarkStart w:id="49" w:name="_Toc67566205"/>
      <w:r>
        <w:t xml:space="preserve">Figure </w:t>
      </w:r>
      <w:r w:rsidR="00077C0B">
        <w:fldChar w:fldCharType="begin"/>
      </w:r>
      <w:r w:rsidR="00077C0B">
        <w:instrText xml:space="preserve"> STYLEREF 1 \s </w:instrText>
      </w:r>
      <w:r w:rsidR="00077C0B">
        <w:fldChar w:fldCharType="separate"/>
      </w:r>
      <w:r w:rsidR="0006023A">
        <w:rPr>
          <w:noProof/>
        </w:rPr>
        <w:t>3</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1</w:t>
      </w:r>
      <w:r w:rsidR="00077C0B">
        <w:rPr>
          <w:noProof/>
        </w:rPr>
        <w:fldChar w:fldCharType="end"/>
      </w:r>
      <w:r>
        <w:t xml:space="preserve">: The Outer Continental Shelf (OCS) of the Gulf of Mexico showing the three planning areas: the Western Planning Area, the Central Planning Area, and the Eastern Planning Areal. Figure from </w:t>
      </w:r>
      <w:hyperlink r:id="rId35" w:history="1">
        <w:r w:rsidRPr="00D85BB7">
          <w:rPr>
            <w:rStyle w:val="Hyperlink"/>
          </w:rPr>
          <w:t>www.boem.gov</w:t>
        </w:r>
      </w:hyperlink>
      <w:r>
        <w:rPr>
          <w:rStyle w:val="Hyperlink"/>
        </w:rPr>
        <w:t>.</w:t>
      </w:r>
      <w:bookmarkEnd w:id="49"/>
    </w:p>
    <w:p w14:paraId="4231D383" w14:textId="3A33BAC0" w:rsidR="00DC485D" w:rsidRDefault="00DC485D" w:rsidP="00DC485D">
      <w:pPr>
        <w:ind w:firstLine="720"/>
        <w:rPr>
          <w:rFonts w:cs="Times New Roman"/>
          <w:szCs w:val="24"/>
        </w:rPr>
      </w:pPr>
      <w:r w:rsidRPr="00EC7EFC">
        <w:rPr>
          <w:rFonts w:cs="Times New Roman"/>
          <w:szCs w:val="24"/>
        </w:rPr>
        <w:t>As of 9/13/18, there are 54,29</w:t>
      </w:r>
      <w:r>
        <w:rPr>
          <w:rFonts w:cs="Times New Roman"/>
          <w:szCs w:val="24"/>
        </w:rPr>
        <w:t xml:space="preserve">1 wells in the OCS of the GoM. </w:t>
      </w:r>
      <w:r w:rsidRPr="00EC7EFC">
        <w:rPr>
          <w:rFonts w:cs="Times New Roman"/>
          <w:szCs w:val="24"/>
        </w:rPr>
        <w:t xml:space="preserve">There are 31,192 abandoned wells in which 27,691 wells are permanently abandoned (PA), </w:t>
      </w:r>
      <w:r w:rsidRPr="001E64C9">
        <w:rPr>
          <w:rFonts w:cs="Times New Roman"/>
          <w:szCs w:val="24"/>
        </w:rPr>
        <w:t>and</w:t>
      </w:r>
      <w:r w:rsidRPr="00EC7EFC">
        <w:rPr>
          <w:rFonts w:cs="Times New Roman"/>
          <w:szCs w:val="24"/>
        </w:rPr>
        <w:t xml:space="preserve"> 3,</w:t>
      </w:r>
      <w:r w:rsidRPr="00EF1323">
        <w:rPr>
          <w:rFonts w:cs="Times New Roman"/>
          <w:szCs w:val="24"/>
        </w:rPr>
        <w:t>501 wells are temporarily abandoned (TA). The distribution of wellbore statuses in the OCS are shown in Figure 3.</w:t>
      </w:r>
      <w:r w:rsidR="004356F7" w:rsidRPr="00EF1323">
        <w:rPr>
          <w:rFonts w:cs="Times New Roman"/>
          <w:szCs w:val="24"/>
        </w:rPr>
        <w:t>2</w:t>
      </w:r>
      <w:r w:rsidRPr="00EF1323">
        <w:rPr>
          <w:rFonts w:cs="Times New Roman"/>
          <w:szCs w:val="24"/>
        </w:rPr>
        <w:t>.</w:t>
      </w:r>
    </w:p>
    <w:p w14:paraId="0C8C30F8" w14:textId="77777777" w:rsidR="00DC485D" w:rsidRDefault="00DC485D" w:rsidP="00BC23AD">
      <w:pPr>
        <w:pStyle w:val="NoSpacing"/>
      </w:pPr>
      <w:r w:rsidRPr="001E64C9">
        <w:rPr>
          <w:noProof/>
        </w:rPr>
        <w:lastRenderedPageBreak/>
        <w:drawing>
          <wp:inline distT="0" distB="0" distL="0" distR="0" wp14:anchorId="184E9F2A" wp14:editId="6515AA7B">
            <wp:extent cx="4572014" cy="2432290"/>
            <wp:effectExtent l="19050" t="19050" r="19050" b="2540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6">
                      <a:extLst>
                        <a:ext uri="{28A0092B-C50C-407E-A947-70E740481C1C}">
                          <a14:useLocalDpi xmlns:a14="http://schemas.microsoft.com/office/drawing/2010/main" val="0"/>
                        </a:ext>
                      </a:extLst>
                    </a:blip>
                    <a:srcRect t="7863" b="3459"/>
                    <a:stretch/>
                  </pic:blipFill>
                  <pic:spPr bwMode="auto">
                    <a:xfrm>
                      <a:off x="0" y="0"/>
                      <a:ext cx="4572636" cy="2432621"/>
                    </a:xfrm>
                    <a:prstGeom prst="rect">
                      <a:avLst/>
                    </a:prstGeom>
                    <a:noFill/>
                    <a:ln w="9525" cap="flat" cmpd="sng" algn="ctr">
                      <a:solidFill>
                        <a:sysClr val="window" lastClr="FFFFFF"/>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0C76FEC2" w14:textId="2602A644" w:rsidR="00A36EAD" w:rsidRPr="00A36EAD" w:rsidRDefault="00DC485D" w:rsidP="00BC23AD">
      <w:pPr>
        <w:pStyle w:val="Caption"/>
      </w:pPr>
      <w:bookmarkStart w:id="50" w:name="_Toc67566206"/>
      <w:r>
        <w:t xml:space="preserve">Figure </w:t>
      </w:r>
      <w:r w:rsidR="00077C0B">
        <w:fldChar w:fldCharType="begin"/>
      </w:r>
      <w:r w:rsidR="00077C0B">
        <w:instrText xml:space="preserve"> STYLEREF 1 \s </w:instrText>
      </w:r>
      <w:r w:rsidR="00077C0B">
        <w:fldChar w:fldCharType="separate"/>
      </w:r>
      <w:r w:rsidR="0006023A">
        <w:rPr>
          <w:noProof/>
        </w:rPr>
        <w:t>3</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2</w:t>
      </w:r>
      <w:r w:rsidR="00077C0B">
        <w:rPr>
          <w:noProof/>
        </w:rPr>
        <w:fldChar w:fldCharType="end"/>
      </w:r>
      <w:r>
        <w:t xml:space="preserve">: </w:t>
      </w:r>
      <w:r w:rsidRPr="00EC7EFC">
        <w:t>The distribution of wells in the Outer Continental She</w:t>
      </w:r>
      <w:r>
        <w:t>lf (OCS) in the Gulf of Mexico.</w:t>
      </w:r>
      <w:r w:rsidRPr="00EC7EFC">
        <w:t xml:space="preserve"> Note: TA = temporarily abandoned, PA = permanently abandoned, COM = borehole completed, ST = sidetracked wellbore, and Other = various wellbore statuses for wellbores in the planning stage</w:t>
      </w:r>
      <w:r>
        <w:t>.</w:t>
      </w:r>
      <w:bookmarkEnd w:id="50"/>
    </w:p>
    <w:p w14:paraId="2FC01999" w14:textId="164FD8AA" w:rsidR="00607C1F" w:rsidRDefault="00513028" w:rsidP="00B20125">
      <w:pPr>
        <w:ind w:firstLine="720"/>
      </w:pPr>
      <w:r>
        <w:t>Of the</w:t>
      </w:r>
      <w:r w:rsidR="00DC485D" w:rsidRPr="006C3C73">
        <w:t xml:space="preserve"> 54,291 wells in the OCS</w:t>
      </w:r>
      <w:r w:rsidR="00616D5D">
        <w:t xml:space="preserve">, the </w:t>
      </w:r>
      <w:r w:rsidR="00DC485D" w:rsidRPr="006C3C73">
        <w:t>Eugene Island OPD, located in the Central GoM planning area</w:t>
      </w:r>
      <w:r w:rsidR="00DC485D">
        <w:t>,</w:t>
      </w:r>
      <w:r w:rsidR="00DC485D" w:rsidRPr="006C3C73">
        <w:t xml:space="preserve"> was selected </w:t>
      </w:r>
      <w:r>
        <w:t xml:space="preserve">for the parametric </w:t>
      </w:r>
      <w:r w:rsidRPr="00EF1323">
        <w:t xml:space="preserve">study </w:t>
      </w:r>
      <w:r w:rsidR="00DC485D" w:rsidRPr="00EF1323">
        <w:t xml:space="preserve">to </w:t>
      </w:r>
      <w:r w:rsidR="006C6395">
        <w:t xml:space="preserve">represent </w:t>
      </w:r>
      <w:r w:rsidR="00DC485D" w:rsidRPr="00EF1323">
        <w:t>wells with a range of ages, statuses, and depths</w:t>
      </w:r>
      <w:r w:rsidRPr="00EF1323">
        <w:t xml:space="preserve"> with</w:t>
      </w:r>
      <w:r w:rsidR="006C6395">
        <w:t xml:space="preserve"> a</w:t>
      </w:r>
      <w:r w:rsidRPr="00EF1323">
        <w:t xml:space="preserve"> similar distribution</w:t>
      </w:r>
      <w:r w:rsidR="00616D5D" w:rsidRPr="00EF1323">
        <w:t xml:space="preserve"> shown in</w:t>
      </w:r>
      <w:r w:rsidRPr="00EF1323">
        <w:t xml:space="preserve"> Figure 3.2</w:t>
      </w:r>
      <w:r w:rsidR="00DC485D" w:rsidRPr="00EF1323">
        <w:t>.</w:t>
      </w:r>
      <w:r w:rsidR="004356F7">
        <w:t xml:space="preserve"> For the case study well, the High Island OPD, located in the Western GoM planning area, was selected, and a representative well was selected.</w:t>
      </w:r>
    </w:p>
    <w:p w14:paraId="29CD693C" w14:textId="256E0086" w:rsidR="000A00BA" w:rsidRDefault="0064135B" w:rsidP="00BA653E">
      <w:pPr>
        <w:pStyle w:val="Heading2"/>
      </w:pPr>
      <w:bookmarkStart w:id="51" w:name="_Toc67566038"/>
      <w:r>
        <w:t>Eugene Island OPD</w:t>
      </w:r>
      <w:bookmarkEnd w:id="51"/>
    </w:p>
    <w:p w14:paraId="599E3B38" w14:textId="3242297B" w:rsidR="004356F7" w:rsidRDefault="004356F7" w:rsidP="003955A6">
      <w:pPr>
        <w:ind w:firstLine="720"/>
      </w:pPr>
      <w:r w:rsidRPr="006C3C73">
        <w:t xml:space="preserve">In the Eugene Island OPD, there are 6,167 unique API Well </w:t>
      </w:r>
      <w:r>
        <w:t xml:space="preserve">Numbers according to the BSEE. </w:t>
      </w:r>
      <w:r w:rsidRPr="006C3C73">
        <w:t>Available data from BSEE include specific well names, API well identifiers, lease numbers, sea floor area, bottom block number, water depth,</w:t>
      </w:r>
      <w:r w:rsidRPr="006C3C73" w:rsidDel="00DD078F">
        <w:t xml:space="preserve"> </w:t>
      </w:r>
      <w:r w:rsidRPr="006C3C73">
        <w:t>lease owner, spud dates, total TVD,</w:t>
      </w:r>
      <w:r w:rsidR="00D657EE">
        <w:t xml:space="preserve"> total depth (TD),</w:t>
      </w:r>
      <w:r w:rsidRPr="006C3C73">
        <w:t xml:space="preserve"> well status, dates for well status changes</w:t>
      </w:r>
      <w:r>
        <w:t xml:space="preserve">, and much more information. </w:t>
      </w:r>
      <w:r w:rsidRPr="006C3C73">
        <w:t>All of the wells in the Eugene Island OPD have a status of: “Cancelled (CNL)”, “Completed (COM)”, “Permanently Abandoned (PA)”, “Temporarily Abandoned (TA)”, “Sidetracked (SI)”, or “Approved Sidetrack (AST)”.</w:t>
      </w:r>
    </w:p>
    <w:p w14:paraId="5543D243" w14:textId="0A0200B4" w:rsidR="004356F7" w:rsidRDefault="004356F7" w:rsidP="003955A6">
      <w:pPr>
        <w:ind w:firstLine="720"/>
      </w:pPr>
      <w:r>
        <w:t>S</w:t>
      </w:r>
      <w:r w:rsidRPr="006C3C73">
        <w:t xml:space="preserve">idetracked wells are considered </w:t>
      </w:r>
      <w:r w:rsidRPr="001E64C9">
        <w:t xml:space="preserve">a separate well and have a unique API number. </w:t>
      </w:r>
      <w:r>
        <w:t>However, s</w:t>
      </w:r>
      <w:r w:rsidRPr="006C3C73">
        <w:t xml:space="preserve">idetracked wells </w:t>
      </w:r>
      <w:r>
        <w:t xml:space="preserve">share </w:t>
      </w:r>
      <w:r w:rsidRPr="006C3C73">
        <w:t>the parent well</w:t>
      </w:r>
      <w:r>
        <w:t xml:space="preserve">’s surface and intermediate casings. To avoid duplications, </w:t>
      </w:r>
      <w:r>
        <w:lastRenderedPageBreak/>
        <w:t xml:space="preserve">wells </w:t>
      </w:r>
      <w:r w:rsidRPr="006C3C73">
        <w:t xml:space="preserve">that had a status code of “ST” or “AST” </w:t>
      </w:r>
      <w:r w:rsidRPr="004A5701">
        <w:t>were omitted</w:t>
      </w:r>
      <w:r>
        <w:t xml:space="preserve"> from the data set. </w:t>
      </w:r>
      <w:r w:rsidRPr="00EC7EFC">
        <w:t xml:space="preserve">Wells that </w:t>
      </w:r>
      <w:r w:rsidRPr="004A5701">
        <w:t>were canceled</w:t>
      </w:r>
      <w:r w:rsidRPr="00EC7EFC">
        <w:t xml:space="preserve"> (“CNL” </w:t>
      </w:r>
      <w:r w:rsidRPr="00EF1323">
        <w:t>status) were also omitted because only wells that were completed or abandoned are of interest in this study. Omitting those wells lowered the number of unique wells from 6,167 to 4,030. The distribution of wells before and after omission are shown in Figure 3.3. As indicated in Figure 3.3, the average well in the Eugene Island OPD has a status</w:t>
      </w:r>
      <w:r w:rsidRPr="00EC7EFC">
        <w:t xml:space="preserve"> of permanently abandoned</w:t>
      </w:r>
      <w:r>
        <w:t>.</w:t>
      </w:r>
    </w:p>
    <w:p w14:paraId="1BDEB315" w14:textId="77777777" w:rsidR="004356F7" w:rsidRPr="00EC7EFC" w:rsidRDefault="004356F7" w:rsidP="00BC23AD">
      <w:pPr>
        <w:pStyle w:val="NoSpacing"/>
      </w:pPr>
      <w:r w:rsidRPr="001E64C9">
        <w:rPr>
          <w:noProof/>
        </w:rPr>
        <w:drawing>
          <wp:inline distT="0" distB="0" distL="0" distR="0" wp14:anchorId="1EA3DDDB" wp14:editId="32804614">
            <wp:extent cx="4572000" cy="2715086"/>
            <wp:effectExtent l="19050" t="19050" r="19050" b="285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572000" cy="2715086"/>
                    </a:xfrm>
                    <a:prstGeom prst="rect">
                      <a:avLst/>
                    </a:prstGeom>
                    <a:noFill/>
                    <a:ln>
                      <a:solidFill>
                        <a:schemeClr val="bg1"/>
                      </a:solidFill>
                    </a:ln>
                  </pic:spPr>
                </pic:pic>
              </a:graphicData>
            </a:graphic>
          </wp:inline>
        </w:drawing>
      </w:r>
    </w:p>
    <w:p w14:paraId="4988DFE1" w14:textId="3D7E1AC0" w:rsidR="004356F7" w:rsidRPr="00EC7EFC" w:rsidRDefault="004356F7" w:rsidP="00BC23AD">
      <w:pPr>
        <w:pStyle w:val="Caption"/>
      </w:pPr>
      <w:bookmarkStart w:id="52" w:name="_Ref533002985"/>
      <w:bookmarkStart w:id="53" w:name="_Toc7166656"/>
      <w:bookmarkStart w:id="54" w:name="_Toc67566207"/>
      <w:r w:rsidRPr="00EC7EFC">
        <w:t xml:space="preserve">Figure </w:t>
      </w:r>
      <w:r w:rsidR="00077C0B">
        <w:fldChar w:fldCharType="begin"/>
      </w:r>
      <w:r w:rsidR="00077C0B">
        <w:instrText xml:space="preserve"> STYLEREF 1 \s </w:instrText>
      </w:r>
      <w:r w:rsidR="00077C0B">
        <w:fldChar w:fldCharType="separate"/>
      </w:r>
      <w:r w:rsidR="0006023A">
        <w:rPr>
          <w:noProof/>
        </w:rPr>
        <w:t>3</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3</w:t>
      </w:r>
      <w:r w:rsidR="00077C0B">
        <w:rPr>
          <w:noProof/>
        </w:rPr>
        <w:fldChar w:fldCharType="end"/>
      </w:r>
      <w:bookmarkEnd w:id="52"/>
      <w:r w:rsidRPr="00EC7EFC">
        <w:t>: The distribution of wells from the Eugene Island OPD before and after removing 2,127 wells that had a status of CNL, ST, and AST.</w:t>
      </w:r>
      <w:bookmarkEnd w:id="53"/>
      <w:bookmarkEnd w:id="54"/>
    </w:p>
    <w:p w14:paraId="23019DDF" w14:textId="226DBA85" w:rsidR="004356F7" w:rsidRPr="00EC7EFC" w:rsidRDefault="004356F7" w:rsidP="004356F7">
      <w:r w:rsidRPr="00EC7EFC">
        <w:tab/>
      </w:r>
      <w:r w:rsidRPr="00EF1323">
        <w:t xml:space="preserve">The distribution of the total </w:t>
      </w:r>
      <w:r w:rsidR="00A81503">
        <w:t>depth (TD)</w:t>
      </w:r>
      <w:r w:rsidR="00A81503" w:rsidRPr="00EF1323">
        <w:t xml:space="preserve"> </w:t>
      </w:r>
      <w:r w:rsidRPr="00EF1323">
        <w:t>of the wells in the Eugene Island OPD are shown in Figure 3.4. The wells range from a non-zero depth</w:t>
      </w:r>
      <w:r w:rsidRPr="00EF1323">
        <w:rPr>
          <w:rStyle w:val="FootnoteReference"/>
        </w:rPr>
        <w:footnoteReference w:id="3"/>
      </w:r>
      <w:r w:rsidRPr="00EF1323">
        <w:t xml:space="preserve"> of </w:t>
      </w:r>
      <w:r w:rsidR="007632B5" w:rsidRPr="00EF1323">
        <w:t>75 m (</w:t>
      </w:r>
      <w:r w:rsidRPr="00EF1323">
        <w:t>245 ft.</w:t>
      </w:r>
      <w:r w:rsidR="007632B5" w:rsidRPr="00EF1323">
        <w:t>)</w:t>
      </w:r>
      <w:r w:rsidRPr="00EF1323">
        <w:t xml:space="preserve"> to</w:t>
      </w:r>
      <w:r w:rsidR="007632B5" w:rsidRPr="00EF1323">
        <w:t xml:space="preserve"> 10,413 m</w:t>
      </w:r>
      <w:r w:rsidRPr="00EF1323">
        <w:t xml:space="preserve"> </w:t>
      </w:r>
      <w:r w:rsidR="007632B5" w:rsidRPr="00EF1323">
        <w:t>(</w:t>
      </w:r>
      <w:r w:rsidRPr="00EF1323">
        <w:t>34,162 ft.</w:t>
      </w:r>
      <w:r w:rsidR="007632B5" w:rsidRPr="00EF1323">
        <w:t>).</w:t>
      </w:r>
      <w:r w:rsidRPr="00EF1323">
        <w:t xml:space="preserve"> The average </w:t>
      </w:r>
      <w:r w:rsidR="00A81503" w:rsidRPr="00EF1323">
        <w:t>T</w:t>
      </w:r>
      <w:r w:rsidR="00A81503">
        <w:t>D</w:t>
      </w:r>
      <w:r w:rsidR="00A81503" w:rsidRPr="00EF1323">
        <w:t xml:space="preserve"> </w:t>
      </w:r>
      <w:r w:rsidRPr="00EF1323">
        <w:t>is</w:t>
      </w:r>
      <w:r w:rsidR="007632B5" w:rsidRPr="00EF1323">
        <w:t xml:space="preserve"> 2,989 m</w:t>
      </w:r>
      <w:r w:rsidRPr="00EF1323">
        <w:t xml:space="preserve"> </w:t>
      </w:r>
      <w:r w:rsidR="007632B5" w:rsidRPr="00EF1323">
        <w:t>(</w:t>
      </w:r>
      <w:r w:rsidRPr="00EF1323">
        <w:t>9,808 ft.</w:t>
      </w:r>
      <w:r w:rsidR="007632B5" w:rsidRPr="00EF1323">
        <w:t>)</w:t>
      </w:r>
      <w:r w:rsidRPr="00EF1323">
        <w:t xml:space="preserve"> with a standard deviation of</w:t>
      </w:r>
      <w:r w:rsidR="007632B5" w:rsidRPr="00EF1323">
        <w:t xml:space="preserve"> 1,098 m</w:t>
      </w:r>
      <w:r w:rsidRPr="00EF1323">
        <w:t xml:space="preserve"> </w:t>
      </w:r>
      <w:r w:rsidR="007632B5" w:rsidRPr="00EF1323">
        <w:t>(</w:t>
      </w:r>
      <w:r w:rsidRPr="00EF1323">
        <w:t>3,604 ft.</w:t>
      </w:r>
      <w:r w:rsidR="007632B5" w:rsidRPr="00EF1323">
        <w:t>).</w:t>
      </w:r>
      <w:r w:rsidRPr="00EF1323">
        <w:t xml:space="preserve"> </w:t>
      </w:r>
      <w:r w:rsidR="007632B5" w:rsidRPr="00EF1323">
        <w:t xml:space="preserve">Figure 3.4 </w:t>
      </w:r>
      <w:r w:rsidRPr="00EF1323">
        <w:t>indicates that</w:t>
      </w:r>
      <w:r w:rsidR="003562BC" w:rsidRPr="00EF1323">
        <w:t xml:space="preserve"> of the Eugene Island OPD</w:t>
      </w:r>
      <w:r w:rsidRPr="00EF1323">
        <w:t xml:space="preserve"> </w:t>
      </w:r>
      <w:r w:rsidR="003562BC" w:rsidRPr="00EF1323">
        <w:t>wells, the medium TD range</w:t>
      </w:r>
      <w:r w:rsidR="003562BC">
        <w:t xml:space="preserve"> is </w:t>
      </w:r>
      <w:r w:rsidRPr="00EC7EFC">
        <w:t>between</w:t>
      </w:r>
      <w:r w:rsidR="007632B5">
        <w:t xml:space="preserve"> 1,219 </w:t>
      </w:r>
      <w:r w:rsidR="007632B5" w:rsidRPr="00EC7EFC">
        <w:t>–</w:t>
      </w:r>
      <w:r w:rsidR="007632B5">
        <w:t xml:space="preserve"> 3,658 m</w:t>
      </w:r>
      <w:r w:rsidRPr="00EC7EFC">
        <w:t xml:space="preserve"> </w:t>
      </w:r>
      <w:r w:rsidR="007632B5">
        <w:t>(</w:t>
      </w:r>
      <w:r w:rsidRPr="00EC7EFC">
        <w:t>4,000 – 12,000 ft.</w:t>
      </w:r>
      <w:r w:rsidR="007632B5">
        <w:t>).</w:t>
      </w:r>
    </w:p>
    <w:p w14:paraId="10123368" w14:textId="653FAB5A" w:rsidR="004356F7" w:rsidRDefault="004356F7" w:rsidP="00BC23AD">
      <w:pPr>
        <w:pStyle w:val="NoSpacing"/>
      </w:pPr>
    </w:p>
    <w:p w14:paraId="1DC31D70" w14:textId="5E7AAB49" w:rsidR="00D00E3D" w:rsidRPr="00EC7EFC" w:rsidRDefault="00D00E3D" w:rsidP="00BC23AD">
      <w:pPr>
        <w:pStyle w:val="NoSpacing"/>
      </w:pPr>
      <w:r>
        <w:rPr>
          <w:noProof/>
        </w:rPr>
        <w:drawing>
          <wp:inline distT="0" distB="0" distL="0" distR="0" wp14:anchorId="62F76211" wp14:editId="5A6C956A">
            <wp:extent cx="4114800" cy="2468537"/>
            <wp:effectExtent l="0" t="0" r="0" b="825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114800" cy="2468537"/>
                    </a:xfrm>
                    <a:prstGeom prst="rect">
                      <a:avLst/>
                    </a:prstGeom>
                    <a:noFill/>
                  </pic:spPr>
                </pic:pic>
              </a:graphicData>
            </a:graphic>
          </wp:inline>
        </w:drawing>
      </w:r>
    </w:p>
    <w:p w14:paraId="254AC385" w14:textId="170473D4" w:rsidR="004356F7" w:rsidRDefault="004356F7" w:rsidP="00BC23AD">
      <w:pPr>
        <w:pStyle w:val="Caption"/>
      </w:pPr>
      <w:bookmarkStart w:id="55" w:name="_Ref533003324"/>
      <w:bookmarkStart w:id="56" w:name="_Toc7166657"/>
      <w:bookmarkStart w:id="57" w:name="_Toc67566208"/>
      <w:r w:rsidRPr="00EC7EFC">
        <w:t xml:space="preserve">Figure </w:t>
      </w:r>
      <w:r w:rsidR="00077C0B">
        <w:fldChar w:fldCharType="begin"/>
      </w:r>
      <w:r w:rsidR="00077C0B">
        <w:instrText xml:space="preserve"> STYLEREF 1 \s </w:instrText>
      </w:r>
      <w:r w:rsidR="00077C0B">
        <w:fldChar w:fldCharType="separate"/>
      </w:r>
      <w:r w:rsidR="0006023A">
        <w:rPr>
          <w:noProof/>
        </w:rPr>
        <w:t>3</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4</w:t>
      </w:r>
      <w:r w:rsidR="00077C0B">
        <w:rPr>
          <w:noProof/>
        </w:rPr>
        <w:fldChar w:fldCharType="end"/>
      </w:r>
      <w:bookmarkEnd w:id="55"/>
      <w:r w:rsidRPr="00EC7EFC">
        <w:t>: T</w:t>
      </w:r>
      <w:r w:rsidR="00B7546D">
        <w:t>otal depth</w:t>
      </w:r>
      <w:r w:rsidRPr="00EC7EFC">
        <w:t xml:space="preserve"> distribution of the wells in the Eugene Island OPD including the distribution of their respective status codes of Completed (COM), Temporarily Abandoned (TA), or Permanently Abandoned (PA).</w:t>
      </w:r>
      <w:bookmarkEnd w:id="56"/>
      <w:bookmarkEnd w:id="57"/>
    </w:p>
    <w:p w14:paraId="403B9BA2" w14:textId="65ED9CD0" w:rsidR="004356F7" w:rsidRDefault="004356F7" w:rsidP="00BC23AD">
      <w:pPr>
        <w:pStyle w:val="NoSpacing"/>
      </w:pPr>
    </w:p>
    <w:p w14:paraId="0214292D" w14:textId="316796B4" w:rsidR="00B7546D" w:rsidRPr="00EC7EFC" w:rsidRDefault="00B7546D" w:rsidP="00BC23AD">
      <w:pPr>
        <w:pStyle w:val="NoSpacing"/>
      </w:pPr>
      <w:r>
        <w:rPr>
          <w:noProof/>
        </w:rPr>
        <w:drawing>
          <wp:inline distT="0" distB="0" distL="0" distR="0" wp14:anchorId="34FB82B0" wp14:editId="605A6608">
            <wp:extent cx="4114800" cy="2468537"/>
            <wp:effectExtent l="0" t="0" r="0" b="825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114800" cy="2468537"/>
                    </a:xfrm>
                    <a:prstGeom prst="rect">
                      <a:avLst/>
                    </a:prstGeom>
                    <a:noFill/>
                  </pic:spPr>
                </pic:pic>
              </a:graphicData>
            </a:graphic>
          </wp:inline>
        </w:drawing>
      </w:r>
    </w:p>
    <w:p w14:paraId="49CE7948" w14:textId="3043EB50" w:rsidR="004356F7" w:rsidRPr="00EC7EFC" w:rsidRDefault="004356F7" w:rsidP="00BC23AD">
      <w:pPr>
        <w:pStyle w:val="Caption"/>
      </w:pPr>
      <w:bookmarkStart w:id="58" w:name="_Ref533006097"/>
      <w:bookmarkStart w:id="59" w:name="_Toc7166658"/>
      <w:bookmarkStart w:id="60" w:name="_Toc67566209"/>
      <w:r w:rsidRPr="00EC7EFC">
        <w:t xml:space="preserve">Figure </w:t>
      </w:r>
      <w:r w:rsidR="00077C0B">
        <w:fldChar w:fldCharType="begin"/>
      </w:r>
      <w:r w:rsidR="00077C0B">
        <w:instrText xml:space="preserve"> STYLEREF 1 \s </w:instrText>
      </w:r>
      <w:r w:rsidR="00077C0B">
        <w:fldChar w:fldCharType="separate"/>
      </w:r>
      <w:r w:rsidR="0006023A">
        <w:rPr>
          <w:noProof/>
        </w:rPr>
        <w:t>3</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5</w:t>
      </w:r>
      <w:r w:rsidR="00077C0B">
        <w:rPr>
          <w:noProof/>
        </w:rPr>
        <w:fldChar w:fldCharType="end"/>
      </w:r>
      <w:bookmarkEnd w:id="58"/>
      <w:r w:rsidRPr="00EC7EFC">
        <w:t>: Spud date distribution of the wells in the Eugene Island OPD including the distribution of their respective status codes of COM, TA, or PA.</w:t>
      </w:r>
      <w:bookmarkEnd w:id="59"/>
      <w:bookmarkEnd w:id="60"/>
    </w:p>
    <w:p w14:paraId="110F9A6C" w14:textId="6B40AC5D" w:rsidR="004356F7" w:rsidRDefault="004356F7" w:rsidP="004356F7">
      <w:pPr>
        <w:ind w:firstLine="720"/>
      </w:pPr>
      <w:r w:rsidRPr="00EC7EFC">
        <w:t xml:space="preserve">The distribution of </w:t>
      </w:r>
      <w:r w:rsidRPr="00EF1323">
        <w:t>borehole spud dates with their respective status codes is shown in</w:t>
      </w:r>
      <w:r w:rsidR="007632B5" w:rsidRPr="00EF1323">
        <w:t xml:space="preserve"> Figure 3.5. </w:t>
      </w:r>
      <w:r w:rsidRPr="00EF1323">
        <w:t>The first borehole spud in the Eugene Island OPD was May 1947, and the most recent b</w:t>
      </w:r>
      <w:r w:rsidR="007632B5" w:rsidRPr="00EF1323">
        <w:t xml:space="preserve">orehole was spud in June 2018. </w:t>
      </w:r>
      <w:r w:rsidRPr="00EF1323">
        <w:t>It is important to note that active drilling is still occurring in this OPD, and the data used in this project was acquired</w:t>
      </w:r>
      <w:r w:rsidR="007632B5" w:rsidRPr="00EF1323">
        <w:t xml:space="preserve"> in September 2018. </w:t>
      </w:r>
      <w:r w:rsidRPr="00EF1323">
        <w:t>The average borehole spud date is 07/06/1982 with a st</w:t>
      </w:r>
      <w:r w:rsidR="007632B5" w:rsidRPr="00EF1323">
        <w:t>andard deviation of 15.3 years.</w:t>
      </w:r>
      <w:r w:rsidRPr="00EF1323">
        <w:t xml:space="preserve"> </w:t>
      </w:r>
      <w:r w:rsidR="007632B5" w:rsidRPr="00EF1323">
        <w:t xml:space="preserve">Figure 3.5 </w:t>
      </w:r>
      <w:r w:rsidRPr="00EF1323">
        <w:t xml:space="preserve">shows that the majority of the wells </w:t>
      </w:r>
      <w:r w:rsidRPr="00EF1323">
        <w:lastRenderedPageBreak/>
        <w:t>that are still producing are recently drilled (within the</w:t>
      </w:r>
      <w:r w:rsidRPr="00EC7EFC">
        <w:t xml:space="preserve"> </w:t>
      </w:r>
      <w:r w:rsidR="00806BEE">
        <w:t>last three decades).</w:t>
      </w:r>
      <w:r w:rsidRPr="00EC7EFC">
        <w:t xml:space="preserve"> 13% of the 135 wells drilled after 2010 are abandoned (9 TA &amp; 9 PA).</w:t>
      </w:r>
    </w:p>
    <w:p w14:paraId="6EA8E75A" w14:textId="43001993" w:rsidR="00806BEE" w:rsidRPr="00EC7EFC" w:rsidRDefault="00806BEE" w:rsidP="004356F7">
      <w:pPr>
        <w:ind w:firstLine="720"/>
      </w:pPr>
      <w:r w:rsidRPr="006C3C73">
        <w:t xml:space="preserve">The distribution </w:t>
      </w:r>
      <w:r w:rsidRPr="00EF1323">
        <w:t>of well water depths with their respective status codes is shown in Figure 3.6. The range of non-zero water depths are from 2 m (8 ft.) to 168 m (550 ft.). The average water depth is 46 m (151 ft.) wit</w:t>
      </w:r>
      <w:r w:rsidRPr="006C3C73">
        <w:t>h a</w:t>
      </w:r>
      <w:r>
        <w:t xml:space="preserve"> standard deviation of 32 m (105 ft.)</w:t>
      </w:r>
      <w:r w:rsidR="00506469">
        <w:t xml:space="preserve"> </w:t>
      </w:r>
      <w:r w:rsidR="00353321">
        <w:t>(d</w:t>
      </w:r>
      <w:r w:rsidRPr="006C3C73">
        <w:t>ata for water depths was missing for nine well</w:t>
      </w:r>
      <w:r>
        <w:t>s and had a water depth of zero</w:t>
      </w:r>
      <w:r w:rsidR="00A314A8">
        <w:t>.</w:t>
      </w:r>
      <w:r w:rsidRPr="006C3C73">
        <w:t xml:space="preserve"> These values were omitted from the figure</w:t>
      </w:r>
      <w:r w:rsidR="00AC6776">
        <w:t>)</w:t>
      </w:r>
      <w:r>
        <w:t>.</w:t>
      </w:r>
    </w:p>
    <w:p w14:paraId="78F272CB" w14:textId="3731ED21" w:rsidR="00806BEE" w:rsidRDefault="00806BEE" w:rsidP="00BC23AD">
      <w:pPr>
        <w:pStyle w:val="NoSpacing"/>
      </w:pPr>
    </w:p>
    <w:p w14:paraId="3DD1AEF0" w14:textId="714D9584" w:rsidR="00D00E3D" w:rsidRPr="00EC7EFC" w:rsidRDefault="00D00E3D" w:rsidP="00BC23AD">
      <w:pPr>
        <w:pStyle w:val="NoSpacing"/>
      </w:pPr>
      <w:r>
        <w:rPr>
          <w:noProof/>
        </w:rPr>
        <w:drawing>
          <wp:inline distT="0" distB="0" distL="0" distR="0" wp14:anchorId="1783B4CC" wp14:editId="210A0CC7">
            <wp:extent cx="4114800" cy="2452191"/>
            <wp:effectExtent l="0" t="0" r="0" b="571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114800" cy="2452191"/>
                    </a:xfrm>
                    <a:prstGeom prst="rect">
                      <a:avLst/>
                    </a:prstGeom>
                    <a:noFill/>
                  </pic:spPr>
                </pic:pic>
              </a:graphicData>
            </a:graphic>
          </wp:inline>
        </w:drawing>
      </w:r>
    </w:p>
    <w:p w14:paraId="082ABE33" w14:textId="79D90265" w:rsidR="00806BEE" w:rsidRDefault="00806BEE" w:rsidP="00BC23AD">
      <w:pPr>
        <w:pStyle w:val="Caption"/>
      </w:pPr>
      <w:bookmarkStart w:id="61" w:name="_Ref533007092"/>
      <w:bookmarkStart w:id="62" w:name="_Toc7166660"/>
      <w:bookmarkStart w:id="63" w:name="_Toc67566210"/>
      <w:r w:rsidRPr="00EC7EFC">
        <w:t xml:space="preserve">Figure </w:t>
      </w:r>
      <w:r w:rsidR="00077C0B">
        <w:fldChar w:fldCharType="begin"/>
      </w:r>
      <w:r w:rsidR="00077C0B">
        <w:instrText xml:space="preserve"> STYLEREF 1 \s </w:instrText>
      </w:r>
      <w:r w:rsidR="00077C0B">
        <w:fldChar w:fldCharType="separate"/>
      </w:r>
      <w:r w:rsidR="0006023A">
        <w:rPr>
          <w:noProof/>
        </w:rPr>
        <w:t>3</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6</w:t>
      </w:r>
      <w:r w:rsidR="00077C0B">
        <w:rPr>
          <w:noProof/>
        </w:rPr>
        <w:fldChar w:fldCharType="end"/>
      </w:r>
      <w:bookmarkEnd w:id="61"/>
      <w:r w:rsidRPr="00EC7EFC">
        <w:t>: Water depth distribution of the wells in the Eugene Island OPD including the distribution of their respective status codes of COM, TA, or PA.</w:t>
      </w:r>
      <w:bookmarkEnd w:id="62"/>
      <w:bookmarkEnd w:id="63"/>
    </w:p>
    <w:p w14:paraId="5AD1560E" w14:textId="0C3F3E19" w:rsidR="00414FDD" w:rsidRPr="006C3C73" w:rsidRDefault="00414FDD" w:rsidP="00414FDD">
      <w:pPr>
        <w:ind w:firstLine="720"/>
      </w:pPr>
      <w:r w:rsidRPr="006C3C73">
        <w:t xml:space="preserve">After an analysis of all the distribution for wells in the Eugene Island OPD, the well </w:t>
      </w:r>
      <w:r w:rsidR="003563F1">
        <w:t xml:space="preserve">characteristics </w:t>
      </w:r>
      <w:r w:rsidRPr="006C3C73">
        <w:t>in this region</w:t>
      </w:r>
      <w:r w:rsidR="003563F1">
        <w:t xml:space="preserve"> are</w:t>
      </w:r>
      <w:r w:rsidRPr="006C3C73">
        <w:t>:</w:t>
      </w:r>
    </w:p>
    <w:p w14:paraId="2BDF3712" w14:textId="77777777" w:rsidR="00414FDD" w:rsidRPr="006C3C73" w:rsidRDefault="00414FDD" w:rsidP="00FF2CA0">
      <w:pPr>
        <w:pStyle w:val="ListParagraph"/>
        <w:numPr>
          <w:ilvl w:val="0"/>
          <w:numId w:val="14"/>
        </w:numPr>
        <w:spacing w:after="200" w:line="240" w:lineRule="auto"/>
      </w:pPr>
      <w:r w:rsidRPr="006C3C73">
        <w:t>Status Code: PA</w:t>
      </w:r>
    </w:p>
    <w:p w14:paraId="2D507B2B" w14:textId="6E5BBB3B" w:rsidR="00414FDD" w:rsidRPr="006C3C73" w:rsidRDefault="00414FDD" w:rsidP="00FF2CA0">
      <w:pPr>
        <w:pStyle w:val="ListParagraph"/>
        <w:numPr>
          <w:ilvl w:val="0"/>
          <w:numId w:val="14"/>
        </w:numPr>
        <w:spacing w:after="200" w:line="240" w:lineRule="auto"/>
      </w:pPr>
      <w:r w:rsidRPr="006C3C73">
        <w:t>TD:</w:t>
      </w:r>
      <w:r>
        <w:t xml:space="preserve"> 2,989 ± 1,098 m</w:t>
      </w:r>
      <w:r w:rsidRPr="006C3C73">
        <w:t xml:space="preserve"> </w:t>
      </w:r>
      <w:r>
        <w:t>(</w:t>
      </w:r>
      <w:r w:rsidRPr="006C3C73">
        <w:t>9,808 ± 3</w:t>
      </w:r>
      <w:r>
        <w:t>,</w:t>
      </w:r>
      <w:r w:rsidRPr="006C3C73">
        <w:t>604 ft.</w:t>
      </w:r>
      <w:r>
        <w:t>)</w:t>
      </w:r>
    </w:p>
    <w:p w14:paraId="4530FE29" w14:textId="77777777" w:rsidR="00414FDD" w:rsidRDefault="00414FDD" w:rsidP="00FF2CA0">
      <w:pPr>
        <w:pStyle w:val="ListParagraph"/>
        <w:numPr>
          <w:ilvl w:val="0"/>
          <w:numId w:val="14"/>
        </w:numPr>
        <w:spacing w:after="200" w:line="240" w:lineRule="auto"/>
      </w:pPr>
      <w:r w:rsidRPr="006C3C73">
        <w:t>Spud Date: 7/6/1982 ± 15.3 years</w:t>
      </w:r>
    </w:p>
    <w:p w14:paraId="02864CE1" w14:textId="6D75FFD8" w:rsidR="004356F7" w:rsidRDefault="00414FDD" w:rsidP="00FF2CA0">
      <w:pPr>
        <w:pStyle w:val="ListParagraph"/>
        <w:numPr>
          <w:ilvl w:val="0"/>
          <w:numId w:val="14"/>
        </w:numPr>
        <w:spacing w:after="200" w:line="240" w:lineRule="auto"/>
      </w:pPr>
      <w:r w:rsidRPr="006C3C73">
        <w:t xml:space="preserve">Water Depth: </w:t>
      </w:r>
      <w:r>
        <w:t>46 ± 32 m (</w:t>
      </w:r>
      <w:r w:rsidRPr="006C3C73">
        <w:t>151 ± 105 ft</w:t>
      </w:r>
      <w:r>
        <w:t>.)</w:t>
      </w:r>
    </w:p>
    <w:p w14:paraId="5970F747" w14:textId="77777777" w:rsidR="004356F7" w:rsidRPr="003955A6" w:rsidRDefault="004356F7" w:rsidP="003955A6">
      <w:pPr>
        <w:ind w:firstLine="720"/>
      </w:pPr>
    </w:p>
    <w:p w14:paraId="0186962A" w14:textId="6E9A334E" w:rsidR="000A00BA" w:rsidRDefault="0064135B" w:rsidP="003E1B51">
      <w:pPr>
        <w:pStyle w:val="Heading3"/>
      </w:pPr>
      <w:bookmarkStart w:id="64" w:name="_Toc67566039"/>
      <w:r>
        <w:lastRenderedPageBreak/>
        <w:t>Three Representative Wells</w:t>
      </w:r>
      <w:bookmarkEnd w:id="64"/>
    </w:p>
    <w:p w14:paraId="52EF2ECA" w14:textId="033423A2" w:rsidR="00793120" w:rsidRDefault="00793120" w:rsidP="00793120">
      <w:pPr>
        <w:ind w:firstLine="720"/>
      </w:pPr>
      <w:r w:rsidRPr="006C3C73">
        <w:t>A case study for the Eugene Island OPD will be performed with the characteristics of a medium depth</w:t>
      </w:r>
      <w:r>
        <w:t xml:space="preserve"> well. </w:t>
      </w:r>
      <w:r w:rsidRPr="006C3C73">
        <w:t xml:space="preserve">The well that </w:t>
      </w:r>
      <w:r>
        <w:t>was</w:t>
      </w:r>
      <w:r w:rsidRPr="006C3C73">
        <w:t xml:space="preserve"> selected </w:t>
      </w:r>
      <w:r>
        <w:t xml:space="preserve">as the medium deep well </w:t>
      </w:r>
      <w:r w:rsidRPr="006C3C73">
        <w:t>was</w:t>
      </w:r>
      <w:r>
        <w:t xml:space="preserve"> Well API Number 177100002670. </w:t>
      </w:r>
      <w:r w:rsidRPr="006C3C73">
        <w:t>The characteristics of this well are as follows:</w:t>
      </w:r>
    </w:p>
    <w:p w14:paraId="3E4B93CC" w14:textId="77777777" w:rsidR="00793120" w:rsidRPr="00793120" w:rsidRDefault="00793120" w:rsidP="00793120">
      <w:pPr>
        <w:spacing w:line="240" w:lineRule="auto"/>
        <w:ind w:firstLine="720"/>
        <w:rPr>
          <w:b/>
        </w:rPr>
      </w:pPr>
      <w:r w:rsidRPr="006C3C73">
        <w:tab/>
      </w:r>
      <w:r w:rsidRPr="00793120">
        <w:rPr>
          <w:b/>
        </w:rPr>
        <w:t>Medium Well</w:t>
      </w:r>
    </w:p>
    <w:p w14:paraId="7471CADA" w14:textId="77777777" w:rsidR="00793120" w:rsidRPr="006C3C73" w:rsidRDefault="00793120" w:rsidP="00FF2CA0">
      <w:pPr>
        <w:pStyle w:val="ListParagraph"/>
        <w:numPr>
          <w:ilvl w:val="0"/>
          <w:numId w:val="15"/>
        </w:numPr>
        <w:spacing w:after="200" w:line="240" w:lineRule="auto"/>
      </w:pPr>
      <w:r w:rsidRPr="006C3C73">
        <w:t>API Well Number: 177100002670</w:t>
      </w:r>
    </w:p>
    <w:p w14:paraId="4C8013EA" w14:textId="77777777" w:rsidR="00793120" w:rsidRPr="006C3C73" w:rsidRDefault="00793120" w:rsidP="00FF2CA0">
      <w:pPr>
        <w:pStyle w:val="ListParagraph"/>
        <w:numPr>
          <w:ilvl w:val="0"/>
          <w:numId w:val="15"/>
        </w:numPr>
        <w:spacing w:after="200" w:line="240" w:lineRule="auto"/>
      </w:pPr>
      <w:r w:rsidRPr="006C3C73">
        <w:t>Status Code: PA</w:t>
      </w:r>
    </w:p>
    <w:p w14:paraId="6888E89F" w14:textId="0CF1F523" w:rsidR="00793120" w:rsidRDefault="00793120" w:rsidP="00FF2CA0">
      <w:pPr>
        <w:pStyle w:val="ListParagraph"/>
        <w:numPr>
          <w:ilvl w:val="0"/>
          <w:numId w:val="15"/>
        </w:numPr>
        <w:spacing w:after="200" w:line="240" w:lineRule="auto"/>
      </w:pPr>
      <w:r w:rsidRPr="006C3C73">
        <w:t xml:space="preserve">TD: </w:t>
      </w:r>
      <w:r w:rsidR="00172DAA">
        <w:tab/>
      </w:r>
      <w:r>
        <w:t>3,014 m (</w:t>
      </w:r>
      <w:r w:rsidRPr="006C3C73">
        <w:t>9,889 ft.</w:t>
      </w:r>
      <w:r>
        <w:t>)</w:t>
      </w:r>
    </w:p>
    <w:p w14:paraId="24E08AB9" w14:textId="6DD406B4" w:rsidR="00172DAA" w:rsidRPr="006C3C73" w:rsidRDefault="00172DAA" w:rsidP="00FF2CA0">
      <w:pPr>
        <w:pStyle w:val="ListParagraph"/>
        <w:numPr>
          <w:ilvl w:val="0"/>
          <w:numId w:val="15"/>
        </w:numPr>
        <w:spacing w:after="200" w:line="240" w:lineRule="auto"/>
      </w:pPr>
      <w:r>
        <w:t xml:space="preserve">MD: </w:t>
      </w:r>
      <w:r>
        <w:tab/>
        <w:t>3,067 m (10,063 ft.)</w:t>
      </w:r>
    </w:p>
    <w:p w14:paraId="67511C30" w14:textId="77777777" w:rsidR="00793120" w:rsidRPr="006C3C73" w:rsidRDefault="00793120" w:rsidP="00FF2CA0">
      <w:pPr>
        <w:pStyle w:val="ListParagraph"/>
        <w:numPr>
          <w:ilvl w:val="0"/>
          <w:numId w:val="15"/>
        </w:numPr>
        <w:spacing w:after="200" w:line="240" w:lineRule="auto"/>
      </w:pPr>
      <w:r w:rsidRPr="006C3C73">
        <w:t>Spud Date: 04/30/1981</w:t>
      </w:r>
    </w:p>
    <w:p w14:paraId="2DB34404" w14:textId="6E9FA870" w:rsidR="00793120" w:rsidRPr="006C3C73" w:rsidRDefault="00793120" w:rsidP="00FF2CA0">
      <w:pPr>
        <w:pStyle w:val="ListParagraph"/>
        <w:numPr>
          <w:ilvl w:val="0"/>
          <w:numId w:val="15"/>
        </w:numPr>
        <w:spacing w:after="200" w:line="240" w:lineRule="auto"/>
      </w:pPr>
      <w:r w:rsidRPr="006C3C73">
        <w:t xml:space="preserve">Water Depth: </w:t>
      </w:r>
      <w:r>
        <w:t>55 m (</w:t>
      </w:r>
      <w:r w:rsidRPr="006C3C73">
        <w:t>180 ft.</w:t>
      </w:r>
      <w:r>
        <w:t>)</w:t>
      </w:r>
      <w:r w:rsidRPr="006C3C73">
        <w:t xml:space="preserve"> </w:t>
      </w:r>
    </w:p>
    <w:p w14:paraId="51451A7B" w14:textId="77777777" w:rsidR="00793120" w:rsidRPr="006C3C73" w:rsidRDefault="00793120" w:rsidP="00FF2CA0">
      <w:pPr>
        <w:pStyle w:val="ListParagraph"/>
        <w:numPr>
          <w:ilvl w:val="0"/>
          <w:numId w:val="15"/>
        </w:numPr>
        <w:spacing w:after="200" w:line="240" w:lineRule="auto"/>
      </w:pPr>
      <w:r w:rsidRPr="006C3C73">
        <w:t>Production Data: Yes</w:t>
      </w:r>
    </w:p>
    <w:p w14:paraId="6315B008" w14:textId="4291BAA8" w:rsidR="00793120" w:rsidRPr="006C3C73" w:rsidRDefault="00793120" w:rsidP="00FF2CA0">
      <w:pPr>
        <w:pStyle w:val="ListParagraph"/>
        <w:numPr>
          <w:ilvl w:val="0"/>
          <w:numId w:val="15"/>
        </w:numPr>
        <w:spacing w:after="200" w:line="240" w:lineRule="auto"/>
      </w:pPr>
      <w:r w:rsidRPr="006C3C73">
        <w:t xml:space="preserve">Bottom Hole Pressure (BHP) Gradient: </w:t>
      </w:r>
      <w:r>
        <w:t>9.50 kPa/m (</w:t>
      </w:r>
      <w:r w:rsidRPr="006C3C73">
        <w:t>0.420 psi/ft.</w:t>
      </w:r>
      <w:r>
        <w:t>)</w:t>
      </w:r>
    </w:p>
    <w:p w14:paraId="520F0A75" w14:textId="0CCBDE1A" w:rsidR="00793120" w:rsidRPr="006C3C73" w:rsidRDefault="00793120" w:rsidP="00793120">
      <w:pPr>
        <w:ind w:firstLine="360"/>
      </w:pPr>
      <w:r w:rsidRPr="006C3C73">
        <w:t xml:space="preserve">This well is considered the base well, but we are also interested in the wells on the low and high ends of the </w:t>
      </w:r>
      <w:r w:rsidRPr="00A81503">
        <w:t>TD, e</w:t>
      </w:r>
      <w:r w:rsidRPr="006C3C73">
        <w:t>xcluding outliers, to create three representative well scenarios for the OPD.</w:t>
      </w:r>
      <w:r>
        <w:t xml:space="preserve"> </w:t>
      </w:r>
      <w:r w:rsidR="00176B8F">
        <w:t>The criteria for the deep and shallow depth wells</w:t>
      </w:r>
      <w:r w:rsidRPr="006C3C73">
        <w:t xml:space="preserve"> w</w:t>
      </w:r>
      <w:r w:rsidR="006C6395">
        <w:t>ere</w:t>
      </w:r>
      <w:r w:rsidRPr="006C3C73">
        <w:t xml:space="preserve"> TD, production data, and a BHP that is similar to the medium depth</w:t>
      </w:r>
      <w:r>
        <w:t xml:space="preserve"> well. </w:t>
      </w:r>
      <w:r w:rsidRPr="006C3C73">
        <w:t>The wells on the deep and shallow end of the TD are as follows:</w:t>
      </w:r>
    </w:p>
    <w:p w14:paraId="26110565" w14:textId="77777777" w:rsidR="00793120" w:rsidRPr="00793120" w:rsidRDefault="00793120" w:rsidP="00793120">
      <w:pPr>
        <w:spacing w:line="240" w:lineRule="auto"/>
        <w:ind w:left="360" w:firstLine="720"/>
        <w:rPr>
          <w:b/>
        </w:rPr>
      </w:pPr>
      <w:r w:rsidRPr="00793120">
        <w:rPr>
          <w:b/>
        </w:rPr>
        <w:t>Deep Well</w:t>
      </w:r>
    </w:p>
    <w:p w14:paraId="7608B3D4" w14:textId="77777777" w:rsidR="00793120" w:rsidRPr="006C3C73" w:rsidRDefault="00793120" w:rsidP="00FF2CA0">
      <w:pPr>
        <w:pStyle w:val="ListParagraph"/>
        <w:numPr>
          <w:ilvl w:val="0"/>
          <w:numId w:val="15"/>
        </w:numPr>
        <w:spacing w:after="200" w:line="240" w:lineRule="auto"/>
      </w:pPr>
      <w:r w:rsidRPr="006C3C73">
        <w:t>API Well Number: 177094046200</w:t>
      </w:r>
    </w:p>
    <w:p w14:paraId="46E7B870" w14:textId="77777777" w:rsidR="00793120" w:rsidRPr="006C3C73" w:rsidRDefault="00793120" w:rsidP="00FF2CA0">
      <w:pPr>
        <w:pStyle w:val="ListParagraph"/>
        <w:numPr>
          <w:ilvl w:val="0"/>
          <w:numId w:val="15"/>
        </w:numPr>
        <w:spacing w:after="200" w:line="240" w:lineRule="auto"/>
      </w:pPr>
      <w:r w:rsidRPr="006C3C73">
        <w:t>Status Code: COM</w:t>
      </w:r>
    </w:p>
    <w:p w14:paraId="429B743C" w14:textId="0D57FD92" w:rsidR="00793120" w:rsidRDefault="00793120" w:rsidP="00FF2CA0">
      <w:pPr>
        <w:pStyle w:val="ListParagraph"/>
        <w:numPr>
          <w:ilvl w:val="0"/>
          <w:numId w:val="15"/>
        </w:numPr>
        <w:spacing w:after="200" w:line="240" w:lineRule="auto"/>
      </w:pPr>
      <w:r w:rsidRPr="006C3C73">
        <w:t>TD:</w:t>
      </w:r>
      <w:r w:rsidR="00172DAA">
        <w:tab/>
      </w:r>
      <w:r>
        <w:t>6,028 m (</w:t>
      </w:r>
      <w:r w:rsidRPr="006C3C73">
        <w:t>19,776 ft.</w:t>
      </w:r>
      <w:r w:rsidR="0031250F">
        <w:t>)</w:t>
      </w:r>
    </w:p>
    <w:p w14:paraId="7405C2D5" w14:textId="7646770B" w:rsidR="00172DAA" w:rsidRPr="006C3C73" w:rsidRDefault="00172DAA" w:rsidP="00FF2CA0">
      <w:pPr>
        <w:pStyle w:val="ListParagraph"/>
        <w:numPr>
          <w:ilvl w:val="0"/>
          <w:numId w:val="15"/>
        </w:numPr>
        <w:spacing w:after="200" w:line="240" w:lineRule="auto"/>
      </w:pPr>
      <w:r>
        <w:t>MD:</w:t>
      </w:r>
      <w:r>
        <w:tab/>
        <w:t>6,127 m (20,103 ft.)</w:t>
      </w:r>
    </w:p>
    <w:p w14:paraId="60C6E994" w14:textId="77777777" w:rsidR="00793120" w:rsidRPr="006C3C73" w:rsidRDefault="00793120" w:rsidP="00FF2CA0">
      <w:pPr>
        <w:pStyle w:val="ListParagraph"/>
        <w:numPr>
          <w:ilvl w:val="0"/>
          <w:numId w:val="15"/>
        </w:numPr>
        <w:spacing w:after="200" w:line="240" w:lineRule="auto"/>
      </w:pPr>
      <w:r w:rsidRPr="006C3C73">
        <w:t>Spud Date: 08/07/1981</w:t>
      </w:r>
    </w:p>
    <w:p w14:paraId="49FBAD0E" w14:textId="5AF36AFE" w:rsidR="00793120" w:rsidRPr="006C3C73" w:rsidRDefault="00793120" w:rsidP="00FF2CA0">
      <w:pPr>
        <w:pStyle w:val="ListParagraph"/>
        <w:numPr>
          <w:ilvl w:val="0"/>
          <w:numId w:val="15"/>
        </w:numPr>
        <w:spacing w:after="200" w:line="240" w:lineRule="auto"/>
      </w:pPr>
      <w:r w:rsidRPr="006C3C73">
        <w:t>Water Depth:</w:t>
      </w:r>
      <w:r w:rsidR="0031250F">
        <w:t xml:space="preserve"> 7 m</w:t>
      </w:r>
      <w:r w:rsidRPr="006C3C73">
        <w:t xml:space="preserve"> </w:t>
      </w:r>
      <w:r w:rsidR="0031250F">
        <w:t>(</w:t>
      </w:r>
      <w:r w:rsidRPr="006C3C73">
        <w:t>22 ft.</w:t>
      </w:r>
      <w:r w:rsidR="0031250F">
        <w:t>)</w:t>
      </w:r>
      <w:r w:rsidRPr="006C3C73">
        <w:t xml:space="preserve"> </w:t>
      </w:r>
    </w:p>
    <w:p w14:paraId="572AC734" w14:textId="77777777" w:rsidR="00793120" w:rsidRPr="006C3C73" w:rsidRDefault="00793120" w:rsidP="00FF2CA0">
      <w:pPr>
        <w:pStyle w:val="ListParagraph"/>
        <w:numPr>
          <w:ilvl w:val="0"/>
          <w:numId w:val="15"/>
        </w:numPr>
        <w:spacing w:after="200" w:line="240" w:lineRule="auto"/>
      </w:pPr>
      <w:r w:rsidRPr="006C3C73">
        <w:t>Production Data: Yes</w:t>
      </w:r>
    </w:p>
    <w:p w14:paraId="1F28FCEB" w14:textId="3A8C702B" w:rsidR="00793120" w:rsidRPr="00BA653E" w:rsidRDefault="00793120" w:rsidP="00FF2CA0">
      <w:pPr>
        <w:pStyle w:val="ListParagraph"/>
        <w:numPr>
          <w:ilvl w:val="0"/>
          <w:numId w:val="15"/>
        </w:numPr>
        <w:spacing w:after="200" w:line="240" w:lineRule="auto"/>
        <w:rPr>
          <w:lang w:val="nb-NO"/>
        </w:rPr>
      </w:pPr>
      <w:r w:rsidRPr="00BA653E">
        <w:rPr>
          <w:lang w:val="nb-NO"/>
        </w:rPr>
        <w:t xml:space="preserve">BHP Gradient: </w:t>
      </w:r>
      <w:r w:rsidR="0031250F" w:rsidRPr="00BA653E">
        <w:rPr>
          <w:lang w:val="nb-NO"/>
        </w:rPr>
        <w:t>8.84 kPa/m (</w:t>
      </w:r>
      <w:r w:rsidRPr="00BA653E">
        <w:rPr>
          <w:lang w:val="nb-NO"/>
        </w:rPr>
        <w:t>0.391 psi/ft.</w:t>
      </w:r>
      <w:r w:rsidR="0031250F" w:rsidRPr="00BA653E">
        <w:rPr>
          <w:lang w:val="nb-NO"/>
        </w:rPr>
        <w:t>)</w:t>
      </w:r>
    </w:p>
    <w:p w14:paraId="027B93D9" w14:textId="77777777" w:rsidR="00793120" w:rsidRPr="00793120" w:rsidRDefault="00793120" w:rsidP="00793120">
      <w:pPr>
        <w:spacing w:line="240" w:lineRule="auto"/>
        <w:ind w:left="360" w:firstLine="720"/>
        <w:rPr>
          <w:b/>
        </w:rPr>
      </w:pPr>
      <w:r w:rsidRPr="00793120">
        <w:rPr>
          <w:b/>
        </w:rPr>
        <w:t>Shallow Well</w:t>
      </w:r>
    </w:p>
    <w:p w14:paraId="59E3A274" w14:textId="77777777" w:rsidR="00793120" w:rsidRPr="006C3C73" w:rsidRDefault="00793120" w:rsidP="00FF2CA0">
      <w:pPr>
        <w:pStyle w:val="ListParagraph"/>
        <w:numPr>
          <w:ilvl w:val="0"/>
          <w:numId w:val="15"/>
        </w:numPr>
        <w:spacing w:after="200" w:line="240" w:lineRule="auto"/>
      </w:pPr>
      <w:r w:rsidRPr="006C3C73">
        <w:t>API Well Number: 177104115600</w:t>
      </w:r>
    </w:p>
    <w:p w14:paraId="0CDC25F2" w14:textId="77777777" w:rsidR="00793120" w:rsidRPr="006C3C73" w:rsidRDefault="00793120" w:rsidP="00FF2CA0">
      <w:pPr>
        <w:pStyle w:val="ListParagraph"/>
        <w:numPr>
          <w:ilvl w:val="0"/>
          <w:numId w:val="15"/>
        </w:numPr>
        <w:spacing w:after="200" w:line="240" w:lineRule="auto"/>
      </w:pPr>
      <w:r w:rsidRPr="006C3C73">
        <w:t>Status Code: PA</w:t>
      </w:r>
    </w:p>
    <w:p w14:paraId="74A86B4F" w14:textId="08F63EDF" w:rsidR="00793120" w:rsidRDefault="00793120" w:rsidP="00FF2CA0">
      <w:pPr>
        <w:pStyle w:val="ListParagraph"/>
        <w:numPr>
          <w:ilvl w:val="0"/>
          <w:numId w:val="15"/>
        </w:numPr>
        <w:spacing w:after="200" w:line="240" w:lineRule="auto"/>
      </w:pPr>
      <w:r w:rsidRPr="006C3C73">
        <w:t xml:space="preserve">TD: </w:t>
      </w:r>
      <w:r w:rsidR="00172DAA">
        <w:tab/>
      </w:r>
      <w:r w:rsidR="0031250F">
        <w:t>797 m (</w:t>
      </w:r>
      <w:r w:rsidRPr="006C3C73">
        <w:t>2,614 ft.</w:t>
      </w:r>
      <w:r w:rsidR="0031250F">
        <w:t>)</w:t>
      </w:r>
    </w:p>
    <w:p w14:paraId="16C77773" w14:textId="00E8CAA7" w:rsidR="00172DAA" w:rsidRPr="006C3C73" w:rsidRDefault="00172DAA" w:rsidP="00FF2CA0">
      <w:pPr>
        <w:pStyle w:val="ListParagraph"/>
        <w:numPr>
          <w:ilvl w:val="0"/>
          <w:numId w:val="15"/>
        </w:numPr>
        <w:spacing w:after="200" w:line="240" w:lineRule="auto"/>
      </w:pPr>
      <w:r>
        <w:t xml:space="preserve">MD: </w:t>
      </w:r>
      <w:r>
        <w:tab/>
        <w:t>1,204 m (3,950 ft.)</w:t>
      </w:r>
    </w:p>
    <w:p w14:paraId="7C29B0F4" w14:textId="77777777" w:rsidR="00793120" w:rsidRPr="006C3C73" w:rsidRDefault="00793120" w:rsidP="00FF2CA0">
      <w:pPr>
        <w:pStyle w:val="ListParagraph"/>
        <w:numPr>
          <w:ilvl w:val="0"/>
          <w:numId w:val="15"/>
        </w:numPr>
        <w:spacing w:after="200" w:line="240" w:lineRule="auto"/>
      </w:pPr>
      <w:r w:rsidRPr="006C3C73">
        <w:t>Spud Date: 09/18/1985</w:t>
      </w:r>
    </w:p>
    <w:p w14:paraId="66767933" w14:textId="1AE162B7" w:rsidR="00793120" w:rsidRPr="006C3C73" w:rsidRDefault="00793120" w:rsidP="00FF2CA0">
      <w:pPr>
        <w:pStyle w:val="ListParagraph"/>
        <w:numPr>
          <w:ilvl w:val="0"/>
          <w:numId w:val="15"/>
        </w:numPr>
        <w:spacing w:after="200" w:line="240" w:lineRule="auto"/>
      </w:pPr>
      <w:r w:rsidRPr="006C3C73">
        <w:t>Water Depth:</w:t>
      </w:r>
      <w:r w:rsidR="0031250F">
        <w:t xml:space="preserve"> 66 m</w:t>
      </w:r>
      <w:r w:rsidRPr="006C3C73">
        <w:t xml:space="preserve"> </w:t>
      </w:r>
      <w:r w:rsidR="0031250F">
        <w:t>(</w:t>
      </w:r>
      <w:r w:rsidRPr="006C3C73">
        <w:t>215 ft.</w:t>
      </w:r>
      <w:r w:rsidR="0031250F">
        <w:t>)</w:t>
      </w:r>
      <w:r w:rsidRPr="006C3C73">
        <w:t xml:space="preserve"> </w:t>
      </w:r>
    </w:p>
    <w:p w14:paraId="6A147D68" w14:textId="77777777" w:rsidR="00793120" w:rsidRPr="006C3C73" w:rsidRDefault="00793120" w:rsidP="00FF2CA0">
      <w:pPr>
        <w:pStyle w:val="ListParagraph"/>
        <w:numPr>
          <w:ilvl w:val="0"/>
          <w:numId w:val="15"/>
        </w:numPr>
        <w:spacing w:after="200" w:line="240" w:lineRule="auto"/>
      </w:pPr>
      <w:r w:rsidRPr="006C3C73">
        <w:t>Production Data: Yes</w:t>
      </w:r>
    </w:p>
    <w:p w14:paraId="2F1BDD7E" w14:textId="2F12412C" w:rsidR="00793120" w:rsidRPr="00BA653E" w:rsidRDefault="00793120" w:rsidP="00FF2CA0">
      <w:pPr>
        <w:pStyle w:val="ListParagraph"/>
        <w:numPr>
          <w:ilvl w:val="0"/>
          <w:numId w:val="15"/>
        </w:numPr>
        <w:spacing w:after="200" w:line="240" w:lineRule="auto"/>
        <w:rPr>
          <w:lang w:val="nb-NO"/>
        </w:rPr>
      </w:pPr>
      <w:r w:rsidRPr="00BA653E">
        <w:rPr>
          <w:lang w:val="nb-NO"/>
        </w:rPr>
        <w:t xml:space="preserve">BHP Gradient: </w:t>
      </w:r>
      <w:r w:rsidR="0031250F" w:rsidRPr="00BA653E">
        <w:rPr>
          <w:lang w:val="nb-NO"/>
        </w:rPr>
        <w:t>11.1 kPa/m (</w:t>
      </w:r>
      <w:r w:rsidRPr="00BA653E">
        <w:rPr>
          <w:lang w:val="nb-NO"/>
        </w:rPr>
        <w:t>0.490 psi/ft.</w:t>
      </w:r>
      <w:r w:rsidR="0031250F" w:rsidRPr="00BA653E">
        <w:rPr>
          <w:lang w:val="nb-NO"/>
        </w:rPr>
        <w:t>)</w:t>
      </w:r>
    </w:p>
    <w:p w14:paraId="5B0CF507" w14:textId="77777777" w:rsidR="00793120" w:rsidRPr="00BA653E" w:rsidRDefault="00793120" w:rsidP="00793120">
      <w:pPr>
        <w:pStyle w:val="ListParagraph"/>
        <w:spacing w:line="240" w:lineRule="auto"/>
        <w:ind w:left="1440"/>
        <w:rPr>
          <w:lang w:val="nb-NO"/>
        </w:rPr>
      </w:pPr>
    </w:p>
    <w:p w14:paraId="1B20E79C" w14:textId="368CFA4E" w:rsidR="00793120" w:rsidRPr="006C3C73" w:rsidRDefault="0031250F" w:rsidP="00793120">
      <w:pPr>
        <w:ind w:firstLine="720"/>
      </w:pPr>
      <w:r w:rsidRPr="00EF1323">
        <w:lastRenderedPageBreak/>
        <w:t xml:space="preserve">Figure 3.7 </w:t>
      </w:r>
      <w:r w:rsidR="00793120" w:rsidRPr="00EF1323">
        <w:t>depicts a schematic of the three wells: the shallow, the medium, and the deep wells including casing dimensions</w:t>
      </w:r>
      <w:r w:rsidR="00793120" w:rsidRPr="00EC7EFC">
        <w:t xml:space="preserve"> a</w:t>
      </w:r>
      <w:r w:rsidR="00793120" w:rsidRPr="00DC733F">
        <w:t xml:space="preserve">nd depths, casing (or liner) strings, and the approximate locations of the </w:t>
      </w:r>
      <w:r>
        <w:t xml:space="preserve">perforations. </w:t>
      </w:r>
      <w:r w:rsidR="00084BFC">
        <w:t>T</w:t>
      </w:r>
      <w:r w:rsidR="00793120" w:rsidRPr="006C3C73">
        <w:t xml:space="preserve">he simulation depth will be set at the bottom of the previous casing strings above </w:t>
      </w:r>
      <w:r>
        <w:t>the perforations</w:t>
      </w:r>
      <w:r w:rsidR="00793120" w:rsidRPr="006C3C73">
        <w:t xml:space="preserve"> to analyze </w:t>
      </w:r>
      <w:r w:rsidR="00084BFC">
        <w:t xml:space="preserve">if the </w:t>
      </w:r>
      <w:r w:rsidR="00793120" w:rsidRPr="006C3C73">
        <w:t xml:space="preserve">barrier above the production horizon </w:t>
      </w:r>
      <w:r w:rsidR="00084BFC">
        <w:t xml:space="preserve">is intact (i.e. </w:t>
      </w:r>
      <w:r w:rsidR="00793120" w:rsidRPr="006C3C73">
        <w:t>ensure that the cemen</w:t>
      </w:r>
      <w:r w:rsidR="00506469">
        <w:t>t in the annulus is not damaged</w:t>
      </w:r>
      <w:r w:rsidR="00084BFC">
        <w:t>)</w:t>
      </w:r>
      <w:r>
        <w:t>.</w:t>
      </w:r>
      <w:r w:rsidR="00172DAA">
        <w:t xml:space="preserve"> The medium and deep well</w:t>
      </w:r>
      <w:r w:rsidR="00DB2A3F">
        <w:t>s</w:t>
      </w:r>
      <w:r w:rsidR="00172DAA">
        <w:t xml:space="preserve"> have minor deviation [53 m (174 ft.) and 100 m (327 ft.), respectively] while the shallow well appears to be a horizontal well [407 m (1,336 ft.)</w:t>
      </w:r>
      <w:r w:rsidR="006C6395">
        <w:t xml:space="preserve"> given the</w:t>
      </w:r>
      <w:r w:rsidR="00172DAA">
        <w:t xml:space="preserve"> difference between the measured depth (MD) and the </w:t>
      </w:r>
      <w:r w:rsidR="00D657EE">
        <w:t>total</w:t>
      </w:r>
      <w:r w:rsidR="00172DAA">
        <w:t xml:space="preserve"> depth (</w:t>
      </w:r>
      <w:r w:rsidR="00172DAA" w:rsidRPr="00A81503">
        <w:t>TD</w:t>
      </w:r>
      <w:r w:rsidR="00172DAA">
        <w:t>)]. Therefore, t</w:t>
      </w:r>
      <w:r w:rsidR="00793120" w:rsidRPr="006C3C73">
        <w:t>he three wells studied are</w:t>
      </w:r>
      <w:r w:rsidR="00793120">
        <w:t xml:space="preserve"> assumed to be</w:t>
      </w:r>
      <w:r w:rsidR="00793120" w:rsidRPr="006C3C73">
        <w:t xml:space="preserve"> vertical wells.  </w:t>
      </w:r>
    </w:p>
    <w:p w14:paraId="58620BE2" w14:textId="39B912FD" w:rsidR="00793120" w:rsidRDefault="00793120" w:rsidP="00BC23AD">
      <w:pPr>
        <w:pStyle w:val="NoSpacing"/>
      </w:pPr>
    </w:p>
    <w:p w14:paraId="77959023" w14:textId="11DDBAAE" w:rsidR="00D00E3D" w:rsidRPr="00EC7EFC" w:rsidRDefault="00D00E3D" w:rsidP="00BC23AD">
      <w:pPr>
        <w:pStyle w:val="NoSpacing"/>
      </w:pPr>
      <w:r>
        <w:rPr>
          <w:noProof/>
        </w:rPr>
        <w:drawing>
          <wp:inline distT="0" distB="0" distL="0" distR="0" wp14:anchorId="57C7B74C" wp14:editId="68F80177">
            <wp:extent cx="5943600" cy="2860654"/>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43600" cy="2860654"/>
                    </a:xfrm>
                    <a:prstGeom prst="rect">
                      <a:avLst/>
                    </a:prstGeom>
                    <a:noFill/>
                  </pic:spPr>
                </pic:pic>
              </a:graphicData>
            </a:graphic>
          </wp:inline>
        </w:drawing>
      </w:r>
    </w:p>
    <w:p w14:paraId="446ED07E" w14:textId="41196BE8" w:rsidR="00793120" w:rsidRDefault="00793120" w:rsidP="00BC23AD">
      <w:pPr>
        <w:pStyle w:val="Caption"/>
      </w:pPr>
      <w:bookmarkStart w:id="65" w:name="_Ref533009516"/>
      <w:bookmarkStart w:id="66" w:name="_Toc7166664"/>
      <w:bookmarkStart w:id="67" w:name="_Toc67566211"/>
      <w:r w:rsidRPr="00EC7EFC">
        <w:t xml:space="preserve">Figure </w:t>
      </w:r>
      <w:r w:rsidR="00077C0B">
        <w:fldChar w:fldCharType="begin"/>
      </w:r>
      <w:r w:rsidR="00077C0B">
        <w:instrText xml:space="preserve"> STYLEREF 1 \s </w:instrText>
      </w:r>
      <w:r w:rsidR="00077C0B">
        <w:fldChar w:fldCharType="separate"/>
      </w:r>
      <w:r w:rsidR="0006023A">
        <w:rPr>
          <w:noProof/>
        </w:rPr>
        <w:t>3</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7</w:t>
      </w:r>
      <w:r w:rsidR="00077C0B">
        <w:rPr>
          <w:noProof/>
        </w:rPr>
        <w:fldChar w:fldCharType="end"/>
      </w:r>
      <w:bookmarkEnd w:id="65"/>
      <w:r w:rsidRPr="00EC7EFC">
        <w:t>: Schematic of the shallow well (left), medium well (ce</w:t>
      </w:r>
      <w:r w:rsidR="0031250F">
        <w:t>ntered), and deep well (right).</w:t>
      </w:r>
      <w:r w:rsidRPr="00EC7EFC">
        <w:t xml:space="preserve"> Included are the depths of the casing strings, dimensions of the casings, number of casing strings, and the approximate location of the perforations.</w:t>
      </w:r>
      <w:bookmarkEnd w:id="66"/>
      <w:bookmarkEnd w:id="67"/>
    </w:p>
    <w:p w14:paraId="47409704" w14:textId="3F5B720A" w:rsidR="002A2DCC" w:rsidRPr="0031250F" w:rsidRDefault="0093720E" w:rsidP="003E1B51">
      <w:pPr>
        <w:pStyle w:val="Heading3"/>
      </w:pPr>
      <w:bookmarkStart w:id="68" w:name="_Toc67566040"/>
      <w:r>
        <w:t>Formation Properties</w:t>
      </w:r>
      <w:bookmarkEnd w:id="68"/>
    </w:p>
    <w:p w14:paraId="2D1DEE6C" w14:textId="66792D4C" w:rsidR="0031250F" w:rsidRPr="00EF1323" w:rsidRDefault="0031250F" w:rsidP="0031250F">
      <w:pPr>
        <w:ind w:firstLine="720"/>
        <w:rPr>
          <w:rFonts w:cs="Times New Roman"/>
          <w:szCs w:val="24"/>
        </w:rPr>
      </w:pPr>
      <w:r w:rsidRPr="00EC7EFC">
        <w:rPr>
          <w:rFonts w:cs="Times New Roman"/>
          <w:szCs w:val="24"/>
        </w:rPr>
        <w:t>Finkbeiner et al. (1996) performed a study in the Eugene Island OPD</w:t>
      </w:r>
      <w:r w:rsidRPr="00DC733F">
        <w:rPr>
          <w:rFonts w:cs="Times New Roman"/>
          <w:szCs w:val="24"/>
        </w:rPr>
        <w:t xml:space="preserve"> in which they </w:t>
      </w:r>
      <w:r>
        <w:rPr>
          <w:rFonts w:cs="Times New Roman"/>
          <w:szCs w:val="24"/>
        </w:rPr>
        <w:t>determined</w:t>
      </w:r>
      <w:r w:rsidRPr="00DC733F">
        <w:rPr>
          <w:rFonts w:cs="Times New Roman"/>
          <w:szCs w:val="24"/>
        </w:rPr>
        <w:t xml:space="preserve"> the overburden stress (</w:t>
      </w:r>
      <m:oMath>
        <m:sSub>
          <m:sSubPr>
            <m:ctrlPr>
              <w:rPr>
                <w:rFonts w:ascii="Cambria Math" w:hAnsi="Cambria Math"/>
                <w:i/>
              </w:rPr>
            </m:ctrlPr>
          </m:sSubPr>
          <m:e>
            <m:r>
              <w:rPr>
                <w:rFonts w:ascii="Cambria Math" w:hAnsi="Cambria Math"/>
              </w:rPr>
              <m:t>σ</m:t>
            </m:r>
          </m:e>
          <m:sub>
            <m:r>
              <w:rPr>
                <w:rFonts w:ascii="Cambria Math" w:hAnsi="Cambria Math"/>
              </w:rPr>
              <m:t>v</m:t>
            </m:r>
          </m:sub>
        </m:sSub>
      </m:oMath>
      <w:r w:rsidRPr="00EC7EFC">
        <w:rPr>
          <w:rFonts w:cs="Times New Roman"/>
          <w:szCs w:val="24"/>
        </w:rPr>
        <w:t>) and minimum horizontal stress (</w:t>
      </w:r>
      <m:oMath>
        <m:sSub>
          <m:sSubPr>
            <m:ctrlPr>
              <w:rPr>
                <w:rFonts w:ascii="Cambria Math" w:hAnsi="Cambria Math"/>
                <w:i/>
              </w:rPr>
            </m:ctrlPr>
          </m:sSubPr>
          <m:e>
            <m:r>
              <w:rPr>
                <w:rFonts w:ascii="Cambria Math" w:hAnsi="Cambria Math"/>
              </w:rPr>
              <m:t>σ</m:t>
            </m:r>
          </m:e>
          <m:sub>
            <m:r>
              <w:rPr>
                <w:rFonts w:ascii="Cambria Math" w:hAnsi="Cambria Math"/>
              </w:rPr>
              <m:t>h</m:t>
            </m:r>
          </m:sub>
        </m:sSub>
      </m:oMath>
      <w:r w:rsidRPr="00EC7EFC">
        <w:rPr>
          <w:rFonts w:cs="Times New Roman"/>
          <w:szCs w:val="24"/>
        </w:rPr>
        <w:t xml:space="preserve">) </w:t>
      </w:r>
      <w:r>
        <w:rPr>
          <w:rFonts w:cs="Times New Roman"/>
          <w:szCs w:val="24"/>
        </w:rPr>
        <w:t xml:space="preserve">for certain </w:t>
      </w:r>
      <w:r w:rsidRPr="00EC7EFC">
        <w:rPr>
          <w:rFonts w:cs="Times New Roman"/>
          <w:szCs w:val="24"/>
        </w:rPr>
        <w:t xml:space="preserve"> depths</w:t>
      </w:r>
      <w:r>
        <w:rPr>
          <w:rFonts w:cs="Times New Roman"/>
          <w:szCs w:val="24"/>
        </w:rPr>
        <w:t xml:space="preserve"> from available leak-off test (LOT) and </w:t>
      </w:r>
      <w:r w:rsidRPr="00EF1323">
        <w:rPr>
          <w:rFonts w:cs="Times New Roman"/>
          <w:szCs w:val="24"/>
        </w:rPr>
        <w:t xml:space="preserve">fracture completion data. The authors determined that the </w:t>
      </w:r>
      <w:r w:rsidR="00084BFC" w:rsidRPr="00EF1323">
        <w:rPr>
          <w:rFonts w:cs="Times New Roman"/>
          <w:szCs w:val="24"/>
        </w:rPr>
        <w:t xml:space="preserve">area is in a normal stress regime which constrains </w:t>
      </w:r>
      <w:r w:rsidRPr="00EF1323">
        <w:rPr>
          <w:rFonts w:cs="Times New Roman"/>
          <w:szCs w:val="24"/>
        </w:rPr>
        <w:t>minimum horizontal stress</w:t>
      </w:r>
      <w:r w:rsidR="00084BFC" w:rsidRPr="00EF1323">
        <w:rPr>
          <w:rFonts w:cs="Times New Roman"/>
          <w:szCs w:val="24"/>
        </w:rPr>
        <w:t xml:space="preserve"> (</w:t>
      </w:r>
      <m:oMath>
        <m:sSub>
          <m:sSubPr>
            <m:ctrlPr>
              <w:rPr>
                <w:rFonts w:ascii="Cambria Math" w:hAnsi="Cambria Math"/>
                <w:i/>
              </w:rPr>
            </m:ctrlPr>
          </m:sSubPr>
          <m:e>
            <m:r>
              <w:rPr>
                <w:rFonts w:ascii="Cambria Math" w:hAnsi="Cambria Math"/>
              </w:rPr>
              <m:t>σ</m:t>
            </m:r>
          </m:e>
          <m:sub>
            <m:r>
              <w:rPr>
                <w:rFonts w:ascii="Cambria Math" w:hAnsi="Cambria Math"/>
              </w:rPr>
              <m:t>H</m:t>
            </m:r>
          </m:sub>
        </m:sSub>
      </m:oMath>
      <w:r w:rsidR="00084BFC" w:rsidRPr="00EF1323">
        <w:rPr>
          <w:rFonts w:cs="Times New Roman"/>
          <w:szCs w:val="24"/>
        </w:rPr>
        <w:t>)</w:t>
      </w:r>
      <w:r w:rsidRPr="00EF1323">
        <w:rPr>
          <w:rFonts w:cs="Times New Roman"/>
          <w:szCs w:val="24"/>
        </w:rPr>
        <w:t xml:space="preserve"> </w:t>
      </w:r>
      <w:r w:rsidR="00084BFC" w:rsidRPr="00EF1323">
        <w:rPr>
          <w:rFonts w:cs="Times New Roman"/>
          <w:szCs w:val="24"/>
        </w:rPr>
        <w:t xml:space="preserve">to a </w:t>
      </w:r>
      <w:r w:rsidRPr="00EF1323">
        <w:rPr>
          <w:rFonts w:cs="Times New Roman"/>
          <w:szCs w:val="24"/>
        </w:rPr>
        <w:t xml:space="preserve">minimum value of </w:t>
      </w:r>
      <m:oMath>
        <m:r>
          <w:rPr>
            <w:rFonts w:ascii="Cambria Math" w:hAnsi="Cambria Math" w:cs="Times New Roman"/>
            <w:szCs w:val="24"/>
          </w:rPr>
          <w:lastRenderedPageBreak/>
          <m:t>0.7∙</m:t>
        </m:r>
        <m:sSub>
          <m:sSubPr>
            <m:ctrlPr>
              <w:rPr>
                <w:rFonts w:ascii="Cambria Math" w:hAnsi="Cambria Math"/>
                <w:i/>
              </w:rPr>
            </m:ctrlPr>
          </m:sSubPr>
          <m:e>
            <m:r>
              <w:rPr>
                <w:rFonts w:ascii="Cambria Math" w:hAnsi="Cambria Math"/>
              </w:rPr>
              <m:t>σ</m:t>
            </m:r>
          </m:e>
          <m:sub>
            <m:r>
              <w:rPr>
                <w:rFonts w:ascii="Cambria Math" w:hAnsi="Cambria Math"/>
              </w:rPr>
              <m:t>v</m:t>
            </m:r>
          </m:sub>
        </m:sSub>
      </m:oMath>
      <w:r w:rsidRPr="00EF1323">
        <w:rPr>
          <w:rFonts w:cs="Times New Roman"/>
          <w:szCs w:val="24"/>
        </w:rPr>
        <w:t xml:space="preserve"> to a maximum value equal to </w:t>
      </w:r>
      <m:oMath>
        <m:sSub>
          <m:sSubPr>
            <m:ctrlPr>
              <w:rPr>
                <w:rFonts w:ascii="Cambria Math" w:hAnsi="Cambria Math"/>
                <w:i/>
              </w:rPr>
            </m:ctrlPr>
          </m:sSubPr>
          <m:e>
            <m:r>
              <w:rPr>
                <w:rFonts w:ascii="Cambria Math" w:hAnsi="Cambria Math"/>
              </w:rPr>
              <m:t>σ</m:t>
            </m:r>
          </m:e>
          <m:sub>
            <m:r>
              <w:rPr>
                <w:rFonts w:ascii="Cambria Math" w:hAnsi="Cambria Math"/>
              </w:rPr>
              <m:t>v</m:t>
            </m:r>
          </m:sub>
        </m:sSub>
      </m:oMath>
      <w:r w:rsidRPr="00EF1323">
        <w:rPr>
          <w:rFonts w:cs="Times New Roman"/>
          <w:szCs w:val="24"/>
        </w:rPr>
        <w:t xml:space="preserve">. The range of minimum horizontal stress is shown in Equation 3.1. The normal stress regime is showed in Equation 3.2. From Equations 3.1 and 3.2, all three principal stresses can be </w:t>
      </w:r>
      <w:r w:rsidR="00023855" w:rsidRPr="00EF1323">
        <w:rPr>
          <w:rFonts w:cs="Times New Roman"/>
          <w:szCs w:val="24"/>
        </w:rPr>
        <w:t xml:space="preserve">constrained </w:t>
      </w:r>
      <w:r w:rsidRPr="00EF1323">
        <w:rPr>
          <w:rFonts w:cs="Times New Roman"/>
          <w:szCs w:val="24"/>
        </w:rPr>
        <w:t>if the overburden stress is known.</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31250F" w:rsidRPr="00EF1323" w14:paraId="3A59EFC9" w14:textId="77777777" w:rsidTr="004D28CA">
        <w:trPr>
          <w:trHeight w:val="576"/>
        </w:trPr>
        <w:tc>
          <w:tcPr>
            <w:tcW w:w="720" w:type="dxa"/>
            <w:vAlign w:val="center"/>
          </w:tcPr>
          <w:p w14:paraId="6D1171CB" w14:textId="678D755A" w:rsidR="0031250F" w:rsidRPr="00EF1323" w:rsidRDefault="0031250F" w:rsidP="004D28CA">
            <w:pPr>
              <w:spacing w:line="240" w:lineRule="auto"/>
              <w:jc w:val="center"/>
            </w:pPr>
          </w:p>
        </w:tc>
        <w:tc>
          <w:tcPr>
            <w:tcW w:w="7920" w:type="dxa"/>
            <w:vAlign w:val="center"/>
          </w:tcPr>
          <w:p w14:paraId="5147755A" w14:textId="4391821D" w:rsidR="0031250F" w:rsidRPr="00EF1323" w:rsidRDefault="0031250F" w:rsidP="004D28CA">
            <w:pPr>
              <w:spacing w:line="240" w:lineRule="auto"/>
              <w:jc w:val="center"/>
            </w:pPr>
            <m:oMathPara>
              <m:oMath>
                <m:r>
                  <w:rPr>
                    <w:rFonts w:ascii="Cambria Math" w:hAnsi="Cambria Math"/>
                  </w:rPr>
                  <m:t>0.7</m:t>
                </m:r>
                <m:sSub>
                  <m:sSubPr>
                    <m:ctrlPr>
                      <w:rPr>
                        <w:rFonts w:ascii="Cambria Math" w:hAnsi="Cambria Math"/>
                        <w:i/>
                      </w:rPr>
                    </m:ctrlPr>
                  </m:sSubPr>
                  <m:e>
                    <m:r>
                      <w:rPr>
                        <w:rFonts w:ascii="Cambria Math" w:hAnsi="Cambria Math"/>
                      </w:rPr>
                      <m:t>σ</m:t>
                    </m:r>
                  </m:e>
                  <m:sub>
                    <m:r>
                      <w:rPr>
                        <w:rFonts w:ascii="Cambria Math" w:hAnsi="Cambria Math"/>
                      </w:rPr>
                      <m:t>v</m:t>
                    </m:r>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h</m:t>
                    </m:r>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v</m:t>
                    </m:r>
                  </m:sub>
                </m:sSub>
              </m:oMath>
            </m:oMathPara>
          </w:p>
        </w:tc>
        <w:tc>
          <w:tcPr>
            <w:tcW w:w="720" w:type="dxa"/>
            <w:vAlign w:val="bottom"/>
          </w:tcPr>
          <w:p w14:paraId="3D6DDA3B" w14:textId="4A803D50" w:rsidR="0031250F" w:rsidRPr="00EF1323" w:rsidRDefault="00077C0B" w:rsidP="00BC23AD">
            <w:pPr>
              <w:pStyle w:val="Caption"/>
              <w:rPr>
                <w:i/>
              </w:rPr>
            </w:pPr>
            <w:r>
              <w:fldChar w:fldCharType="begin"/>
            </w:r>
            <w:r>
              <w:instrText xml:space="preserve"> STYLEREF 1 \s </w:instrText>
            </w:r>
            <w:r>
              <w:fldChar w:fldCharType="separate"/>
            </w:r>
            <w:r w:rsidR="0006023A">
              <w:rPr>
                <w:noProof/>
              </w:rPr>
              <w:t>3</w:t>
            </w:r>
            <w:r>
              <w:rPr>
                <w:noProof/>
              </w:rPr>
              <w:fldChar w:fldCharType="end"/>
            </w:r>
            <w:r w:rsidR="0031250F" w:rsidRPr="00EF1323">
              <w:t>.</w:t>
            </w:r>
            <w:r>
              <w:fldChar w:fldCharType="begin"/>
            </w:r>
            <w:r>
              <w:instrText xml:space="preserve"> SEQ Equation \* ARABIC \s 1 </w:instrText>
            </w:r>
            <w:r>
              <w:fldChar w:fldCharType="separate"/>
            </w:r>
            <w:r w:rsidR="0006023A">
              <w:rPr>
                <w:noProof/>
              </w:rPr>
              <w:t>1</w:t>
            </w:r>
            <w:r>
              <w:rPr>
                <w:noProof/>
              </w:rPr>
              <w:fldChar w:fldCharType="end"/>
            </w:r>
          </w:p>
        </w:tc>
      </w:tr>
    </w:tbl>
    <w:p w14:paraId="3BE43FA4" w14:textId="4A3725FC" w:rsidR="0031250F" w:rsidRPr="00EF1323" w:rsidRDefault="0031250F" w:rsidP="0031250F">
      <w:pPr>
        <w:ind w:firstLine="720"/>
        <w:rPr>
          <w:rFonts w:cs="Times New Roman"/>
          <w:szCs w:val="24"/>
        </w:rPr>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31250F" w:rsidRPr="00EF1323" w14:paraId="7D243AE7" w14:textId="77777777" w:rsidTr="004D28CA">
        <w:trPr>
          <w:trHeight w:val="576"/>
        </w:trPr>
        <w:tc>
          <w:tcPr>
            <w:tcW w:w="720" w:type="dxa"/>
            <w:vAlign w:val="center"/>
          </w:tcPr>
          <w:p w14:paraId="55336DB8" w14:textId="7ED53199" w:rsidR="0031250F" w:rsidRPr="00EF1323" w:rsidRDefault="0031250F" w:rsidP="004D28CA">
            <w:pPr>
              <w:spacing w:line="240" w:lineRule="auto"/>
              <w:jc w:val="center"/>
            </w:pPr>
          </w:p>
        </w:tc>
        <w:tc>
          <w:tcPr>
            <w:tcW w:w="7920" w:type="dxa"/>
            <w:vAlign w:val="center"/>
          </w:tcPr>
          <w:p w14:paraId="31050D7A" w14:textId="7069F58C" w:rsidR="0031250F" w:rsidRPr="00EF1323" w:rsidRDefault="00077C0B" w:rsidP="004D28CA">
            <w:pPr>
              <w:spacing w:line="240" w:lineRule="auto"/>
              <w:jc w:val="center"/>
            </w:pPr>
            <m:oMathPara>
              <m:oMath>
                <m:sSub>
                  <m:sSubPr>
                    <m:ctrlPr>
                      <w:rPr>
                        <w:rFonts w:ascii="Cambria Math" w:hAnsi="Cambria Math"/>
                        <w:i/>
                      </w:rPr>
                    </m:ctrlPr>
                  </m:sSubPr>
                  <m:e>
                    <m:r>
                      <w:rPr>
                        <w:rFonts w:ascii="Cambria Math" w:hAnsi="Cambria Math"/>
                      </w:rPr>
                      <m:t>σ</m:t>
                    </m:r>
                  </m:e>
                  <m:sub>
                    <m:r>
                      <w:rPr>
                        <w:rFonts w:ascii="Cambria Math" w:hAnsi="Cambria Math"/>
                      </w:rPr>
                      <m:t>h</m:t>
                    </m:r>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H</m:t>
                    </m:r>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v</m:t>
                    </m:r>
                  </m:sub>
                </m:sSub>
              </m:oMath>
            </m:oMathPara>
          </w:p>
        </w:tc>
        <w:tc>
          <w:tcPr>
            <w:tcW w:w="720" w:type="dxa"/>
            <w:vAlign w:val="bottom"/>
          </w:tcPr>
          <w:p w14:paraId="29E2CECC" w14:textId="0D105635" w:rsidR="0031250F" w:rsidRPr="00EF1323" w:rsidRDefault="00077C0B" w:rsidP="00BC23AD">
            <w:pPr>
              <w:pStyle w:val="Caption"/>
              <w:rPr>
                <w:i/>
              </w:rPr>
            </w:pPr>
            <w:r>
              <w:fldChar w:fldCharType="begin"/>
            </w:r>
            <w:r>
              <w:instrText xml:space="preserve"> STYLEREF 1 \s </w:instrText>
            </w:r>
            <w:r>
              <w:fldChar w:fldCharType="separate"/>
            </w:r>
            <w:r w:rsidR="0006023A">
              <w:rPr>
                <w:noProof/>
              </w:rPr>
              <w:t>3</w:t>
            </w:r>
            <w:r>
              <w:rPr>
                <w:noProof/>
              </w:rPr>
              <w:fldChar w:fldCharType="end"/>
            </w:r>
            <w:r w:rsidR="0031250F" w:rsidRPr="00EF1323">
              <w:t>.</w:t>
            </w:r>
            <w:r>
              <w:fldChar w:fldCharType="begin"/>
            </w:r>
            <w:r>
              <w:instrText xml:space="preserve"> SEQ Equation \* ARABIC \s 1 </w:instrText>
            </w:r>
            <w:r>
              <w:fldChar w:fldCharType="separate"/>
            </w:r>
            <w:r w:rsidR="0006023A">
              <w:rPr>
                <w:noProof/>
              </w:rPr>
              <w:t>2</w:t>
            </w:r>
            <w:r>
              <w:rPr>
                <w:noProof/>
              </w:rPr>
              <w:fldChar w:fldCharType="end"/>
            </w:r>
          </w:p>
        </w:tc>
      </w:tr>
    </w:tbl>
    <w:p w14:paraId="40B90193" w14:textId="77777777" w:rsidR="0031250F" w:rsidRPr="00EF1323" w:rsidRDefault="0031250F" w:rsidP="0031250F">
      <w:pPr>
        <w:ind w:firstLine="720"/>
        <w:rPr>
          <w:rFonts w:cs="Times New Roman"/>
          <w:szCs w:val="24"/>
        </w:rPr>
      </w:pPr>
    </w:p>
    <w:p w14:paraId="03247C47" w14:textId="632A7B55" w:rsidR="0031250F" w:rsidRPr="006C3C73" w:rsidRDefault="0031250F" w:rsidP="0031250F">
      <w:pPr>
        <w:rPr>
          <w:rFonts w:cs="Times New Roman"/>
          <w:szCs w:val="24"/>
        </w:rPr>
      </w:pPr>
      <w:r w:rsidRPr="00EF1323">
        <w:rPr>
          <w:rFonts w:cs="Times New Roman"/>
          <w:szCs w:val="24"/>
        </w:rPr>
        <w:tab/>
        <w:t>Finkbeiner et al. (1996) recorded the overburden stress at different depths</w:t>
      </w:r>
      <w:r w:rsidR="00745700" w:rsidRPr="00EF1323">
        <w:rPr>
          <w:rFonts w:cs="Times New Roman"/>
          <w:szCs w:val="24"/>
        </w:rPr>
        <w:t xml:space="preserve"> for the Eugene Island OPD</w:t>
      </w:r>
      <w:r w:rsidR="00D03904" w:rsidRPr="00EF1323">
        <w:rPr>
          <w:rFonts w:cs="Times New Roman"/>
          <w:szCs w:val="24"/>
        </w:rPr>
        <w:t xml:space="preserve"> and is </w:t>
      </w:r>
      <w:r w:rsidR="00745700" w:rsidRPr="00EF1323">
        <w:rPr>
          <w:rFonts w:cs="Times New Roman"/>
          <w:szCs w:val="24"/>
        </w:rPr>
        <w:t xml:space="preserve">shown in Figure </w:t>
      </w:r>
      <w:r w:rsidR="0066538E" w:rsidRPr="00EF1323">
        <w:rPr>
          <w:rFonts w:cs="Times New Roman"/>
          <w:szCs w:val="24"/>
        </w:rPr>
        <w:t>3.8</w:t>
      </w:r>
      <w:r w:rsidR="00745700" w:rsidRPr="00EF1323">
        <w:rPr>
          <w:rFonts w:cs="Times New Roman"/>
          <w:szCs w:val="24"/>
        </w:rPr>
        <w:t xml:space="preserve">. </w:t>
      </w:r>
      <w:r w:rsidRPr="00EF1323">
        <w:rPr>
          <w:rFonts w:cs="Times New Roman"/>
          <w:szCs w:val="24"/>
        </w:rPr>
        <w:t xml:space="preserve">A linear </w:t>
      </w:r>
      <w:r w:rsidR="00D03904" w:rsidRPr="00EF1323">
        <w:rPr>
          <w:rFonts w:cs="Times New Roman"/>
          <w:szCs w:val="24"/>
        </w:rPr>
        <w:t xml:space="preserve">trendline was determined such that the overburden stress can be calculated for a given depth (Equation </w:t>
      </w:r>
      <w:r w:rsidR="0066538E" w:rsidRPr="00EF1323">
        <w:rPr>
          <w:rFonts w:cs="Times New Roman"/>
          <w:szCs w:val="24"/>
        </w:rPr>
        <w:t>3.3</w:t>
      </w:r>
      <w:r w:rsidR="00D03904" w:rsidRPr="00EF1323">
        <w:rPr>
          <w:rFonts w:cs="Times New Roman"/>
          <w:szCs w:val="24"/>
        </w:rPr>
        <w:t>)</w:t>
      </w:r>
      <w:r w:rsidRPr="00EF1323">
        <w:rPr>
          <w:rFonts w:cs="Times New Roman"/>
          <w:szCs w:val="24"/>
        </w:rPr>
        <w:t>.</w:t>
      </w:r>
      <w:r w:rsidR="00D03904" w:rsidRPr="00EF1323">
        <w:rPr>
          <w:rFonts w:cs="Times New Roman"/>
          <w:szCs w:val="24"/>
        </w:rPr>
        <w:t xml:space="preserve"> </w:t>
      </w:r>
      <w:r w:rsidR="0066538E" w:rsidRPr="00EF1323">
        <w:rPr>
          <w:rFonts w:cs="Times New Roman"/>
          <w:szCs w:val="24"/>
        </w:rPr>
        <w:t>T</w:t>
      </w:r>
      <w:r w:rsidR="00D03904" w:rsidRPr="00EF1323">
        <w:rPr>
          <w:rFonts w:cs="Times New Roman"/>
          <w:szCs w:val="24"/>
        </w:rPr>
        <w:t xml:space="preserve">he </w:t>
      </w:r>
      <w:r w:rsidR="0066538E" w:rsidRPr="00EF1323">
        <w:rPr>
          <w:rFonts w:cs="Times New Roman"/>
          <w:szCs w:val="24"/>
        </w:rPr>
        <w:t>minimum horizontal stress can be calculated based off Equation 3.1. The maximum horizontal stress is assumed to be the average of the minimum horizontal stress and the overburden stress.</w:t>
      </w:r>
      <w:r w:rsidR="0066538E">
        <w:rPr>
          <w:rFonts w:cs="Times New Roman"/>
          <w:szCs w:val="24"/>
        </w:rPr>
        <w:t xml:space="preserve"> </w:t>
      </w:r>
      <w:r>
        <w:rPr>
          <w:rFonts w:cs="Times New Roman"/>
          <w:szCs w:val="24"/>
        </w:rPr>
        <w:t xml:space="preserve"> </w:t>
      </w:r>
    </w:p>
    <w:p w14:paraId="29C05961" w14:textId="60C9D729" w:rsidR="0031250F" w:rsidRPr="00EC7EFC" w:rsidRDefault="0066538E" w:rsidP="00BC23AD">
      <w:pPr>
        <w:pStyle w:val="NoSpacing"/>
      </w:pPr>
      <w:r>
        <w:rPr>
          <w:noProof/>
        </w:rPr>
        <w:drawing>
          <wp:inline distT="0" distB="0" distL="0" distR="0" wp14:anchorId="511110A2" wp14:editId="53DA6692">
            <wp:extent cx="4572635" cy="2587924"/>
            <wp:effectExtent l="0" t="0" r="0" b="317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2">
                      <a:extLst>
                        <a:ext uri="{28A0092B-C50C-407E-A947-70E740481C1C}">
                          <a14:useLocalDpi xmlns:a14="http://schemas.microsoft.com/office/drawing/2010/main" val="0"/>
                        </a:ext>
                      </a:extLst>
                    </a:blip>
                    <a:srcRect t="5660"/>
                    <a:stretch/>
                  </pic:blipFill>
                  <pic:spPr bwMode="auto">
                    <a:xfrm>
                      <a:off x="0" y="0"/>
                      <a:ext cx="4572635" cy="2587924"/>
                    </a:xfrm>
                    <a:prstGeom prst="rect">
                      <a:avLst/>
                    </a:prstGeom>
                    <a:noFill/>
                    <a:ln>
                      <a:noFill/>
                    </a:ln>
                    <a:extLst>
                      <a:ext uri="{53640926-AAD7-44D8-BBD7-CCE9431645EC}">
                        <a14:shadowObscured xmlns:a14="http://schemas.microsoft.com/office/drawing/2010/main"/>
                      </a:ext>
                    </a:extLst>
                  </pic:spPr>
                </pic:pic>
              </a:graphicData>
            </a:graphic>
          </wp:inline>
        </w:drawing>
      </w:r>
    </w:p>
    <w:p w14:paraId="5331B0D0" w14:textId="013132FB" w:rsidR="0031250F" w:rsidRPr="006C3C73" w:rsidRDefault="0031250F" w:rsidP="00BC23AD">
      <w:pPr>
        <w:pStyle w:val="Caption"/>
      </w:pPr>
      <w:bookmarkStart w:id="69" w:name="_Ref533000954"/>
      <w:bookmarkStart w:id="70" w:name="_Toc7166665"/>
      <w:bookmarkStart w:id="71" w:name="_Toc67566212"/>
      <w:r w:rsidRPr="00EC7EFC">
        <w:t xml:space="preserve">Figure </w:t>
      </w:r>
      <w:r w:rsidR="00077C0B">
        <w:fldChar w:fldCharType="begin"/>
      </w:r>
      <w:r w:rsidR="00077C0B">
        <w:instrText xml:space="preserve"> STYLEREF 1 \s </w:instrText>
      </w:r>
      <w:r w:rsidR="00077C0B">
        <w:fldChar w:fldCharType="separate"/>
      </w:r>
      <w:r w:rsidR="0006023A">
        <w:rPr>
          <w:noProof/>
        </w:rPr>
        <w:t>3</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8</w:t>
      </w:r>
      <w:r w:rsidR="00077C0B">
        <w:rPr>
          <w:noProof/>
        </w:rPr>
        <w:fldChar w:fldCharType="end"/>
      </w:r>
      <w:bookmarkEnd w:id="69"/>
      <w:r w:rsidRPr="00EC7EFC">
        <w:t>: Finkbeiner et al. (1996) data overburden stress (σ</w:t>
      </w:r>
      <w:r w:rsidRPr="00EC7EFC">
        <w:rPr>
          <w:vertAlign w:val="subscript"/>
        </w:rPr>
        <w:t>v</w:t>
      </w:r>
      <w:r>
        <w:t xml:space="preserve">) </w:t>
      </w:r>
      <w:r w:rsidR="0066538E">
        <w:t>with respect to depth</w:t>
      </w:r>
      <w:r>
        <w:t xml:space="preserve">. </w:t>
      </w:r>
      <w:r w:rsidRPr="00EC7EFC">
        <w:t xml:space="preserve">A linear approximation was determined such that the overburden </w:t>
      </w:r>
      <w:r w:rsidR="0066538E">
        <w:t xml:space="preserve">stress </w:t>
      </w:r>
      <w:r w:rsidRPr="00EC7EFC">
        <w:t xml:space="preserve">can </w:t>
      </w:r>
      <w:r w:rsidRPr="006C3C73">
        <w:t>be determined for any depth in the Eugene Island OPD.</w:t>
      </w:r>
      <w:bookmarkEnd w:id="70"/>
      <w:bookmarkEnd w:id="71"/>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2A2DCC" w14:paraId="3F208EF9" w14:textId="77777777" w:rsidTr="00DD71E4">
        <w:trPr>
          <w:trHeight w:val="576"/>
        </w:trPr>
        <w:tc>
          <w:tcPr>
            <w:tcW w:w="720" w:type="dxa"/>
            <w:vAlign w:val="center"/>
          </w:tcPr>
          <w:p w14:paraId="13EE617A" w14:textId="4F27C7A0" w:rsidR="002A2DCC" w:rsidRDefault="002A2DCC" w:rsidP="00DD71E4">
            <w:pPr>
              <w:spacing w:line="240" w:lineRule="auto"/>
              <w:jc w:val="center"/>
            </w:pPr>
          </w:p>
        </w:tc>
        <w:tc>
          <w:tcPr>
            <w:tcW w:w="7920" w:type="dxa"/>
            <w:vAlign w:val="center"/>
          </w:tcPr>
          <w:p w14:paraId="3B1E43D0" w14:textId="5E551A29" w:rsidR="002A2DCC" w:rsidRPr="003E4C6A" w:rsidRDefault="00077C0B" w:rsidP="0066538E">
            <w:pPr>
              <w:spacing w:line="240" w:lineRule="auto"/>
              <w:jc w:val="center"/>
            </w:pPr>
            <m:oMathPara>
              <m:oMath>
                <m:sSub>
                  <m:sSubPr>
                    <m:ctrlPr>
                      <w:rPr>
                        <w:rFonts w:ascii="Cambria Math" w:hAnsi="Cambria Math"/>
                      </w:rPr>
                    </m:ctrlPr>
                  </m:sSubPr>
                  <m:e>
                    <m:r>
                      <m:rPr>
                        <m:sty m:val="p"/>
                      </m:rPr>
                      <w:rPr>
                        <w:rFonts w:ascii="Cambria Math" w:hAnsi="Cambria Math"/>
                      </w:rPr>
                      <m:t>σ</m:t>
                    </m:r>
                  </m:e>
                  <m:sub>
                    <m:r>
                      <m:rPr>
                        <m:sty m:val="p"/>
                      </m:rPr>
                      <w:rPr>
                        <w:rFonts w:ascii="Cambria Math" w:hAnsi="Cambria Math"/>
                      </w:rPr>
                      <m:t>v</m:t>
                    </m:r>
                  </m:sub>
                </m:sSub>
                <m:r>
                  <m:rPr>
                    <m:sty m:val="p"/>
                  </m:rPr>
                  <w:rPr>
                    <w:rFonts w:ascii="Cambria Math" w:hAnsi="Cambria Math"/>
                  </w:rPr>
                  <m:t xml:space="preserve">= </m:t>
                </m:r>
                <m:f>
                  <m:fPr>
                    <m:ctrlPr>
                      <w:rPr>
                        <w:rFonts w:ascii="Cambria Math" w:hAnsi="Cambria Math"/>
                      </w:rPr>
                    </m:ctrlPr>
                  </m:fPr>
                  <m:num>
                    <m:r>
                      <w:rPr>
                        <w:rFonts w:ascii="Cambria Math" w:hAnsi="Cambria Math"/>
                      </w:rPr>
                      <m:t>Depth</m:t>
                    </m:r>
                    <m:r>
                      <m:rPr>
                        <m:sty m:val="p"/>
                      </m:rPr>
                      <w:rPr>
                        <w:rFonts w:ascii="Cambria Math" w:hAnsi="Cambria Math"/>
                      </w:rPr>
                      <m:t>-73.794</m:t>
                    </m:r>
                  </m:num>
                  <m:den>
                    <m:r>
                      <m:rPr>
                        <m:sty m:val="p"/>
                      </m:rPr>
                      <w:rPr>
                        <w:rFonts w:ascii="Cambria Math" w:hAnsi="Cambria Math"/>
                      </w:rPr>
                      <m:t>46.147</m:t>
                    </m:r>
                  </m:den>
                </m:f>
              </m:oMath>
            </m:oMathPara>
          </w:p>
        </w:tc>
        <w:tc>
          <w:tcPr>
            <w:tcW w:w="720" w:type="dxa"/>
            <w:vAlign w:val="bottom"/>
          </w:tcPr>
          <w:p w14:paraId="131C48C6" w14:textId="6260FE45" w:rsidR="002A2DCC" w:rsidRPr="00470CB5" w:rsidRDefault="00077C0B" w:rsidP="00BC23AD">
            <w:pPr>
              <w:pStyle w:val="Caption"/>
              <w:rPr>
                <w:i/>
              </w:rPr>
            </w:pPr>
            <w:r>
              <w:fldChar w:fldCharType="begin"/>
            </w:r>
            <w:r>
              <w:instrText xml:space="preserve"> STYLEREF 1 \s </w:instrText>
            </w:r>
            <w:r>
              <w:fldChar w:fldCharType="separate"/>
            </w:r>
            <w:r w:rsidR="0006023A">
              <w:rPr>
                <w:noProof/>
              </w:rPr>
              <w:t>3</w:t>
            </w:r>
            <w:r>
              <w:rPr>
                <w:noProof/>
              </w:rPr>
              <w:fldChar w:fldCharType="end"/>
            </w:r>
            <w:r w:rsidR="002A2DCC">
              <w:t>.</w:t>
            </w:r>
            <w:r>
              <w:fldChar w:fldCharType="begin"/>
            </w:r>
            <w:r>
              <w:instrText xml:space="preserve"> SEQ Equation \* ARABIC \s 1 </w:instrText>
            </w:r>
            <w:r>
              <w:fldChar w:fldCharType="separate"/>
            </w:r>
            <w:r w:rsidR="0006023A">
              <w:rPr>
                <w:noProof/>
              </w:rPr>
              <w:t>3</w:t>
            </w:r>
            <w:r>
              <w:rPr>
                <w:noProof/>
              </w:rPr>
              <w:fldChar w:fldCharType="end"/>
            </w:r>
          </w:p>
        </w:tc>
      </w:tr>
    </w:tbl>
    <w:p w14:paraId="4304E0A1" w14:textId="1964F5E7" w:rsidR="002A2DCC" w:rsidRDefault="002A2DCC" w:rsidP="002A2DCC"/>
    <w:p w14:paraId="513A5BFC" w14:textId="0FB47D5A" w:rsidR="0093720E" w:rsidRDefault="001B080D" w:rsidP="0093720E">
      <w:pPr>
        <w:ind w:firstLine="720"/>
      </w:pPr>
      <w:r>
        <w:lastRenderedPageBreak/>
        <w:t>The rock formation is assumed to be shale. The mechanical values for shale come from Zhang et al (2016) for the Young’s modulus (</w:t>
      </w:r>
      <m:oMath>
        <m:r>
          <w:rPr>
            <w:rFonts w:ascii="Cambria Math" w:hAnsi="Cambria Math"/>
          </w:rPr>
          <m:t>E</m:t>
        </m:r>
      </m:oMath>
      <w:r>
        <w:rPr>
          <w:rFonts w:eastAsiaTheme="minorEastAsia"/>
        </w:rPr>
        <w:t>) and from Weideman (2014) for the Poisson’s ratio (</w:t>
      </w:r>
      <m:oMath>
        <m:r>
          <w:rPr>
            <w:rFonts w:ascii="Cambria Math" w:eastAsiaTheme="minorEastAsia" w:hAnsi="Cambria Math"/>
          </w:rPr>
          <m:t>v</m:t>
        </m:r>
      </m:oMath>
      <w:r>
        <w:rPr>
          <w:rFonts w:eastAsiaTheme="minorEastAsia"/>
        </w:rPr>
        <w:t>)</w:t>
      </w:r>
      <w:r w:rsidR="0036301D">
        <w:rPr>
          <w:rFonts w:eastAsiaTheme="minorEastAsia"/>
        </w:rPr>
        <w:t xml:space="preserve"> since direct measurements for this region are not known</w:t>
      </w:r>
      <w:r>
        <w:rPr>
          <w:rFonts w:eastAsiaTheme="minorEastAsia"/>
        </w:rPr>
        <w:t xml:space="preserve">. </w:t>
      </w:r>
      <w:r w:rsidR="0093720E">
        <w:t xml:space="preserve">The rock mechanical values are assumed to be the same for all three representative wells. </w:t>
      </w:r>
    </w:p>
    <w:p w14:paraId="701E5CBA" w14:textId="2A177134" w:rsidR="000A00BA" w:rsidRDefault="0064135B" w:rsidP="00BA653E">
      <w:pPr>
        <w:pStyle w:val="Heading2"/>
      </w:pPr>
      <w:bookmarkStart w:id="72" w:name="_Toc67566041"/>
      <w:r>
        <w:t>High Island OPD</w:t>
      </w:r>
      <w:bookmarkEnd w:id="72"/>
    </w:p>
    <w:p w14:paraId="244FA647" w14:textId="5F2F2BC3" w:rsidR="00094F99" w:rsidRDefault="00DE4A07" w:rsidP="00576F57">
      <w:pPr>
        <w:ind w:firstLine="720"/>
      </w:pPr>
      <w:r>
        <w:t xml:space="preserve">The case study well was selected from the High Island OPD in the Western GoM planning area. </w:t>
      </w:r>
      <w:r w:rsidR="00094F99">
        <w:t xml:space="preserve">In the High Island OPD, there are </w:t>
      </w:r>
      <w:r w:rsidR="00FA14BF" w:rsidRPr="00FA14BF">
        <w:t>3,828</w:t>
      </w:r>
      <w:r w:rsidR="00094F99">
        <w:t xml:space="preserve"> unique API </w:t>
      </w:r>
      <w:r w:rsidR="00094F99" w:rsidRPr="006C3C73">
        <w:t xml:space="preserve">Well </w:t>
      </w:r>
      <w:r w:rsidR="00810A86">
        <w:t xml:space="preserve">Numbers </w:t>
      </w:r>
      <w:r w:rsidR="00475150">
        <w:t xml:space="preserve">issued by </w:t>
      </w:r>
      <w:r w:rsidR="00810A86">
        <w:t xml:space="preserve">BSEE. </w:t>
      </w:r>
      <w:r w:rsidR="00576F57">
        <w:t>Similar to the Eugene Island OPD,</w:t>
      </w:r>
      <w:r w:rsidR="00810A86">
        <w:t xml:space="preserve"> </w:t>
      </w:r>
      <w:r w:rsidR="00576F57">
        <w:t>a</w:t>
      </w:r>
      <w:r w:rsidR="00094F99" w:rsidRPr="006C3C73">
        <w:t xml:space="preserve">ll of the wells in the </w:t>
      </w:r>
      <w:r w:rsidR="00810A86">
        <w:t>High</w:t>
      </w:r>
      <w:r w:rsidR="00094F99" w:rsidRPr="006C3C73">
        <w:t xml:space="preserve"> Island OPD have a status of: “Cancelled (CNL)”, “Completed (COM)”, “Permanently Abandoned (PA)”, “Temporarily Abandoned (TA)”, “Sidetracked (SI)”, or “Approved Sidetrack (AST)”.</w:t>
      </w:r>
      <w:r w:rsidR="00576F57">
        <w:t xml:space="preserve"> </w:t>
      </w:r>
      <w:r w:rsidR="00094F99">
        <w:t xml:space="preserve">To avoid duplications, wells </w:t>
      </w:r>
      <w:r w:rsidR="006C6395">
        <w:t xml:space="preserve">with </w:t>
      </w:r>
      <w:r w:rsidR="00094F99" w:rsidRPr="006C3C73">
        <w:t xml:space="preserve">a status code of “ST” or “AST” </w:t>
      </w:r>
      <w:r w:rsidR="00094F99" w:rsidRPr="004A5701">
        <w:t>were omitted</w:t>
      </w:r>
      <w:r w:rsidR="00810A86">
        <w:t xml:space="preserve"> from the </w:t>
      </w:r>
      <w:r w:rsidR="00810A86" w:rsidRPr="00EF1323">
        <w:t xml:space="preserve">data set. </w:t>
      </w:r>
      <w:r w:rsidR="00094F99" w:rsidRPr="00EF1323">
        <w:t>Wells that were canceled (“CNL” status) were also omitted because only wells that were completed or abandoned are of interest in this study</w:t>
      </w:r>
      <w:r w:rsidR="00810A86" w:rsidRPr="00EF1323">
        <w:t xml:space="preserve">. </w:t>
      </w:r>
      <w:r w:rsidR="00094F99" w:rsidRPr="00EF1323">
        <w:t xml:space="preserve">Omitting those wells lowered the number of unique wells from </w:t>
      </w:r>
      <w:r w:rsidR="00810A86" w:rsidRPr="00EF1323">
        <w:t>3,828</w:t>
      </w:r>
      <w:r w:rsidR="00094F99" w:rsidRPr="00EF1323">
        <w:t xml:space="preserve"> to </w:t>
      </w:r>
      <w:r w:rsidR="00810A86" w:rsidRPr="00EF1323">
        <w:t xml:space="preserve">2,773. </w:t>
      </w:r>
      <w:r w:rsidR="00094F99" w:rsidRPr="00EF1323">
        <w:t>The distribution of wells before and after omission are shown in Figure 3.</w:t>
      </w:r>
      <w:r w:rsidR="00576F57" w:rsidRPr="00EF1323">
        <w:t>9</w:t>
      </w:r>
      <w:r w:rsidR="00810A86" w:rsidRPr="00EF1323">
        <w:t xml:space="preserve">. </w:t>
      </w:r>
      <w:r w:rsidR="00094F99" w:rsidRPr="00EF1323">
        <w:t>As indicated in F</w:t>
      </w:r>
      <w:r w:rsidR="00FA14BF" w:rsidRPr="00EF1323">
        <w:t>igure</w:t>
      </w:r>
      <w:r w:rsidR="00094F99" w:rsidRPr="00EF1323">
        <w:t xml:space="preserve"> 3.</w:t>
      </w:r>
      <w:r w:rsidR="00576F57" w:rsidRPr="00EF1323">
        <w:t>9</w:t>
      </w:r>
      <w:r w:rsidR="00094F99" w:rsidRPr="00EF1323">
        <w:t xml:space="preserve">, the average well in the </w:t>
      </w:r>
      <w:r w:rsidR="00810A86" w:rsidRPr="00EF1323">
        <w:t>High</w:t>
      </w:r>
      <w:r w:rsidR="00094F99" w:rsidRPr="00EF1323">
        <w:t xml:space="preserve"> Island OPD has a status of permanently abandoned.</w:t>
      </w:r>
    </w:p>
    <w:p w14:paraId="04CBF42E" w14:textId="77777777" w:rsidR="00094F99" w:rsidRDefault="00094F99" w:rsidP="00BC23AD">
      <w:pPr>
        <w:pStyle w:val="NoSpacing"/>
      </w:pPr>
      <w:r w:rsidRPr="00094F99">
        <w:rPr>
          <w:noProof/>
        </w:rPr>
        <w:lastRenderedPageBreak/>
        <w:drawing>
          <wp:inline distT="0" distB="0" distL="0" distR="0" wp14:anchorId="0220109A" wp14:editId="7E4034AD">
            <wp:extent cx="4572000" cy="2408605"/>
            <wp:effectExtent l="0" t="0" r="0" b="0"/>
            <wp:docPr id="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43"/>
                    <a:srcRect l="10588" t="5840" r="10390"/>
                    <a:stretch/>
                  </pic:blipFill>
                  <pic:spPr>
                    <a:xfrm>
                      <a:off x="0" y="0"/>
                      <a:ext cx="4572000" cy="2408605"/>
                    </a:xfrm>
                    <a:prstGeom prst="rect">
                      <a:avLst/>
                    </a:prstGeom>
                  </pic:spPr>
                </pic:pic>
              </a:graphicData>
            </a:graphic>
          </wp:inline>
        </w:drawing>
      </w:r>
    </w:p>
    <w:p w14:paraId="419D89E7" w14:textId="4B857790" w:rsidR="00094F99" w:rsidRDefault="00094F99" w:rsidP="00BC23AD">
      <w:pPr>
        <w:pStyle w:val="Caption"/>
      </w:pPr>
      <w:bookmarkStart w:id="73" w:name="_Toc67566213"/>
      <w:r>
        <w:t xml:space="preserve">Figure </w:t>
      </w:r>
      <w:r w:rsidR="00077C0B">
        <w:fldChar w:fldCharType="begin"/>
      </w:r>
      <w:r w:rsidR="00077C0B">
        <w:instrText xml:space="preserve"> STYLEREF 1 \s </w:instrText>
      </w:r>
      <w:r w:rsidR="00077C0B">
        <w:fldChar w:fldCharType="separate"/>
      </w:r>
      <w:r w:rsidR="0006023A">
        <w:rPr>
          <w:noProof/>
        </w:rPr>
        <w:t>3</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9</w:t>
      </w:r>
      <w:r w:rsidR="00077C0B">
        <w:rPr>
          <w:noProof/>
        </w:rPr>
        <w:fldChar w:fldCharType="end"/>
      </w:r>
      <w:r>
        <w:t>: The distribution of wells from the High Island OPD before and after removing 1,055 wells that did not have a status of TA, COM, or PA.</w:t>
      </w:r>
      <w:bookmarkEnd w:id="73"/>
    </w:p>
    <w:p w14:paraId="221ADA3A" w14:textId="541465F0" w:rsidR="00810A86" w:rsidRDefault="00810A86" w:rsidP="00094F99">
      <w:r>
        <w:tab/>
      </w:r>
      <w:r w:rsidRPr="00EC7EFC">
        <w:t xml:space="preserve">The </w:t>
      </w:r>
      <w:r w:rsidRPr="00EF1323">
        <w:t>distribution of the TD of the wells in the High Island OPD are shown in Figure 3.</w:t>
      </w:r>
      <w:r w:rsidR="00CC205B" w:rsidRPr="00EF1323">
        <w:t>1</w:t>
      </w:r>
      <w:r w:rsidR="00576F57" w:rsidRPr="00EF1323">
        <w:t>0</w:t>
      </w:r>
      <w:r w:rsidRPr="00EF1323">
        <w:t>. The wells range from a non-zero depth of</w:t>
      </w:r>
      <w:r w:rsidR="0049730C" w:rsidRPr="00EF1323">
        <w:t xml:space="preserve"> 93 m</w:t>
      </w:r>
      <w:r w:rsidRPr="00EF1323">
        <w:t xml:space="preserve"> </w:t>
      </w:r>
      <w:r w:rsidR="0049730C" w:rsidRPr="00EF1323">
        <w:t>(</w:t>
      </w:r>
      <w:r w:rsidR="00FC5324" w:rsidRPr="00EF1323">
        <w:t>305</w:t>
      </w:r>
      <w:r w:rsidR="00FA14BF" w:rsidRPr="00EF1323">
        <w:t xml:space="preserve"> ft.</w:t>
      </w:r>
      <w:r w:rsidR="0049730C" w:rsidRPr="00EF1323">
        <w:t>)</w:t>
      </w:r>
      <w:r w:rsidR="00FA14BF" w:rsidRPr="00EF1323">
        <w:t xml:space="preserve"> to </w:t>
      </w:r>
      <w:r w:rsidR="0049730C" w:rsidRPr="00EF1323">
        <w:t>8,651 m (</w:t>
      </w:r>
      <w:r w:rsidR="00FA14BF" w:rsidRPr="00EF1323">
        <w:t>28,382</w:t>
      </w:r>
      <w:r w:rsidRPr="00EF1323">
        <w:t xml:space="preserve"> ft.</w:t>
      </w:r>
      <w:r w:rsidR="0049730C" w:rsidRPr="00EF1323">
        <w:t>)</w:t>
      </w:r>
      <w:r w:rsidRPr="00EF1323">
        <w:t xml:space="preserve"> The average TD is </w:t>
      </w:r>
      <w:r w:rsidR="0049730C" w:rsidRPr="00EF1323">
        <w:t>2,541 m (</w:t>
      </w:r>
      <w:r w:rsidR="00FA14BF" w:rsidRPr="00EF1323">
        <w:t>8,336</w:t>
      </w:r>
      <w:r w:rsidRPr="00EF1323">
        <w:t xml:space="preserve"> ft.</w:t>
      </w:r>
      <w:r w:rsidR="0049730C" w:rsidRPr="00EF1323">
        <w:t>)</w:t>
      </w:r>
      <w:r w:rsidRPr="00EF1323">
        <w:t xml:space="preserve"> with a standard deviation of</w:t>
      </w:r>
      <w:r w:rsidR="0049730C" w:rsidRPr="00EF1323">
        <w:t xml:space="preserve"> 928 m</w:t>
      </w:r>
      <w:r w:rsidRPr="00EF1323">
        <w:t xml:space="preserve"> </w:t>
      </w:r>
      <w:r w:rsidR="0049730C" w:rsidRPr="00EF1323">
        <w:t>(</w:t>
      </w:r>
      <w:r w:rsidR="00FA14BF" w:rsidRPr="00EF1323">
        <w:t>3,</w:t>
      </w:r>
      <w:r w:rsidRPr="00EF1323">
        <w:t>0</w:t>
      </w:r>
      <w:r w:rsidR="00FA14BF" w:rsidRPr="00EF1323">
        <w:t>4</w:t>
      </w:r>
      <w:r w:rsidRPr="00EF1323">
        <w:t>4 ft.</w:t>
      </w:r>
      <w:r w:rsidR="0049730C" w:rsidRPr="00EF1323">
        <w:t>).</w:t>
      </w:r>
      <w:r w:rsidRPr="00EF1323">
        <w:t xml:space="preserve"> </w:t>
      </w:r>
      <w:r w:rsidR="00FC5324" w:rsidRPr="00EF1323">
        <w:t xml:space="preserve">A well (API 427094116400) with TD </w:t>
      </w:r>
      <w:r w:rsidR="00023855" w:rsidRPr="00EF1323">
        <w:t xml:space="preserve">close to the mean depth of the OPD </w:t>
      </w:r>
      <w:r w:rsidR="00FC5324" w:rsidRPr="00EF1323">
        <w:t>was chosen to</w:t>
      </w:r>
      <w:r w:rsidR="00FC5324">
        <w:t xml:space="preserve"> be </w:t>
      </w:r>
      <w:r w:rsidR="00023855">
        <w:t xml:space="preserve">a </w:t>
      </w:r>
      <w:r w:rsidR="00FC5324">
        <w:t>represent</w:t>
      </w:r>
      <w:r w:rsidR="006E4AE9">
        <w:t>ative well.</w:t>
      </w:r>
    </w:p>
    <w:p w14:paraId="5B03251E" w14:textId="52DB9392" w:rsidR="00FA14BF" w:rsidRDefault="00FA14BF" w:rsidP="00BC23AD">
      <w:pPr>
        <w:pStyle w:val="NoSpacing"/>
      </w:pPr>
    </w:p>
    <w:p w14:paraId="18C55E93" w14:textId="59982E64" w:rsidR="00EE45AA" w:rsidRDefault="00EE45AA" w:rsidP="00BC23AD">
      <w:pPr>
        <w:pStyle w:val="NoSpacing"/>
      </w:pPr>
      <w:r>
        <w:rPr>
          <w:noProof/>
        </w:rPr>
        <w:drawing>
          <wp:inline distT="0" distB="0" distL="0" distR="0" wp14:anchorId="2E0DB619" wp14:editId="2EB20EE1">
            <wp:extent cx="4114800" cy="287996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114800" cy="2879960"/>
                    </a:xfrm>
                    <a:prstGeom prst="rect">
                      <a:avLst/>
                    </a:prstGeom>
                    <a:noFill/>
                  </pic:spPr>
                </pic:pic>
              </a:graphicData>
            </a:graphic>
          </wp:inline>
        </w:drawing>
      </w:r>
    </w:p>
    <w:p w14:paraId="24E0B538" w14:textId="28839F10" w:rsidR="00573006" w:rsidRDefault="00FA14BF" w:rsidP="00BC23AD">
      <w:pPr>
        <w:pStyle w:val="Caption"/>
        <w:rPr>
          <w:rFonts w:eastAsiaTheme="minorEastAsia"/>
        </w:rPr>
      </w:pPr>
      <w:bookmarkStart w:id="74" w:name="_Toc67566214"/>
      <w:r>
        <w:t xml:space="preserve">Figure </w:t>
      </w:r>
      <w:r w:rsidR="00077C0B">
        <w:fldChar w:fldCharType="begin"/>
      </w:r>
      <w:r w:rsidR="00077C0B">
        <w:instrText xml:space="preserve"> STYLEREF 1 \s </w:instrText>
      </w:r>
      <w:r w:rsidR="00077C0B">
        <w:fldChar w:fldCharType="separate"/>
      </w:r>
      <w:r w:rsidR="0006023A">
        <w:rPr>
          <w:noProof/>
        </w:rPr>
        <w:t>3</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10</w:t>
      </w:r>
      <w:r w:rsidR="00077C0B">
        <w:rPr>
          <w:noProof/>
        </w:rPr>
        <w:fldChar w:fldCharType="end"/>
      </w:r>
      <w:r>
        <w:t xml:space="preserve">: </w:t>
      </w:r>
      <w:r w:rsidRPr="00800601">
        <w:rPr>
          <w:lang w:val="en-CA"/>
        </w:rPr>
        <w:t>T</w:t>
      </w:r>
      <w:r w:rsidR="00EE45AA">
        <w:rPr>
          <w:lang w:val="en-CA"/>
        </w:rPr>
        <w:t>otal</w:t>
      </w:r>
      <w:r w:rsidRPr="00800601">
        <w:rPr>
          <w:lang w:val="en-CA"/>
        </w:rPr>
        <w:t xml:space="preserve"> Depth (TD) distribution of the number of wells in the High Island OPD with the distribution of their respective status codes of completed (COM), temporarily abandoned (TA), or permanently abandoned (PA) with an average being </w:t>
      </w:r>
      <w:r w:rsidRPr="00800601">
        <w:rPr>
          <w:rFonts w:eastAsiaTheme="minorEastAsia"/>
        </w:rPr>
        <w:t>2,541 m (8,33</w:t>
      </w:r>
      <w:r w:rsidR="009454E9">
        <w:rPr>
          <w:rFonts w:eastAsiaTheme="minorEastAsia"/>
        </w:rPr>
        <w:t>6 ft.). Raw data from BSEE (2019</w:t>
      </w:r>
      <w:r w:rsidRPr="00800601">
        <w:rPr>
          <w:rFonts w:eastAsiaTheme="minorEastAsia"/>
        </w:rPr>
        <w:t>).</w:t>
      </w:r>
      <w:bookmarkEnd w:id="74"/>
    </w:p>
    <w:p w14:paraId="44F30938" w14:textId="77777777" w:rsidR="00DE4A07" w:rsidRPr="00DE4A07" w:rsidRDefault="00DE4A07" w:rsidP="00DE4A07"/>
    <w:p w14:paraId="06D38051" w14:textId="25629EA4" w:rsidR="00E86887" w:rsidRDefault="00E86887" w:rsidP="003E1B51">
      <w:pPr>
        <w:pStyle w:val="Heading3"/>
      </w:pPr>
      <w:bookmarkStart w:id="75" w:name="_Toc67566042"/>
      <w:r>
        <w:lastRenderedPageBreak/>
        <w:t>Case Study Well</w:t>
      </w:r>
      <w:bookmarkEnd w:id="75"/>
    </w:p>
    <w:p w14:paraId="077F780D" w14:textId="4669C850" w:rsidR="00D55583" w:rsidRPr="00EF1323" w:rsidRDefault="00023855" w:rsidP="007F6858">
      <w:pPr>
        <w:ind w:firstLine="720"/>
      </w:pPr>
      <w:r>
        <w:t xml:space="preserve">The plans, reports, and corresponding log data </w:t>
      </w:r>
      <w:r w:rsidR="006E4AE9">
        <w:t xml:space="preserve">for the representative well </w:t>
      </w:r>
      <w:r w:rsidR="00D55583">
        <w:t xml:space="preserve">(API 427094116400), </w:t>
      </w:r>
      <w:r>
        <w:t xml:space="preserve">were purchased through BOEM or BSEE and </w:t>
      </w:r>
      <w:r w:rsidR="00D55583">
        <w:t xml:space="preserve">36 files </w:t>
      </w:r>
      <w:r>
        <w:t xml:space="preserve">were </w:t>
      </w:r>
      <w:r w:rsidR="0085331A">
        <w:t>available including the bottomhole pressure (BHP) survey report, end of operations report (EOR), application for permit to drill a new well (APD), well activity report (WAR), application for</w:t>
      </w:r>
      <w:r w:rsidR="006C6395">
        <w:t xml:space="preserve"> a</w:t>
      </w:r>
      <w:r w:rsidR="0085331A">
        <w:t xml:space="preserve"> permit to modify, </w:t>
      </w:r>
      <w:r w:rsidR="00782634">
        <w:t xml:space="preserve">drilling </w:t>
      </w:r>
      <w:r w:rsidR="00DE4A07">
        <w:t>fluid logs</w:t>
      </w:r>
      <w:r w:rsidR="0085331A">
        <w:t xml:space="preserve">, raw logs, and directional surveys. For the FEA models, the APD and BHP report contain all the information </w:t>
      </w:r>
      <w:r w:rsidR="0085331A" w:rsidRPr="00EF1323">
        <w:t>needed</w:t>
      </w:r>
      <w:r w:rsidR="008919E0" w:rsidRPr="00EF1323">
        <w:t xml:space="preserve"> to simulate the well. The information used from the reports include the wellbore dimensions, depths of the casing strings, pore pressure gradients, </w:t>
      </w:r>
      <w:r w:rsidR="00782634" w:rsidRPr="00EF1323">
        <w:t xml:space="preserve">drilling </w:t>
      </w:r>
      <w:r w:rsidR="00DE4A07" w:rsidRPr="00EF1323">
        <w:t>fluid weight</w:t>
      </w:r>
      <w:r w:rsidR="008919E0" w:rsidRPr="00EF1323">
        <w:t xml:space="preserve"> gradients, formation fracture pressure gradients, BHP gradient, and the cement slurry design</w:t>
      </w:r>
      <w:r w:rsidR="0085331A" w:rsidRPr="00EF1323">
        <w:t>. Copies of the APD and BHP report are</w:t>
      </w:r>
      <w:r w:rsidR="006C56EB">
        <w:t xml:space="preserve"> provided</w:t>
      </w:r>
      <w:r w:rsidR="0085331A" w:rsidRPr="00EF1323">
        <w:t xml:space="preserve"> in </w:t>
      </w:r>
      <w:r w:rsidR="00415843" w:rsidRPr="00EF1323">
        <w:t>Appendix D</w:t>
      </w:r>
      <w:r w:rsidR="0085331A" w:rsidRPr="00EF1323">
        <w:t>.</w:t>
      </w:r>
    </w:p>
    <w:p w14:paraId="3E80C6CE" w14:textId="1243F076" w:rsidR="0085331A" w:rsidRDefault="0085331A" w:rsidP="007F6858">
      <w:pPr>
        <w:ind w:firstLine="720"/>
      </w:pPr>
      <w:r w:rsidRPr="00EF1323">
        <w:t xml:space="preserve">The </w:t>
      </w:r>
      <w:r w:rsidR="00023855" w:rsidRPr="00EF1323">
        <w:t xml:space="preserve">vertical </w:t>
      </w:r>
      <w:r w:rsidRPr="00EF1323">
        <w:t>well is located in a gas field as stated</w:t>
      </w:r>
      <w:r>
        <w:t xml:space="preserve"> in the BHP report along with the information that the production fluid has a specific gravity of 0.57 (methane has a specific gravity of 0.55). </w:t>
      </w:r>
      <w:r w:rsidRPr="00EF1323">
        <w:t>Figure 3.</w:t>
      </w:r>
      <w:r w:rsidR="00CC205B" w:rsidRPr="00EF1323">
        <w:t>1</w:t>
      </w:r>
      <w:r w:rsidR="0058188E" w:rsidRPr="00EF1323">
        <w:t>1</w:t>
      </w:r>
      <w:r w:rsidR="0049730C" w:rsidRPr="00EF1323">
        <w:t xml:space="preserve"> and Figure 3.1</w:t>
      </w:r>
      <w:r w:rsidR="0058188E" w:rsidRPr="00EF1323">
        <w:t>2</w:t>
      </w:r>
      <w:r w:rsidRPr="00EF1323">
        <w:t xml:space="preserve"> show a schematic of the well</w:t>
      </w:r>
      <w:r w:rsidR="002C38A0" w:rsidRPr="00EF1323">
        <w:t xml:space="preserve"> </w:t>
      </w:r>
      <w:r w:rsidRPr="00EF1323">
        <w:t>with the casing sizes and depths</w:t>
      </w:r>
      <w:r w:rsidR="006C6395">
        <w:t>,</w:t>
      </w:r>
      <w:r w:rsidRPr="00EF1323">
        <w:t xml:space="preserve"> pore pressure</w:t>
      </w:r>
      <w:r w:rsidR="006C6395">
        <w:t>s,</w:t>
      </w:r>
      <w:r w:rsidRPr="00EF1323">
        <w:t xml:space="preserve"> and </w:t>
      </w:r>
      <w:r w:rsidR="00782634" w:rsidRPr="00EF1323">
        <w:t>drilling</w:t>
      </w:r>
      <w:r w:rsidR="00782634">
        <w:t xml:space="preserve"> </w:t>
      </w:r>
      <w:r w:rsidR="00DE4A07">
        <w:t>fluid weight</w:t>
      </w:r>
      <w:r>
        <w:t xml:space="preserve"> gradients</w:t>
      </w:r>
      <w:r w:rsidR="0049730C">
        <w:t xml:space="preserve"> for both standard and metric units</w:t>
      </w:r>
      <w:r>
        <w:t>.</w:t>
      </w:r>
      <w:r w:rsidR="008919E0">
        <w:t xml:space="preserve"> </w:t>
      </w:r>
    </w:p>
    <w:p w14:paraId="417963AE" w14:textId="4E7E05BE" w:rsidR="00D00E3D" w:rsidRDefault="00D00E3D" w:rsidP="00BC23AD">
      <w:pPr>
        <w:pStyle w:val="NoSpacing"/>
      </w:pPr>
      <w:r>
        <w:rPr>
          <w:noProof/>
        </w:rPr>
        <w:lastRenderedPageBreak/>
        <w:drawing>
          <wp:inline distT="0" distB="0" distL="0" distR="0" wp14:anchorId="5182B578" wp14:editId="1344A12F">
            <wp:extent cx="5029200" cy="4377116"/>
            <wp:effectExtent l="0" t="0" r="0" b="444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029200" cy="4377116"/>
                    </a:xfrm>
                    <a:prstGeom prst="rect">
                      <a:avLst/>
                    </a:prstGeom>
                    <a:noFill/>
                  </pic:spPr>
                </pic:pic>
              </a:graphicData>
            </a:graphic>
          </wp:inline>
        </w:drawing>
      </w:r>
    </w:p>
    <w:p w14:paraId="6ED84E24" w14:textId="20BCD2CB" w:rsidR="0085331A" w:rsidRDefault="0085331A" w:rsidP="00BC23AD">
      <w:pPr>
        <w:pStyle w:val="Caption"/>
      </w:pPr>
      <w:bookmarkStart w:id="76" w:name="_Toc67566215"/>
      <w:r>
        <w:t xml:space="preserve">Figure </w:t>
      </w:r>
      <w:r w:rsidR="00077C0B">
        <w:fldChar w:fldCharType="begin"/>
      </w:r>
      <w:r w:rsidR="00077C0B">
        <w:instrText xml:space="preserve"> STYLEREF 1 \s </w:instrText>
      </w:r>
      <w:r w:rsidR="00077C0B">
        <w:fldChar w:fldCharType="separate"/>
      </w:r>
      <w:r w:rsidR="0006023A">
        <w:rPr>
          <w:noProof/>
        </w:rPr>
        <w:t>3</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11</w:t>
      </w:r>
      <w:r w:rsidR="00077C0B">
        <w:rPr>
          <w:noProof/>
        </w:rPr>
        <w:fldChar w:fldCharType="end"/>
      </w:r>
      <w:r>
        <w:t xml:space="preserve">: High Island well API 427094116400 casing size and depths along with pore pressure and </w:t>
      </w:r>
      <w:r w:rsidR="00782634">
        <w:t>drilling fluid</w:t>
      </w:r>
      <w:r>
        <w:t xml:space="preserve"> weight gradients</w:t>
      </w:r>
      <w:r w:rsidR="0049730C">
        <w:t xml:space="preserve"> in standard units</w:t>
      </w:r>
      <w:r>
        <w:t>.</w:t>
      </w:r>
      <w:bookmarkEnd w:id="76"/>
    </w:p>
    <w:p w14:paraId="2E02B5AC" w14:textId="27FC5070" w:rsidR="00D00E3D" w:rsidRDefault="00D00E3D" w:rsidP="00BC23AD">
      <w:pPr>
        <w:pStyle w:val="NoSpacing"/>
      </w:pPr>
      <w:r>
        <w:rPr>
          <w:noProof/>
        </w:rPr>
        <w:lastRenderedPageBreak/>
        <w:drawing>
          <wp:inline distT="0" distB="0" distL="0" distR="0" wp14:anchorId="5E7AD35C" wp14:editId="1E47D7EF">
            <wp:extent cx="5029200" cy="4379128"/>
            <wp:effectExtent l="0" t="0" r="0" b="254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029200" cy="4379128"/>
                    </a:xfrm>
                    <a:prstGeom prst="rect">
                      <a:avLst/>
                    </a:prstGeom>
                    <a:noFill/>
                  </pic:spPr>
                </pic:pic>
              </a:graphicData>
            </a:graphic>
          </wp:inline>
        </w:drawing>
      </w:r>
    </w:p>
    <w:p w14:paraId="4E42F5CC" w14:textId="1D57F24C" w:rsidR="007D22B4" w:rsidRDefault="007D22B4" w:rsidP="00BC23AD">
      <w:pPr>
        <w:pStyle w:val="Caption"/>
      </w:pPr>
      <w:bookmarkStart w:id="77" w:name="_Toc67566216"/>
      <w:r>
        <w:t xml:space="preserve">Figure </w:t>
      </w:r>
      <w:r w:rsidR="00077C0B">
        <w:fldChar w:fldCharType="begin"/>
      </w:r>
      <w:r w:rsidR="00077C0B">
        <w:instrText xml:space="preserve"> STYLEREF 1 \s </w:instrText>
      </w:r>
      <w:r w:rsidR="00077C0B">
        <w:fldChar w:fldCharType="separate"/>
      </w:r>
      <w:r w:rsidR="0006023A">
        <w:rPr>
          <w:noProof/>
        </w:rPr>
        <w:t>3</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12</w:t>
      </w:r>
      <w:r w:rsidR="00077C0B">
        <w:rPr>
          <w:noProof/>
        </w:rPr>
        <w:fldChar w:fldCharType="end"/>
      </w:r>
      <w:r>
        <w:t xml:space="preserve">: </w:t>
      </w:r>
      <w:r w:rsidR="0049730C">
        <w:t xml:space="preserve">High Island well API 427094116400 casing size and depths along with pore pressure and </w:t>
      </w:r>
      <w:r w:rsidR="00782634">
        <w:t xml:space="preserve">drilling fluid </w:t>
      </w:r>
      <w:r w:rsidR="0049730C">
        <w:t>weight gradients in metric units.</w:t>
      </w:r>
      <w:bookmarkEnd w:id="77"/>
    </w:p>
    <w:p w14:paraId="124BEB37" w14:textId="7D91EA4E" w:rsidR="009800DB" w:rsidRDefault="000E7E5E" w:rsidP="003E1B51">
      <w:pPr>
        <w:pStyle w:val="Heading3"/>
      </w:pPr>
      <w:bookmarkStart w:id="78" w:name="_Toc67566043"/>
      <w:r>
        <w:t>Formation Properties</w:t>
      </w:r>
      <w:bookmarkEnd w:id="78"/>
    </w:p>
    <w:p w14:paraId="73AA45C4" w14:textId="75CD0955" w:rsidR="009800DB" w:rsidRDefault="009800DB" w:rsidP="009800DB">
      <w:pPr>
        <w:ind w:firstLine="720"/>
      </w:pPr>
      <w:r>
        <w:t xml:space="preserve">The in-situ stress </w:t>
      </w:r>
      <w:r w:rsidRPr="007D5F9B">
        <w:t>gradients</w:t>
      </w:r>
      <w:r>
        <w:t xml:space="preserve"> for the </w:t>
      </w:r>
      <w:r w:rsidRPr="007D5F9B">
        <w:t>High Island OPD</w:t>
      </w:r>
      <w:r>
        <w:t>,</w:t>
      </w:r>
      <w:r w:rsidRPr="007D5F9B">
        <w:t xml:space="preserve"> </w:t>
      </w:r>
      <w:r>
        <w:t>reported to be a normal faulting regime, is</w:t>
      </w:r>
      <w:r w:rsidRPr="007D5F9B">
        <w:t xml:space="preserve"> </w:t>
      </w:r>
      <w:r w:rsidRPr="00EF1323">
        <w:t>based on correlations from Breckels and van Eekelen (1982), Wojtanowicz et al. (2000), Meng et al. (2018) as well as the drilling report for the well (OMB Control Number 1010-0141, shown in Appendix D). The overburden stress gradient (</w:t>
      </w:r>
      <m:oMath>
        <m:sSub>
          <m:sSubPr>
            <m:ctrlPr>
              <w:rPr>
                <w:rFonts w:ascii="Cambria Math" w:hAnsi="Cambria Math"/>
                <w:i/>
              </w:rPr>
            </m:ctrlPr>
          </m:sSubPr>
          <m:e>
            <m:r>
              <w:rPr>
                <w:rFonts w:ascii="Cambria Math" w:hAnsi="Cambria Math"/>
              </w:rPr>
              <m:t>σ</m:t>
            </m:r>
          </m:e>
          <m:sub>
            <m:r>
              <w:rPr>
                <w:rFonts w:ascii="Cambria Math" w:hAnsi="Cambria Math"/>
              </w:rPr>
              <m:t>v</m:t>
            </m:r>
          </m:sub>
        </m:sSub>
      </m:oMath>
      <w:r w:rsidRPr="00EF1323">
        <w:rPr>
          <w:rFonts w:eastAsiaTheme="minorEastAsia"/>
        </w:rPr>
        <w:t>)</w:t>
      </w:r>
      <w:r w:rsidRPr="00EF1323">
        <w:t xml:space="preserve"> is based on data from Meng et al. (2018) for the Gulf of Mexico and is shown in Equation </w:t>
      </w:r>
      <w:r w:rsidR="00A36EAD" w:rsidRPr="00EF1323">
        <w:t>3.4</w:t>
      </w:r>
      <w:r w:rsidRPr="00EF1323">
        <w:t xml:space="preserve"> where the units of </w:t>
      </w:r>
      <m:oMath>
        <m:sSub>
          <m:sSubPr>
            <m:ctrlPr>
              <w:rPr>
                <w:rFonts w:ascii="Cambria Math" w:hAnsi="Cambria Math"/>
                <w:i/>
              </w:rPr>
            </m:ctrlPr>
          </m:sSubPr>
          <m:e>
            <m:r>
              <w:rPr>
                <w:rFonts w:ascii="Cambria Math" w:hAnsi="Cambria Math"/>
              </w:rPr>
              <m:t>σ</m:t>
            </m:r>
          </m:e>
          <m:sub>
            <m:r>
              <w:rPr>
                <w:rFonts w:ascii="Cambria Math" w:hAnsi="Cambria Math"/>
              </w:rPr>
              <m:t>v</m:t>
            </m:r>
          </m:sub>
        </m:sSub>
      </m:oMath>
      <w:r w:rsidRPr="00EF1323">
        <w:t xml:space="preserve"> are MPa, true vertical depth (</w:t>
      </w:r>
      <m:oMath>
        <m:r>
          <w:rPr>
            <w:rFonts w:ascii="Cambria Math" w:hAnsi="Cambria Math"/>
          </w:rPr>
          <m:t>TVD</m:t>
        </m:r>
      </m:oMath>
      <w:r w:rsidRPr="00EF1323">
        <w:t xml:space="preserve">) is m, and </w:t>
      </w:r>
      <m:oMath>
        <m:sSub>
          <m:sSubPr>
            <m:ctrlPr>
              <w:rPr>
                <w:rFonts w:ascii="Cambria Math" w:hAnsi="Cambria Math"/>
                <w:i/>
              </w:rPr>
            </m:ctrlPr>
          </m:sSubPr>
          <m:e>
            <m:r>
              <w:rPr>
                <w:rFonts w:ascii="Cambria Math" w:hAnsi="Cambria Math"/>
              </w:rPr>
              <m:t>P</m:t>
            </m:r>
          </m:e>
          <m:sub>
            <m:r>
              <w:rPr>
                <w:rFonts w:ascii="Cambria Math" w:hAnsi="Cambria Math"/>
              </w:rPr>
              <m:t>p</m:t>
            </m:r>
          </m:sub>
        </m:sSub>
      </m:oMath>
      <w:r w:rsidRPr="00EF1323">
        <w:t xml:space="preserve"> is MPa. The minimum horizontal stress is taken to be the average from the correlation from Breckels and van Eekelen (1982) [Equation </w:t>
      </w:r>
      <w:r w:rsidR="00A36EAD" w:rsidRPr="00EF1323">
        <w:t>3.5</w:t>
      </w:r>
      <w:r w:rsidRPr="00EF1323">
        <w:t xml:space="preserve">], measured leak off test (LOT) data from Wojtanowicz et al. (2000) [Equation </w:t>
      </w:r>
      <w:r w:rsidR="00A36EAD" w:rsidRPr="00EF1323">
        <w:t>3.6</w:t>
      </w:r>
      <w:r w:rsidRPr="00EF1323">
        <w:t xml:space="preserve">], and the fracture pressure gradient listed </w:t>
      </w:r>
      <w:r w:rsidRPr="00EF1323">
        <w:lastRenderedPageBreak/>
        <w:t>in the well APD (Appendix D). The maximum h</w:t>
      </w:r>
      <w:r>
        <w:t>orizontal stress (</w:t>
      </w:r>
      <m:oMath>
        <m:sSub>
          <m:sSubPr>
            <m:ctrlPr>
              <w:rPr>
                <w:rFonts w:ascii="Cambria Math" w:hAnsi="Cambria Math"/>
                <w:i/>
              </w:rPr>
            </m:ctrlPr>
          </m:sSubPr>
          <m:e>
            <m:r>
              <w:rPr>
                <w:rFonts w:ascii="Cambria Math" w:hAnsi="Cambria Math"/>
              </w:rPr>
              <m:t>σ</m:t>
            </m:r>
          </m:e>
          <m:sub>
            <m:r>
              <w:rPr>
                <w:rFonts w:ascii="Cambria Math" w:hAnsi="Cambria Math"/>
              </w:rPr>
              <m:t>H</m:t>
            </m:r>
          </m:sub>
        </m:sSub>
      </m:oMath>
      <w:r>
        <w:t>) is taken to be the average of the overburden (</w:t>
      </w:r>
      <m:oMath>
        <m:sSub>
          <m:sSubPr>
            <m:ctrlPr>
              <w:rPr>
                <w:rFonts w:ascii="Cambria Math" w:hAnsi="Cambria Math"/>
                <w:i/>
              </w:rPr>
            </m:ctrlPr>
          </m:sSubPr>
          <m:e>
            <m:r>
              <w:rPr>
                <w:rFonts w:ascii="Cambria Math" w:hAnsi="Cambria Math"/>
              </w:rPr>
              <m:t>σ</m:t>
            </m:r>
          </m:e>
          <m:sub>
            <m:r>
              <w:rPr>
                <w:rFonts w:ascii="Cambria Math" w:hAnsi="Cambria Math"/>
              </w:rPr>
              <m:t>v</m:t>
            </m:r>
          </m:sub>
        </m:sSub>
      </m:oMath>
      <w:r>
        <w:t>) and minimum horizontal stress (</w:t>
      </w:r>
      <m:oMath>
        <m:sSub>
          <m:sSubPr>
            <m:ctrlPr>
              <w:rPr>
                <w:rFonts w:ascii="Cambria Math" w:hAnsi="Cambria Math"/>
                <w:i/>
              </w:rPr>
            </m:ctrlPr>
          </m:sSubPr>
          <m:e>
            <m:r>
              <w:rPr>
                <w:rFonts w:ascii="Cambria Math" w:hAnsi="Cambria Math"/>
              </w:rPr>
              <m:t>σ</m:t>
            </m:r>
          </m:e>
          <m:sub>
            <m:r>
              <w:rPr>
                <w:rFonts w:ascii="Cambria Math" w:hAnsi="Cambria Math"/>
              </w:rPr>
              <m:t>h</m:t>
            </m:r>
          </m:sub>
        </m:sSub>
      </m:oMath>
      <w:r>
        <w:t>).</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800DB" w14:paraId="336FB614" w14:textId="77777777" w:rsidTr="00057EA5">
        <w:trPr>
          <w:trHeight w:val="576"/>
        </w:trPr>
        <w:tc>
          <w:tcPr>
            <w:tcW w:w="720" w:type="dxa"/>
            <w:vAlign w:val="center"/>
          </w:tcPr>
          <w:p w14:paraId="66437220" w14:textId="025FFE47" w:rsidR="009800DB" w:rsidRDefault="009800DB" w:rsidP="00057EA5">
            <w:pPr>
              <w:spacing w:line="240" w:lineRule="auto"/>
              <w:jc w:val="center"/>
            </w:pPr>
          </w:p>
        </w:tc>
        <w:tc>
          <w:tcPr>
            <w:tcW w:w="7920" w:type="dxa"/>
            <w:vAlign w:val="center"/>
          </w:tcPr>
          <w:p w14:paraId="447E34A1" w14:textId="77777777" w:rsidR="009800DB" w:rsidRPr="003E4C6A" w:rsidRDefault="00077C0B" w:rsidP="00057EA5">
            <w:pPr>
              <w:spacing w:line="240" w:lineRule="auto"/>
              <w:jc w:val="center"/>
            </w:pPr>
            <m:oMathPara>
              <m:oMath>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v</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0.944∙</m:t>
                    </m:r>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TVD</m:t>
                            </m:r>
                          </m:num>
                          <m:den>
                            <m:r>
                              <w:rPr>
                                <w:rFonts w:ascii="Cambria Math" w:hAnsi="Cambria Math" w:cs="Times New Roman"/>
                              </w:rPr>
                              <m:t>0.3048</m:t>
                            </m:r>
                          </m:den>
                        </m:f>
                      </m:e>
                    </m:d>
                    <m:r>
                      <w:rPr>
                        <w:rFonts w:ascii="Cambria Math" w:hAnsi="Cambria Math" w:cs="Times New Roman"/>
                      </w:rPr>
                      <m:t xml:space="preserve"> </m:t>
                    </m:r>
                  </m:num>
                  <m:den>
                    <m:r>
                      <w:rPr>
                        <w:rFonts w:ascii="Cambria Math" w:hAnsi="Cambria Math" w:cs="Times New Roman"/>
                      </w:rPr>
                      <m:t>145.038</m:t>
                    </m:r>
                  </m:den>
                </m:f>
              </m:oMath>
            </m:oMathPara>
          </w:p>
        </w:tc>
        <w:tc>
          <w:tcPr>
            <w:tcW w:w="720" w:type="dxa"/>
            <w:vAlign w:val="bottom"/>
          </w:tcPr>
          <w:p w14:paraId="38B5D9C2" w14:textId="45DA908F" w:rsidR="009800DB" w:rsidRPr="00470CB5" w:rsidRDefault="00077C0B" w:rsidP="00BC23AD">
            <w:pPr>
              <w:pStyle w:val="Caption"/>
              <w:rPr>
                <w:i/>
              </w:rPr>
            </w:pPr>
            <w:r>
              <w:fldChar w:fldCharType="begin"/>
            </w:r>
            <w:r>
              <w:instrText xml:space="preserve"> STYLEREF 1 \s </w:instrText>
            </w:r>
            <w:r>
              <w:fldChar w:fldCharType="separate"/>
            </w:r>
            <w:r w:rsidR="0006023A">
              <w:rPr>
                <w:noProof/>
              </w:rPr>
              <w:t>3</w:t>
            </w:r>
            <w:r>
              <w:rPr>
                <w:noProof/>
              </w:rPr>
              <w:fldChar w:fldCharType="end"/>
            </w:r>
            <w:r w:rsidR="009800DB">
              <w:t>.</w:t>
            </w:r>
            <w:r>
              <w:fldChar w:fldCharType="begin"/>
            </w:r>
            <w:r>
              <w:instrText xml:space="preserve"> SEQ Equation \* ARABIC \s 1 </w:instrText>
            </w:r>
            <w:r>
              <w:fldChar w:fldCharType="separate"/>
            </w:r>
            <w:r w:rsidR="0006023A">
              <w:rPr>
                <w:noProof/>
              </w:rPr>
              <w:t>4</w:t>
            </w:r>
            <w:r>
              <w:rPr>
                <w:noProof/>
              </w:rPr>
              <w:fldChar w:fldCharType="end"/>
            </w:r>
          </w:p>
        </w:tc>
      </w:tr>
    </w:tbl>
    <w:p w14:paraId="5FA8E57F" w14:textId="77777777" w:rsidR="009800DB" w:rsidRDefault="009800DB" w:rsidP="009800DB">
      <w:pPr>
        <w:ind w:firstLine="720"/>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800DB" w14:paraId="08B587BB" w14:textId="77777777" w:rsidTr="00057EA5">
        <w:trPr>
          <w:trHeight w:val="576"/>
        </w:trPr>
        <w:tc>
          <w:tcPr>
            <w:tcW w:w="720" w:type="dxa"/>
            <w:vAlign w:val="center"/>
          </w:tcPr>
          <w:p w14:paraId="6D7916DF" w14:textId="7590FE23" w:rsidR="009800DB" w:rsidRDefault="009800DB" w:rsidP="00057EA5">
            <w:pPr>
              <w:spacing w:line="240" w:lineRule="auto"/>
              <w:jc w:val="center"/>
            </w:pPr>
          </w:p>
        </w:tc>
        <w:tc>
          <w:tcPr>
            <w:tcW w:w="7920" w:type="dxa"/>
            <w:vAlign w:val="center"/>
          </w:tcPr>
          <w:p w14:paraId="596F4BC4" w14:textId="77777777" w:rsidR="009800DB" w:rsidRPr="00D7226B" w:rsidRDefault="00077C0B" w:rsidP="00057EA5">
            <w:pPr>
              <w:spacing w:line="240" w:lineRule="auto"/>
              <w:jc w:val="center"/>
              <w:rPr>
                <w:rFonts w:eastAsiaTheme="minorEastAsia"/>
              </w:rPr>
            </w:pPr>
            <m:oMathPara>
              <m:oMath>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h</m:t>
                    </m:r>
                  </m:sub>
                </m:sSub>
                <m:r>
                  <w:rPr>
                    <w:rFonts w:ascii="Cambria Math" w:hAnsi="Cambria Math" w:cs="Times New Roman"/>
                  </w:rPr>
                  <m:t>=</m:t>
                </m:r>
                <m:d>
                  <m:dPr>
                    <m:ctrlPr>
                      <w:rPr>
                        <w:rFonts w:ascii="Cambria Math" w:hAnsi="Cambria Math" w:cs="Times New Roman"/>
                        <w:i/>
                      </w:rPr>
                    </m:ctrlPr>
                  </m:dPr>
                  <m:e>
                    <m:r>
                      <w:rPr>
                        <w:rFonts w:ascii="Cambria Math" w:hAnsi="Cambria Math" w:cs="Times New Roman"/>
                      </w:rPr>
                      <m:t>0.197∙</m:t>
                    </m:r>
                    <m:sSup>
                      <m:sSupPr>
                        <m:ctrlPr>
                          <w:rPr>
                            <w:rFonts w:ascii="Cambria Math" w:hAnsi="Cambria Math" w:cs="Times New Roman"/>
                            <w:i/>
                          </w:rPr>
                        </m:ctrlPr>
                      </m:sSupPr>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TVD</m:t>
                                </m:r>
                              </m:num>
                              <m:den>
                                <m:r>
                                  <w:rPr>
                                    <w:rFonts w:ascii="Cambria Math" w:hAnsi="Cambria Math" w:cs="Times New Roman"/>
                                  </w:rPr>
                                  <m:t>0.3048</m:t>
                                </m:r>
                              </m:den>
                            </m:f>
                          </m:e>
                        </m:d>
                      </m:e>
                      <m:sup>
                        <m:r>
                          <w:rPr>
                            <w:rFonts w:ascii="Cambria Math" w:hAnsi="Cambria Math" w:cs="Times New Roman"/>
                          </w:rPr>
                          <m:t>1.145</m:t>
                        </m:r>
                      </m:sup>
                    </m:sSup>
                    <m:r>
                      <w:rPr>
                        <w:rFonts w:ascii="Cambria Math" w:hAnsi="Cambria Math" w:cs="Times New Roman"/>
                      </w:rPr>
                      <m:t>+0.46</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p</m:t>
                            </m:r>
                          </m:sub>
                        </m:sSub>
                        <m:r>
                          <w:rPr>
                            <w:rFonts w:ascii="Cambria Math" w:hAnsi="Cambria Math" w:cs="Times New Roman"/>
                          </w:rPr>
                          <m:t>∙145.038)-(0.465∙</m:t>
                        </m:r>
                        <m:f>
                          <m:fPr>
                            <m:ctrlPr>
                              <w:rPr>
                                <w:rFonts w:ascii="Cambria Math" w:hAnsi="Cambria Math" w:cs="Times New Roman"/>
                                <w:i/>
                              </w:rPr>
                            </m:ctrlPr>
                          </m:fPr>
                          <m:num>
                            <m:r>
                              <w:rPr>
                                <w:rFonts w:ascii="Cambria Math" w:hAnsi="Cambria Math" w:cs="Times New Roman"/>
                              </w:rPr>
                              <m:t>TVD</m:t>
                            </m:r>
                          </m:num>
                          <m:den>
                            <m:r>
                              <w:rPr>
                                <w:rFonts w:ascii="Cambria Math" w:hAnsi="Cambria Math" w:cs="Times New Roman"/>
                              </w:rPr>
                              <m:t>0.3048</m:t>
                            </m:r>
                          </m:den>
                        </m:f>
                        <m:r>
                          <w:rPr>
                            <w:rFonts w:ascii="Cambria Math" w:hAnsi="Cambria Math" w:cs="Times New Roman"/>
                          </w:rPr>
                          <m:t>)</m:t>
                        </m:r>
                      </m:e>
                    </m:d>
                  </m:e>
                </m:d>
                <m:r>
                  <w:rPr>
                    <w:rFonts w:ascii="Cambria Math" w:hAnsi="Cambria Math" w:cs="Times New Roman"/>
                  </w:rPr>
                  <m:t>÷145.038</m:t>
                </m:r>
              </m:oMath>
            </m:oMathPara>
          </w:p>
          <w:p w14:paraId="1DBA87A1" w14:textId="77777777" w:rsidR="009800DB" w:rsidRDefault="009800DB" w:rsidP="00057EA5">
            <w:pPr>
              <w:spacing w:line="240" w:lineRule="auto"/>
              <w:jc w:val="center"/>
              <w:rPr>
                <w:rFonts w:eastAsiaTheme="minorEastAsia"/>
              </w:rPr>
            </w:pPr>
            <w:r>
              <w:rPr>
                <w:rFonts w:eastAsiaTheme="minorEastAsia"/>
              </w:rPr>
              <w:t xml:space="preserve">When </w:t>
            </w:r>
            <m:oMath>
              <m:r>
                <w:rPr>
                  <w:rFonts w:ascii="Cambria Math" w:eastAsiaTheme="minorEastAsia" w:hAnsi="Cambria Math"/>
                </w:rPr>
                <m:t>TVD≤3,505</m:t>
              </m:r>
            </m:oMath>
            <w:r>
              <w:rPr>
                <w:rFonts w:eastAsiaTheme="minorEastAsia"/>
              </w:rPr>
              <w:t xml:space="preserve"> m</w:t>
            </w:r>
          </w:p>
          <w:p w14:paraId="17F1F4C5" w14:textId="77777777" w:rsidR="009800DB" w:rsidRDefault="009800DB" w:rsidP="00057EA5">
            <w:pPr>
              <w:spacing w:line="240" w:lineRule="auto"/>
              <w:jc w:val="center"/>
              <w:rPr>
                <w:rFonts w:eastAsiaTheme="minorEastAsia"/>
              </w:rPr>
            </w:pPr>
          </w:p>
          <w:p w14:paraId="3847F5C5" w14:textId="77777777" w:rsidR="009800DB" w:rsidRPr="00D7226B" w:rsidRDefault="00077C0B" w:rsidP="00057EA5">
            <w:pPr>
              <w:spacing w:line="240" w:lineRule="auto"/>
              <w:jc w:val="center"/>
              <w:rPr>
                <w:rFonts w:eastAsiaTheme="minorEastAsia"/>
              </w:rPr>
            </w:pPr>
            <m:oMathPara>
              <m:oMath>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h</m:t>
                    </m:r>
                  </m:sub>
                </m:sSub>
                <m:r>
                  <w:rPr>
                    <w:rFonts w:ascii="Cambria Math" w:hAnsi="Cambria Math" w:cs="Times New Roman"/>
                  </w:rPr>
                  <m:t>=</m:t>
                </m:r>
                <m:d>
                  <m:dPr>
                    <m:ctrlPr>
                      <w:rPr>
                        <w:rFonts w:ascii="Cambria Math" w:hAnsi="Cambria Math" w:cs="Times New Roman"/>
                        <w:i/>
                      </w:rPr>
                    </m:ctrlPr>
                  </m:dPr>
                  <m:e>
                    <m:r>
                      <w:rPr>
                        <w:rFonts w:ascii="Cambria Math" w:hAnsi="Cambria Math" w:cs="Times New Roman"/>
                      </w:rPr>
                      <m:t>1.167∙</m:t>
                    </m:r>
                    <m:f>
                      <m:fPr>
                        <m:ctrlPr>
                          <w:rPr>
                            <w:rFonts w:ascii="Cambria Math" w:hAnsi="Cambria Math" w:cs="Times New Roman"/>
                            <w:i/>
                          </w:rPr>
                        </m:ctrlPr>
                      </m:fPr>
                      <m:num>
                        <m:r>
                          <w:rPr>
                            <w:rFonts w:ascii="Cambria Math" w:hAnsi="Cambria Math" w:cs="Times New Roman"/>
                          </w:rPr>
                          <m:t>TVD</m:t>
                        </m:r>
                      </m:num>
                      <m:den>
                        <m:r>
                          <w:rPr>
                            <w:rFonts w:ascii="Cambria Math" w:hAnsi="Cambria Math" w:cs="Times New Roman"/>
                          </w:rPr>
                          <m:t>0.3048</m:t>
                        </m:r>
                      </m:den>
                    </m:f>
                    <m:r>
                      <w:rPr>
                        <w:rFonts w:ascii="Cambria Math" w:hAnsi="Cambria Math" w:cs="Times New Roman"/>
                      </w:rPr>
                      <m:t>-4.596+0.46</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p</m:t>
                            </m:r>
                          </m:sub>
                        </m:sSub>
                        <m:r>
                          <w:rPr>
                            <w:rFonts w:ascii="Cambria Math" w:hAnsi="Cambria Math" w:cs="Times New Roman"/>
                          </w:rPr>
                          <m:t>∙145.038)-(0.465∙</m:t>
                        </m:r>
                        <m:f>
                          <m:fPr>
                            <m:ctrlPr>
                              <w:rPr>
                                <w:rFonts w:ascii="Cambria Math" w:hAnsi="Cambria Math" w:cs="Times New Roman"/>
                                <w:i/>
                              </w:rPr>
                            </m:ctrlPr>
                          </m:fPr>
                          <m:num>
                            <m:r>
                              <w:rPr>
                                <w:rFonts w:ascii="Cambria Math" w:hAnsi="Cambria Math" w:cs="Times New Roman"/>
                              </w:rPr>
                              <m:t>TVD</m:t>
                            </m:r>
                          </m:num>
                          <m:den>
                            <m:r>
                              <w:rPr>
                                <w:rFonts w:ascii="Cambria Math" w:hAnsi="Cambria Math" w:cs="Times New Roman"/>
                              </w:rPr>
                              <m:t>0.3048</m:t>
                            </m:r>
                          </m:den>
                        </m:f>
                        <m:r>
                          <w:rPr>
                            <w:rFonts w:ascii="Cambria Math" w:hAnsi="Cambria Math" w:cs="Times New Roman"/>
                          </w:rPr>
                          <m:t>)</m:t>
                        </m:r>
                      </m:e>
                    </m:d>
                  </m:e>
                </m:d>
                <m:r>
                  <w:rPr>
                    <w:rFonts w:ascii="Cambria Math" w:hAnsi="Cambria Math" w:cs="Times New Roman"/>
                  </w:rPr>
                  <m:t>÷145.038</m:t>
                </m:r>
              </m:oMath>
            </m:oMathPara>
          </w:p>
          <w:p w14:paraId="3BAC55FE" w14:textId="77777777" w:rsidR="009800DB" w:rsidRPr="003E4C6A" w:rsidRDefault="009800DB" w:rsidP="00057EA5">
            <w:pPr>
              <w:spacing w:line="240" w:lineRule="auto"/>
              <w:jc w:val="center"/>
            </w:pPr>
            <w:r>
              <w:rPr>
                <w:rFonts w:eastAsiaTheme="minorEastAsia"/>
              </w:rPr>
              <w:t xml:space="preserve">When </w:t>
            </w:r>
            <m:oMath>
              <m:r>
                <w:rPr>
                  <w:rFonts w:ascii="Cambria Math" w:eastAsiaTheme="minorEastAsia" w:hAnsi="Cambria Math"/>
                </w:rPr>
                <m:t>TVD&gt;3,505</m:t>
              </m:r>
            </m:oMath>
            <w:r>
              <w:rPr>
                <w:rFonts w:eastAsiaTheme="minorEastAsia"/>
              </w:rPr>
              <w:t xml:space="preserve">  m</w:t>
            </w:r>
          </w:p>
        </w:tc>
        <w:tc>
          <w:tcPr>
            <w:tcW w:w="720" w:type="dxa"/>
            <w:vAlign w:val="center"/>
          </w:tcPr>
          <w:p w14:paraId="5D6BB96E" w14:textId="0C1E16A6" w:rsidR="009800DB" w:rsidRPr="00470CB5" w:rsidRDefault="00077C0B" w:rsidP="00BC23AD">
            <w:pPr>
              <w:pStyle w:val="Caption"/>
              <w:rPr>
                <w:i/>
              </w:rPr>
            </w:pPr>
            <w:r>
              <w:fldChar w:fldCharType="begin"/>
            </w:r>
            <w:r>
              <w:instrText xml:space="preserve"> STYLEREF 1 \s </w:instrText>
            </w:r>
            <w:r>
              <w:fldChar w:fldCharType="separate"/>
            </w:r>
            <w:r w:rsidR="0006023A">
              <w:rPr>
                <w:noProof/>
              </w:rPr>
              <w:t>3</w:t>
            </w:r>
            <w:r>
              <w:rPr>
                <w:noProof/>
              </w:rPr>
              <w:fldChar w:fldCharType="end"/>
            </w:r>
            <w:r w:rsidR="009800DB">
              <w:t>.</w:t>
            </w:r>
            <w:r>
              <w:fldChar w:fldCharType="begin"/>
            </w:r>
            <w:r>
              <w:instrText xml:space="preserve"> SEQ Equation \* ARABIC \s 1 </w:instrText>
            </w:r>
            <w:r>
              <w:fldChar w:fldCharType="separate"/>
            </w:r>
            <w:r w:rsidR="0006023A">
              <w:rPr>
                <w:noProof/>
              </w:rPr>
              <w:t>5</w:t>
            </w:r>
            <w:r>
              <w:rPr>
                <w:noProof/>
              </w:rPr>
              <w:fldChar w:fldCharType="end"/>
            </w:r>
          </w:p>
        </w:tc>
      </w:tr>
    </w:tbl>
    <w:p w14:paraId="3724D173" w14:textId="77777777" w:rsidR="009800DB" w:rsidRDefault="009800DB" w:rsidP="009800DB">
      <w:pPr>
        <w:ind w:firstLine="720"/>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800DB" w14:paraId="0B5149A1" w14:textId="77777777" w:rsidTr="00057EA5">
        <w:trPr>
          <w:trHeight w:val="576"/>
        </w:trPr>
        <w:tc>
          <w:tcPr>
            <w:tcW w:w="720" w:type="dxa"/>
            <w:vAlign w:val="center"/>
          </w:tcPr>
          <w:p w14:paraId="1A83EB51" w14:textId="7716C5B2" w:rsidR="009800DB" w:rsidRDefault="009800DB" w:rsidP="00057EA5">
            <w:pPr>
              <w:spacing w:line="240" w:lineRule="auto"/>
              <w:jc w:val="center"/>
            </w:pPr>
          </w:p>
        </w:tc>
        <w:tc>
          <w:tcPr>
            <w:tcW w:w="7920" w:type="dxa"/>
            <w:vAlign w:val="center"/>
          </w:tcPr>
          <w:p w14:paraId="51E7414A" w14:textId="77777777" w:rsidR="009800DB" w:rsidRPr="003E4C6A" w:rsidRDefault="00077C0B" w:rsidP="00057EA5">
            <w:pPr>
              <w:spacing w:line="240" w:lineRule="auto"/>
              <w:jc w:val="center"/>
            </w:pPr>
            <m:oMathPara>
              <m:oMath>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h</m:t>
                    </m:r>
                  </m:sub>
                </m:sSub>
                <m:r>
                  <w:rPr>
                    <w:rFonts w:ascii="Cambria Math" w:hAnsi="Cambria Math" w:cs="Times New Roman"/>
                  </w:rPr>
                  <m:t>=</m:t>
                </m:r>
                <m:f>
                  <m:fPr>
                    <m:ctrlPr>
                      <w:rPr>
                        <w:rFonts w:ascii="Cambria Math" w:hAnsi="Cambria Math" w:cs="Times New Roman"/>
                        <w:i/>
                      </w:rPr>
                    </m:ctrlPr>
                  </m:fPr>
                  <m:num>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TVD</m:t>
                            </m:r>
                          </m:num>
                          <m:den>
                            <m:r>
                              <w:rPr>
                                <w:rFonts w:ascii="Cambria Math" w:hAnsi="Cambria Math" w:cs="Times New Roman"/>
                              </w:rPr>
                              <m:t>0.3048</m:t>
                            </m:r>
                          </m:den>
                        </m:f>
                      </m:e>
                    </m:d>
                    <m:r>
                      <w:rPr>
                        <w:rFonts w:ascii="Cambria Math" w:hAnsi="Cambria Math" w:cs="Times New Roman"/>
                      </w:rPr>
                      <m:t>-836.45</m:t>
                    </m:r>
                  </m:num>
                  <m:den>
                    <m:r>
                      <w:rPr>
                        <w:rFonts w:ascii="Cambria Math" w:hAnsi="Cambria Math" w:cs="Times New Roman"/>
                      </w:rPr>
                      <m:t>144.21</m:t>
                    </m:r>
                  </m:den>
                </m:f>
              </m:oMath>
            </m:oMathPara>
          </w:p>
        </w:tc>
        <w:tc>
          <w:tcPr>
            <w:tcW w:w="720" w:type="dxa"/>
            <w:vAlign w:val="bottom"/>
          </w:tcPr>
          <w:p w14:paraId="2FC09CEF" w14:textId="43CDFC92" w:rsidR="009800DB" w:rsidRPr="00470CB5" w:rsidRDefault="00077C0B" w:rsidP="00BC23AD">
            <w:pPr>
              <w:pStyle w:val="Caption"/>
              <w:rPr>
                <w:i/>
              </w:rPr>
            </w:pPr>
            <w:r>
              <w:fldChar w:fldCharType="begin"/>
            </w:r>
            <w:r>
              <w:instrText xml:space="preserve"> STYLEREF 1 \s </w:instrText>
            </w:r>
            <w:r>
              <w:fldChar w:fldCharType="separate"/>
            </w:r>
            <w:r w:rsidR="0006023A">
              <w:rPr>
                <w:noProof/>
              </w:rPr>
              <w:t>3</w:t>
            </w:r>
            <w:r>
              <w:rPr>
                <w:noProof/>
              </w:rPr>
              <w:fldChar w:fldCharType="end"/>
            </w:r>
            <w:r w:rsidR="009800DB">
              <w:t>.</w:t>
            </w:r>
            <w:r>
              <w:fldChar w:fldCharType="begin"/>
            </w:r>
            <w:r>
              <w:instrText xml:space="preserve"> SEQ Equation \* ARABIC \s 1 </w:instrText>
            </w:r>
            <w:r>
              <w:fldChar w:fldCharType="separate"/>
            </w:r>
            <w:r w:rsidR="0006023A">
              <w:rPr>
                <w:noProof/>
              </w:rPr>
              <w:t>6</w:t>
            </w:r>
            <w:r>
              <w:rPr>
                <w:noProof/>
              </w:rPr>
              <w:fldChar w:fldCharType="end"/>
            </w:r>
          </w:p>
        </w:tc>
      </w:tr>
    </w:tbl>
    <w:p w14:paraId="48825FEF" w14:textId="77777777" w:rsidR="009800DB" w:rsidRDefault="009800DB" w:rsidP="009800DB">
      <w:pPr>
        <w:ind w:firstLine="720"/>
      </w:pPr>
    </w:p>
    <w:p w14:paraId="4CA72160" w14:textId="33D6C5FB" w:rsidR="009800DB" w:rsidRDefault="009800DB" w:rsidP="009800DB">
      <w:pPr>
        <w:ind w:firstLine="720"/>
      </w:pPr>
      <w:r w:rsidRPr="007D5F9B">
        <w:t>At the end of cement hydration, the pore pressure (</w:t>
      </w:r>
      <m:oMath>
        <m:sSub>
          <m:sSubPr>
            <m:ctrlPr>
              <w:rPr>
                <w:rFonts w:ascii="Cambria Math" w:hAnsi="Cambria Math"/>
                <w:i/>
              </w:rPr>
            </m:ctrlPr>
          </m:sSubPr>
          <m:e>
            <m:r>
              <w:rPr>
                <w:rFonts w:ascii="Cambria Math" w:hAnsi="Cambria Math"/>
              </w:rPr>
              <m:t>P</m:t>
            </m:r>
          </m:e>
          <m:sub>
            <m:r>
              <w:rPr>
                <w:rFonts w:ascii="Cambria Math" w:hAnsi="Cambria Math"/>
              </w:rPr>
              <m:t>p</m:t>
            </m:r>
          </m:sub>
        </m:sSub>
      </m:oMath>
      <w:r w:rsidRPr="007D5F9B">
        <w:t xml:space="preserve">) of the cement is assumed to be equal to the pore pressure of the surrounding rock formation </w:t>
      </w:r>
      <w:r>
        <w:t xml:space="preserve">(Li and Nygaard 2017; Zhang et al. 2017; Gray et al. 2009). </w:t>
      </w:r>
      <w:r w:rsidRPr="007D5F9B">
        <w:t>The setting stress of the cement (</w:t>
      </w:r>
      <m:oMath>
        <m:sSub>
          <m:sSubPr>
            <m:ctrlPr>
              <w:rPr>
                <w:rFonts w:ascii="Cambria Math" w:hAnsi="Cambria Math"/>
                <w:i/>
              </w:rPr>
            </m:ctrlPr>
          </m:sSubPr>
          <m:e>
            <m:r>
              <w:rPr>
                <w:rFonts w:ascii="Cambria Math" w:hAnsi="Cambria Math"/>
              </w:rPr>
              <m:t>σ</m:t>
            </m:r>
          </m:e>
          <m:sub>
            <m:r>
              <w:rPr>
                <w:rFonts w:ascii="Cambria Math" w:hAnsi="Cambria Math"/>
              </w:rPr>
              <m:t>cement</m:t>
            </m:r>
          </m:sub>
        </m:sSub>
      </m:oMath>
      <w:r w:rsidRPr="007D5F9B">
        <w:t>) is assumed to be equal to the hydrostatic column of the cement slurry (</w:t>
      </w:r>
      <w:r w:rsidR="00425C6A" w:rsidRPr="007D5F9B">
        <w:t>Bosma et al.</w:t>
      </w:r>
      <w:r w:rsidR="00425C6A">
        <w:t xml:space="preserve"> 1999; Gray et al. 2009; </w:t>
      </w:r>
      <w:r w:rsidR="00425C6A" w:rsidRPr="007D5F9B">
        <w:t>Bois et al. 2012</w:t>
      </w:r>
      <w:r w:rsidR="00425C6A">
        <w:t>; Nygaard et al. 2014</w:t>
      </w:r>
      <w:r>
        <w:t xml:space="preserve">). </w:t>
      </w:r>
      <w:r w:rsidRPr="007D5F9B">
        <w:t xml:space="preserve">The mechanical and thermal properties </w:t>
      </w:r>
      <w:r w:rsidRPr="00EF1323">
        <w:t>of the cement w</w:t>
      </w:r>
      <w:r w:rsidR="00411ABC">
        <w:t>ere</w:t>
      </w:r>
      <w:r w:rsidRPr="00EF1323">
        <w:t xml:space="preserve"> determined from a cement database created for this model </w:t>
      </w:r>
      <w:r w:rsidR="00E579DD">
        <w:t xml:space="preserve">with </w:t>
      </w:r>
      <w:r w:rsidRPr="00EF1323">
        <w:t>Class H and G cement</w:t>
      </w:r>
      <w:r w:rsidR="00E579DD">
        <w:t xml:space="preserve"> data</w:t>
      </w:r>
      <w:r w:rsidRPr="00EF1323">
        <w:t xml:space="preserve">, which are common cements for wellbore completions. The summary of the cement database is listed in Table </w:t>
      </w:r>
      <w:r w:rsidR="00A36EAD" w:rsidRPr="00EF1323">
        <w:t>3.1</w:t>
      </w:r>
      <w:r w:rsidRPr="00EF1323">
        <w:t>. The median values were considered the base case while the upper and lower bounds for the parametric</w:t>
      </w:r>
      <w:r>
        <w:t xml:space="preserve"> study were the 75% and 25% quartiles, respectively. The quartiles were chosen to represent </w:t>
      </w:r>
      <w:r>
        <w:lastRenderedPageBreak/>
        <w:t>realistic upper and lower bounds of the mechanical and thermal properties to exclude the outliers that may occur within the dataset.</w:t>
      </w:r>
    </w:p>
    <w:p w14:paraId="336603F9" w14:textId="687F28F5" w:rsidR="009800DB" w:rsidRDefault="009800DB" w:rsidP="00BC23AD">
      <w:pPr>
        <w:pStyle w:val="Caption"/>
      </w:pPr>
      <w:bookmarkStart w:id="79" w:name="_Toc67566088"/>
      <w:r w:rsidRPr="00BB02D8">
        <w:t xml:space="preserve">Table </w:t>
      </w:r>
      <w:r w:rsidR="00077C0B">
        <w:fldChar w:fldCharType="begin"/>
      </w:r>
      <w:r w:rsidR="00077C0B">
        <w:instrText xml:space="preserve"> STYLEREF 1 \s </w:instrText>
      </w:r>
      <w:r w:rsidR="00077C0B">
        <w:fldChar w:fldCharType="separate"/>
      </w:r>
      <w:r w:rsidR="0006023A">
        <w:rPr>
          <w:noProof/>
        </w:rPr>
        <w:t>3</w:t>
      </w:r>
      <w:r w:rsidR="00077C0B">
        <w:rPr>
          <w:noProof/>
        </w:rPr>
        <w:fldChar w:fldCharType="end"/>
      </w:r>
      <w:r w:rsidR="00DD1F74">
        <w:t>.</w:t>
      </w:r>
      <w:r w:rsidR="00077C0B">
        <w:fldChar w:fldCharType="begin"/>
      </w:r>
      <w:r w:rsidR="00077C0B">
        <w:instrText xml:space="preserve"> SEQ Table \* ARABIC \s 1 </w:instrText>
      </w:r>
      <w:r w:rsidR="00077C0B">
        <w:fldChar w:fldCharType="separate"/>
      </w:r>
      <w:r w:rsidR="0006023A">
        <w:rPr>
          <w:noProof/>
        </w:rPr>
        <w:t>1</w:t>
      </w:r>
      <w:r w:rsidR="00077C0B">
        <w:rPr>
          <w:noProof/>
        </w:rPr>
        <w:fldChar w:fldCharType="end"/>
      </w:r>
      <w:r w:rsidRPr="00BB02D8">
        <w:t>: Cement database for Class H and Class G cements</w:t>
      </w:r>
      <w:r>
        <w:t>.</w:t>
      </w:r>
      <w:bookmarkEnd w:id="79"/>
    </w:p>
    <w:tbl>
      <w:tblPr>
        <w:tblStyle w:val="TableGrid1"/>
        <w:tblW w:w="51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711"/>
        <w:gridCol w:w="601"/>
        <w:gridCol w:w="1296"/>
        <w:gridCol w:w="601"/>
        <w:gridCol w:w="313"/>
        <w:gridCol w:w="288"/>
      </w:tblGrid>
      <w:tr w:rsidR="009800DB" w:rsidRPr="00F00FB7" w14:paraId="0FC6C1C9" w14:textId="77777777" w:rsidTr="00057EA5">
        <w:trPr>
          <w:trHeight w:val="80"/>
          <w:jc w:val="center"/>
        </w:trPr>
        <w:tc>
          <w:tcPr>
            <w:tcW w:w="1296" w:type="dxa"/>
            <w:tcBorders>
              <w:bottom w:val="single" w:sz="4" w:space="0" w:color="auto"/>
            </w:tcBorders>
            <w:noWrap/>
            <w:vAlign w:val="center"/>
            <w:hideMark/>
          </w:tcPr>
          <w:p w14:paraId="6BB336CE" w14:textId="77777777" w:rsidR="009800DB" w:rsidRPr="00F00FB7" w:rsidRDefault="009800DB" w:rsidP="00057EA5">
            <w:pPr>
              <w:spacing w:line="240" w:lineRule="auto"/>
              <w:jc w:val="center"/>
              <w:rPr>
                <w:sz w:val="22"/>
              </w:rPr>
            </w:pPr>
          </w:p>
        </w:tc>
        <w:tc>
          <w:tcPr>
            <w:tcW w:w="711" w:type="dxa"/>
            <w:tcBorders>
              <w:bottom w:val="single" w:sz="4" w:space="0" w:color="auto"/>
            </w:tcBorders>
            <w:noWrap/>
            <w:vAlign w:val="center"/>
            <w:hideMark/>
          </w:tcPr>
          <w:p w14:paraId="554A6463" w14:textId="77777777" w:rsidR="009800DB" w:rsidRPr="00F00FB7" w:rsidRDefault="009800DB" w:rsidP="00057EA5">
            <w:pPr>
              <w:spacing w:line="240" w:lineRule="auto"/>
              <w:jc w:val="center"/>
              <w:rPr>
                <w:sz w:val="22"/>
              </w:rPr>
            </w:pPr>
            <m:oMathPara>
              <m:oMath>
                <m:r>
                  <w:rPr>
                    <w:rFonts w:ascii="Cambria Math" w:hAnsi="Cambria Math"/>
                    <w:sz w:val="22"/>
                  </w:rPr>
                  <m:t>E</m:t>
                </m:r>
              </m:oMath>
            </m:oMathPara>
          </w:p>
        </w:tc>
        <w:tc>
          <w:tcPr>
            <w:tcW w:w="601" w:type="dxa"/>
            <w:tcBorders>
              <w:bottom w:val="single" w:sz="4" w:space="0" w:color="auto"/>
            </w:tcBorders>
            <w:noWrap/>
            <w:vAlign w:val="center"/>
            <w:hideMark/>
          </w:tcPr>
          <w:p w14:paraId="21FA0501" w14:textId="77777777" w:rsidR="009800DB" w:rsidRPr="00F00FB7" w:rsidRDefault="009800DB" w:rsidP="00057EA5">
            <w:pPr>
              <w:spacing w:line="240" w:lineRule="auto"/>
              <w:jc w:val="center"/>
              <w:rPr>
                <w:sz w:val="22"/>
              </w:rPr>
            </w:pPr>
            <m:oMathPara>
              <m:oMath>
                <m:r>
                  <w:rPr>
                    <w:rFonts w:ascii="Cambria Math" w:hAnsi="Cambria Math"/>
                    <w:sz w:val="22"/>
                  </w:rPr>
                  <m:t>v</m:t>
                </m:r>
              </m:oMath>
            </m:oMathPara>
          </w:p>
        </w:tc>
        <w:tc>
          <w:tcPr>
            <w:tcW w:w="1296" w:type="dxa"/>
            <w:tcBorders>
              <w:bottom w:val="single" w:sz="4" w:space="0" w:color="auto"/>
            </w:tcBorders>
            <w:noWrap/>
            <w:vAlign w:val="center"/>
            <w:hideMark/>
          </w:tcPr>
          <w:p w14:paraId="0F9EC571" w14:textId="77777777" w:rsidR="009800DB" w:rsidRPr="00F00FB7" w:rsidRDefault="009800DB" w:rsidP="00057EA5">
            <w:pPr>
              <w:spacing w:line="240" w:lineRule="auto"/>
              <w:jc w:val="center"/>
              <w:rPr>
                <w:sz w:val="22"/>
              </w:rPr>
            </w:pPr>
            <m:oMathPara>
              <m:oMath>
                <m:r>
                  <w:rPr>
                    <w:rFonts w:ascii="Cambria Math" w:hAnsi="Cambria Math"/>
                    <w:sz w:val="22"/>
                  </w:rPr>
                  <m:t>α</m:t>
                </m:r>
              </m:oMath>
            </m:oMathPara>
          </w:p>
        </w:tc>
        <w:tc>
          <w:tcPr>
            <w:tcW w:w="601" w:type="dxa"/>
            <w:tcBorders>
              <w:bottom w:val="single" w:sz="4" w:space="0" w:color="auto"/>
            </w:tcBorders>
            <w:noWrap/>
            <w:vAlign w:val="center"/>
            <w:hideMark/>
          </w:tcPr>
          <w:p w14:paraId="59093DDE" w14:textId="77777777" w:rsidR="009800DB" w:rsidRPr="00F00FB7" w:rsidRDefault="009800DB" w:rsidP="00057EA5">
            <w:pPr>
              <w:spacing w:line="240" w:lineRule="auto"/>
              <w:jc w:val="center"/>
              <w:rPr>
                <w:sz w:val="22"/>
              </w:rPr>
            </w:pPr>
            <m:oMathPara>
              <m:oMath>
                <m:r>
                  <w:rPr>
                    <w:rFonts w:ascii="Cambria Math" w:hAnsi="Cambria Math"/>
                    <w:sz w:val="22"/>
                  </w:rPr>
                  <m:t>κ</m:t>
                </m:r>
              </m:oMath>
            </m:oMathPara>
          </w:p>
        </w:tc>
        <w:tc>
          <w:tcPr>
            <w:tcW w:w="601" w:type="dxa"/>
            <w:gridSpan w:val="2"/>
            <w:tcBorders>
              <w:bottom w:val="single" w:sz="4" w:space="0" w:color="auto"/>
            </w:tcBorders>
            <w:noWrap/>
            <w:vAlign w:val="center"/>
            <w:hideMark/>
          </w:tcPr>
          <w:p w14:paraId="529741DE" w14:textId="77777777" w:rsidR="009800DB" w:rsidRPr="00F00FB7" w:rsidRDefault="009800DB" w:rsidP="00057EA5">
            <w:pPr>
              <w:spacing w:line="240" w:lineRule="auto"/>
              <w:jc w:val="center"/>
              <w:rPr>
                <w:sz w:val="22"/>
              </w:rPr>
            </w:pPr>
            <m:oMathPara>
              <m:oMath>
                <m:r>
                  <w:rPr>
                    <w:rFonts w:ascii="Cambria Math" w:hAnsi="Cambria Math"/>
                    <w:sz w:val="22"/>
                  </w:rPr>
                  <m:t>c</m:t>
                </m:r>
              </m:oMath>
            </m:oMathPara>
          </w:p>
        </w:tc>
      </w:tr>
      <w:tr w:rsidR="009800DB" w:rsidRPr="00F00FB7" w14:paraId="5DBDDF33" w14:textId="77777777" w:rsidTr="00057EA5">
        <w:trPr>
          <w:trHeight w:val="113"/>
          <w:jc w:val="center"/>
        </w:trPr>
        <w:tc>
          <w:tcPr>
            <w:tcW w:w="1296" w:type="dxa"/>
            <w:tcBorders>
              <w:top w:val="single" w:sz="4" w:space="0" w:color="auto"/>
            </w:tcBorders>
            <w:noWrap/>
            <w:vAlign w:val="center"/>
            <w:hideMark/>
          </w:tcPr>
          <w:p w14:paraId="5704F138" w14:textId="77777777" w:rsidR="009800DB" w:rsidRPr="00F00FB7" w:rsidRDefault="009800DB" w:rsidP="00057EA5">
            <w:pPr>
              <w:spacing w:line="240" w:lineRule="auto"/>
              <w:jc w:val="center"/>
              <w:rPr>
                <w:sz w:val="22"/>
              </w:rPr>
            </w:pPr>
            <w:r w:rsidRPr="00F00FB7">
              <w:rPr>
                <w:sz w:val="22"/>
              </w:rPr>
              <w:t>Max</w:t>
            </w:r>
          </w:p>
        </w:tc>
        <w:tc>
          <w:tcPr>
            <w:tcW w:w="711" w:type="dxa"/>
            <w:tcBorders>
              <w:top w:val="single" w:sz="4" w:space="0" w:color="auto"/>
            </w:tcBorders>
            <w:noWrap/>
            <w:vAlign w:val="center"/>
            <w:hideMark/>
          </w:tcPr>
          <w:p w14:paraId="73A6C9D5" w14:textId="77777777" w:rsidR="009800DB" w:rsidRPr="00F00FB7" w:rsidRDefault="009800DB" w:rsidP="00057EA5">
            <w:pPr>
              <w:spacing w:line="240" w:lineRule="auto"/>
              <w:jc w:val="center"/>
              <w:rPr>
                <w:sz w:val="22"/>
              </w:rPr>
            </w:pPr>
            <w:r w:rsidRPr="00F00FB7">
              <w:rPr>
                <w:sz w:val="22"/>
              </w:rPr>
              <w:t>26.22</w:t>
            </w:r>
          </w:p>
        </w:tc>
        <w:tc>
          <w:tcPr>
            <w:tcW w:w="601" w:type="dxa"/>
            <w:tcBorders>
              <w:top w:val="single" w:sz="4" w:space="0" w:color="auto"/>
            </w:tcBorders>
            <w:noWrap/>
            <w:vAlign w:val="center"/>
            <w:hideMark/>
          </w:tcPr>
          <w:p w14:paraId="6099DE12" w14:textId="77777777" w:rsidR="009800DB" w:rsidRPr="00F00FB7" w:rsidRDefault="009800DB" w:rsidP="00057EA5">
            <w:pPr>
              <w:spacing w:line="240" w:lineRule="auto"/>
              <w:jc w:val="center"/>
              <w:rPr>
                <w:sz w:val="22"/>
              </w:rPr>
            </w:pPr>
            <w:r w:rsidRPr="00F00FB7">
              <w:rPr>
                <w:sz w:val="22"/>
              </w:rPr>
              <w:t>0.32</w:t>
            </w:r>
          </w:p>
        </w:tc>
        <w:tc>
          <w:tcPr>
            <w:tcW w:w="1296" w:type="dxa"/>
            <w:tcBorders>
              <w:top w:val="single" w:sz="4" w:space="0" w:color="auto"/>
            </w:tcBorders>
            <w:noWrap/>
            <w:vAlign w:val="center"/>
            <w:hideMark/>
          </w:tcPr>
          <w:p w14:paraId="09E955BF" w14:textId="77777777" w:rsidR="009800DB" w:rsidRPr="00F00FB7" w:rsidRDefault="009800DB" w:rsidP="00057EA5">
            <w:pPr>
              <w:spacing w:line="240" w:lineRule="auto"/>
              <w:jc w:val="center"/>
              <w:rPr>
                <w:sz w:val="22"/>
              </w:rPr>
            </w:pPr>
            <w:r w:rsidRPr="00F00FB7">
              <w:rPr>
                <w:sz w:val="22"/>
              </w:rPr>
              <w:t>1.25E-05</w:t>
            </w:r>
          </w:p>
        </w:tc>
        <w:tc>
          <w:tcPr>
            <w:tcW w:w="601" w:type="dxa"/>
            <w:tcBorders>
              <w:top w:val="single" w:sz="4" w:space="0" w:color="auto"/>
            </w:tcBorders>
            <w:noWrap/>
            <w:vAlign w:val="center"/>
            <w:hideMark/>
          </w:tcPr>
          <w:p w14:paraId="578B47DE" w14:textId="77777777" w:rsidR="009800DB" w:rsidRPr="00F00FB7" w:rsidRDefault="009800DB" w:rsidP="00057EA5">
            <w:pPr>
              <w:spacing w:line="240" w:lineRule="auto"/>
              <w:jc w:val="center"/>
              <w:rPr>
                <w:sz w:val="22"/>
              </w:rPr>
            </w:pPr>
            <w:r w:rsidRPr="00F00FB7">
              <w:rPr>
                <w:sz w:val="22"/>
              </w:rPr>
              <w:t>1.00</w:t>
            </w:r>
          </w:p>
        </w:tc>
        <w:tc>
          <w:tcPr>
            <w:tcW w:w="601" w:type="dxa"/>
            <w:gridSpan w:val="2"/>
            <w:tcBorders>
              <w:top w:val="single" w:sz="4" w:space="0" w:color="auto"/>
            </w:tcBorders>
            <w:noWrap/>
            <w:vAlign w:val="center"/>
            <w:hideMark/>
          </w:tcPr>
          <w:p w14:paraId="1550F46E" w14:textId="77777777" w:rsidR="009800DB" w:rsidRPr="00F00FB7" w:rsidRDefault="009800DB" w:rsidP="00057EA5">
            <w:pPr>
              <w:spacing w:line="240" w:lineRule="auto"/>
              <w:jc w:val="center"/>
              <w:rPr>
                <w:sz w:val="22"/>
              </w:rPr>
            </w:pPr>
            <w:r w:rsidRPr="00F00FB7">
              <w:rPr>
                <w:sz w:val="22"/>
              </w:rPr>
              <w:t>1.30</w:t>
            </w:r>
          </w:p>
        </w:tc>
      </w:tr>
      <w:tr w:rsidR="009800DB" w:rsidRPr="00F00FB7" w14:paraId="52D19AD1" w14:textId="77777777" w:rsidTr="00057EA5">
        <w:trPr>
          <w:trHeight w:val="80"/>
          <w:jc w:val="center"/>
        </w:trPr>
        <w:tc>
          <w:tcPr>
            <w:tcW w:w="1296" w:type="dxa"/>
            <w:noWrap/>
            <w:vAlign w:val="center"/>
            <w:hideMark/>
          </w:tcPr>
          <w:p w14:paraId="58288D0E" w14:textId="77777777" w:rsidR="009800DB" w:rsidRPr="00F00FB7" w:rsidRDefault="009800DB" w:rsidP="00057EA5">
            <w:pPr>
              <w:spacing w:line="240" w:lineRule="auto"/>
              <w:jc w:val="center"/>
              <w:rPr>
                <w:sz w:val="22"/>
              </w:rPr>
            </w:pPr>
            <w:r w:rsidRPr="00F00FB7">
              <w:rPr>
                <w:sz w:val="22"/>
              </w:rPr>
              <w:t>75% Quartile</w:t>
            </w:r>
          </w:p>
        </w:tc>
        <w:tc>
          <w:tcPr>
            <w:tcW w:w="711" w:type="dxa"/>
            <w:noWrap/>
            <w:vAlign w:val="center"/>
            <w:hideMark/>
          </w:tcPr>
          <w:p w14:paraId="26B830A6" w14:textId="77777777" w:rsidR="009800DB" w:rsidRPr="00F00FB7" w:rsidRDefault="009800DB" w:rsidP="00057EA5">
            <w:pPr>
              <w:spacing w:line="240" w:lineRule="auto"/>
              <w:jc w:val="center"/>
              <w:rPr>
                <w:sz w:val="22"/>
              </w:rPr>
            </w:pPr>
            <w:r w:rsidRPr="00F00FB7">
              <w:rPr>
                <w:sz w:val="22"/>
              </w:rPr>
              <w:t>9.51</w:t>
            </w:r>
          </w:p>
        </w:tc>
        <w:tc>
          <w:tcPr>
            <w:tcW w:w="601" w:type="dxa"/>
            <w:noWrap/>
            <w:vAlign w:val="center"/>
            <w:hideMark/>
          </w:tcPr>
          <w:p w14:paraId="032F0CA0" w14:textId="77777777" w:rsidR="009800DB" w:rsidRPr="00F00FB7" w:rsidRDefault="009800DB" w:rsidP="00057EA5">
            <w:pPr>
              <w:spacing w:line="240" w:lineRule="auto"/>
              <w:jc w:val="center"/>
              <w:rPr>
                <w:sz w:val="22"/>
              </w:rPr>
            </w:pPr>
            <w:r w:rsidRPr="00F00FB7">
              <w:rPr>
                <w:sz w:val="22"/>
              </w:rPr>
              <w:t>0.24</w:t>
            </w:r>
          </w:p>
        </w:tc>
        <w:tc>
          <w:tcPr>
            <w:tcW w:w="1296" w:type="dxa"/>
            <w:noWrap/>
            <w:vAlign w:val="center"/>
            <w:hideMark/>
          </w:tcPr>
          <w:p w14:paraId="3F041211" w14:textId="77777777" w:rsidR="009800DB" w:rsidRPr="00F00FB7" w:rsidRDefault="009800DB" w:rsidP="00057EA5">
            <w:pPr>
              <w:spacing w:line="240" w:lineRule="auto"/>
              <w:jc w:val="center"/>
              <w:rPr>
                <w:sz w:val="22"/>
              </w:rPr>
            </w:pPr>
            <w:r w:rsidRPr="00F00FB7">
              <w:rPr>
                <w:sz w:val="22"/>
              </w:rPr>
              <w:t>9.40E-06</w:t>
            </w:r>
          </w:p>
        </w:tc>
        <w:tc>
          <w:tcPr>
            <w:tcW w:w="601" w:type="dxa"/>
            <w:noWrap/>
            <w:vAlign w:val="center"/>
            <w:hideMark/>
          </w:tcPr>
          <w:p w14:paraId="1A35FC02" w14:textId="77777777" w:rsidR="009800DB" w:rsidRPr="00F00FB7" w:rsidRDefault="009800DB" w:rsidP="00057EA5">
            <w:pPr>
              <w:spacing w:line="240" w:lineRule="auto"/>
              <w:jc w:val="center"/>
              <w:rPr>
                <w:sz w:val="22"/>
              </w:rPr>
            </w:pPr>
            <w:r w:rsidRPr="00F00FB7">
              <w:rPr>
                <w:sz w:val="22"/>
              </w:rPr>
              <w:t>0.81</w:t>
            </w:r>
          </w:p>
        </w:tc>
        <w:tc>
          <w:tcPr>
            <w:tcW w:w="601" w:type="dxa"/>
            <w:gridSpan w:val="2"/>
            <w:noWrap/>
            <w:vAlign w:val="center"/>
            <w:hideMark/>
          </w:tcPr>
          <w:p w14:paraId="24119D70" w14:textId="77777777" w:rsidR="009800DB" w:rsidRPr="00F00FB7" w:rsidRDefault="009800DB" w:rsidP="00057EA5">
            <w:pPr>
              <w:spacing w:line="240" w:lineRule="auto"/>
              <w:jc w:val="center"/>
              <w:rPr>
                <w:sz w:val="22"/>
              </w:rPr>
            </w:pPr>
            <w:r w:rsidRPr="00F00FB7">
              <w:rPr>
                <w:sz w:val="22"/>
              </w:rPr>
              <w:t>1.12</w:t>
            </w:r>
          </w:p>
        </w:tc>
      </w:tr>
      <w:tr w:rsidR="009800DB" w:rsidRPr="00F00FB7" w14:paraId="58EA46A0" w14:textId="77777777" w:rsidTr="00057EA5">
        <w:trPr>
          <w:trHeight w:val="80"/>
          <w:jc w:val="center"/>
        </w:trPr>
        <w:tc>
          <w:tcPr>
            <w:tcW w:w="1296" w:type="dxa"/>
            <w:noWrap/>
            <w:vAlign w:val="center"/>
            <w:hideMark/>
          </w:tcPr>
          <w:p w14:paraId="4E2D288E" w14:textId="77777777" w:rsidR="009800DB" w:rsidRPr="00F00FB7" w:rsidRDefault="009800DB" w:rsidP="00057EA5">
            <w:pPr>
              <w:spacing w:line="240" w:lineRule="auto"/>
              <w:jc w:val="center"/>
              <w:rPr>
                <w:sz w:val="22"/>
              </w:rPr>
            </w:pPr>
            <w:r w:rsidRPr="00F00FB7">
              <w:rPr>
                <w:sz w:val="22"/>
              </w:rPr>
              <w:t>Median</w:t>
            </w:r>
          </w:p>
        </w:tc>
        <w:tc>
          <w:tcPr>
            <w:tcW w:w="711" w:type="dxa"/>
            <w:noWrap/>
            <w:vAlign w:val="center"/>
            <w:hideMark/>
          </w:tcPr>
          <w:p w14:paraId="3579A741" w14:textId="77777777" w:rsidR="009800DB" w:rsidRPr="00F00FB7" w:rsidRDefault="009800DB" w:rsidP="00057EA5">
            <w:pPr>
              <w:spacing w:line="240" w:lineRule="auto"/>
              <w:jc w:val="center"/>
              <w:rPr>
                <w:sz w:val="22"/>
              </w:rPr>
            </w:pPr>
            <w:r w:rsidRPr="00F00FB7">
              <w:rPr>
                <w:sz w:val="22"/>
              </w:rPr>
              <w:t>6.38</w:t>
            </w:r>
          </w:p>
        </w:tc>
        <w:tc>
          <w:tcPr>
            <w:tcW w:w="601" w:type="dxa"/>
            <w:noWrap/>
            <w:vAlign w:val="center"/>
            <w:hideMark/>
          </w:tcPr>
          <w:p w14:paraId="17123006" w14:textId="77777777" w:rsidR="009800DB" w:rsidRPr="00F00FB7" w:rsidRDefault="009800DB" w:rsidP="00057EA5">
            <w:pPr>
              <w:spacing w:line="240" w:lineRule="auto"/>
              <w:jc w:val="center"/>
              <w:rPr>
                <w:sz w:val="22"/>
              </w:rPr>
            </w:pPr>
            <w:r w:rsidRPr="00F00FB7">
              <w:rPr>
                <w:sz w:val="22"/>
              </w:rPr>
              <w:t>0.18</w:t>
            </w:r>
          </w:p>
        </w:tc>
        <w:tc>
          <w:tcPr>
            <w:tcW w:w="1296" w:type="dxa"/>
            <w:noWrap/>
            <w:vAlign w:val="center"/>
            <w:hideMark/>
          </w:tcPr>
          <w:p w14:paraId="2FC90DA1" w14:textId="77777777" w:rsidR="009800DB" w:rsidRPr="00F00FB7" w:rsidRDefault="009800DB" w:rsidP="00057EA5">
            <w:pPr>
              <w:spacing w:line="240" w:lineRule="auto"/>
              <w:jc w:val="center"/>
              <w:rPr>
                <w:sz w:val="22"/>
              </w:rPr>
            </w:pPr>
            <w:r w:rsidRPr="00F00FB7">
              <w:rPr>
                <w:sz w:val="22"/>
              </w:rPr>
              <w:t>8.64E-06</w:t>
            </w:r>
          </w:p>
        </w:tc>
        <w:tc>
          <w:tcPr>
            <w:tcW w:w="601" w:type="dxa"/>
            <w:noWrap/>
            <w:vAlign w:val="center"/>
            <w:hideMark/>
          </w:tcPr>
          <w:p w14:paraId="4F1C9CD9" w14:textId="77777777" w:rsidR="009800DB" w:rsidRPr="00F00FB7" w:rsidRDefault="009800DB" w:rsidP="00057EA5">
            <w:pPr>
              <w:spacing w:line="240" w:lineRule="auto"/>
              <w:jc w:val="center"/>
              <w:rPr>
                <w:sz w:val="22"/>
              </w:rPr>
            </w:pPr>
            <w:r w:rsidRPr="00F00FB7">
              <w:rPr>
                <w:sz w:val="22"/>
              </w:rPr>
              <w:t>0.41</w:t>
            </w:r>
          </w:p>
        </w:tc>
        <w:tc>
          <w:tcPr>
            <w:tcW w:w="601" w:type="dxa"/>
            <w:gridSpan w:val="2"/>
            <w:noWrap/>
            <w:vAlign w:val="center"/>
            <w:hideMark/>
          </w:tcPr>
          <w:p w14:paraId="17BA15FD" w14:textId="77777777" w:rsidR="009800DB" w:rsidRPr="00F00FB7" w:rsidRDefault="009800DB" w:rsidP="00057EA5">
            <w:pPr>
              <w:spacing w:line="240" w:lineRule="auto"/>
              <w:jc w:val="center"/>
              <w:rPr>
                <w:sz w:val="22"/>
              </w:rPr>
            </w:pPr>
            <w:r w:rsidRPr="00F00FB7">
              <w:rPr>
                <w:sz w:val="22"/>
              </w:rPr>
              <w:t>1.05</w:t>
            </w:r>
          </w:p>
        </w:tc>
      </w:tr>
      <w:tr w:rsidR="009800DB" w:rsidRPr="00F00FB7" w14:paraId="423CC679" w14:textId="77777777" w:rsidTr="00057EA5">
        <w:trPr>
          <w:trHeight w:val="80"/>
          <w:jc w:val="center"/>
        </w:trPr>
        <w:tc>
          <w:tcPr>
            <w:tcW w:w="1296" w:type="dxa"/>
            <w:noWrap/>
            <w:vAlign w:val="center"/>
            <w:hideMark/>
          </w:tcPr>
          <w:p w14:paraId="2EA45F6A" w14:textId="77777777" w:rsidR="009800DB" w:rsidRPr="00F00FB7" w:rsidRDefault="009800DB" w:rsidP="00057EA5">
            <w:pPr>
              <w:spacing w:line="240" w:lineRule="auto"/>
              <w:jc w:val="center"/>
              <w:rPr>
                <w:sz w:val="22"/>
              </w:rPr>
            </w:pPr>
            <w:r w:rsidRPr="00F00FB7">
              <w:rPr>
                <w:sz w:val="22"/>
              </w:rPr>
              <w:t>25% Quartile</w:t>
            </w:r>
          </w:p>
        </w:tc>
        <w:tc>
          <w:tcPr>
            <w:tcW w:w="711" w:type="dxa"/>
            <w:noWrap/>
            <w:vAlign w:val="center"/>
            <w:hideMark/>
          </w:tcPr>
          <w:p w14:paraId="72ED1F93" w14:textId="77777777" w:rsidR="009800DB" w:rsidRPr="00F00FB7" w:rsidRDefault="009800DB" w:rsidP="00057EA5">
            <w:pPr>
              <w:spacing w:line="240" w:lineRule="auto"/>
              <w:jc w:val="center"/>
              <w:rPr>
                <w:sz w:val="22"/>
              </w:rPr>
            </w:pPr>
            <w:r w:rsidRPr="00F00FB7">
              <w:rPr>
                <w:sz w:val="22"/>
              </w:rPr>
              <w:t>4.22</w:t>
            </w:r>
          </w:p>
        </w:tc>
        <w:tc>
          <w:tcPr>
            <w:tcW w:w="601" w:type="dxa"/>
            <w:noWrap/>
            <w:vAlign w:val="center"/>
            <w:hideMark/>
          </w:tcPr>
          <w:p w14:paraId="0DE141D7" w14:textId="77777777" w:rsidR="009800DB" w:rsidRPr="00F00FB7" w:rsidRDefault="009800DB" w:rsidP="00057EA5">
            <w:pPr>
              <w:spacing w:line="240" w:lineRule="auto"/>
              <w:jc w:val="center"/>
              <w:rPr>
                <w:sz w:val="22"/>
              </w:rPr>
            </w:pPr>
            <w:r w:rsidRPr="00F00FB7">
              <w:rPr>
                <w:sz w:val="22"/>
              </w:rPr>
              <w:t>0.15</w:t>
            </w:r>
          </w:p>
        </w:tc>
        <w:tc>
          <w:tcPr>
            <w:tcW w:w="1296" w:type="dxa"/>
            <w:noWrap/>
            <w:vAlign w:val="center"/>
            <w:hideMark/>
          </w:tcPr>
          <w:p w14:paraId="15A79D44" w14:textId="77777777" w:rsidR="009800DB" w:rsidRPr="00F00FB7" w:rsidRDefault="009800DB" w:rsidP="00057EA5">
            <w:pPr>
              <w:spacing w:line="240" w:lineRule="auto"/>
              <w:jc w:val="center"/>
              <w:rPr>
                <w:sz w:val="22"/>
              </w:rPr>
            </w:pPr>
            <w:r w:rsidRPr="00F00FB7">
              <w:rPr>
                <w:sz w:val="22"/>
              </w:rPr>
              <w:t>7.49E-06</w:t>
            </w:r>
          </w:p>
        </w:tc>
        <w:tc>
          <w:tcPr>
            <w:tcW w:w="601" w:type="dxa"/>
            <w:noWrap/>
            <w:vAlign w:val="center"/>
            <w:hideMark/>
          </w:tcPr>
          <w:p w14:paraId="5A48EA1B" w14:textId="77777777" w:rsidR="009800DB" w:rsidRPr="00F00FB7" w:rsidRDefault="009800DB" w:rsidP="00057EA5">
            <w:pPr>
              <w:spacing w:line="240" w:lineRule="auto"/>
              <w:jc w:val="center"/>
              <w:rPr>
                <w:sz w:val="22"/>
              </w:rPr>
            </w:pPr>
            <w:r w:rsidRPr="00F00FB7">
              <w:rPr>
                <w:sz w:val="22"/>
              </w:rPr>
              <w:t>0.36</w:t>
            </w:r>
          </w:p>
        </w:tc>
        <w:tc>
          <w:tcPr>
            <w:tcW w:w="601" w:type="dxa"/>
            <w:gridSpan w:val="2"/>
            <w:noWrap/>
            <w:vAlign w:val="center"/>
            <w:hideMark/>
          </w:tcPr>
          <w:p w14:paraId="3A49F4B0" w14:textId="77777777" w:rsidR="009800DB" w:rsidRPr="00F00FB7" w:rsidRDefault="009800DB" w:rsidP="00057EA5">
            <w:pPr>
              <w:spacing w:line="240" w:lineRule="auto"/>
              <w:jc w:val="center"/>
              <w:rPr>
                <w:sz w:val="22"/>
              </w:rPr>
            </w:pPr>
            <w:r w:rsidRPr="00F00FB7">
              <w:rPr>
                <w:sz w:val="22"/>
              </w:rPr>
              <w:t>0.99</w:t>
            </w:r>
          </w:p>
        </w:tc>
      </w:tr>
      <w:tr w:rsidR="009800DB" w:rsidRPr="00F00FB7" w14:paraId="23D3B4A6" w14:textId="77777777" w:rsidTr="00057EA5">
        <w:trPr>
          <w:trHeight w:val="80"/>
          <w:jc w:val="center"/>
        </w:trPr>
        <w:tc>
          <w:tcPr>
            <w:tcW w:w="1296" w:type="dxa"/>
            <w:noWrap/>
            <w:vAlign w:val="center"/>
            <w:hideMark/>
          </w:tcPr>
          <w:p w14:paraId="3096F530" w14:textId="77777777" w:rsidR="009800DB" w:rsidRPr="00F00FB7" w:rsidRDefault="009800DB" w:rsidP="00057EA5">
            <w:pPr>
              <w:spacing w:line="240" w:lineRule="auto"/>
              <w:jc w:val="center"/>
              <w:rPr>
                <w:sz w:val="22"/>
              </w:rPr>
            </w:pPr>
            <w:r w:rsidRPr="00F00FB7">
              <w:rPr>
                <w:sz w:val="22"/>
              </w:rPr>
              <w:t>Min</w:t>
            </w:r>
          </w:p>
        </w:tc>
        <w:tc>
          <w:tcPr>
            <w:tcW w:w="711" w:type="dxa"/>
            <w:noWrap/>
            <w:vAlign w:val="center"/>
            <w:hideMark/>
          </w:tcPr>
          <w:p w14:paraId="2A48F520" w14:textId="77777777" w:rsidR="009800DB" w:rsidRPr="00F00FB7" w:rsidRDefault="009800DB" w:rsidP="00057EA5">
            <w:pPr>
              <w:spacing w:line="240" w:lineRule="auto"/>
              <w:jc w:val="center"/>
              <w:rPr>
                <w:sz w:val="22"/>
              </w:rPr>
            </w:pPr>
            <w:r w:rsidRPr="00F00FB7">
              <w:rPr>
                <w:sz w:val="22"/>
              </w:rPr>
              <w:t>0.00</w:t>
            </w:r>
          </w:p>
        </w:tc>
        <w:tc>
          <w:tcPr>
            <w:tcW w:w="601" w:type="dxa"/>
            <w:noWrap/>
            <w:vAlign w:val="center"/>
            <w:hideMark/>
          </w:tcPr>
          <w:p w14:paraId="4BF0996D" w14:textId="77777777" w:rsidR="009800DB" w:rsidRPr="00F00FB7" w:rsidRDefault="009800DB" w:rsidP="00057EA5">
            <w:pPr>
              <w:spacing w:line="240" w:lineRule="auto"/>
              <w:jc w:val="center"/>
              <w:rPr>
                <w:sz w:val="22"/>
              </w:rPr>
            </w:pPr>
            <w:r w:rsidRPr="00F00FB7">
              <w:rPr>
                <w:sz w:val="22"/>
              </w:rPr>
              <w:t>0.02</w:t>
            </w:r>
          </w:p>
        </w:tc>
        <w:tc>
          <w:tcPr>
            <w:tcW w:w="1296" w:type="dxa"/>
            <w:noWrap/>
            <w:vAlign w:val="center"/>
            <w:hideMark/>
          </w:tcPr>
          <w:p w14:paraId="683ACB67" w14:textId="77777777" w:rsidR="009800DB" w:rsidRPr="00F00FB7" w:rsidRDefault="009800DB" w:rsidP="00057EA5">
            <w:pPr>
              <w:spacing w:line="240" w:lineRule="auto"/>
              <w:jc w:val="center"/>
              <w:rPr>
                <w:sz w:val="22"/>
              </w:rPr>
            </w:pPr>
            <w:r w:rsidRPr="00F00FB7">
              <w:rPr>
                <w:sz w:val="22"/>
              </w:rPr>
              <w:t>5.36E-06</w:t>
            </w:r>
          </w:p>
        </w:tc>
        <w:tc>
          <w:tcPr>
            <w:tcW w:w="601" w:type="dxa"/>
            <w:noWrap/>
            <w:vAlign w:val="center"/>
            <w:hideMark/>
          </w:tcPr>
          <w:p w14:paraId="329A2255" w14:textId="77777777" w:rsidR="009800DB" w:rsidRPr="00F00FB7" w:rsidRDefault="009800DB" w:rsidP="00057EA5">
            <w:pPr>
              <w:spacing w:line="240" w:lineRule="auto"/>
              <w:jc w:val="center"/>
              <w:rPr>
                <w:sz w:val="22"/>
              </w:rPr>
            </w:pPr>
            <w:r w:rsidRPr="00F00FB7">
              <w:rPr>
                <w:sz w:val="22"/>
              </w:rPr>
              <w:t>0.33</w:t>
            </w:r>
          </w:p>
        </w:tc>
        <w:tc>
          <w:tcPr>
            <w:tcW w:w="601" w:type="dxa"/>
            <w:gridSpan w:val="2"/>
            <w:noWrap/>
            <w:vAlign w:val="center"/>
            <w:hideMark/>
          </w:tcPr>
          <w:p w14:paraId="5E23F0A4" w14:textId="77777777" w:rsidR="009800DB" w:rsidRPr="00F00FB7" w:rsidRDefault="009800DB" w:rsidP="00057EA5">
            <w:pPr>
              <w:spacing w:line="240" w:lineRule="auto"/>
              <w:jc w:val="center"/>
              <w:rPr>
                <w:sz w:val="22"/>
              </w:rPr>
            </w:pPr>
            <w:r w:rsidRPr="00F00FB7">
              <w:rPr>
                <w:sz w:val="22"/>
              </w:rPr>
              <w:t>0.15</w:t>
            </w:r>
          </w:p>
        </w:tc>
      </w:tr>
      <w:tr w:rsidR="009800DB" w:rsidRPr="00F00FB7" w14:paraId="555B8258" w14:textId="77777777" w:rsidTr="00610B0A">
        <w:trPr>
          <w:trHeight w:val="80"/>
          <w:jc w:val="center"/>
        </w:trPr>
        <w:tc>
          <w:tcPr>
            <w:tcW w:w="1296" w:type="dxa"/>
            <w:noWrap/>
            <w:vAlign w:val="center"/>
            <w:hideMark/>
          </w:tcPr>
          <w:p w14:paraId="0BC5FB75" w14:textId="77777777" w:rsidR="009800DB" w:rsidRPr="00F00FB7" w:rsidRDefault="009800DB" w:rsidP="00057EA5">
            <w:pPr>
              <w:spacing w:line="240" w:lineRule="auto"/>
              <w:jc w:val="center"/>
              <w:rPr>
                <w:sz w:val="22"/>
              </w:rPr>
            </w:pPr>
            <w:r w:rsidRPr="00F00FB7">
              <w:rPr>
                <w:sz w:val="22"/>
              </w:rPr>
              <w:t>Data Points</w:t>
            </w:r>
          </w:p>
        </w:tc>
        <w:tc>
          <w:tcPr>
            <w:tcW w:w="711" w:type="dxa"/>
            <w:noWrap/>
            <w:vAlign w:val="center"/>
            <w:hideMark/>
          </w:tcPr>
          <w:p w14:paraId="454C5EFE" w14:textId="77777777" w:rsidR="009800DB" w:rsidRPr="00F00FB7" w:rsidRDefault="009800DB" w:rsidP="00057EA5">
            <w:pPr>
              <w:spacing w:line="240" w:lineRule="auto"/>
              <w:jc w:val="center"/>
              <w:rPr>
                <w:sz w:val="22"/>
              </w:rPr>
            </w:pPr>
            <w:r w:rsidRPr="00F00FB7">
              <w:rPr>
                <w:sz w:val="22"/>
              </w:rPr>
              <w:t>69</w:t>
            </w:r>
          </w:p>
        </w:tc>
        <w:tc>
          <w:tcPr>
            <w:tcW w:w="601" w:type="dxa"/>
            <w:noWrap/>
            <w:vAlign w:val="center"/>
            <w:hideMark/>
          </w:tcPr>
          <w:p w14:paraId="1DE5058D" w14:textId="77777777" w:rsidR="009800DB" w:rsidRPr="00F00FB7" w:rsidRDefault="009800DB" w:rsidP="00057EA5">
            <w:pPr>
              <w:spacing w:line="240" w:lineRule="auto"/>
              <w:jc w:val="center"/>
              <w:rPr>
                <w:sz w:val="22"/>
              </w:rPr>
            </w:pPr>
            <w:r w:rsidRPr="00F00FB7">
              <w:rPr>
                <w:sz w:val="22"/>
              </w:rPr>
              <w:t>26</w:t>
            </w:r>
          </w:p>
        </w:tc>
        <w:tc>
          <w:tcPr>
            <w:tcW w:w="1296" w:type="dxa"/>
            <w:noWrap/>
            <w:vAlign w:val="center"/>
            <w:hideMark/>
          </w:tcPr>
          <w:p w14:paraId="7612AC70" w14:textId="77777777" w:rsidR="009800DB" w:rsidRPr="00F00FB7" w:rsidRDefault="009800DB" w:rsidP="00057EA5">
            <w:pPr>
              <w:spacing w:line="240" w:lineRule="auto"/>
              <w:jc w:val="center"/>
              <w:rPr>
                <w:sz w:val="22"/>
              </w:rPr>
            </w:pPr>
            <w:r w:rsidRPr="00F00FB7">
              <w:rPr>
                <w:sz w:val="22"/>
              </w:rPr>
              <w:t>26</w:t>
            </w:r>
          </w:p>
        </w:tc>
        <w:tc>
          <w:tcPr>
            <w:tcW w:w="601" w:type="dxa"/>
            <w:noWrap/>
            <w:vAlign w:val="center"/>
            <w:hideMark/>
          </w:tcPr>
          <w:p w14:paraId="456E4A0F" w14:textId="77777777" w:rsidR="009800DB" w:rsidRPr="00F00FB7" w:rsidRDefault="009800DB" w:rsidP="00057EA5">
            <w:pPr>
              <w:spacing w:line="240" w:lineRule="auto"/>
              <w:jc w:val="center"/>
              <w:rPr>
                <w:sz w:val="22"/>
              </w:rPr>
            </w:pPr>
            <w:r w:rsidRPr="00F00FB7">
              <w:rPr>
                <w:sz w:val="22"/>
              </w:rPr>
              <w:t>5</w:t>
            </w:r>
          </w:p>
        </w:tc>
        <w:tc>
          <w:tcPr>
            <w:tcW w:w="601" w:type="dxa"/>
            <w:gridSpan w:val="2"/>
            <w:noWrap/>
            <w:vAlign w:val="center"/>
            <w:hideMark/>
          </w:tcPr>
          <w:p w14:paraId="331C0794" w14:textId="77777777" w:rsidR="009800DB" w:rsidRPr="00F00FB7" w:rsidRDefault="009800DB" w:rsidP="00057EA5">
            <w:pPr>
              <w:spacing w:line="240" w:lineRule="auto"/>
              <w:jc w:val="center"/>
              <w:rPr>
                <w:sz w:val="22"/>
              </w:rPr>
            </w:pPr>
            <w:r w:rsidRPr="00F00FB7">
              <w:rPr>
                <w:sz w:val="22"/>
              </w:rPr>
              <w:t>34</w:t>
            </w:r>
          </w:p>
        </w:tc>
      </w:tr>
      <w:tr w:rsidR="009800DB" w:rsidRPr="00F00FB7" w14:paraId="1CE774CF" w14:textId="77777777" w:rsidTr="00610B0A">
        <w:trPr>
          <w:trHeight w:val="80"/>
          <w:jc w:val="center"/>
        </w:trPr>
        <w:tc>
          <w:tcPr>
            <w:tcW w:w="1296" w:type="dxa"/>
            <w:tcBorders>
              <w:bottom w:val="single" w:sz="4" w:space="0" w:color="auto"/>
            </w:tcBorders>
            <w:noWrap/>
            <w:vAlign w:val="center"/>
            <w:hideMark/>
          </w:tcPr>
          <w:p w14:paraId="32A4520C" w14:textId="77777777" w:rsidR="009800DB" w:rsidRPr="00F00FB7" w:rsidRDefault="009800DB" w:rsidP="00057EA5">
            <w:pPr>
              <w:spacing w:line="240" w:lineRule="auto"/>
              <w:jc w:val="center"/>
              <w:rPr>
                <w:sz w:val="22"/>
              </w:rPr>
            </w:pPr>
            <w:r w:rsidRPr="00F00FB7">
              <w:rPr>
                <w:sz w:val="22"/>
              </w:rPr>
              <w:t>Reference</w:t>
            </w:r>
          </w:p>
        </w:tc>
        <w:tc>
          <w:tcPr>
            <w:tcW w:w="711" w:type="dxa"/>
            <w:tcBorders>
              <w:bottom w:val="single" w:sz="4" w:space="0" w:color="auto"/>
            </w:tcBorders>
            <w:noWrap/>
            <w:vAlign w:val="center"/>
            <w:hideMark/>
          </w:tcPr>
          <w:p w14:paraId="64EC554C" w14:textId="77777777" w:rsidR="009800DB" w:rsidRPr="00610B0A" w:rsidRDefault="009800DB" w:rsidP="00057EA5">
            <w:pPr>
              <w:spacing w:line="240" w:lineRule="auto"/>
              <w:jc w:val="center"/>
              <w:rPr>
                <w:sz w:val="22"/>
                <w:vertAlign w:val="superscript"/>
              </w:rPr>
            </w:pPr>
            <w:r w:rsidRPr="00610B0A">
              <w:rPr>
                <w:sz w:val="22"/>
                <w:vertAlign w:val="superscript"/>
              </w:rPr>
              <w:t>1</w:t>
            </w:r>
          </w:p>
        </w:tc>
        <w:tc>
          <w:tcPr>
            <w:tcW w:w="601" w:type="dxa"/>
            <w:tcBorders>
              <w:bottom w:val="single" w:sz="4" w:space="0" w:color="auto"/>
            </w:tcBorders>
            <w:noWrap/>
            <w:vAlign w:val="center"/>
            <w:hideMark/>
          </w:tcPr>
          <w:p w14:paraId="599134A0" w14:textId="77777777" w:rsidR="009800DB" w:rsidRPr="00610B0A" w:rsidRDefault="009800DB" w:rsidP="00057EA5">
            <w:pPr>
              <w:spacing w:line="240" w:lineRule="auto"/>
              <w:jc w:val="center"/>
              <w:rPr>
                <w:sz w:val="22"/>
                <w:vertAlign w:val="superscript"/>
              </w:rPr>
            </w:pPr>
            <w:r w:rsidRPr="00610B0A">
              <w:rPr>
                <w:sz w:val="22"/>
                <w:vertAlign w:val="superscript"/>
              </w:rPr>
              <w:t>2</w:t>
            </w:r>
          </w:p>
        </w:tc>
        <w:tc>
          <w:tcPr>
            <w:tcW w:w="1296" w:type="dxa"/>
            <w:tcBorders>
              <w:bottom w:val="single" w:sz="4" w:space="0" w:color="auto"/>
            </w:tcBorders>
            <w:noWrap/>
            <w:vAlign w:val="center"/>
            <w:hideMark/>
          </w:tcPr>
          <w:p w14:paraId="329CCD2B" w14:textId="77777777" w:rsidR="009800DB" w:rsidRPr="00610B0A" w:rsidRDefault="009800DB" w:rsidP="00057EA5">
            <w:pPr>
              <w:spacing w:line="240" w:lineRule="auto"/>
              <w:jc w:val="center"/>
              <w:rPr>
                <w:sz w:val="22"/>
                <w:vertAlign w:val="superscript"/>
              </w:rPr>
            </w:pPr>
            <w:r w:rsidRPr="00610B0A">
              <w:rPr>
                <w:sz w:val="22"/>
                <w:vertAlign w:val="superscript"/>
              </w:rPr>
              <w:t>3</w:t>
            </w:r>
          </w:p>
        </w:tc>
        <w:tc>
          <w:tcPr>
            <w:tcW w:w="601" w:type="dxa"/>
            <w:tcBorders>
              <w:bottom w:val="single" w:sz="4" w:space="0" w:color="auto"/>
            </w:tcBorders>
            <w:noWrap/>
            <w:vAlign w:val="center"/>
            <w:hideMark/>
          </w:tcPr>
          <w:p w14:paraId="4477CBCE" w14:textId="77777777" w:rsidR="009800DB" w:rsidRPr="00610B0A" w:rsidRDefault="009800DB" w:rsidP="00057EA5">
            <w:pPr>
              <w:spacing w:line="240" w:lineRule="auto"/>
              <w:jc w:val="center"/>
              <w:rPr>
                <w:sz w:val="22"/>
                <w:vertAlign w:val="superscript"/>
              </w:rPr>
            </w:pPr>
            <w:r w:rsidRPr="00610B0A">
              <w:rPr>
                <w:sz w:val="22"/>
                <w:vertAlign w:val="superscript"/>
              </w:rPr>
              <w:t>4</w:t>
            </w:r>
          </w:p>
        </w:tc>
        <w:tc>
          <w:tcPr>
            <w:tcW w:w="601" w:type="dxa"/>
            <w:gridSpan w:val="2"/>
            <w:tcBorders>
              <w:bottom w:val="single" w:sz="4" w:space="0" w:color="auto"/>
            </w:tcBorders>
            <w:noWrap/>
            <w:vAlign w:val="center"/>
            <w:hideMark/>
          </w:tcPr>
          <w:p w14:paraId="42D267DE" w14:textId="77777777" w:rsidR="009800DB" w:rsidRPr="00610B0A" w:rsidRDefault="009800DB" w:rsidP="00057EA5">
            <w:pPr>
              <w:spacing w:line="240" w:lineRule="auto"/>
              <w:jc w:val="center"/>
              <w:rPr>
                <w:sz w:val="22"/>
                <w:vertAlign w:val="superscript"/>
              </w:rPr>
            </w:pPr>
            <w:r w:rsidRPr="00610B0A">
              <w:rPr>
                <w:sz w:val="22"/>
                <w:vertAlign w:val="superscript"/>
              </w:rPr>
              <w:t>5</w:t>
            </w:r>
          </w:p>
        </w:tc>
      </w:tr>
      <w:tr w:rsidR="009800DB" w:rsidRPr="00F00FB7" w14:paraId="19799F33" w14:textId="77777777" w:rsidTr="00057EA5">
        <w:trPr>
          <w:gridAfter w:val="1"/>
          <w:wAfter w:w="288" w:type="dxa"/>
          <w:trHeight w:val="1008"/>
          <w:jc w:val="center"/>
        </w:trPr>
        <w:tc>
          <w:tcPr>
            <w:tcW w:w="4818" w:type="dxa"/>
            <w:gridSpan w:val="6"/>
            <w:noWrap/>
            <w:vAlign w:val="bottom"/>
          </w:tcPr>
          <w:p w14:paraId="7678F5C6" w14:textId="77777777" w:rsidR="009800DB" w:rsidRPr="00610B0A" w:rsidRDefault="009800DB" w:rsidP="00057EA5">
            <w:pPr>
              <w:spacing w:line="240" w:lineRule="auto"/>
              <w:rPr>
                <w:sz w:val="20"/>
              </w:rPr>
            </w:pPr>
            <w:r w:rsidRPr="00610B0A">
              <w:rPr>
                <w:bCs/>
                <w:sz w:val="20"/>
                <w:vertAlign w:val="superscript"/>
                <w:lang w:val="nb-NO"/>
              </w:rPr>
              <w:t>1</w:t>
            </w:r>
            <w:r w:rsidRPr="00610B0A">
              <w:rPr>
                <w:sz w:val="20"/>
                <w:lang w:val="nb-NO"/>
              </w:rPr>
              <w:t>McDaniel et al. (2014); Weideman (2014); Ichim &amp; Teodoriu (2017); Wehling (2008); Le Roy-Delage et al. (2000); Deshpande et al. (2019); James &amp; Boukgelifa (2015); Morris et al. (2003); Won et al. (2016)</w:t>
            </w:r>
          </w:p>
        </w:tc>
      </w:tr>
      <w:tr w:rsidR="009800DB" w:rsidRPr="00F00FB7" w14:paraId="38AA5171" w14:textId="77777777" w:rsidTr="00057EA5">
        <w:trPr>
          <w:gridAfter w:val="1"/>
          <w:wAfter w:w="288" w:type="dxa"/>
          <w:trHeight w:val="80"/>
          <w:jc w:val="center"/>
        </w:trPr>
        <w:tc>
          <w:tcPr>
            <w:tcW w:w="4818" w:type="dxa"/>
            <w:gridSpan w:val="6"/>
            <w:noWrap/>
            <w:vAlign w:val="center"/>
          </w:tcPr>
          <w:p w14:paraId="69DD1B27" w14:textId="77777777" w:rsidR="009800DB" w:rsidRPr="00610B0A" w:rsidRDefault="009800DB" w:rsidP="00057EA5">
            <w:pPr>
              <w:spacing w:line="240" w:lineRule="auto"/>
              <w:rPr>
                <w:sz w:val="20"/>
              </w:rPr>
            </w:pPr>
            <w:r w:rsidRPr="00610B0A">
              <w:rPr>
                <w:bCs/>
                <w:sz w:val="20"/>
                <w:vertAlign w:val="superscript"/>
                <w:lang w:val="nb-NO"/>
              </w:rPr>
              <w:t>2</w:t>
            </w:r>
            <w:r w:rsidRPr="00610B0A">
              <w:rPr>
                <w:sz w:val="20"/>
                <w:lang w:val="nb-NO"/>
              </w:rPr>
              <w:t xml:space="preserve">McDaniel et al. (2014); Ichim &amp; Teodoriu (2017); Wehling (2008); Deshpande et al. (2019); James &amp; Boukgelifa (2015); Morris et al. </w:t>
            </w:r>
            <w:r w:rsidRPr="00610B0A">
              <w:rPr>
                <w:sz w:val="20"/>
              </w:rPr>
              <w:t>(2003)</w:t>
            </w:r>
          </w:p>
          <w:p w14:paraId="626786C6" w14:textId="77777777" w:rsidR="009800DB" w:rsidRPr="00610B0A" w:rsidRDefault="009800DB" w:rsidP="00057EA5">
            <w:pPr>
              <w:spacing w:line="240" w:lineRule="auto"/>
              <w:rPr>
                <w:sz w:val="20"/>
              </w:rPr>
            </w:pPr>
            <w:r w:rsidRPr="00610B0A">
              <w:rPr>
                <w:bCs/>
                <w:sz w:val="20"/>
                <w:vertAlign w:val="superscript"/>
              </w:rPr>
              <w:t>3</w:t>
            </w:r>
            <w:r w:rsidRPr="00610B0A">
              <w:rPr>
                <w:sz w:val="20"/>
              </w:rPr>
              <w:t>Philippacopoulos &amp; Berndt (2002); Loiseau (2014); Weideman (2014)</w:t>
            </w:r>
          </w:p>
        </w:tc>
      </w:tr>
      <w:tr w:rsidR="009800DB" w:rsidRPr="00F00FB7" w14:paraId="6B5D36D1" w14:textId="77777777" w:rsidTr="00057EA5">
        <w:trPr>
          <w:gridAfter w:val="1"/>
          <w:wAfter w:w="288" w:type="dxa"/>
          <w:trHeight w:val="80"/>
          <w:jc w:val="center"/>
        </w:trPr>
        <w:tc>
          <w:tcPr>
            <w:tcW w:w="4818" w:type="dxa"/>
            <w:gridSpan w:val="6"/>
            <w:noWrap/>
            <w:vAlign w:val="center"/>
          </w:tcPr>
          <w:p w14:paraId="79032B06" w14:textId="77777777" w:rsidR="009800DB" w:rsidRPr="00610B0A" w:rsidRDefault="009800DB" w:rsidP="00057EA5">
            <w:pPr>
              <w:spacing w:line="240" w:lineRule="auto"/>
              <w:rPr>
                <w:sz w:val="20"/>
              </w:rPr>
            </w:pPr>
            <w:r w:rsidRPr="00610B0A">
              <w:rPr>
                <w:bCs/>
                <w:sz w:val="20"/>
                <w:vertAlign w:val="superscript"/>
              </w:rPr>
              <w:t>4</w:t>
            </w:r>
            <w:r w:rsidRPr="00610B0A">
              <w:rPr>
                <w:sz w:val="20"/>
              </w:rPr>
              <w:t>Weideman (2014)</w:t>
            </w:r>
          </w:p>
          <w:p w14:paraId="09967042" w14:textId="77777777" w:rsidR="009800DB" w:rsidRPr="00610B0A" w:rsidRDefault="009800DB" w:rsidP="00057EA5">
            <w:pPr>
              <w:spacing w:line="240" w:lineRule="auto"/>
              <w:rPr>
                <w:sz w:val="20"/>
              </w:rPr>
            </w:pPr>
            <w:r w:rsidRPr="00610B0A">
              <w:rPr>
                <w:bCs/>
                <w:sz w:val="20"/>
                <w:vertAlign w:val="superscript"/>
              </w:rPr>
              <w:t>5</w:t>
            </w:r>
            <w:r w:rsidRPr="00610B0A">
              <w:rPr>
                <w:sz w:val="20"/>
              </w:rPr>
              <w:t>Philippacopoulos &amp; Berndt (2002); Weideman (2014)</w:t>
            </w:r>
          </w:p>
        </w:tc>
      </w:tr>
    </w:tbl>
    <w:p w14:paraId="720CDB85" w14:textId="77777777" w:rsidR="009800DB" w:rsidRDefault="009800DB" w:rsidP="009800DB">
      <w:pPr>
        <w:ind w:firstLine="720"/>
      </w:pPr>
    </w:p>
    <w:p w14:paraId="724E7739" w14:textId="7C27001F" w:rsidR="009800DB" w:rsidRDefault="009800DB" w:rsidP="009800DB">
      <w:pPr>
        <w:ind w:firstLine="720"/>
      </w:pPr>
      <w:r w:rsidRPr="00F00FB7">
        <w:t xml:space="preserve">Log analysis of High Island OPD wells has been performed to determine representative rock mechanical values for this region since direct measurements are not known. </w:t>
      </w:r>
      <w:r>
        <w:t xml:space="preserve">Well logs from the High Island OPD were collected from BSEE and American Association of Petroleum Geologist (AAPG) databases. The logs were analyzed and two wells with available sonic and gamma ray log data were selected for analysis and digitized </w:t>
      </w:r>
      <w:r w:rsidR="006C6395">
        <w:t xml:space="preserve">to obtain </w:t>
      </w:r>
      <w:r>
        <w:t>values for Young’s modulus (</w:t>
      </w:r>
      <m:oMath>
        <m:r>
          <w:rPr>
            <w:rFonts w:ascii="Cambria Math" w:hAnsi="Cambria Math"/>
          </w:rPr>
          <m:t>E</m:t>
        </m:r>
      </m:oMath>
      <w:r>
        <w:t>) and Poisson’s ratio (</w:t>
      </w:r>
      <m:oMath>
        <m:r>
          <w:rPr>
            <w:rFonts w:ascii="Cambria Math" w:hAnsi="Cambria Math"/>
          </w:rPr>
          <m:t>v</m:t>
        </m:r>
      </m:oMath>
      <w:r>
        <w:t xml:space="preserve">). Two well logs contained sonic travel times, gamma ray, and bulk density data.  The two wells included a shallow well (API: 427094038700) with a caprock between 2,005 m (6,578 ft.) to 2,010 m (6,595 ft.) and a deep well (API: 427084008900) with a caprock between 3,659 m (12,003 ft.) to 3,688 m (12,100 ft.).  </w:t>
      </w:r>
    </w:p>
    <w:p w14:paraId="4740B3ED" w14:textId="6FE3DBD0" w:rsidR="009800DB" w:rsidRPr="00EF1323" w:rsidRDefault="009800DB" w:rsidP="009800DB">
      <w:pPr>
        <w:ind w:firstLine="720"/>
      </w:pPr>
      <w:r>
        <w:t xml:space="preserve">The gamma ray index for the wells </w:t>
      </w:r>
      <w:r w:rsidRPr="00EF1323">
        <w:t xml:space="preserve">was found using Equation </w:t>
      </w:r>
      <w:r w:rsidR="00A36EAD" w:rsidRPr="00EF1323">
        <w:t>3.7</w:t>
      </w:r>
      <w:r w:rsidRPr="00EF1323">
        <w:t>:</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800DB" w:rsidRPr="00EF1323" w14:paraId="31F908A4" w14:textId="77777777" w:rsidTr="00057EA5">
        <w:trPr>
          <w:trHeight w:val="576"/>
        </w:trPr>
        <w:tc>
          <w:tcPr>
            <w:tcW w:w="720" w:type="dxa"/>
            <w:vAlign w:val="center"/>
          </w:tcPr>
          <w:p w14:paraId="18436C6F" w14:textId="2931C434" w:rsidR="009800DB" w:rsidRPr="00EF1323" w:rsidRDefault="009800DB" w:rsidP="00057EA5">
            <w:pPr>
              <w:spacing w:line="240" w:lineRule="auto"/>
              <w:jc w:val="center"/>
            </w:pPr>
          </w:p>
        </w:tc>
        <w:tc>
          <w:tcPr>
            <w:tcW w:w="7920" w:type="dxa"/>
            <w:vAlign w:val="center"/>
          </w:tcPr>
          <w:p w14:paraId="6DA38FED" w14:textId="77777777" w:rsidR="009800DB" w:rsidRPr="00EF1323" w:rsidRDefault="00077C0B" w:rsidP="00057EA5">
            <w:pPr>
              <w:spacing w:line="240" w:lineRule="auto"/>
              <w:jc w:val="center"/>
            </w:pPr>
            <m:oMathPara>
              <m:oMath>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GR</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GR</m:t>
                        </m:r>
                      </m:e>
                      <m:sub>
                        <m:r>
                          <w:rPr>
                            <w:rFonts w:ascii="Cambria Math" w:hAnsi="Cambria Math" w:cs="Times New Roman"/>
                          </w:rPr>
                          <m:t>log</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GR</m:t>
                        </m:r>
                      </m:e>
                      <m:sub>
                        <m:r>
                          <w:rPr>
                            <w:rFonts w:ascii="Cambria Math" w:hAnsi="Cambria Math" w:cs="Times New Roman"/>
                          </w:rPr>
                          <m:t>sand</m:t>
                        </m:r>
                      </m:sub>
                    </m:sSub>
                  </m:num>
                  <m:den>
                    <m:sSub>
                      <m:sSubPr>
                        <m:ctrlPr>
                          <w:rPr>
                            <w:rFonts w:ascii="Cambria Math" w:hAnsi="Cambria Math" w:cs="Times New Roman"/>
                            <w:i/>
                          </w:rPr>
                        </m:ctrlPr>
                      </m:sSubPr>
                      <m:e>
                        <m:r>
                          <w:rPr>
                            <w:rFonts w:ascii="Cambria Math" w:hAnsi="Cambria Math" w:cs="Times New Roman"/>
                          </w:rPr>
                          <m:t>GR</m:t>
                        </m:r>
                      </m:e>
                      <m:sub>
                        <m:r>
                          <w:rPr>
                            <w:rFonts w:ascii="Cambria Math" w:hAnsi="Cambria Math" w:cs="Times New Roman"/>
                          </w:rPr>
                          <m:t>shale</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GR</m:t>
                        </m:r>
                      </m:e>
                      <m:sub>
                        <m:r>
                          <w:rPr>
                            <w:rFonts w:ascii="Cambria Math" w:hAnsi="Cambria Math" w:cs="Times New Roman"/>
                          </w:rPr>
                          <m:t>sand</m:t>
                        </m:r>
                      </m:sub>
                    </m:sSub>
                  </m:den>
                </m:f>
              </m:oMath>
            </m:oMathPara>
          </w:p>
        </w:tc>
        <w:tc>
          <w:tcPr>
            <w:tcW w:w="720" w:type="dxa"/>
            <w:vAlign w:val="bottom"/>
          </w:tcPr>
          <w:p w14:paraId="36D55A61" w14:textId="7045942F" w:rsidR="009800DB" w:rsidRPr="00EF1323" w:rsidRDefault="00077C0B" w:rsidP="00BC23AD">
            <w:pPr>
              <w:pStyle w:val="Caption"/>
              <w:rPr>
                <w:i/>
              </w:rPr>
            </w:pPr>
            <w:r>
              <w:fldChar w:fldCharType="begin"/>
            </w:r>
            <w:r>
              <w:instrText xml:space="preserve"> STYLEREF 1 \s </w:instrText>
            </w:r>
            <w:r>
              <w:fldChar w:fldCharType="separate"/>
            </w:r>
            <w:r w:rsidR="0006023A">
              <w:rPr>
                <w:noProof/>
              </w:rPr>
              <w:t>3</w:t>
            </w:r>
            <w:r>
              <w:rPr>
                <w:noProof/>
              </w:rPr>
              <w:fldChar w:fldCharType="end"/>
            </w:r>
            <w:r w:rsidR="009800DB" w:rsidRPr="00EF1323">
              <w:t>.</w:t>
            </w:r>
            <w:r>
              <w:fldChar w:fldCharType="begin"/>
            </w:r>
            <w:r>
              <w:instrText xml:space="preserve"> SEQ Equation \* ARABIC \s 1 </w:instrText>
            </w:r>
            <w:r>
              <w:fldChar w:fldCharType="separate"/>
            </w:r>
            <w:r w:rsidR="0006023A">
              <w:rPr>
                <w:noProof/>
              </w:rPr>
              <w:t>7</w:t>
            </w:r>
            <w:r>
              <w:rPr>
                <w:noProof/>
              </w:rPr>
              <w:fldChar w:fldCharType="end"/>
            </w:r>
          </w:p>
        </w:tc>
      </w:tr>
    </w:tbl>
    <w:p w14:paraId="39CD4768" w14:textId="77777777" w:rsidR="009800DB" w:rsidRPr="00EF1323" w:rsidRDefault="009800DB" w:rsidP="009800DB">
      <w:pPr>
        <w:ind w:firstLine="720"/>
      </w:pPr>
    </w:p>
    <w:p w14:paraId="133933BB" w14:textId="47A85E17" w:rsidR="009800DB" w:rsidRPr="00EF1323" w:rsidRDefault="009800DB" w:rsidP="009800DB">
      <w:pPr>
        <w:ind w:firstLine="720"/>
      </w:pPr>
      <w:r w:rsidRPr="00EF1323">
        <w:t xml:space="preserve">Where </w:t>
      </w:r>
      <m:oMath>
        <m:r>
          <w:rPr>
            <w:rFonts w:ascii="Cambria Math" w:hAnsi="Cambria Math"/>
          </w:rPr>
          <m:t>G</m:t>
        </m:r>
        <m:sSub>
          <m:sSubPr>
            <m:ctrlPr>
              <w:rPr>
                <w:rFonts w:ascii="Cambria Math" w:hAnsi="Cambria Math"/>
                <w:i/>
              </w:rPr>
            </m:ctrlPr>
          </m:sSubPr>
          <m:e>
            <m:r>
              <w:rPr>
                <w:rFonts w:ascii="Cambria Math" w:hAnsi="Cambria Math"/>
              </w:rPr>
              <m:t>R</m:t>
            </m:r>
          </m:e>
          <m:sub>
            <m:r>
              <w:rPr>
                <w:rFonts w:ascii="Cambria Math" w:hAnsi="Cambria Math"/>
              </w:rPr>
              <m:t>log</m:t>
            </m:r>
          </m:sub>
        </m:sSub>
      </m:oMath>
      <w:r w:rsidRPr="00EF1323">
        <w:t xml:space="preserve"> is the gamma ray reading taken from the well log, </w:t>
      </w:r>
      <m:oMath>
        <m:r>
          <w:rPr>
            <w:rFonts w:ascii="Cambria Math" w:hAnsi="Cambria Math"/>
          </w:rPr>
          <m:t>G</m:t>
        </m:r>
        <m:sSub>
          <m:sSubPr>
            <m:ctrlPr>
              <w:rPr>
                <w:rFonts w:ascii="Cambria Math" w:hAnsi="Cambria Math"/>
                <w:i/>
              </w:rPr>
            </m:ctrlPr>
          </m:sSubPr>
          <m:e>
            <m:r>
              <w:rPr>
                <w:rFonts w:ascii="Cambria Math" w:hAnsi="Cambria Math"/>
              </w:rPr>
              <m:t>R</m:t>
            </m:r>
          </m:e>
          <m:sub>
            <m:r>
              <w:rPr>
                <w:rFonts w:ascii="Cambria Math" w:hAnsi="Cambria Math"/>
              </w:rPr>
              <m:t>min</m:t>
            </m:r>
          </m:sub>
        </m:sSub>
      </m:oMath>
      <w:r w:rsidRPr="00EF1323">
        <w:t xml:space="preserve"> is the minimum gamma ray reading, and </w:t>
      </w:r>
      <m:oMath>
        <m:r>
          <w:rPr>
            <w:rFonts w:ascii="Cambria Math" w:hAnsi="Cambria Math"/>
          </w:rPr>
          <m:t>G</m:t>
        </m:r>
        <m:sSub>
          <m:sSubPr>
            <m:ctrlPr>
              <w:rPr>
                <w:rFonts w:ascii="Cambria Math" w:hAnsi="Cambria Math"/>
                <w:i/>
              </w:rPr>
            </m:ctrlPr>
          </m:sSubPr>
          <m:e>
            <m:r>
              <w:rPr>
                <w:rFonts w:ascii="Cambria Math" w:hAnsi="Cambria Math"/>
              </w:rPr>
              <m:t>R</m:t>
            </m:r>
          </m:e>
          <m:sub>
            <m:r>
              <w:rPr>
                <w:rFonts w:ascii="Cambria Math" w:hAnsi="Cambria Math"/>
              </w:rPr>
              <m:t>max</m:t>
            </m:r>
          </m:sub>
        </m:sSub>
      </m:oMath>
      <w:r w:rsidRPr="00EF1323">
        <w:t xml:space="preserve"> is the maximum gamma ray reading. Using the gamma ray index, shale volume for the logged interval is determined in Equation </w:t>
      </w:r>
      <w:r w:rsidR="00A36EAD" w:rsidRPr="00EF1323">
        <w:t>3.8</w:t>
      </w:r>
      <w:r w:rsidRPr="00EF1323">
        <w:t>.</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800DB" w:rsidRPr="00EF1323" w14:paraId="0235BD90" w14:textId="77777777" w:rsidTr="00057EA5">
        <w:trPr>
          <w:trHeight w:val="576"/>
        </w:trPr>
        <w:tc>
          <w:tcPr>
            <w:tcW w:w="720" w:type="dxa"/>
            <w:vAlign w:val="center"/>
          </w:tcPr>
          <w:p w14:paraId="14824356" w14:textId="64A1061D" w:rsidR="009800DB" w:rsidRPr="00EF1323" w:rsidRDefault="009800DB" w:rsidP="00057EA5">
            <w:pPr>
              <w:spacing w:line="240" w:lineRule="auto"/>
              <w:jc w:val="center"/>
            </w:pPr>
          </w:p>
        </w:tc>
        <w:tc>
          <w:tcPr>
            <w:tcW w:w="7920" w:type="dxa"/>
            <w:vAlign w:val="center"/>
          </w:tcPr>
          <w:p w14:paraId="645DE8C5" w14:textId="77777777" w:rsidR="009800DB" w:rsidRPr="00EF1323" w:rsidRDefault="00077C0B" w:rsidP="00057EA5">
            <w:pPr>
              <w:spacing w:line="240" w:lineRule="auto"/>
              <w:jc w:val="center"/>
            </w:pPr>
            <m:oMathPara>
              <m:oMath>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shale</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GR</m:t>
                        </m:r>
                      </m:sub>
                    </m:sSub>
                    <m:ctrlPr>
                      <w:rPr>
                        <w:rFonts w:ascii="Cambria Math" w:hAnsi="Cambria Math"/>
                        <w:i/>
                      </w:rPr>
                    </m:ctrlPr>
                  </m:num>
                  <m:den>
                    <m:r>
                      <w:rPr>
                        <w:rFonts w:ascii="Cambria Math" w:hAnsi="Cambria Math"/>
                      </w:rPr>
                      <m:t>3-2</m:t>
                    </m:r>
                    <m:sSub>
                      <m:sSubPr>
                        <m:ctrlPr>
                          <w:rPr>
                            <w:rFonts w:ascii="Cambria Math" w:hAnsi="Cambria Math"/>
                            <w:i/>
                          </w:rPr>
                        </m:ctrlPr>
                      </m:sSubPr>
                      <m:e>
                        <m:r>
                          <w:rPr>
                            <w:rFonts w:ascii="Cambria Math" w:hAnsi="Cambria Math"/>
                          </w:rPr>
                          <m:t>I</m:t>
                        </m:r>
                      </m:e>
                      <m:sub>
                        <m:r>
                          <w:rPr>
                            <w:rFonts w:ascii="Cambria Math" w:hAnsi="Cambria Math"/>
                          </w:rPr>
                          <m:t>GR</m:t>
                        </m:r>
                      </m:sub>
                    </m:sSub>
                  </m:den>
                </m:f>
              </m:oMath>
            </m:oMathPara>
          </w:p>
        </w:tc>
        <w:tc>
          <w:tcPr>
            <w:tcW w:w="720" w:type="dxa"/>
            <w:vAlign w:val="bottom"/>
          </w:tcPr>
          <w:p w14:paraId="01B7C60E" w14:textId="226363FD" w:rsidR="009800DB" w:rsidRPr="00EF1323" w:rsidRDefault="00077C0B" w:rsidP="00BC23AD">
            <w:pPr>
              <w:pStyle w:val="Caption"/>
              <w:rPr>
                <w:i/>
              </w:rPr>
            </w:pPr>
            <w:r>
              <w:fldChar w:fldCharType="begin"/>
            </w:r>
            <w:r>
              <w:instrText xml:space="preserve"> STYLEREF 1 \s </w:instrText>
            </w:r>
            <w:r>
              <w:fldChar w:fldCharType="separate"/>
            </w:r>
            <w:r w:rsidR="0006023A">
              <w:rPr>
                <w:noProof/>
              </w:rPr>
              <w:t>3</w:t>
            </w:r>
            <w:r>
              <w:rPr>
                <w:noProof/>
              </w:rPr>
              <w:fldChar w:fldCharType="end"/>
            </w:r>
            <w:r w:rsidR="009800DB" w:rsidRPr="00EF1323">
              <w:t>.</w:t>
            </w:r>
            <w:r>
              <w:fldChar w:fldCharType="begin"/>
            </w:r>
            <w:r>
              <w:instrText xml:space="preserve"> SEQ Equation \* ARABIC \s 1 </w:instrText>
            </w:r>
            <w:r>
              <w:fldChar w:fldCharType="separate"/>
            </w:r>
            <w:r w:rsidR="0006023A">
              <w:rPr>
                <w:noProof/>
              </w:rPr>
              <w:t>8</w:t>
            </w:r>
            <w:r>
              <w:rPr>
                <w:noProof/>
              </w:rPr>
              <w:fldChar w:fldCharType="end"/>
            </w:r>
          </w:p>
        </w:tc>
      </w:tr>
    </w:tbl>
    <w:p w14:paraId="62B5F2D0" w14:textId="77777777" w:rsidR="009800DB" w:rsidRPr="00EF1323" w:rsidRDefault="009800DB" w:rsidP="009800DB">
      <w:pPr>
        <w:ind w:firstLine="720"/>
      </w:pPr>
    </w:p>
    <w:p w14:paraId="7930FA8F" w14:textId="299DDB48" w:rsidR="009800DB" w:rsidRPr="00EF1323" w:rsidRDefault="009800DB" w:rsidP="009800DB">
      <w:pPr>
        <w:ind w:firstLine="720"/>
      </w:pPr>
      <w:r w:rsidRPr="00EF1323">
        <w:t>Using the sonic log data and known sonic travel time values for seawater and shale,  Wyllie porosity (</w:t>
      </w:r>
      <m:oMath>
        <m:sSub>
          <m:sSubPr>
            <m:ctrlPr>
              <w:rPr>
                <w:rFonts w:ascii="Cambria Math" w:hAnsi="Cambria Math"/>
                <w:i/>
              </w:rPr>
            </m:ctrlPr>
          </m:sSubPr>
          <m:e>
            <m:r>
              <w:rPr>
                <w:rFonts w:ascii="Cambria Math" w:hAnsi="Cambria Math"/>
              </w:rPr>
              <m:t>ϕ</m:t>
            </m:r>
          </m:e>
          <m:sub>
            <m:r>
              <w:rPr>
                <w:rFonts w:ascii="Cambria Math" w:hAnsi="Cambria Math"/>
              </w:rPr>
              <m:t>Wyllie</m:t>
            </m:r>
          </m:sub>
        </m:sSub>
      </m:oMath>
      <w:r w:rsidRPr="00EF1323">
        <w:t xml:space="preserve">) is calculated using Equation </w:t>
      </w:r>
      <w:r w:rsidR="00A36EAD" w:rsidRPr="00EF1323">
        <w:t>3.9</w:t>
      </w:r>
      <w:r w:rsidRPr="00EF1323">
        <w:t>.</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800DB" w:rsidRPr="00EF1323" w14:paraId="6AD59A28" w14:textId="77777777" w:rsidTr="00057EA5">
        <w:trPr>
          <w:trHeight w:val="576"/>
        </w:trPr>
        <w:tc>
          <w:tcPr>
            <w:tcW w:w="720" w:type="dxa"/>
            <w:vAlign w:val="center"/>
          </w:tcPr>
          <w:p w14:paraId="670932D0" w14:textId="4DB13F6A" w:rsidR="009800DB" w:rsidRPr="00EF1323" w:rsidRDefault="009800DB" w:rsidP="00057EA5">
            <w:pPr>
              <w:spacing w:line="240" w:lineRule="auto"/>
              <w:jc w:val="center"/>
            </w:pPr>
          </w:p>
        </w:tc>
        <w:tc>
          <w:tcPr>
            <w:tcW w:w="7920" w:type="dxa"/>
            <w:vAlign w:val="center"/>
          </w:tcPr>
          <w:p w14:paraId="66EF40EF" w14:textId="77777777" w:rsidR="009800DB" w:rsidRPr="00EF1323" w:rsidRDefault="00077C0B" w:rsidP="00057EA5">
            <w:pPr>
              <w:spacing w:line="240" w:lineRule="auto"/>
              <w:jc w:val="center"/>
            </w:pPr>
            <m:oMathPara>
              <m:oMath>
                <m:sSub>
                  <m:sSubPr>
                    <m:ctrlPr>
                      <w:rPr>
                        <w:rFonts w:ascii="Cambria Math" w:hAnsi="Cambria Math" w:cs="Times New Roman"/>
                        <w:i/>
                      </w:rPr>
                    </m:ctrlPr>
                  </m:sSubPr>
                  <m:e>
                    <m:r>
                      <w:rPr>
                        <w:rFonts w:ascii="Cambria Math" w:hAnsi="Cambria Math" w:cs="Times New Roman"/>
                      </w:rPr>
                      <m:t>ϕ</m:t>
                    </m:r>
                  </m:e>
                  <m:sub>
                    <m:r>
                      <w:rPr>
                        <w:rFonts w:ascii="Cambria Math" w:hAnsi="Cambria Math" w:cs="Times New Roman"/>
                      </w:rPr>
                      <m:t>Wyllie</m:t>
                    </m:r>
                  </m:sub>
                </m:sSub>
                <m:r>
                  <w:rPr>
                    <w:rFonts w:ascii="Cambria Math" w:hAnsi="Cambria Math" w:cs="Times New Roman"/>
                  </w:rPr>
                  <m:t>=</m:t>
                </m:r>
                <m:f>
                  <m:fPr>
                    <m:ctrlPr>
                      <w:rPr>
                        <w:rFonts w:ascii="Cambria Math" w:hAnsi="Cambria Math" w:cs="Times New Roman"/>
                        <w:i/>
                      </w:rPr>
                    </m:ctrlPr>
                  </m:fPr>
                  <m:num>
                    <m:r>
                      <m:rPr>
                        <m:sty m:val="p"/>
                      </m:rPr>
                      <w:rPr>
                        <w:rFonts w:ascii="Cambria Math" w:hAnsi="Cambria Math" w:cs="Times New Roman"/>
                      </w:rPr>
                      <m:t>Δ</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log</m:t>
                        </m:r>
                      </m:sub>
                    </m:sSub>
                    <m:r>
                      <w:rPr>
                        <w:rFonts w:ascii="Cambria Math" w:hAnsi="Cambria Math" w:cs="Times New Roman"/>
                      </w:rPr>
                      <m:t>-</m:t>
                    </m:r>
                    <m:r>
                      <m:rPr>
                        <m:sty m:val="p"/>
                      </m:rPr>
                      <w:rPr>
                        <w:rFonts w:ascii="Cambria Math" w:hAnsi="Cambria Math" w:cs="Times New Roman"/>
                      </w:rPr>
                      <m:t>Δ</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shale</m:t>
                        </m:r>
                      </m:sub>
                    </m:sSub>
                    <m:ctrlPr>
                      <w:rPr>
                        <w:rFonts w:ascii="Cambria Math" w:hAnsi="Cambria Math"/>
                        <w:i/>
                      </w:rPr>
                    </m:ctrlPr>
                  </m:num>
                  <m:den>
                    <m:r>
                      <m:rPr>
                        <m:sty m:val="p"/>
                      </m:rPr>
                      <w:rPr>
                        <w:rFonts w:ascii="Cambria Math" w:hAnsi="Cambria Math"/>
                      </w:rPr>
                      <m:t>Δ</m:t>
                    </m:r>
                    <m:sSub>
                      <m:sSubPr>
                        <m:ctrlPr>
                          <w:rPr>
                            <w:rFonts w:ascii="Cambria Math" w:hAnsi="Cambria Math"/>
                            <w:i/>
                          </w:rPr>
                        </m:ctrlPr>
                      </m:sSubPr>
                      <m:e>
                        <m:r>
                          <w:rPr>
                            <w:rFonts w:ascii="Cambria Math" w:hAnsi="Cambria Math"/>
                          </w:rPr>
                          <m:t>t</m:t>
                        </m:r>
                      </m:e>
                      <m:sub>
                        <m:r>
                          <w:rPr>
                            <w:rFonts w:ascii="Cambria Math" w:hAnsi="Cambria Math"/>
                          </w:rPr>
                          <m:t>seawater</m:t>
                        </m:r>
                      </m:sub>
                    </m:sSub>
                    <m:r>
                      <w:rPr>
                        <w:rFonts w:ascii="Cambria Math" w:hAnsi="Cambria Math"/>
                      </w:rPr>
                      <m:t>-</m:t>
                    </m:r>
                    <m:r>
                      <m:rPr>
                        <m:sty m:val="p"/>
                      </m:rPr>
                      <w:rPr>
                        <w:rFonts w:ascii="Cambria Math" w:hAnsi="Cambria Math"/>
                      </w:rPr>
                      <m:t>Δ</m:t>
                    </m:r>
                    <m:sSub>
                      <m:sSubPr>
                        <m:ctrlPr>
                          <w:rPr>
                            <w:rFonts w:ascii="Cambria Math" w:hAnsi="Cambria Math"/>
                            <w:i/>
                          </w:rPr>
                        </m:ctrlPr>
                      </m:sSubPr>
                      <m:e>
                        <m:r>
                          <w:rPr>
                            <w:rFonts w:ascii="Cambria Math" w:hAnsi="Cambria Math"/>
                          </w:rPr>
                          <m:t>t</m:t>
                        </m:r>
                      </m:e>
                      <m:sub>
                        <m:r>
                          <w:rPr>
                            <w:rFonts w:ascii="Cambria Math" w:hAnsi="Cambria Math"/>
                          </w:rPr>
                          <m:t>shale</m:t>
                        </m:r>
                      </m:sub>
                    </m:sSub>
                  </m:den>
                </m:f>
              </m:oMath>
            </m:oMathPara>
          </w:p>
        </w:tc>
        <w:tc>
          <w:tcPr>
            <w:tcW w:w="720" w:type="dxa"/>
            <w:vAlign w:val="bottom"/>
          </w:tcPr>
          <w:p w14:paraId="039AF5D5" w14:textId="642B16E5" w:rsidR="009800DB" w:rsidRPr="00EF1323" w:rsidRDefault="00077C0B" w:rsidP="00BC23AD">
            <w:pPr>
              <w:pStyle w:val="Caption"/>
              <w:rPr>
                <w:i/>
              </w:rPr>
            </w:pPr>
            <w:r>
              <w:fldChar w:fldCharType="begin"/>
            </w:r>
            <w:r>
              <w:instrText xml:space="preserve"> STYLEREF 1 \s </w:instrText>
            </w:r>
            <w:r>
              <w:fldChar w:fldCharType="separate"/>
            </w:r>
            <w:r w:rsidR="0006023A">
              <w:rPr>
                <w:noProof/>
              </w:rPr>
              <w:t>3</w:t>
            </w:r>
            <w:r>
              <w:rPr>
                <w:noProof/>
              </w:rPr>
              <w:fldChar w:fldCharType="end"/>
            </w:r>
            <w:r w:rsidR="009800DB" w:rsidRPr="00EF1323">
              <w:t>.</w:t>
            </w:r>
            <w:r>
              <w:fldChar w:fldCharType="begin"/>
            </w:r>
            <w:r>
              <w:instrText xml:space="preserve"> SEQ Equation \* ARABIC \s 1 </w:instrText>
            </w:r>
            <w:r>
              <w:fldChar w:fldCharType="separate"/>
            </w:r>
            <w:r w:rsidR="0006023A">
              <w:rPr>
                <w:noProof/>
              </w:rPr>
              <w:t>9</w:t>
            </w:r>
            <w:r>
              <w:rPr>
                <w:noProof/>
              </w:rPr>
              <w:fldChar w:fldCharType="end"/>
            </w:r>
          </w:p>
        </w:tc>
      </w:tr>
    </w:tbl>
    <w:p w14:paraId="1F87F010" w14:textId="77777777" w:rsidR="009800DB" w:rsidRPr="00EF1323" w:rsidRDefault="009800DB" w:rsidP="009800DB">
      <w:pPr>
        <w:ind w:firstLine="720"/>
      </w:pPr>
    </w:p>
    <w:p w14:paraId="3D114F48" w14:textId="72B854FF" w:rsidR="009800DB" w:rsidRPr="00EF1323" w:rsidRDefault="009800DB" w:rsidP="009800DB">
      <w:pPr>
        <w:ind w:firstLine="720"/>
      </w:pPr>
      <w:r w:rsidRPr="00EF1323">
        <w:t>Bulk density (</w:t>
      </w:r>
      <m:oMath>
        <m:sSub>
          <m:sSubPr>
            <m:ctrlPr>
              <w:rPr>
                <w:rFonts w:ascii="Cambria Math" w:hAnsi="Cambria Math"/>
                <w:i/>
              </w:rPr>
            </m:ctrlPr>
          </m:sSubPr>
          <m:e>
            <m:r>
              <w:rPr>
                <w:rFonts w:ascii="Cambria Math" w:hAnsi="Cambria Math"/>
              </w:rPr>
              <m:t>ρ</m:t>
            </m:r>
          </m:e>
          <m:sub>
            <m:r>
              <w:rPr>
                <w:rFonts w:ascii="Cambria Math" w:hAnsi="Cambria Math"/>
              </w:rPr>
              <m:t>b</m:t>
            </m:r>
          </m:sub>
        </m:sSub>
      </m:oMath>
      <w:r w:rsidRPr="00EF1323">
        <w:t xml:space="preserve">) is calculated in Equation </w:t>
      </w:r>
      <w:r w:rsidR="00A36EAD" w:rsidRPr="00EF1323">
        <w:t>3.10</w:t>
      </w:r>
      <w:r w:rsidRPr="00EF1323">
        <w:t xml:space="preserve"> using known shale and seawater densities. </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800DB" w:rsidRPr="00EF1323" w14:paraId="407137A2" w14:textId="77777777" w:rsidTr="00057EA5">
        <w:trPr>
          <w:trHeight w:val="576"/>
        </w:trPr>
        <w:tc>
          <w:tcPr>
            <w:tcW w:w="720" w:type="dxa"/>
            <w:vAlign w:val="center"/>
          </w:tcPr>
          <w:p w14:paraId="5C1B6335" w14:textId="06792198" w:rsidR="009800DB" w:rsidRPr="00EF1323" w:rsidRDefault="009800DB" w:rsidP="00057EA5">
            <w:pPr>
              <w:spacing w:line="240" w:lineRule="auto"/>
              <w:jc w:val="center"/>
            </w:pPr>
          </w:p>
        </w:tc>
        <w:tc>
          <w:tcPr>
            <w:tcW w:w="7920" w:type="dxa"/>
            <w:vAlign w:val="center"/>
          </w:tcPr>
          <w:p w14:paraId="21B9D13B" w14:textId="77777777" w:rsidR="009800DB" w:rsidRPr="00EF1323" w:rsidRDefault="00077C0B" w:rsidP="00057EA5">
            <w:pPr>
              <w:spacing w:line="240" w:lineRule="auto"/>
              <w:jc w:val="center"/>
            </w:pPr>
            <m:oMathPara>
              <m:oMath>
                <m:sSub>
                  <m:sSubPr>
                    <m:ctrlPr>
                      <w:rPr>
                        <w:rFonts w:ascii="Cambria Math" w:hAnsi="Cambria Math" w:cs="Times New Roman"/>
                        <w:i/>
                      </w:rPr>
                    </m:ctrlPr>
                  </m:sSubPr>
                  <m:e>
                    <m:r>
                      <w:rPr>
                        <w:rFonts w:ascii="Cambria Math" w:hAnsi="Cambria Math" w:cs="Times New Roman"/>
                      </w:rPr>
                      <m:t>ρ</m:t>
                    </m:r>
                  </m:e>
                  <m:sub>
                    <m:r>
                      <w:rPr>
                        <w:rFonts w:ascii="Cambria Math" w:hAnsi="Cambria Math" w:cs="Times New Roman"/>
                      </w:rPr>
                      <m:t>b</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ϕ</m:t>
                    </m:r>
                  </m:e>
                  <m:sub>
                    <m:r>
                      <w:rPr>
                        <w:rFonts w:ascii="Cambria Math" w:hAnsi="Cambria Math" w:cs="Times New Roman"/>
                      </w:rPr>
                      <m:t>Wyllie</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ρ</m:t>
                    </m:r>
                  </m:e>
                  <m:sub>
                    <m:r>
                      <w:rPr>
                        <w:rFonts w:ascii="Cambria Math" w:hAnsi="Cambria Math" w:cs="Times New Roman"/>
                      </w:rPr>
                      <m:t>seawater</m:t>
                    </m:r>
                  </m:sub>
                </m:sSub>
                <m:r>
                  <w:rPr>
                    <w:rFonts w:ascii="Cambria Math" w:hAnsi="Cambria Math" w:cs="Times New Roman"/>
                  </w:rPr>
                  <m:t>+</m:t>
                </m:r>
                <m:d>
                  <m:dPr>
                    <m:ctrlPr>
                      <w:rPr>
                        <w:rFonts w:ascii="Cambria Math" w:hAnsi="Cambria Math" w:cs="Times New Roman"/>
                        <w:i/>
                      </w:rPr>
                    </m:ctrlPr>
                  </m:dPr>
                  <m:e>
                    <m:r>
                      <w:rPr>
                        <w:rFonts w:ascii="Cambria Math" w:hAnsi="Cambria Math" w:cs="Times New Roman"/>
                      </w:rPr>
                      <m:t>1-</m:t>
                    </m:r>
                    <m:sSub>
                      <m:sSubPr>
                        <m:ctrlPr>
                          <w:rPr>
                            <w:rFonts w:ascii="Cambria Math" w:hAnsi="Cambria Math" w:cs="Times New Roman"/>
                            <w:i/>
                          </w:rPr>
                        </m:ctrlPr>
                      </m:sSubPr>
                      <m:e>
                        <m:r>
                          <w:rPr>
                            <w:rFonts w:ascii="Cambria Math" w:hAnsi="Cambria Math" w:cs="Times New Roman"/>
                          </w:rPr>
                          <m:t>ϕ</m:t>
                        </m:r>
                      </m:e>
                      <m:sub>
                        <m:r>
                          <w:rPr>
                            <w:rFonts w:ascii="Cambria Math" w:hAnsi="Cambria Math" w:cs="Times New Roman"/>
                          </w:rPr>
                          <m:t>Wyllie</m:t>
                        </m:r>
                      </m:sub>
                    </m:sSub>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shale</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ρ</m:t>
                    </m:r>
                  </m:e>
                  <m:sub>
                    <m:r>
                      <w:rPr>
                        <w:rFonts w:ascii="Cambria Math" w:hAnsi="Cambria Math" w:cs="Times New Roman"/>
                      </w:rPr>
                      <m:t>shale</m:t>
                    </m:r>
                  </m:sub>
                </m:sSub>
                <m:r>
                  <w:rPr>
                    <w:rFonts w:ascii="Cambria Math" w:hAnsi="Cambria Math" w:cs="Times New Roman"/>
                  </w:rPr>
                  <m:t>+</m:t>
                </m:r>
                <m:d>
                  <m:dPr>
                    <m:ctrlPr>
                      <w:rPr>
                        <w:rFonts w:ascii="Cambria Math" w:hAnsi="Cambria Math" w:cs="Times New Roman"/>
                        <w:i/>
                      </w:rPr>
                    </m:ctrlPr>
                  </m:dPr>
                  <m:e>
                    <m:r>
                      <w:rPr>
                        <w:rFonts w:ascii="Cambria Math" w:hAnsi="Cambria Math" w:cs="Times New Roman"/>
                      </w:rPr>
                      <m:t>1-</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shale</m:t>
                        </m:r>
                      </m:sub>
                    </m:sSub>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ρ</m:t>
                    </m:r>
                  </m:e>
                  <m:sub>
                    <m:r>
                      <w:rPr>
                        <w:rFonts w:ascii="Cambria Math" w:hAnsi="Cambria Math" w:cs="Times New Roman"/>
                      </w:rPr>
                      <m:t>sand</m:t>
                    </m:r>
                  </m:sub>
                </m:sSub>
              </m:oMath>
            </m:oMathPara>
          </w:p>
        </w:tc>
        <w:tc>
          <w:tcPr>
            <w:tcW w:w="720" w:type="dxa"/>
            <w:vAlign w:val="bottom"/>
          </w:tcPr>
          <w:p w14:paraId="709C8A44" w14:textId="1EECF90E" w:rsidR="009800DB" w:rsidRPr="00EF1323" w:rsidRDefault="00077C0B" w:rsidP="00BC23AD">
            <w:pPr>
              <w:pStyle w:val="Caption"/>
              <w:rPr>
                <w:i/>
              </w:rPr>
            </w:pPr>
            <w:r>
              <w:fldChar w:fldCharType="begin"/>
            </w:r>
            <w:r>
              <w:instrText xml:space="preserve"> STYLEREF 1 \s </w:instrText>
            </w:r>
            <w:r>
              <w:fldChar w:fldCharType="separate"/>
            </w:r>
            <w:r w:rsidR="0006023A">
              <w:rPr>
                <w:noProof/>
              </w:rPr>
              <w:t>3</w:t>
            </w:r>
            <w:r>
              <w:rPr>
                <w:noProof/>
              </w:rPr>
              <w:fldChar w:fldCharType="end"/>
            </w:r>
            <w:r w:rsidR="009800DB" w:rsidRPr="00EF1323">
              <w:t>.</w:t>
            </w:r>
            <w:r>
              <w:fldChar w:fldCharType="begin"/>
            </w:r>
            <w:r>
              <w:instrText xml:space="preserve"> SEQ Equation \* ARABIC \s 1 </w:instrText>
            </w:r>
            <w:r>
              <w:fldChar w:fldCharType="separate"/>
            </w:r>
            <w:r w:rsidR="0006023A">
              <w:rPr>
                <w:noProof/>
              </w:rPr>
              <w:t>10</w:t>
            </w:r>
            <w:r>
              <w:rPr>
                <w:noProof/>
              </w:rPr>
              <w:fldChar w:fldCharType="end"/>
            </w:r>
          </w:p>
        </w:tc>
      </w:tr>
    </w:tbl>
    <w:p w14:paraId="52700F1A" w14:textId="77777777" w:rsidR="009800DB" w:rsidRPr="00EF1323" w:rsidRDefault="009800DB" w:rsidP="009800DB">
      <w:pPr>
        <w:ind w:firstLine="720"/>
      </w:pPr>
    </w:p>
    <w:p w14:paraId="30003CB3" w14:textId="0A4FE8DC" w:rsidR="009800DB" w:rsidRPr="00EF1323" w:rsidRDefault="009800DB" w:rsidP="009800DB">
      <w:pPr>
        <w:ind w:firstLine="720"/>
      </w:pPr>
      <w:r w:rsidRPr="00EF1323">
        <w:t>Compressional (</w:t>
      </w:r>
      <m:oMath>
        <m:sSub>
          <m:sSubPr>
            <m:ctrlPr>
              <w:rPr>
                <w:rFonts w:ascii="Cambria Math" w:hAnsi="Cambria Math"/>
                <w:i/>
              </w:rPr>
            </m:ctrlPr>
          </m:sSubPr>
          <m:e>
            <m:r>
              <w:rPr>
                <w:rFonts w:ascii="Cambria Math" w:hAnsi="Cambria Math"/>
              </w:rPr>
              <m:t>V</m:t>
            </m:r>
          </m:e>
          <m:sub>
            <m:r>
              <w:rPr>
                <w:rFonts w:ascii="Cambria Math" w:hAnsi="Cambria Math"/>
              </w:rPr>
              <m:t>p</m:t>
            </m:r>
          </m:sub>
        </m:sSub>
      </m:oMath>
      <w:r w:rsidRPr="00EF1323">
        <w:t>) and shear (</w:t>
      </w:r>
      <m:oMath>
        <m:sSub>
          <m:sSubPr>
            <m:ctrlPr>
              <w:rPr>
                <w:rFonts w:ascii="Cambria Math" w:hAnsi="Cambria Math"/>
                <w:i/>
              </w:rPr>
            </m:ctrlPr>
          </m:sSubPr>
          <m:e>
            <m:r>
              <w:rPr>
                <w:rFonts w:ascii="Cambria Math" w:hAnsi="Cambria Math"/>
              </w:rPr>
              <m:t>V</m:t>
            </m:r>
          </m:e>
          <m:sub>
            <m:r>
              <w:rPr>
                <w:rFonts w:ascii="Cambria Math" w:hAnsi="Cambria Math"/>
              </w:rPr>
              <m:t>s</m:t>
            </m:r>
          </m:sub>
        </m:sSub>
      </m:oMath>
      <w:r w:rsidRPr="00EF1323">
        <w:t xml:space="preserve">) velocities were determined using Equations </w:t>
      </w:r>
      <w:r w:rsidR="00A36EAD" w:rsidRPr="00EF1323">
        <w:t>3.11</w:t>
      </w:r>
      <w:r w:rsidRPr="00EF1323">
        <w:t xml:space="preserve"> and </w:t>
      </w:r>
      <w:r w:rsidR="00A36EAD" w:rsidRPr="00EF1323">
        <w:t>3.12</w:t>
      </w:r>
      <w:r w:rsidRPr="00EF1323">
        <w:t>, respectively (Greenberg and Castagna, 1992).</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800DB" w:rsidRPr="00EF1323" w14:paraId="43ADABA9" w14:textId="77777777" w:rsidTr="00057EA5">
        <w:trPr>
          <w:trHeight w:val="576"/>
        </w:trPr>
        <w:tc>
          <w:tcPr>
            <w:tcW w:w="720" w:type="dxa"/>
            <w:vAlign w:val="center"/>
          </w:tcPr>
          <w:p w14:paraId="14257A38" w14:textId="032AD94C" w:rsidR="009800DB" w:rsidRPr="00EF1323" w:rsidRDefault="009800DB" w:rsidP="00057EA5">
            <w:pPr>
              <w:spacing w:line="240" w:lineRule="auto"/>
              <w:jc w:val="center"/>
            </w:pPr>
          </w:p>
        </w:tc>
        <w:tc>
          <w:tcPr>
            <w:tcW w:w="7920" w:type="dxa"/>
            <w:vAlign w:val="center"/>
          </w:tcPr>
          <w:p w14:paraId="7CCE6BFD" w14:textId="77777777" w:rsidR="009800DB" w:rsidRPr="00EF1323" w:rsidRDefault="00077C0B" w:rsidP="00057EA5">
            <w:pPr>
              <w:spacing w:line="240" w:lineRule="auto"/>
              <w:jc w:val="center"/>
            </w:pPr>
            <m:oMathPara>
              <m:oMath>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p</m:t>
                    </m:r>
                  </m:sub>
                </m:sSub>
                <m:r>
                  <w:rPr>
                    <w:rFonts w:ascii="Cambria Math" w:hAnsi="Cambria Math" w:cs="Times New Roman"/>
                  </w:rPr>
                  <m:t>=</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6</m:t>
                        </m:r>
                      </m:sup>
                    </m:sSup>
                    <m:ctrlPr>
                      <w:rPr>
                        <w:rFonts w:ascii="Cambria Math" w:hAnsi="Cambria Math"/>
                        <w:i/>
                      </w:rPr>
                    </m:ctrlPr>
                  </m:num>
                  <m:den>
                    <m:r>
                      <m:rPr>
                        <m:sty m:val="p"/>
                      </m:rPr>
                      <w:rPr>
                        <w:rFonts w:ascii="Cambria Math" w:hAnsi="Cambria Math"/>
                      </w:rPr>
                      <m:t>Δ</m:t>
                    </m:r>
                    <m:sSub>
                      <m:sSubPr>
                        <m:ctrlPr>
                          <w:rPr>
                            <w:rFonts w:ascii="Cambria Math" w:hAnsi="Cambria Math"/>
                            <w:i/>
                          </w:rPr>
                        </m:ctrlPr>
                      </m:sSubPr>
                      <m:e>
                        <m:r>
                          <w:rPr>
                            <w:rFonts w:ascii="Cambria Math" w:hAnsi="Cambria Math"/>
                          </w:rPr>
                          <m:t>t</m:t>
                        </m:r>
                      </m:e>
                      <m:sub>
                        <m:r>
                          <w:rPr>
                            <w:rFonts w:ascii="Cambria Math" w:hAnsi="Cambria Math"/>
                          </w:rPr>
                          <m:t>log</m:t>
                        </m:r>
                      </m:sub>
                    </m:sSub>
                  </m:den>
                </m:f>
              </m:oMath>
            </m:oMathPara>
          </w:p>
        </w:tc>
        <w:tc>
          <w:tcPr>
            <w:tcW w:w="720" w:type="dxa"/>
            <w:vAlign w:val="bottom"/>
          </w:tcPr>
          <w:p w14:paraId="1611CB37" w14:textId="38289596" w:rsidR="009800DB" w:rsidRPr="00EF1323" w:rsidRDefault="00077C0B" w:rsidP="00BC23AD">
            <w:pPr>
              <w:pStyle w:val="Caption"/>
              <w:rPr>
                <w:i/>
              </w:rPr>
            </w:pPr>
            <w:r>
              <w:fldChar w:fldCharType="begin"/>
            </w:r>
            <w:r>
              <w:instrText xml:space="preserve"> STYLEREF 1 \s </w:instrText>
            </w:r>
            <w:r>
              <w:fldChar w:fldCharType="separate"/>
            </w:r>
            <w:r w:rsidR="0006023A">
              <w:rPr>
                <w:noProof/>
              </w:rPr>
              <w:t>3</w:t>
            </w:r>
            <w:r>
              <w:rPr>
                <w:noProof/>
              </w:rPr>
              <w:fldChar w:fldCharType="end"/>
            </w:r>
            <w:r w:rsidR="009800DB" w:rsidRPr="00EF1323">
              <w:t>.</w:t>
            </w:r>
            <w:r>
              <w:fldChar w:fldCharType="begin"/>
            </w:r>
            <w:r>
              <w:instrText xml:space="preserve"> SEQ Equation \* ARABIC \s 1 </w:instrText>
            </w:r>
            <w:r>
              <w:fldChar w:fldCharType="separate"/>
            </w:r>
            <w:r w:rsidR="0006023A">
              <w:rPr>
                <w:noProof/>
              </w:rPr>
              <w:t>11</w:t>
            </w:r>
            <w:r>
              <w:rPr>
                <w:noProof/>
              </w:rPr>
              <w:fldChar w:fldCharType="end"/>
            </w:r>
          </w:p>
        </w:tc>
      </w:tr>
    </w:tbl>
    <w:p w14:paraId="789F5273" w14:textId="77777777" w:rsidR="009800DB" w:rsidRPr="00EF1323" w:rsidRDefault="009800DB" w:rsidP="009800DB">
      <w:pPr>
        <w:ind w:firstLine="720"/>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800DB" w:rsidRPr="00EF1323" w14:paraId="0BF9ED34" w14:textId="77777777" w:rsidTr="00057EA5">
        <w:trPr>
          <w:trHeight w:val="576"/>
        </w:trPr>
        <w:tc>
          <w:tcPr>
            <w:tcW w:w="720" w:type="dxa"/>
            <w:vAlign w:val="center"/>
          </w:tcPr>
          <w:p w14:paraId="132B00BD" w14:textId="46EBF87D" w:rsidR="009800DB" w:rsidRPr="00EF1323" w:rsidRDefault="009800DB" w:rsidP="00057EA5">
            <w:pPr>
              <w:spacing w:line="240" w:lineRule="auto"/>
              <w:jc w:val="center"/>
            </w:pPr>
          </w:p>
        </w:tc>
        <w:tc>
          <w:tcPr>
            <w:tcW w:w="7920" w:type="dxa"/>
            <w:vAlign w:val="center"/>
          </w:tcPr>
          <w:p w14:paraId="73C808FB" w14:textId="77777777" w:rsidR="009800DB" w:rsidRPr="00EF1323" w:rsidRDefault="00077C0B" w:rsidP="00057EA5">
            <w:pPr>
              <w:spacing w:line="240" w:lineRule="auto"/>
              <w:jc w:val="center"/>
            </w:pPr>
            <m:oMathPara>
              <m:oMath>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s</m:t>
                    </m:r>
                  </m:sub>
                </m:sSub>
                <m:r>
                  <w:rPr>
                    <w:rFonts w:ascii="Cambria Math" w:hAnsi="Cambria Math" w:cs="Times New Roman"/>
                  </w:rPr>
                  <m:t>=0.8042∙</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p</m:t>
                    </m:r>
                  </m:sub>
                </m:sSub>
                <m:r>
                  <w:rPr>
                    <w:rFonts w:ascii="Cambria Math" w:hAnsi="Cambria Math" w:cs="Times New Roman"/>
                  </w:rPr>
                  <m:t>-855.9</m:t>
                </m:r>
              </m:oMath>
            </m:oMathPara>
          </w:p>
        </w:tc>
        <w:tc>
          <w:tcPr>
            <w:tcW w:w="720" w:type="dxa"/>
            <w:vAlign w:val="bottom"/>
          </w:tcPr>
          <w:p w14:paraId="5C0D7979" w14:textId="07997034" w:rsidR="009800DB" w:rsidRPr="00EF1323" w:rsidRDefault="00077C0B" w:rsidP="00BC23AD">
            <w:pPr>
              <w:pStyle w:val="Caption"/>
              <w:rPr>
                <w:i/>
              </w:rPr>
            </w:pPr>
            <w:r>
              <w:fldChar w:fldCharType="begin"/>
            </w:r>
            <w:r>
              <w:instrText xml:space="preserve"> STYLEREF 1 \s </w:instrText>
            </w:r>
            <w:r>
              <w:fldChar w:fldCharType="separate"/>
            </w:r>
            <w:r w:rsidR="0006023A">
              <w:rPr>
                <w:noProof/>
              </w:rPr>
              <w:t>3</w:t>
            </w:r>
            <w:r>
              <w:rPr>
                <w:noProof/>
              </w:rPr>
              <w:fldChar w:fldCharType="end"/>
            </w:r>
            <w:r w:rsidR="009800DB" w:rsidRPr="00EF1323">
              <w:t>.</w:t>
            </w:r>
            <w:r>
              <w:fldChar w:fldCharType="begin"/>
            </w:r>
            <w:r>
              <w:instrText xml:space="preserve"> SEQ Equation \* ARABIC \s 1 </w:instrText>
            </w:r>
            <w:r>
              <w:fldChar w:fldCharType="separate"/>
            </w:r>
            <w:r w:rsidR="0006023A">
              <w:rPr>
                <w:noProof/>
              </w:rPr>
              <w:t>12</w:t>
            </w:r>
            <w:r>
              <w:rPr>
                <w:noProof/>
              </w:rPr>
              <w:fldChar w:fldCharType="end"/>
            </w:r>
          </w:p>
        </w:tc>
      </w:tr>
    </w:tbl>
    <w:p w14:paraId="0E0D99FE" w14:textId="77777777" w:rsidR="009800DB" w:rsidRPr="00EF1323" w:rsidRDefault="009800DB" w:rsidP="009800DB">
      <w:pPr>
        <w:ind w:firstLine="720"/>
      </w:pPr>
    </w:p>
    <w:p w14:paraId="3AD95E4B" w14:textId="77777777" w:rsidR="009800DB" w:rsidRPr="00EF1323" w:rsidRDefault="009800DB" w:rsidP="009800DB">
      <w:pPr>
        <w:ind w:firstLine="720"/>
      </w:pPr>
      <w:r w:rsidRPr="00EF1323">
        <w:t>The compressional and shear velocities are used to calculate the Poisson’s ratio (Archer and Rasouli 2012).</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800DB" w:rsidRPr="00EF1323" w14:paraId="00F944C2" w14:textId="77777777" w:rsidTr="00057EA5">
        <w:trPr>
          <w:trHeight w:val="576"/>
        </w:trPr>
        <w:tc>
          <w:tcPr>
            <w:tcW w:w="720" w:type="dxa"/>
            <w:vAlign w:val="center"/>
          </w:tcPr>
          <w:p w14:paraId="400345DA" w14:textId="60429C0A" w:rsidR="009800DB" w:rsidRPr="00EF1323" w:rsidRDefault="009800DB" w:rsidP="00057EA5">
            <w:pPr>
              <w:spacing w:line="240" w:lineRule="auto"/>
              <w:jc w:val="center"/>
            </w:pPr>
          </w:p>
        </w:tc>
        <w:tc>
          <w:tcPr>
            <w:tcW w:w="7920" w:type="dxa"/>
            <w:vAlign w:val="center"/>
          </w:tcPr>
          <w:p w14:paraId="589B9788" w14:textId="77777777" w:rsidR="009800DB" w:rsidRPr="00EF1323" w:rsidRDefault="009800DB" w:rsidP="00057EA5">
            <w:pPr>
              <w:spacing w:line="240" w:lineRule="auto"/>
              <w:jc w:val="center"/>
            </w:pPr>
            <m:oMathPara>
              <m:oMath>
                <m:r>
                  <w:rPr>
                    <w:rFonts w:ascii="Cambria Math" w:hAnsi="Cambria Math" w:cs="Times New Roman"/>
                  </w:rPr>
                  <m:t>v=</m:t>
                </m:r>
                <m:f>
                  <m:fPr>
                    <m:ctrlPr>
                      <w:rPr>
                        <w:rFonts w:ascii="Cambria Math" w:hAnsi="Cambria Math" w:cs="Times New Roman"/>
                        <w:i/>
                      </w:rPr>
                    </m:ctrlPr>
                  </m:fPr>
                  <m:num>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p</m:t>
                        </m:r>
                      </m:sub>
                      <m:sup>
                        <m:r>
                          <w:rPr>
                            <w:rFonts w:ascii="Cambria Math" w:hAnsi="Cambria Math" w:cs="Times New Roman"/>
                          </w:rPr>
                          <m:t>2</m:t>
                        </m:r>
                      </m:sup>
                    </m:sSubSup>
                    <m:r>
                      <w:rPr>
                        <w:rFonts w:ascii="Cambria Math" w:hAnsi="Cambria Math" w:cs="Times New Roman"/>
                      </w:rPr>
                      <m:t>-2</m:t>
                    </m:r>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s</m:t>
                        </m:r>
                      </m:sub>
                      <m:sup>
                        <m:r>
                          <w:rPr>
                            <w:rFonts w:ascii="Cambria Math" w:hAnsi="Cambria Math" w:cs="Times New Roman"/>
                          </w:rPr>
                          <m:t>2</m:t>
                        </m:r>
                      </m:sup>
                    </m:sSubSup>
                    <m:ctrlPr>
                      <w:rPr>
                        <w:rFonts w:ascii="Cambria Math" w:hAnsi="Cambria Math"/>
                        <w:i/>
                      </w:rPr>
                    </m:ctrlPr>
                  </m:num>
                  <m:den>
                    <m:r>
                      <w:rPr>
                        <w:rFonts w:ascii="Cambria Math" w:hAnsi="Cambria Math"/>
                      </w:rPr>
                      <m:t>2</m:t>
                    </m:r>
                    <m:sSubSup>
                      <m:sSubSupPr>
                        <m:ctrlPr>
                          <w:rPr>
                            <w:rFonts w:ascii="Cambria Math" w:hAnsi="Cambria Math"/>
                            <w:i/>
                          </w:rPr>
                        </m:ctrlPr>
                      </m:sSubSupPr>
                      <m:e>
                        <m:r>
                          <w:rPr>
                            <w:rFonts w:ascii="Cambria Math" w:hAnsi="Cambria Math"/>
                          </w:rPr>
                          <m:t>V</m:t>
                        </m:r>
                      </m:e>
                      <m:sub>
                        <m:r>
                          <w:rPr>
                            <w:rFonts w:ascii="Cambria Math" w:hAnsi="Cambria Math"/>
                          </w:rPr>
                          <m:t>p</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V</m:t>
                        </m:r>
                      </m:e>
                      <m:sub>
                        <m:r>
                          <w:rPr>
                            <w:rFonts w:ascii="Cambria Math" w:hAnsi="Cambria Math"/>
                          </w:rPr>
                          <m:t>s</m:t>
                        </m:r>
                      </m:sub>
                      <m:sup>
                        <m:r>
                          <w:rPr>
                            <w:rFonts w:ascii="Cambria Math" w:hAnsi="Cambria Math"/>
                          </w:rPr>
                          <m:t>2</m:t>
                        </m:r>
                      </m:sup>
                    </m:sSubSup>
                  </m:den>
                </m:f>
              </m:oMath>
            </m:oMathPara>
          </w:p>
        </w:tc>
        <w:tc>
          <w:tcPr>
            <w:tcW w:w="720" w:type="dxa"/>
            <w:vAlign w:val="bottom"/>
          </w:tcPr>
          <w:p w14:paraId="6411265A" w14:textId="43613E42" w:rsidR="009800DB" w:rsidRPr="00EF1323" w:rsidRDefault="00077C0B" w:rsidP="00BC23AD">
            <w:pPr>
              <w:pStyle w:val="Caption"/>
              <w:rPr>
                <w:i/>
              </w:rPr>
            </w:pPr>
            <w:r>
              <w:fldChar w:fldCharType="begin"/>
            </w:r>
            <w:r>
              <w:instrText xml:space="preserve"> STYLEREF 1 \s </w:instrText>
            </w:r>
            <w:r>
              <w:fldChar w:fldCharType="separate"/>
            </w:r>
            <w:r w:rsidR="0006023A">
              <w:rPr>
                <w:noProof/>
              </w:rPr>
              <w:t>3</w:t>
            </w:r>
            <w:r>
              <w:rPr>
                <w:noProof/>
              </w:rPr>
              <w:fldChar w:fldCharType="end"/>
            </w:r>
            <w:r w:rsidR="009800DB" w:rsidRPr="00EF1323">
              <w:t>.</w:t>
            </w:r>
            <w:r>
              <w:fldChar w:fldCharType="begin"/>
            </w:r>
            <w:r>
              <w:instrText xml:space="preserve"> SEQ Equation \* ARABIC \s 1 </w:instrText>
            </w:r>
            <w:r>
              <w:fldChar w:fldCharType="separate"/>
            </w:r>
            <w:r w:rsidR="0006023A">
              <w:rPr>
                <w:noProof/>
              </w:rPr>
              <w:t>13</w:t>
            </w:r>
            <w:r>
              <w:rPr>
                <w:noProof/>
              </w:rPr>
              <w:fldChar w:fldCharType="end"/>
            </w:r>
          </w:p>
        </w:tc>
      </w:tr>
    </w:tbl>
    <w:p w14:paraId="75CF75D4" w14:textId="77777777" w:rsidR="009800DB" w:rsidRPr="00EF1323" w:rsidRDefault="009800DB" w:rsidP="009800DB">
      <w:pPr>
        <w:ind w:firstLine="720"/>
      </w:pPr>
    </w:p>
    <w:p w14:paraId="32E83E6D" w14:textId="6C31E93B" w:rsidR="009800DB" w:rsidRPr="00EF1323" w:rsidRDefault="009800DB" w:rsidP="009800DB">
      <w:pPr>
        <w:ind w:firstLine="720"/>
      </w:pPr>
      <w:r w:rsidRPr="00EF1323">
        <w:t>Using the compressional velocity, shear velocity, and bulk density, the dynamic Young’s modulus (</w:t>
      </w:r>
      <m:oMath>
        <m:sSub>
          <m:sSubPr>
            <m:ctrlPr>
              <w:rPr>
                <w:rFonts w:ascii="Cambria Math" w:hAnsi="Cambria Math"/>
                <w:i/>
              </w:rPr>
            </m:ctrlPr>
          </m:sSubPr>
          <m:e>
            <m:r>
              <w:rPr>
                <w:rFonts w:ascii="Cambria Math" w:hAnsi="Cambria Math"/>
              </w:rPr>
              <m:t>E</m:t>
            </m:r>
          </m:e>
          <m:sub>
            <m:r>
              <w:rPr>
                <w:rFonts w:ascii="Cambria Math" w:hAnsi="Cambria Math"/>
              </w:rPr>
              <m:t>dyn</m:t>
            </m:r>
          </m:sub>
        </m:sSub>
      </m:oMath>
      <w:r w:rsidRPr="00EF1323">
        <w:t xml:space="preserve">) is determined using Equation </w:t>
      </w:r>
      <w:r w:rsidR="00A36EAD" w:rsidRPr="00EF1323">
        <w:t>3.14</w:t>
      </w:r>
      <w:r w:rsidRPr="00EF1323">
        <w:t xml:space="preserve"> (Archer and Rasouli 2012).</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800DB" w:rsidRPr="00EF1323" w14:paraId="15133B8C" w14:textId="77777777" w:rsidTr="00057EA5">
        <w:trPr>
          <w:trHeight w:val="576"/>
        </w:trPr>
        <w:tc>
          <w:tcPr>
            <w:tcW w:w="720" w:type="dxa"/>
            <w:vAlign w:val="center"/>
          </w:tcPr>
          <w:p w14:paraId="12AFBD15" w14:textId="5829768D" w:rsidR="009800DB" w:rsidRPr="00EF1323" w:rsidRDefault="009800DB" w:rsidP="00057EA5">
            <w:pPr>
              <w:spacing w:line="240" w:lineRule="auto"/>
              <w:jc w:val="center"/>
            </w:pPr>
          </w:p>
        </w:tc>
        <w:tc>
          <w:tcPr>
            <w:tcW w:w="7920" w:type="dxa"/>
            <w:vAlign w:val="center"/>
          </w:tcPr>
          <w:p w14:paraId="7AF58E2A" w14:textId="77777777" w:rsidR="009800DB" w:rsidRPr="00EF1323" w:rsidRDefault="00077C0B" w:rsidP="00057EA5">
            <w:pPr>
              <w:spacing w:line="240" w:lineRule="auto"/>
              <w:jc w:val="center"/>
            </w:pPr>
            <m:oMathPara>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dyn</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ρ</m:t>
                        </m:r>
                      </m:e>
                      <m:sub>
                        <m:r>
                          <w:rPr>
                            <w:rFonts w:ascii="Cambria Math" w:hAnsi="Cambria Math" w:cs="Times New Roman"/>
                          </w:rPr>
                          <m:t>b</m:t>
                        </m:r>
                      </m:sub>
                    </m:sSub>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s</m:t>
                        </m:r>
                      </m:sub>
                      <m:sup>
                        <m:r>
                          <w:rPr>
                            <w:rFonts w:ascii="Cambria Math" w:hAnsi="Cambria Math" w:cs="Times New Roman"/>
                          </w:rPr>
                          <m:t>2</m:t>
                        </m:r>
                      </m:sup>
                    </m:sSubSup>
                    <m:r>
                      <w:rPr>
                        <w:rFonts w:ascii="Cambria Math" w:hAnsi="Cambria Math" w:cs="Times New Roman"/>
                      </w:rPr>
                      <m:t>∙3</m:t>
                    </m:r>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p</m:t>
                        </m:r>
                      </m:sub>
                      <m:sup>
                        <m:r>
                          <w:rPr>
                            <w:rFonts w:ascii="Cambria Math" w:hAnsi="Cambria Math" w:cs="Times New Roman"/>
                          </w:rPr>
                          <m:t>2</m:t>
                        </m:r>
                      </m:sup>
                    </m:sSubSup>
                    <m:r>
                      <w:rPr>
                        <w:rFonts w:ascii="Cambria Math" w:hAnsi="Cambria Math" w:cs="Times New Roman"/>
                      </w:rPr>
                      <m:t>-4</m:t>
                    </m:r>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s</m:t>
                        </m:r>
                      </m:sub>
                      <m:sup>
                        <m:r>
                          <w:rPr>
                            <w:rFonts w:ascii="Cambria Math" w:hAnsi="Cambria Math" w:cs="Times New Roman"/>
                          </w:rPr>
                          <m:t>2</m:t>
                        </m:r>
                      </m:sup>
                    </m:sSubSup>
                  </m:num>
                  <m:den>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p</m:t>
                        </m:r>
                      </m:sub>
                      <m:sup>
                        <m:r>
                          <w:rPr>
                            <w:rFonts w:ascii="Cambria Math" w:hAnsi="Cambria Math" w:cs="Times New Roman"/>
                          </w:rPr>
                          <m:t>2</m:t>
                        </m:r>
                      </m:sup>
                    </m:sSubSup>
                    <m:r>
                      <w:rPr>
                        <w:rFonts w:ascii="Cambria Math" w:hAnsi="Cambria Math" w:cs="Times New Roman"/>
                      </w:rPr>
                      <m:t>-</m:t>
                    </m:r>
                    <m:sSubSup>
                      <m:sSubSupPr>
                        <m:ctrlPr>
                          <w:rPr>
                            <w:rFonts w:ascii="Cambria Math" w:hAnsi="Cambria Math" w:cs="Times New Roman"/>
                            <w:i/>
                          </w:rPr>
                        </m:ctrlPr>
                      </m:sSubSupPr>
                      <m:e>
                        <m:r>
                          <w:rPr>
                            <w:rFonts w:ascii="Cambria Math" w:hAnsi="Cambria Math" w:cs="Times New Roman"/>
                          </w:rPr>
                          <m:t>V</m:t>
                        </m:r>
                      </m:e>
                      <m:sub>
                        <m:r>
                          <w:rPr>
                            <w:rFonts w:ascii="Cambria Math" w:hAnsi="Cambria Math" w:cs="Times New Roman"/>
                          </w:rPr>
                          <m:t>s</m:t>
                        </m:r>
                      </m:sub>
                      <m:sup>
                        <m:r>
                          <w:rPr>
                            <w:rFonts w:ascii="Cambria Math" w:hAnsi="Cambria Math" w:cs="Times New Roman"/>
                          </w:rPr>
                          <m:t>2</m:t>
                        </m:r>
                      </m:sup>
                    </m:sSubSup>
                  </m:den>
                </m:f>
              </m:oMath>
            </m:oMathPara>
          </w:p>
        </w:tc>
        <w:tc>
          <w:tcPr>
            <w:tcW w:w="720" w:type="dxa"/>
            <w:vAlign w:val="bottom"/>
          </w:tcPr>
          <w:p w14:paraId="395BE2A9" w14:textId="147296C5" w:rsidR="009800DB" w:rsidRPr="00EF1323" w:rsidRDefault="00077C0B" w:rsidP="00BC23AD">
            <w:pPr>
              <w:pStyle w:val="Caption"/>
              <w:rPr>
                <w:i/>
              </w:rPr>
            </w:pPr>
            <w:r>
              <w:fldChar w:fldCharType="begin"/>
            </w:r>
            <w:r>
              <w:instrText xml:space="preserve"> STYLEREF 1 \s </w:instrText>
            </w:r>
            <w:r>
              <w:fldChar w:fldCharType="separate"/>
            </w:r>
            <w:r w:rsidR="0006023A">
              <w:rPr>
                <w:noProof/>
              </w:rPr>
              <w:t>3</w:t>
            </w:r>
            <w:r>
              <w:rPr>
                <w:noProof/>
              </w:rPr>
              <w:fldChar w:fldCharType="end"/>
            </w:r>
            <w:r w:rsidR="009800DB" w:rsidRPr="00EF1323">
              <w:t>.</w:t>
            </w:r>
            <w:r>
              <w:fldChar w:fldCharType="begin"/>
            </w:r>
            <w:r>
              <w:instrText xml:space="preserve"> SEQ Equation \* ARABIC \s 1 </w:instrText>
            </w:r>
            <w:r>
              <w:fldChar w:fldCharType="separate"/>
            </w:r>
            <w:r w:rsidR="0006023A">
              <w:rPr>
                <w:noProof/>
              </w:rPr>
              <w:t>14</w:t>
            </w:r>
            <w:r>
              <w:rPr>
                <w:noProof/>
              </w:rPr>
              <w:fldChar w:fldCharType="end"/>
            </w:r>
          </w:p>
        </w:tc>
      </w:tr>
    </w:tbl>
    <w:p w14:paraId="1DE02EA5" w14:textId="77777777" w:rsidR="009800DB" w:rsidRPr="00EF1323" w:rsidRDefault="009800DB" w:rsidP="009800DB">
      <w:pPr>
        <w:ind w:firstLine="720"/>
      </w:pPr>
    </w:p>
    <w:p w14:paraId="3C6A400A" w14:textId="3A6E3BE6" w:rsidR="009800DB" w:rsidRDefault="009800DB" w:rsidP="009800DB">
      <w:pPr>
        <w:ind w:firstLine="720"/>
      </w:pPr>
      <w:r w:rsidRPr="00EF1323">
        <w:t>The dynamic Young’s modulus is used to determine the static Young’s modulus (</w:t>
      </w:r>
      <m:oMath>
        <m:sSub>
          <m:sSubPr>
            <m:ctrlPr>
              <w:rPr>
                <w:rFonts w:ascii="Cambria Math" w:hAnsi="Cambria Math"/>
                <w:i/>
              </w:rPr>
            </m:ctrlPr>
          </m:sSubPr>
          <m:e>
            <m:r>
              <w:rPr>
                <w:rFonts w:ascii="Cambria Math" w:hAnsi="Cambria Math"/>
              </w:rPr>
              <m:t>E</m:t>
            </m:r>
          </m:e>
          <m:sub>
            <m:r>
              <w:rPr>
                <w:rFonts w:ascii="Cambria Math" w:hAnsi="Cambria Math"/>
              </w:rPr>
              <m:t>static</m:t>
            </m:r>
          </m:sub>
        </m:sSub>
      </m:oMath>
      <w:r w:rsidRPr="00EF1323">
        <w:t xml:space="preserve">) using Equation </w:t>
      </w:r>
      <w:r w:rsidR="00A36EAD" w:rsidRPr="00EF1323">
        <w:t>3.15</w:t>
      </w:r>
      <w:r w:rsidRPr="00EF1323">
        <w:t xml:space="preserve"> (Wang 2</w:t>
      </w:r>
      <w:r>
        <w:t>017).</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800DB" w14:paraId="361CA503" w14:textId="77777777" w:rsidTr="00057EA5">
        <w:trPr>
          <w:trHeight w:val="576"/>
        </w:trPr>
        <w:tc>
          <w:tcPr>
            <w:tcW w:w="720" w:type="dxa"/>
            <w:vAlign w:val="center"/>
          </w:tcPr>
          <w:p w14:paraId="5327A024" w14:textId="55BC8C82" w:rsidR="009800DB" w:rsidRDefault="009800DB" w:rsidP="00057EA5">
            <w:pPr>
              <w:spacing w:line="240" w:lineRule="auto"/>
              <w:jc w:val="center"/>
            </w:pPr>
          </w:p>
        </w:tc>
        <w:tc>
          <w:tcPr>
            <w:tcW w:w="7920" w:type="dxa"/>
            <w:vAlign w:val="center"/>
          </w:tcPr>
          <w:p w14:paraId="32375D1F" w14:textId="77777777" w:rsidR="009800DB" w:rsidRPr="003E4C6A" w:rsidRDefault="00077C0B" w:rsidP="00057EA5">
            <w:pPr>
              <w:spacing w:line="240" w:lineRule="auto"/>
              <w:jc w:val="center"/>
            </w:pPr>
            <m:oMathPara>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static</m:t>
                    </m:r>
                  </m:sub>
                </m:sSub>
                <m:r>
                  <w:rPr>
                    <w:rFonts w:ascii="Cambria Math" w:hAnsi="Cambria Math" w:cs="Times New Roman"/>
                  </w:rPr>
                  <m:t>=0.414</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dyn</m:t>
                    </m:r>
                  </m:sub>
                </m:sSub>
                <m:r>
                  <w:rPr>
                    <w:rFonts w:ascii="Cambria Math" w:hAnsi="Cambria Math" w:cs="Times New Roman"/>
                  </w:rPr>
                  <m:t>-1.0593</m:t>
                </m:r>
              </m:oMath>
            </m:oMathPara>
          </w:p>
        </w:tc>
        <w:tc>
          <w:tcPr>
            <w:tcW w:w="720" w:type="dxa"/>
            <w:vAlign w:val="bottom"/>
          </w:tcPr>
          <w:p w14:paraId="10FC3226" w14:textId="50EB49BB" w:rsidR="009800DB" w:rsidRPr="00470CB5" w:rsidRDefault="00077C0B" w:rsidP="00BC23AD">
            <w:pPr>
              <w:pStyle w:val="Caption"/>
              <w:rPr>
                <w:i/>
              </w:rPr>
            </w:pPr>
            <w:r>
              <w:fldChar w:fldCharType="begin"/>
            </w:r>
            <w:r>
              <w:instrText xml:space="preserve"> STYLEREF 1 \s </w:instrText>
            </w:r>
            <w:r>
              <w:fldChar w:fldCharType="separate"/>
            </w:r>
            <w:r w:rsidR="0006023A">
              <w:rPr>
                <w:noProof/>
              </w:rPr>
              <w:t>3</w:t>
            </w:r>
            <w:r>
              <w:rPr>
                <w:noProof/>
              </w:rPr>
              <w:fldChar w:fldCharType="end"/>
            </w:r>
            <w:r w:rsidR="009800DB">
              <w:t>.</w:t>
            </w:r>
            <w:r>
              <w:fldChar w:fldCharType="begin"/>
            </w:r>
            <w:r>
              <w:instrText xml:space="preserve"> SEQ Equation \* ARABIC \s 1 </w:instrText>
            </w:r>
            <w:r>
              <w:fldChar w:fldCharType="separate"/>
            </w:r>
            <w:r w:rsidR="0006023A">
              <w:rPr>
                <w:noProof/>
              </w:rPr>
              <w:t>15</w:t>
            </w:r>
            <w:r>
              <w:rPr>
                <w:noProof/>
              </w:rPr>
              <w:fldChar w:fldCharType="end"/>
            </w:r>
          </w:p>
        </w:tc>
      </w:tr>
    </w:tbl>
    <w:p w14:paraId="03F32954" w14:textId="77777777" w:rsidR="009800DB" w:rsidRDefault="009800DB" w:rsidP="009800DB">
      <w:pPr>
        <w:ind w:firstLine="720"/>
      </w:pPr>
    </w:p>
    <w:p w14:paraId="6489EBB5" w14:textId="77777777" w:rsidR="009800DB" w:rsidRPr="009800DB" w:rsidRDefault="009800DB" w:rsidP="009800DB"/>
    <w:p w14:paraId="50D25C47" w14:textId="22AFA457" w:rsidR="00BA4636" w:rsidRPr="00BA4636" w:rsidRDefault="00DE4A07" w:rsidP="00BA4636">
      <w:pPr>
        <w:pStyle w:val="Heading1"/>
      </w:pPr>
      <w:bookmarkStart w:id="80" w:name="_Toc67566044"/>
      <w:r>
        <w:lastRenderedPageBreak/>
        <w:t>Methodology</w:t>
      </w:r>
      <w:bookmarkEnd w:id="80"/>
      <w:r w:rsidR="00BA4636">
        <w:t xml:space="preserve"> </w:t>
      </w:r>
    </w:p>
    <w:p w14:paraId="051A31A7" w14:textId="5A4C4F36" w:rsidR="00962760" w:rsidRDefault="00BE7319" w:rsidP="00962760">
      <w:pPr>
        <w:ind w:firstLine="720"/>
      </w:pPr>
      <w:r>
        <w:t xml:space="preserve">This section outlines the research methodology and the tasks performed to achieve the objective. </w:t>
      </w:r>
      <w:r w:rsidR="00355585">
        <w:t xml:space="preserve"> </w:t>
      </w:r>
      <w:r w:rsidR="001917E8">
        <w:t>First, the derivation</w:t>
      </w:r>
      <w:r w:rsidR="00955C3A">
        <w:t xml:space="preserve"> </w:t>
      </w:r>
      <w:r w:rsidR="0079369E">
        <w:t xml:space="preserve">of </w:t>
      </w:r>
      <w:r w:rsidR="00955C3A">
        <w:t xml:space="preserve">an annular gas flow model is presented in </w:t>
      </w:r>
      <w:r w:rsidR="00955C3A">
        <w:rPr>
          <w:i/>
        </w:rPr>
        <w:t>Derivation of Real Gas Fluid Flow</w:t>
      </w:r>
      <w:r w:rsidR="004766C9">
        <w:rPr>
          <w:i/>
        </w:rPr>
        <w:t xml:space="preserve"> </w:t>
      </w:r>
      <w:r w:rsidR="004766C9">
        <w:t>along with a comparison of the developed flow equations in Section 4.1</w:t>
      </w:r>
      <w:r w:rsidR="00955C3A">
        <w:t xml:space="preserve">. Two FEA models were developed for this work; </w:t>
      </w:r>
      <w:r w:rsidR="00355585">
        <w:t xml:space="preserve">one investigates the stresses </w:t>
      </w:r>
      <w:r w:rsidR="00955C3A">
        <w:t xml:space="preserve">at the cement interfaces </w:t>
      </w:r>
      <w:r w:rsidR="00355585">
        <w:t>as a continuum (</w:t>
      </w:r>
      <w:r w:rsidR="00355585">
        <w:rPr>
          <w:i/>
        </w:rPr>
        <w:t>Staged Poro-Elastic FEA Stress Continuum Model</w:t>
      </w:r>
      <w:r w:rsidR="00355585">
        <w:t>) and the other includes failure criteria</w:t>
      </w:r>
      <w:r w:rsidR="00955C3A">
        <w:t xml:space="preserve"> at the cement interfaces (</w:t>
      </w:r>
      <w:r w:rsidR="00955C3A">
        <w:rPr>
          <w:i/>
        </w:rPr>
        <w:t>Staged Poro-Elastic FEA Fracture Model</w:t>
      </w:r>
      <w:r w:rsidR="00955C3A">
        <w:t xml:space="preserve">). </w:t>
      </w:r>
      <w:r w:rsidR="004766C9">
        <w:t xml:space="preserve">The </w:t>
      </w:r>
      <w:r w:rsidR="004766C9">
        <w:rPr>
          <w:i/>
        </w:rPr>
        <w:t xml:space="preserve">Continuous Leakage Pathway Model </w:t>
      </w:r>
      <w:r w:rsidR="004766C9">
        <w:t>explicitly couples t</w:t>
      </w:r>
      <w:r w:rsidR="00955C3A">
        <w:t>he FEA fracture model</w:t>
      </w:r>
      <w:r w:rsidR="004766C9">
        <w:t xml:space="preserve"> with real gas flow to replicate hydraulic fracture propagation. The numerical experiments performed in this work are </w:t>
      </w:r>
      <w:r w:rsidR="009E38C7">
        <w:t>subdivided</w:t>
      </w:r>
      <w:r w:rsidR="00F976ED">
        <w:t xml:space="preserve"> </w:t>
      </w:r>
      <w:r w:rsidR="004766C9">
        <w:t>into verification of the gas flow and FEA models in Section 4.2, a GoM parametric study in Section 4.3,</w:t>
      </w:r>
      <w:r w:rsidR="004111F5">
        <w:t xml:space="preserve"> a GoM continuous leakage pathway investigation in Section 4.4,</w:t>
      </w:r>
      <w:r w:rsidR="004766C9">
        <w:t xml:space="preserve"> and a case study of a well in th</w:t>
      </w:r>
      <w:r w:rsidR="001917E8">
        <w:t>e High Island OPD</w:t>
      </w:r>
      <w:r w:rsidR="004111F5">
        <w:t xml:space="preserve"> in Section 4.5</w:t>
      </w:r>
      <w:r w:rsidR="004766C9">
        <w:t>.</w:t>
      </w:r>
    </w:p>
    <w:p w14:paraId="58EF79BB" w14:textId="29FACEF4" w:rsidR="00962760" w:rsidRPr="00023855" w:rsidRDefault="00962760" w:rsidP="00962760">
      <w:pPr>
        <w:pStyle w:val="Heading2"/>
      </w:pPr>
      <w:bookmarkStart w:id="81" w:name="_Toc67566045"/>
      <w:r w:rsidRPr="00023855">
        <w:t>Derivation of Real Gas Fluid Flow</w:t>
      </w:r>
      <w:bookmarkEnd w:id="81"/>
      <w:r w:rsidRPr="00023855">
        <w:t xml:space="preserve"> </w:t>
      </w:r>
    </w:p>
    <w:p w14:paraId="761DDF42" w14:textId="6644B1B3" w:rsidR="00962760" w:rsidRPr="005C69A6" w:rsidRDefault="00382B36" w:rsidP="00962760">
      <w:pPr>
        <w:ind w:firstLine="720"/>
      </w:pPr>
      <w:r>
        <w:t xml:space="preserve">In this section, the derivation of a gas flow equation is presented. As discussed in Section </w:t>
      </w:r>
      <w:r w:rsidRPr="005C69A6">
        <w:t xml:space="preserve">2.9, the Hagen-Poiseulle model </w:t>
      </w:r>
      <w:r w:rsidR="00962760" w:rsidRPr="005C69A6">
        <w:t>is used to quantify potential</w:t>
      </w:r>
      <w:r w:rsidRPr="005C69A6">
        <w:t xml:space="preserve"> cement sheath</w:t>
      </w:r>
      <w:r w:rsidR="00962760" w:rsidRPr="005C69A6">
        <w:t xml:space="preserve"> leakag</w:t>
      </w:r>
      <w:r w:rsidRPr="005C69A6">
        <w:t>e. The Hagen-Poiseulle model</w:t>
      </w:r>
      <w:r w:rsidR="00962760" w:rsidRPr="005C69A6">
        <w:t xml:space="preserve"> assume</w:t>
      </w:r>
      <w:r w:rsidRPr="005C69A6">
        <w:t xml:space="preserve">s </w:t>
      </w:r>
      <w:r w:rsidR="00962760" w:rsidRPr="005C69A6">
        <w:t xml:space="preserve">laminar and incompressible flow </w:t>
      </w:r>
      <w:r w:rsidRPr="005C69A6">
        <w:t xml:space="preserve">in the horizontal direction </w:t>
      </w:r>
      <w:r w:rsidR="00962760" w:rsidRPr="005C69A6">
        <w:t>which limits leakage analysis to water or oil as the leaki</w:t>
      </w:r>
      <w:r w:rsidRPr="005C69A6">
        <w:t>ng fluid. The following section</w:t>
      </w:r>
      <w:r w:rsidR="00962760" w:rsidRPr="005C69A6">
        <w:t xml:space="preserve"> derives</w:t>
      </w:r>
      <w:r w:rsidRPr="005C69A6">
        <w:t xml:space="preserve"> </w:t>
      </w:r>
      <w:r w:rsidR="00F976ED">
        <w:t>the</w:t>
      </w:r>
      <w:r w:rsidRPr="005C69A6">
        <w:t xml:space="preserve"> gas flow equation from</w:t>
      </w:r>
      <w:r w:rsidR="00962760" w:rsidRPr="005C69A6">
        <w:t xml:space="preserve"> Hagen-Poiseulle flow</w:t>
      </w:r>
      <w:r w:rsidRPr="005C69A6">
        <w:t xml:space="preserve"> to account for gas leakage</w:t>
      </w:r>
      <w:r w:rsidR="00962760" w:rsidRPr="005C69A6">
        <w:t xml:space="preserve">. </w:t>
      </w:r>
    </w:p>
    <w:p w14:paraId="730AEF7E" w14:textId="083F8E6C" w:rsidR="00962760" w:rsidRPr="005C69A6" w:rsidRDefault="00962760" w:rsidP="00962760">
      <w:pPr>
        <w:ind w:firstLine="720"/>
      </w:pPr>
      <w:r w:rsidRPr="005C69A6">
        <w:t xml:space="preserve">For a wellbore where the leakage fluid is an ideal gas in a circular cross-section, </w:t>
      </w:r>
      <w:r w:rsidR="00382B36" w:rsidRPr="005C69A6">
        <w:t xml:space="preserve">Equation </w:t>
      </w:r>
      <w:r w:rsidRPr="005C69A6">
        <w:t>2.</w:t>
      </w:r>
      <w:r w:rsidR="00382B36" w:rsidRPr="005C69A6">
        <w:t>36</w:t>
      </w:r>
      <w:r w:rsidRPr="005C69A6">
        <w:t xml:space="preserve"> and Figure 4.1 describes the Hagen-Poiseulle flow where </w:t>
      </w:r>
      <m:oMath>
        <m:r>
          <w:rPr>
            <w:rFonts w:ascii="Cambria Math" w:hAnsi="Cambria Math"/>
          </w:rPr>
          <m:t>Q</m:t>
        </m:r>
      </m:oMath>
      <w:r w:rsidRPr="005C69A6">
        <w:t xml:space="preserve"> is the volumetric flow rate, </w:t>
      </w:r>
      <m:oMath>
        <m:f>
          <m:fPr>
            <m:ctrlPr>
              <w:rPr>
                <w:rFonts w:ascii="Cambria Math" w:hAnsi="Cambria Math"/>
                <w:i/>
              </w:rPr>
            </m:ctrlPr>
          </m:fPr>
          <m:num>
            <m:r>
              <w:rPr>
                <w:rFonts w:ascii="Cambria Math" w:hAnsi="Cambria Math"/>
              </w:rPr>
              <m:t>dP</m:t>
            </m:r>
          </m:num>
          <m:den>
            <m:r>
              <w:rPr>
                <w:rFonts w:ascii="Cambria Math" w:hAnsi="Cambria Math"/>
              </w:rPr>
              <m:t>dx</m:t>
            </m:r>
          </m:den>
        </m:f>
      </m:oMath>
      <w:r w:rsidRPr="005C69A6">
        <w:t xml:space="preserve"> is the pressure drop per unit distance, </w:t>
      </w:r>
      <m:oMath>
        <m:sSub>
          <m:sSubPr>
            <m:ctrlPr>
              <w:rPr>
                <w:rFonts w:ascii="Cambria Math" w:hAnsi="Cambria Math"/>
                <w:i/>
              </w:rPr>
            </m:ctrlPr>
          </m:sSubPr>
          <m:e>
            <m:r>
              <w:rPr>
                <w:rFonts w:ascii="Cambria Math" w:hAnsi="Cambria Math"/>
              </w:rPr>
              <m:t>P</m:t>
            </m:r>
          </m:e>
          <m:sub>
            <m:r>
              <w:rPr>
                <w:rFonts w:ascii="Cambria Math" w:hAnsi="Cambria Math"/>
              </w:rPr>
              <m:t>1</m:t>
            </m:r>
          </m:sub>
        </m:sSub>
      </m:oMath>
      <w:r w:rsidRPr="005C69A6">
        <w:t xml:space="preserve"> is the inlet pressure, </w:t>
      </w:r>
      <m:oMath>
        <m:sSub>
          <m:sSubPr>
            <m:ctrlPr>
              <w:rPr>
                <w:rFonts w:ascii="Cambria Math" w:hAnsi="Cambria Math"/>
                <w:i/>
              </w:rPr>
            </m:ctrlPr>
          </m:sSubPr>
          <m:e>
            <m:r>
              <w:rPr>
                <w:rFonts w:ascii="Cambria Math" w:hAnsi="Cambria Math"/>
              </w:rPr>
              <m:t>P</m:t>
            </m:r>
          </m:e>
          <m:sub>
            <m:r>
              <w:rPr>
                <w:rFonts w:ascii="Cambria Math" w:hAnsi="Cambria Math"/>
              </w:rPr>
              <m:t>2</m:t>
            </m:r>
          </m:sub>
        </m:sSub>
      </m:oMath>
      <w:r w:rsidRPr="005C69A6">
        <w:t xml:space="preserve"> is the outlet pressure, </w:t>
      </w:r>
      <m:oMath>
        <m:r>
          <w:rPr>
            <w:rFonts w:ascii="Cambria Math" w:hAnsi="Cambria Math"/>
          </w:rPr>
          <m:t>L</m:t>
        </m:r>
      </m:oMath>
      <w:r w:rsidRPr="005C69A6">
        <w:t xml:space="preserve"> is the length, </w:t>
      </w:r>
      <m:oMath>
        <m:r>
          <w:rPr>
            <w:rFonts w:ascii="Cambria Math" w:hAnsi="Cambria Math"/>
          </w:rPr>
          <m:t>R</m:t>
        </m:r>
      </m:oMath>
      <w:r w:rsidRPr="005C69A6">
        <w:t xml:space="preserve"> is the radius, and </w:t>
      </w:r>
      <m:oMath>
        <m:r>
          <w:rPr>
            <w:rFonts w:ascii="Cambria Math" w:hAnsi="Cambria Math"/>
          </w:rPr>
          <m:t>μ</m:t>
        </m:r>
      </m:oMath>
      <w:r w:rsidRPr="005C69A6">
        <w:t xml:space="preserve"> is the viscosity.</w:t>
      </w:r>
    </w:p>
    <w:p w14:paraId="2462C426" w14:textId="77777777" w:rsidR="00962760" w:rsidRPr="005C69A6" w:rsidRDefault="00962760" w:rsidP="00BC23AD">
      <w:pPr>
        <w:pStyle w:val="NoSpacing"/>
      </w:pPr>
      <w:r w:rsidRPr="005C69A6">
        <w:rPr>
          <w:noProof/>
        </w:rPr>
        <w:lastRenderedPageBreak/>
        <w:drawing>
          <wp:inline distT="0" distB="0" distL="0" distR="0" wp14:anchorId="5B5A1B2D" wp14:editId="2AD16D55">
            <wp:extent cx="5486400" cy="2203357"/>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486400" cy="2203357"/>
                    </a:xfrm>
                    <a:prstGeom prst="rect">
                      <a:avLst/>
                    </a:prstGeom>
                  </pic:spPr>
                </pic:pic>
              </a:graphicData>
            </a:graphic>
          </wp:inline>
        </w:drawing>
      </w:r>
    </w:p>
    <w:p w14:paraId="7C0BAA10" w14:textId="7EADB82D" w:rsidR="00962760" w:rsidRPr="005C69A6" w:rsidRDefault="00962760" w:rsidP="00BC23AD">
      <w:pPr>
        <w:pStyle w:val="Caption"/>
      </w:pPr>
      <w:bookmarkStart w:id="82" w:name="_Toc67566217"/>
      <w:r w:rsidRPr="005C69A6">
        <w:t xml:space="preserve">Figure </w:t>
      </w:r>
      <w:r w:rsidR="00077C0B">
        <w:fldChar w:fldCharType="begin"/>
      </w:r>
      <w:r w:rsidR="00077C0B">
        <w:instrText xml:space="preserve"> STYLEREF 1 \s </w:instrText>
      </w:r>
      <w:r w:rsidR="00077C0B">
        <w:fldChar w:fldCharType="separate"/>
      </w:r>
      <w:r w:rsidR="0006023A">
        <w:rPr>
          <w:noProof/>
        </w:rPr>
        <w:t>4</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1</w:t>
      </w:r>
      <w:r w:rsidR="00077C0B">
        <w:rPr>
          <w:noProof/>
        </w:rPr>
        <w:fldChar w:fldCharType="end"/>
      </w:r>
      <w:r w:rsidRPr="005C69A6">
        <w:t xml:space="preserve">: Velocity profile in a circular pipe with </w:t>
      </w:r>
      <w:r w:rsidR="00382B36" w:rsidRPr="005C69A6">
        <w:t xml:space="preserve">Hagen-Poiseulle </w:t>
      </w:r>
      <w:r w:rsidRPr="005C69A6">
        <w:t xml:space="preserve">flow. Where, </w:t>
      </w:r>
      <m:oMath>
        <m:r>
          <m:rPr>
            <m:sty m:val="bi"/>
          </m:rPr>
          <w:rPr>
            <w:rFonts w:ascii="Cambria Math" w:hAnsi="Cambria Math"/>
          </w:rPr>
          <m:t>R</m:t>
        </m:r>
      </m:oMath>
      <w:r w:rsidRPr="005C69A6">
        <w:t xml:space="preserve"> is the radius of the pipe, </w:t>
      </w:r>
      <m:oMath>
        <m:sSub>
          <m:sSubPr>
            <m:ctrlPr>
              <w:rPr>
                <w:rFonts w:ascii="Cambria Math" w:hAnsi="Cambria Math"/>
                <w:i/>
              </w:rPr>
            </m:ctrlPr>
          </m:sSubPr>
          <m:e>
            <m:r>
              <m:rPr>
                <m:sty m:val="bi"/>
              </m:rPr>
              <w:rPr>
                <w:rFonts w:ascii="Cambria Math" w:hAnsi="Cambria Math"/>
              </w:rPr>
              <m:t>P</m:t>
            </m:r>
          </m:e>
          <m:sub>
            <m:r>
              <m:rPr>
                <m:sty m:val="bi"/>
              </m:rPr>
              <w:rPr>
                <w:rFonts w:ascii="Cambria Math" w:hAnsi="Cambria Math"/>
              </w:rPr>
              <m:t>1</m:t>
            </m:r>
          </m:sub>
        </m:sSub>
      </m:oMath>
      <w:r w:rsidRPr="005C69A6">
        <w:t xml:space="preserve"> and </w:t>
      </w:r>
      <m:oMath>
        <m:sSub>
          <m:sSubPr>
            <m:ctrlPr>
              <w:rPr>
                <w:rFonts w:ascii="Cambria Math" w:hAnsi="Cambria Math"/>
                <w:i/>
              </w:rPr>
            </m:ctrlPr>
          </m:sSubPr>
          <m:e>
            <m:r>
              <m:rPr>
                <m:sty m:val="bi"/>
              </m:rPr>
              <w:rPr>
                <w:rFonts w:ascii="Cambria Math" w:hAnsi="Cambria Math"/>
              </w:rPr>
              <m:t>P</m:t>
            </m:r>
          </m:e>
          <m:sub>
            <m:r>
              <m:rPr>
                <m:sty m:val="bi"/>
              </m:rPr>
              <w:rPr>
                <w:rFonts w:ascii="Cambria Math" w:hAnsi="Cambria Math"/>
              </w:rPr>
              <m:t>2</m:t>
            </m:r>
          </m:sub>
        </m:sSub>
      </m:oMath>
      <w:r w:rsidRPr="005C69A6">
        <w:t xml:space="preserve"> are the inlet and outlet pressures, respectively, </w:t>
      </w:r>
      <m:oMath>
        <m:r>
          <m:rPr>
            <m:sty m:val="bi"/>
          </m:rPr>
          <w:rPr>
            <w:rFonts w:ascii="Cambria Math" w:hAnsi="Cambria Math"/>
          </w:rPr>
          <m:t>V</m:t>
        </m:r>
      </m:oMath>
      <w:r w:rsidRPr="005C69A6">
        <w:t xml:space="preserve"> is the velocity, </w:t>
      </w:r>
      <m:oMath>
        <m:r>
          <m:rPr>
            <m:sty m:val="bi"/>
          </m:rPr>
          <w:rPr>
            <w:rFonts w:ascii="Cambria Math" w:hAnsi="Cambria Math"/>
          </w:rPr>
          <m:t>Q</m:t>
        </m:r>
      </m:oMath>
      <w:r w:rsidRPr="005C69A6">
        <w:t xml:space="preserve"> is the volumetric flow rate, and </w:t>
      </w:r>
      <m:oMath>
        <m:r>
          <m:rPr>
            <m:sty m:val="b"/>
          </m:rPr>
          <w:rPr>
            <w:rFonts w:ascii="Cambria Math" w:hAnsi="Cambria Math"/>
          </w:rPr>
          <m:t>Δ</m:t>
        </m:r>
        <m:r>
          <m:rPr>
            <m:sty m:val="bi"/>
          </m:rPr>
          <w:rPr>
            <w:rFonts w:ascii="Cambria Math" w:hAnsi="Cambria Math"/>
          </w:rPr>
          <m:t>x</m:t>
        </m:r>
      </m:oMath>
      <w:r w:rsidRPr="005C69A6">
        <w:t xml:space="preserve"> and </w:t>
      </w:r>
      <m:oMath>
        <m:r>
          <m:rPr>
            <m:sty m:val="bi"/>
          </m:rPr>
          <w:rPr>
            <w:rFonts w:ascii="Cambria Math" w:hAnsi="Cambria Math"/>
          </w:rPr>
          <m:t>L</m:t>
        </m:r>
      </m:oMath>
      <w:r w:rsidRPr="005C69A6">
        <w:t xml:space="preserve"> are the length.</w:t>
      </w:r>
      <w:bookmarkEnd w:id="82"/>
    </w:p>
    <w:p w14:paraId="668813DB" w14:textId="2196CD9E" w:rsidR="00962760" w:rsidRPr="005C69A6" w:rsidRDefault="00962760" w:rsidP="00962760">
      <w:pPr>
        <w:ind w:firstLine="720"/>
      </w:pPr>
      <w:r w:rsidRPr="005C69A6">
        <w:t>Re-arranging Equation 2</w:t>
      </w:r>
      <w:r w:rsidR="00382B36" w:rsidRPr="005C69A6">
        <w:t>.36</w:t>
      </w:r>
      <w:r w:rsidRPr="005C69A6">
        <w:t xml:space="preserve"> in terms of pressure drop gives, </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2760" w:rsidRPr="005C69A6" w14:paraId="0FACE830" w14:textId="77777777" w:rsidTr="00962760">
        <w:trPr>
          <w:trHeight w:val="576"/>
        </w:trPr>
        <w:tc>
          <w:tcPr>
            <w:tcW w:w="720" w:type="dxa"/>
            <w:vAlign w:val="center"/>
          </w:tcPr>
          <w:p w14:paraId="0D6EB611" w14:textId="77777777" w:rsidR="00962760" w:rsidRPr="005C69A6" w:rsidRDefault="00962760" w:rsidP="00962760">
            <w:pPr>
              <w:spacing w:line="240" w:lineRule="auto"/>
              <w:jc w:val="center"/>
            </w:pPr>
          </w:p>
        </w:tc>
        <w:tc>
          <w:tcPr>
            <w:tcW w:w="7920" w:type="dxa"/>
            <w:vAlign w:val="center"/>
          </w:tcPr>
          <w:p w14:paraId="6B4B672A" w14:textId="77777777" w:rsidR="00962760" w:rsidRPr="005C69A6" w:rsidRDefault="00962760" w:rsidP="00962760">
            <w:pPr>
              <w:spacing w:line="240" w:lineRule="auto"/>
              <w:jc w:val="center"/>
            </w:pPr>
            <m:oMathPara>
              <m:oMath>
                <m:r>
                  <w:rPr>
                    <w:rFonts w:ascii="Cambria Math" w:hAnsi="Cambria Math"/>
                  </w:rPr>
                  <m:t>-</m:t>
                </m:r>
                <m:f>
                  <m:fPr>
                    <m:ctrlPr>
                      <w:rPr>
                        <w:rFonts w:ascii="Cambria Math" w:hAnsi="Cambria Math"/>
                        <w:i/>
                        <w:iCs/>
                      </w:rPr>
                    </m:ctrlPr>
                  </m:fPr>
                  <m:num>
                    <m:r>
                      <w:rPr>
                        <w:rFonts w:ascii="Cambria Math" w:hAnsi="Cambria Math"/>
                      </w:rPr>
                      <m:t>dP</m:t>
                    </m:r>
                  </m:num>
                  <m:den>
                    <m:r>
                      <w:rPr>
                        <w:rFonts w:ascii="Cambria Math" w:hAnsi="Cambria Math"/>
                      </w:rPr>
                      <m:t>dx</m:t>
                    </m:r>
                  </m:den>
                </m:f>
                <m:r>
                  <w:rPr>
                    <w:rFonts w:ascii="Cambria Math" w:hAnsi="Cambria Math"/>
                  </w:rPr>
                  <m:t>=</m:t>
                </m:r>
                <m:f>
                  <m:fPr>
                    <m:ctrlPr>
                      <w:rPr>
                        <w:rFonts w:ascii="Cambria Math" w:hAnsi="Cambria Math"/>
                        <w:i/>
                        <w:iCs/>
                      </w:rPr>
                    </m:ctrlPr>
                  </m:fPr>
                  <m:num>
                    <m:r>
                      <w:rPr>
                        <w:rFonts w:ascii="Cambria Math" w:hAnsi="Cambria Math"/>
                      </w:rPr>
                      <m:t>8μQ</m:t>
                    </m:r>
                  </m:num>
                  <m:den>
                    <m:r>
                      <w:rPr>
                        <w:rFonts w:ascii="Cambria Math" w:hAnsi="Cambria Math"/>
                      </w:rPr>
                      <m:t>π</m:t>
                    </m:r>
                    <m:sSup>
                      <m:sSupPr>
                        <m:ctrlPr>
                          <w:rPr>
                            <w:rFonts w:ascii="Cambria Math" w:hAnsi="Cambria Math"/>
                            <w:i/>
                            <w:iCs/>
                          </w:rPr>
                        </m:ctrlPr>
                      </m:sSupPr>
                      <m:e>
                        <m:r>
                          <w:rPr>
                            <w:rFonts w:ascii="Cambria Math" w:hAnsi="Cambria Math"/>
                          </w:rPr>
                          <m:t>R</m:t>
                        </m:r>
                      </m:e>
                      <m:sup>
                        <m:r>
                          <w:rPr>
                            <w:rFonts w:ascii="Cambria Math" w:hAnsi="Cambria Math"/>
                          </w:rPr>
                          <m:t>4</m:t>
                        </m:r>
                      </m:sup>
                    </m:sSup>
                  </m:den>
                </m:f>
              </m:oMath>
            </m:oMathPara>
          </w:p>
        </w:tc>
        <w:tc>
          <w:tcPr>
            <w:tcW w:w="720" w:type="dxa"/>
            <w:vAlign w:val="bottom"/>
          </w:tcPr>
          <w:p w14:paraId="46C1B0EA" w14:textId="68D73545" w:rsidR="00962760" w:rsidRPr="005C69A6" w:rsidRDefault="00077C0B" w:rsidP="00BC23AD">
            <w:pPr>
              <w:pStyle w:val="Caption"/>
              <w:rPr>
                <w:i/>
              </w:rPr>
            </w:pPr>
            <w:r>
              <w:fldChar w:fldCharType="begin"/>
            </w:r>
            <w:r>
              <w:instrText xml:space="preserve"> STYLEREF 1 \s </w:instrText>
            </w:r>
            <w:r>
              <w:fldChar w:fldCharType="separate"/>
            </w:r>
            <w:r w:rsidR="0006023A">
              <w:rPr>
                <w:noProof/>
              </w:rPr>
              <w:t>4</w:t>
            </w:r>
            <w:r>
              <w:rPr>
                <w:noProof/>
              </w:rPr>
              <w:fldChar w:fldCharType="end"/>
            </w:r>
            <w:r w:rsidR="00962760" w:rsidRPr="005C69A6">
              <w:t>.</w:t>
            </w:r>
            <w:r>
              <w:fldChar w:fldCharType="begin"/>
            </w:r>
            <w:r>
              <w:instrText xml:space="preserve"> SEQ Equation \* ARABIC \s 1 </w:instrText>
            </w:r>
            <w:r>
              <w:fldChar w:fldCharType="separate"/>
            </w:r>
            <w:r w:rsidR="0006023A">
              <w:rPr>
                <w:noProof/>
              </w:rPr>
              <w:t>1</w:t>
            </w:r>
            <w:r>
              <w:rPr>
                <w:noProof/>
              </w:rPr>
              <w:fldChar w:fldCharType="end"/>
            </w:r>
          </w:p>
        </w:tc>
      </w:tr>
    </w:tbl>
    <w:p w14:paraId="7754317B" w14:textId="77777777" w:rsidR="00962760" w:rsidRPr="005C69A6" w:rsidRDefault="00962760" w:rsidP="00962760">
      <w:pPr>
        <w:ind w:firstLine="720"/>
      </w:pPr>
    </w:p>
    <w:p w14:paraId="73FB36CA" w14:textId="77777777" w:rsidR="00962760" w:rsidRPr="005C69A6" w:rsidRDefault="00962760" w:rsidP="00962760">
      <w:pPr>
        <w:rPr>
          <w:iCs/>
        </w:rPr>
      </w:pPr>
      <w:r w:rsidRPr="005C69A6">
        <w:tab/>
        <w:t xml:space="preserve">The ideal gas law is, </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2760" w:rsidRPr="005C69A6" w14:paraId="4A420D06" w14:textId="77777777" w:rsidTr="00962760">
        <w:trPr>
          <w:trHeight w:val="576"/>
        </w:trPr>
        <w:tc>
          <w:tcPr>
            <w:tcW w:w="720" w:type="dxa"/>
            <w:vAlign w:val="center"/>
          </w:tcPr>
          <w:p w14:paraId="0771CE02" w14:textId="77777777" w:rsidR="00962760" w:rsidRPr="005C69A6" w:rsidRDefault="00962760" w:rsidP="00962760">
            <w:pPr>
              <w:spacing w:line="240" w:lineRule="auto"/>
              <w:jc w:val="center"/>
            </w:pPr>
          </w:p>
        </w:tc>
        <w:tc>
          <w:tcPr>
            <w:tcW w:w="7920" w:type="dxa"/>
            <w:vAlign w:val="center"/>
          </w:tcPr>
          <w:p w14:paraId="33F8E87C" w14:textId="77777777" w:rsidR="00962760" w:rsidRPr="005C69A6" w:rsidRDefault="00962760" w:rsidP="00962760">
            <w:pPr>
              <w:spacing w:line="240" w:lineRule="auto"/>
              <w:jc w:val="center"/>
            </w:pPr>
            <m:oMathPara>
              <m:oMath>
                <m:r>
                  <w:rPr>
                    <w:rFonts w:ascii="Cambria Math" w:hAnsi="Cambria Math"/>
                  </w:rPr>
                  <m:t>PV=nRT</m:t>
                </m:r>
              </m:oMath>
            </m:oMathPara>
          </w:p>
        </w:tc>
        <w:tc>
          <w:tcPr>
            <w:tcW w:w="720" w:type="dxa"/>
            <w:vAlign w:val="bottom"/>
          </w:tcPr>
          <w:p w14:paraId="6EFBBB01" w14:textId="6C12EB54" w:rsidR="00962760" w:rsidRPr="005C69A6" w:rsidRDefault="00077C0B" w:rsidP="00BC23AD">
            <w:pPr>
              <w:pStyle w:val="Caption"/>
              <w:rPr>
                <w:i/>
              </w:rPr>
            </w:pPr>
            <w:r>
              <w:fldChar w:fldCharType="begin"/>
            </w:r>
            <w:r>
              <w:instrText xml:space="preserve"> STYLEREF 1 \s </w:instrText>
            </w:r>
            <w:r>
              <w:fldChar w:fldCharType="separate"/>
            </w:r>
            <w:r w:rsidR="0006023A">
              <w:rPr>
                <w:noProof/>
              </w:rPr>
              <w:t>4</w:t>
            </w:r>
            <w:r>
              <w:rPr>
                <w:noProof/>
              </w:rPr>
              <w:fldChar w:fldCharType="end"/>
            </w:r>
            <w:r w:rsidR="00962760" w:rsidRPr="005C69A6">
              <w:t>.</w:t>
            </w:r>
            <w:r>
              <w:fldChar w:fldCharType="begin"/>
            </w:r>
            <w:r>
              <w:instrText xml:space="preserve"> SEQ Equation \* ARABIC \s 1 </w:instrText>
            </w:r>
            <w:r>
              <w:fldChar w:fldCharType="separate"/>
            </w:r>
            <w:r w:rsidR="0006023A">
              <w:rPr>
                <w:noProof/>
              </w:rPr>
              <w:t>2</w:t>
            </w:r>
            <w:r>
              <w:rPr>
                <w:noProof/>
              </w:rPr>
              <w:fldChar w:fldCharType="end"/>
            </w:r>
          </w:p>
        </w:tc>
      </w:tr>
    </w:tbl>
    <w:p w14:paraId="62FA7C2A" w14:textId="77777777" w:rsidR="00962760" w:rsidRPr="005C69A6" w:rsidRDefault="00962760" w:rsidP="00962760">
      <w:pPr>
        <w:rPr>
          <w:iCs/>
        </w:rPr>
      </w:pPr>
    </w:p>
    <w:p w14:paraId="3E7A410F" w14:textId="0E4041E8" w:rsidR="00962760" w:rsidRPr="005C69A6" w:rsidRDefault="00962760" w:rsidP="00962760">
      <w:r w:rsidRPr="005C69A6">
        <w:tab/>
        <w:t xml:space="preserve">where </w:t>
      </w:r>
      <m:oMath>
        <m:r>
          <w:rPr>
            <w:rFonts w:ascii="Cambria Math" w:hAnsi="Cambria Math"/>
          </w:rPr>
          <m:t>V</m:t>
        </m:r>
      </m:oMath>
      <w:r w:rsidRPr="005C69A6">
        <w:rPr>
          <w:iCs/>
        </w:rPr>
        <w:t xml:space="preserve"> is the volume of the gas, </w:t>
      </w:r>
      <m:oMath>
        <m:r>
          <w:rPr>
            <w:rFonts w:ascii="Cambria Math" w:hAnsi="Cambria Math"/>
          </w:rPr>
          <m:t>n</m:t>
        </m:r>
      </m:oMath>
      <w:r w:rsidRPr="005C69A6">
        <w:rPr>
          <w:iCs/>
        </w:rPr>
        <w:t xml:space="preserve"> is the number of moles of the gas, </w:t>
      </w:r>
      <m:oMath>
        <m:r>
          <w:rPr>
            <w:rFonts w:ascii="Cambria Math" w:hAnsi="Cambria Math"/>
          </w:rPr>
          <m:t>R</m:t>
        </m:r>
      </m:oMath>
      <w:r w:rsidRPr="005C69A6">
        <w:rPr>
          <w:iCs/>
        </w:rPr>
        <w:t xml:space="preserve"> is the ideal gas constant, and </w:t>
      </w:r>
      <m:oMath>
        <m:r>
          <w:rPr>
            <w:rFonts w:ascii="Cambria Math" w:hAnsi="Cambria Math"/>
          </w:rPr>
          <m:t>T</m:t>
        </m:r>
      </m:oMath>
      <w:r w:rsidRPr="005C69A6">
        <w:rPr>
          <w:iCs/>
        </w:rPr>
        <w:t xml:space="preserve"> is the absolute temperature of the gas</w:t>
      </w:r>
      <w:r w:rsidRPr="005C69A6">
        <w:t>. Equation 4.</w:t>
      </w:r>
      <w:r w:rsidR="00382B36" w:rsidRPr="005C69A6">
        <w:t>2</w:t>
      </w:r>
      <w:r w:rsidRPr="005C69A6">
        <w:t xml:space="preserve"> is converted in terms of flowrate by dividing both sides by time, </w:t>
      </w:r>
      <m:oMath>
        <m:r>
          <w:rPr>
            <w:rFonts w:ascii="Cambria Math" w:hAnsi="Cambria Math"/>
          </w:rPr>
          <m:t>t</m:t>
        </m:r>
      </m:oMath>
      <w:r w:rsidRPr="005C69A6">
        <w:t>.</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2760" w:rsidRPr="005C69A6" w14:paraId="57506485" w14:textId="77777777" w:rsidTr="00962760">
        <w:trPr>
          <w:trHeight w:val="576"/>
        </w:trPr>
        <w:tc>
          <w:tcPr>
            <w:tcW w:w="720" w:type="dxa"/>
            <w:vAlign w:val="center"/>
          </w:tcPr>
          <w:p w14:paraId="731EA234" w14:textId="77777777" w:rsidR="00962760" w:rsidRPr="005C69A6" w:rsidRDefault="00962760" w:rsidP="00962760">
            <w:pPr>
              <w:spacing w:line="240" w:lineRule="auto"/>
              <w:jc w:val="center"/>
            </w:pPr>
          </w:p>
        </w:tc>
        <w:tc>
          <w:tcPr>
            <w:tcW w:w="7920" w:type="dxa"/>
            <w:vAlign w:val="center"/>
          </w:tcPr>
          <w:p w14:paraId="7941A936" w14:textId="77777777" w:rsidR="00962760" w:rsidRPr="005C69A6" w:rsidRDefault="00077C0B" w:rsidP="00962760">
            <w:pPr>
              <w:spacing w:line="240" w:lineRule="auto"/>
              <w:jc w:val="center"/>
            </w:pPr>
            <m:oMathPara>
              <m:oMath>
                <m:f>
                  <m:fPr>
                    <m:ctrlPr>
                      <w:rPr>
                        <w:rFonts w:ascii="Cambria Math" w:hAnsi="Cambria Math"/>
                        <w:i/>
                        <w:iCs/>
                      </w:rPr>
                    </m:ctrlPr>
                  </m:fPr>
                  <m:num>
                    <m:r>
                      <w:rPr>
                        <w:rFonts w:ascii="Cambria Math" w:hAnsi="Cambria Math"/>
                      </w:rPr>
                      <m:t>PV</m:t>
                    </m:r>
                  </m:num>
                  <m:den>
                    <m:r>
                      <w:rPr>
                        <w:rFonts w:ascii="Cambria Math" w:hAnsi="Cambria Math"/>
                      </w:rPr>
                      <m:t>t</m:t>
                    </m:r>
                  </m:den>
                </m:f>
                <m:r>
                  <w:rPr>
                    <w:rFonts w:ascii="Cambria Math" w:hAnsi="Cambria Math"/>
                  </w:rPr>
                  <m:t>=</m:t>
                </m:r>
                <m:f>
                  <m:fPr>
                    <m:ctrlPr>
                      <w:rPr>
                        <w:rFonts w:ascii="Cambria Math" w:hAnsi="Cambria Math"/>
                        <w:i/>
                        <w:iCs/>
                      </w:rPr>
                    </m:ctrlPr>
                  </m:fPr>
                  <m:num>
                    <m:r>
                      <w:rPr>
                        <w:rFonts w:ascii="Cambria Math" w:hAnsi="Cambria Math"/>
                      </w:rPr>
                      <m:t>nRT</m:t>
                    </m:r>
                  </m:num>
                  <m:den>
                    <m:r>
                      <w:rPr>
                        <w:rFonts w:ascii="Cambria Math" w:hAnsi="Cambria Math"/>
                      </w:rPr>
                      <m:t>t</m:t>
                    </m:r>
                  </m:den>
                </m:f>
              </m:oMath>
            </m:oMathPara>
          </w:p>
        </w:tc>
        <w:tc>
          <w:tcPr>
            <w:tcW w:w="720" w:type="dxa"/>
            <w:vAlign w:val="bottom"/>
          </w:tcPr>
          <w:p w14:paraId="6705746D" w14:textId="3BF80B69" w:rsidR="00962760" w:rsidRPr="005C69A6" w:rsidRDefault="00077C0B" w:rsidP="00BC23AD">
            <w:pPr>
              <w:pStyle w:val="Caption"/>
              <w:rPr>
                <w:i/>
              </w:rPr>
            </w:pPr>
            <w:r>
              <w:fldChar w:fldCharType="begin"/>
            </w:r>
            <w:r>
              <w:instrText xml:space="preserve"> STYLEREF 1 \s </w:instrText>
            </w:r>
            <w:r>
              <w:fldChar w:fldCharType="separate"/>
            </w:r>
            <w:r w:rsidR="0006023A">
              <w:rPr>
                <w:noProof/>
              </w:rPr>
              <w:t>4</w:t>
            </w:r>
            <w:r>
              <w:rPr>
                <w:noProof/>
              </w:rPr>
              <w:fldChar w:fldCharType="end"/>
            </w:r>
            <w:r w:rsidR="00962760" w:rsidRPr="005C69A6">
              <w:t>.</w:t>
            </w:r>
            <w:r>
              <w:fldChar w:fldCharType="begin"/>
            </w:r>
            <w:r>
              <w:instrText xml:space="preserve"> SEQ Equation \* ARABIC \s 1 </w:instrText>
            </w:r>
            <w:r>
              <w:fldChar w:fldCharType="separate"/>
            </w:r>
            <w:r w:rsidR="0006023A">
              <w:rPr>
                <w:noProof/>
              </w:rPr>
              <w:t>3</w:t>
            </w:r>
            <w:r>
              <w:rPr>
                <w:noProof/>
              </w:rPr>
              <w:fldChar w:fldCharType="end"/>
            </w:r>
          </w:p>
        </w:tc>
      </w:tr>
    </w:tbl>
    <w:p w14:paraId="422D23E0" w14:textId="77777777" w:rsidR="00962760" w:rsidRPr="005C69A6" w:rsidRDefault="00962760" w:rsidP="00962760"/>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2760" w:rsidRPr="005C69A6" w14:paraId="51330A5C" w14:textId="77777777" w:rsidTr="00962760">
        <w:trPr>
          <w:trHeight w:val="576"/>
        </w:trPr>
        <w:tc>
          <w:tcPr>
            <w:tcW w:w="720" w:type="dxa"/>
            <w:vAlign w:val="center"/>
          </w:tcPr>
          <w:p w14:paraId="58C60EE2" w14:textId="77777777" w:rsidR="00962760" w:rsidRPr="005C69A6" w:rsidRDefault="00962760" w:rsidP="00962760">
            <w:pPr>
              <w:spacing w:line="240" w:lineRule="auto"/>
              <w:jc w:val="center"/>
            </w:pPr>
          </w:p>
        </w:tc>
        <w:tc>
          <w:tcPr>
            <w:tcW w:w="7920" w:type="dxa"/>
            <w:vAlign w:val="center"/>
          </w:tcPr>
          <w:p w14:paraId="4135CB05" w14:textId="77777777" w:rsidR="00962760" w:rsidRPr="005C69A6" w:rsidRDefault="00962760" w:rsidP="00962760">
            <w:pPr>
              <w:spacing w:line="240" w:lineRule="auto"/>
              <w:jc w:val="center"/>
            </w:pPr>
            <m:oMathPara>
              <m:oMath>
                <m:r>
                  <w:rPr>
                    <w:rFonts w:ascii="Cambria Math" w:hAnsi="Cambria Math"/>
                  </w:rPr>
                  <m:t>P</m:t>
                </m:r>
                <m:d>
                  <m:dPr>
                    <m:ctrlPr>
                      <w:rPr>
                        <w:rFonts w:ascii="Cambria Math" w:hAnsi="Cambria Math"/>
                        <w:i/>
                      </w:rPr>
                    </m:ctrlPr>
                  </m:dPr>
                  <m:e>
                    <m:f>
                      <m:fPr>
                        <m:ctrlPr>
                          <w:rPr>
                            <w:rFonts w:ascii="Cambria Math" w:hAnsi="Cambria Math"/>
                            <w:i/>
                          </w:rPr>
                        </m:ctrlPr>
                      </m:fPr>
                      <m:num>
                        <m:r>
                          <w:rPr>
                            <w:rFonts w:ascii="Cambria Math" w:hAnsi="Cambria Math"/>
                          </w:rPr>
                          <m:t>V</m:t>
                        </m:r>
                      </m:num>
                      <m:den>
                        <m:r>
                          <w:rPr>
                            <w:rFonts w:ascii="Cambria Math" w:hAnsi="Cambria Math"/>
                          </w:rPr>
                          <m:t>t</m:t>
                        </m:r>
                      </m:den>
                    </m:f>
                  </m:e>
                </m:d>
                <m:r>
                  <w:rPr>
                    <w:rFonts w:ascii="Cambria Math" w:hAnsi="Cambria Math"/>
                  </w:rPr>
                  <m:t>=PQ=</m:t>
                </m:r>
                <m:d>
                  <m:dPr>
                    <m:ctrlPr>
                      <w:rPr>
                        <w:rFonts w:ascii="Cambria Math" w:hAnsi="Cambria Math"/>
                        <w:i/>
                      </w:rPr>
                    </m:ctrlPr>
                  </m:dPr>
                  <m:e>
                    <m:f>
                      <m:fPr>
                        <m:ctrlPr>
                          <w:rPr>
                            <w:rFonts w:ascii="Cambria Math" w:hAnsi="Cambria Math"/>
                            <w:i/>
                          </w:rPr>
                        </m:ctrlPr>
                      </m:fPr>
                      <m:num>
                        <m:r>
                          <w:rPr>
                            <w:rFonts w:ascii="Cambria Math" w:hAnsi="Cambria Math"/>
                          </w:rPr>
                          <m:t>n</m:t>
                        </m:r>
                      </m:num>
                      <m:den>
                        <m:r>
                          <w:rPr>
                            <w:rFonts w:ascii="Cambria Math" w:hAnsi="Cambria Math"/>
                          </w:rPr>
                          <m:t>t</m:t>
                        </m:r>
                      </m:den>
                    </m:f>
                  </m:e>
                </m:d>
                <m:r>
                  <w:rPr>
                    <w:rFonts w:ascii="Cambria Math" w:hAnsi="Cambria Math"/>
                  </w:rPr>
                  <m:t xml:space="preserve">RT </m:t>
                </m:r>
              </m:oMath>
            </m:oMathPara>
          </w:p>
        </w:tc>
        <w:tc>
          <w:tcPr>
            <w:tcW w:w="720" w:type="dxa"/>
            <w:vAlign w:val="bottom"/>
          </w:tcPr>
          <w:p w14:paraId="47BA4D44" w14:textId="7CF4D209" w:rsidR="00962760" w:rsidRPr="005C69A6" w:rsidRDefault="00077C0B" w:rsidP="00BC23AD">
            <w:pPr>
              <w:pStyle w:val="Caption"/>
              <w:rPr>
                <w:i/>
              </w:rPr>
            </w:pPr>
            <w:r>
              <w:fldChar w:fldCharType="begin"/>
            </w:r>
            <w:r>
              <w:instrText xml:space="preserve"> STYLEREF 1 \s </w:instrText>
            </w:r>
            <w:r>
              <w:fldChar w:fldCharType="separate"/>
            </w:r>
            <w:r w:rsidR="0006023A">
              <w:rPr>
                <w:noProof/>
              </w:rPr>
              <w:t>4</w:t>
            </w:r>
            <w:r>
              <w:rPr>
                <w:noProof/>
              </w:rPr>
              <w:fldChar w:fldCharType="end"/>
            </w:r>
            <w:r w:rsidR="00962760" w:rsidRPr="005C69A6">
              <w:t>.</w:t>
            </w:r>
            <w:r>
              <w:fldChar w:fldCharType="begin"/>
            </w:r>
            <w:r>
              <w:instrText xml:space="preserve"> SEQ Equation \* ARABIC \s 1 </w:instrText>
            </w:r>
            <w:r>
              <w:fldChar w:fldCharType="separate"/>
            </w:r>
            <w:r w:rsidR="0006023A">
              <w:rPr>
                <w:noProof/>
              </w:rPr>
              <w:t>4</w:t>
            </w:r>
            <w:r>
              <w:rPr>
                <w:noProof/>
              </w:rPr>
              <w:fldChar w:fldCharType="end"/>
            </w:r>
          </w:p>
        </w:tc>
      </w:tr>
    </w:tbl>
    <w:p w14:paraId="2E215167" w14:textId="77777777" w:rsidR="00962760" w:rsidRPr="005C69A6" w:rsidRDefault="00962760" w:rsidP="00962760"/>
    <w:p w14:paraId="4F3C980F" w14:textId="77777777" w:rsidR="00962760" w:rsidRPr="005C69A6" w:rsidRDefault="00962760" w:rsidP="00962760">
      <w:pPr>
        <w:ind w:firstLine="720"/>
        <w:rPr>
          <w:iCs/>
        </w:rPr>
      </w:pPr>
      <w:r w:rsidRPr="005C69A6">
        <w:rPr>
          <w:iCs/>
        </w:rPr>
        <w:t xml:space="preserve">Where </w:t>
      </w:r>
      <m:oMath>
        <m:r>
          <w:rPr>
            <w:rFonts w:ascii="Cambria Math" w:hAnsi="Cambria Math"/>
          </w:rPr>
          <m:t>Q</m:t>
        </m:r>
      </m:oMath>
      <w:r w:rsidRPr="005C69A6">
        <w:rPr>
          <w:iCs/>
        </w:rPr>
        <w:t xml:space="preserve"> is the volumetric flow rate and </w:t>
      </w:r>
      <m:oMath>
        <m:d>
          <m:dPr>
            <m:ctrlPr>
              <w:rPr>
                <w:rFonts w:ascii="Cambria Math" w:hAnsi="Cambria Math"/>
                <w:i/>
                <w:iCs/>
              </w:rPr>
            </m:ctrlPr>
          </m:dPr>
          <m:e>
            <m:f>
              <m:fPr>
                <m:ctrlPr>
                  <w:rPr>
                    <w:rFonts w:ascii="Cambria Math" w:hAnsi="Cambria Math"/>
                    <w:i/>
                    <w:iCs/>
                  </w:rPr>
                </m:ctrlPr>
              </m:fPr>
              <m:num>
                <m:r>
                  <w:rPr>
                    <w:rFonts w:ascii="Cambria Math" w:hAnsi="Cambria Math"/>
                  </w:rPr>
                  <m:t>n</m:t>
                </m:r>
              </m:num>
              <m:den>
                <m:r>
                  <w:rPr>
                    <w:rFonts w:ascii="Cambria Math" w:hAnsi="Cambria Math"/>
                  </w:rPr>
                  <m:t>t</m:t>
                </m:r>
              </m:den>
            </m:f>
          </m:e>
        </m:d>
      </m:oMath>
      <w:r w:rsidRPr="005C69A6">
        <w:rPr>
          <w:iCs/>
        </w:rPr>
        <w:t xml:space="preserve"> is the molar flowrate. </w:t>
      </w:r>
    </w:p>
    <w:p w14:paraId="62A267C4" w14:textId="3C7388E9" w:rsidR="00962760" w:rsidRPr="005C69A6" w:rsidRDefault="00962760" w:rsidP="00962760">
      <w:pPr>
        <w:ind w:firstLine="720"/>
      </w:pPr>
      <w:r w:rsidRPr="005C69A6">
        <w:rPr>
          <w:iCs/>
        </w:rPr>
        <w:lastRenderedPageBreak/>
        <w:t>Boyle’s Law states that for an ideal gas with constant temperature, the product of pressure and volume is constant for a given mass (Equation 4.</w:t>
      </w:r>
      <w:r w:rsidR="00382B36" w:rsidRPr="005C69A6">
        <w:rPr>
          <w:iCs/>
        </w:rPr>
        <w:t>5</w:t>
      </w:r>
      <w:r w:rsidRPr="005C69A6">
        <w:rPr>
          <w:iCs/>
        </w:rPr>
        <w:t>).</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2760" w:rsidRPr="005C69A6" w14:paraId="7849D4CF" w14:textId="77777777" w:rsidTr="00962760">
        <w:trPr>
          <w:trHeight w:val="576"/>
        </w:trPr>
        <w:tc>
          <w:tcPr>
            <w:tcW w:w="720" w:type="dxa"/>
            <w:vAlign w:val="center"/>
          </w:tcPr>
          <w:p w14:paraId="0B73AEC3" w14:textId="77777777" w:rsidR="00962760" w:rsidRPr="005C69A6" w:rsidRDefault="00962760" w:rsidP="00962760">
            <w:pPr>
              <w:spacing w:line="240" w:lineRule="auto"/>
              <w:jc w:val="center"/>
            </w:pPr>
          </w:p>
        </w:tc>
        <w:tc>
          <w:tcPr>
            <w:tcW w:w="7920" w:type="dxa"/>
            <w:vAlign w:val="center"/>
          </w:tcPr>
          <w:p w14:paraId="7004192C" w14:textId="77777777" w:rsidR="00962760" w:rsidRPr="005C69A6" w:rsidRDefault="00077C0B" w:rsidP="00962760">
            <w:pPr>
              <w:spacing w:line="240" w:lineRule="auto"/>
              <w:jc w:val="center"/>
            </w:pPr>
            <m:oMathPara>
              <m:oMath>
                <m:sSub>
                  <m:sSubPr>
                    <m:ctrlPr>
                      <w:rPr>
                        <w:rFonts w:ascii="Cambria Math" w:hAnsi="Cambria Math"/>
                        <w:i/>
                      </w:rPr>
                    </m:ctrlPr>
                  </m:sSubPr>
                  <m:e>
                    <m:r>
                      <w:rPr>
                        <w:rFonts w:ascii="Cambria Math" w:hAnsi="Cambria Math"/>
                      </w:rPr>
                      <m:t>P</m:t>
                    </m:r>
                  </m:e>
                  <m:sub>
                    <m:r>
                      <w:rPr>
                        <w:rFonts w:ascii="Cambria Math" w:hAnsi="Cambria Math"/>
                      </w:rPr>
                      <m:t>1</m:t>
                    </m:r>
                  </m:sub>
                </m:sSub>
                <m:sSub>
                  <m:sSubPr>
                    <m:ctrlPr>
                      <w:rPr>
                        <w:rFonts w:ascii="Cambria Math" w:hAnsi="Cambria Math"/>
                        <w:i/>
                      </w:rPr>
                    </m:ctrlPr>
                  </m:sSubPr>
                  <m:e>
                    <m:r>
                      <w:rPr>
                        <w:rFonts w:ascii="Cambria Math" w:hAnsi="Cambria Math"/>
                      </w:rPr>
                      <m:t>V</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2</m:t>
                    </m:r>
                  </m:sub>
                </m:sSub>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 xml:space="preserve"> </m:t>
                </m:r>
              </m:oMath>
            </m:oMathPara>
          </w:p>
        </w:tc>
        <w:tc>
          <w:tcPr>
            <w:tcW w:w="720" w:type="dxa"/>
            <w:vAlign w:val="bottom"/>
          </w:tcPr>
          <w:p w14:paraId="68469EE0" w14:textId="40BB620E" w:rsidR="00962760" w:rsidRPr="005C69A6" w:rsidRDefault="00077C0B" w:rsidP="00BC23AD">
            <w:pPr>
              <w:pStyle w:val="Caption"/>
              <w:rPr>
                <w:i/>
              </w:rPr>
            </w:pPr>
            <w:r>
              <w:fldChar w:fldCharType="begin"/>
            </w:r>
            <w:r>
              <w:instrText xml:space="preserve"> STYLEREF 1 \s </w:instrText>
            </w:r>
            <w:r>
              <w:fldChar w:fldCharType="separate"/>
            </w:r>
            <w:r w:rsidR="0006023A">
              <w:rPr>
                <w:noProof/>
              </w:rPr>
              <w:t>4</w:t>
            </w:r>
            <w:r>
              <w:rPr>
                <w:noProof/>
              </w:rPr>
              <w:fldChar w:fldCharType="end"/>
            </w:r>
            <w:r w:rsidR="00962760" w:rsidRPr="005C69A6">
              <w:t>.</w:t>
            </w:r>
            <w:r>
              <w:fldChar w:fldCharType="begin"/>
            </w:r>
            <w:r>
              <w:instrText xml:space="preserve"> SEQ Equation \* ARABIC \s 1 </w:instrText>
            </w:r>
            <w:r>
              <w:fldChar w:fldCharType="separate"/>
            </w:r>
            <w:r w:rsidR="0006023A">
              <w:rPr>
                <w:noProof/>
              </w:rPr>
              <w:t>5</w:t>
            </w:r>
            <w:r>
              <w:rPr>
                <w:noProof/>
              </w:rPr>
              <w:fldChar w:fldCharType="end"/>
            </w:r>
          </w:p>
        </w:tc>
      </w:tr>
    </w:tbl>
    <w:p w14:paraId="4375F672" w14:textId="77777777" w:rsidR="00962760" w:rsidRPr="005C69A6" w:rsidRDefault="00962760" w:rsidP="00962760"/>
    <w:p w14:paraId="1F7C46F6" w14:textId="3430DA47" w:rsidR="00962760" w:rsidRPr="005C69A6" w:rsidRDefault="00962760" w:rsidP="00962760">
      <w:r w:rsidRPr="005C69A6">
        <w:tab/>
        <w:t>By using Boyle’s Law with the form of the ideal gas law in Equation 4.</w:t>
      </w:r>
      <w:r w:rsidR="00382B36" w:rsidRPr="005C69A6">
        <w:t>4</w:t>
      </w:r>
      <w:r w:rsidRPr="005C69A6">
        <w:t xml:space="preserve">, the volume is proportional to the volumetric flow rate, </w:t>
      </w:r>
      <m:oMath>
        <m:r>
          <w:rPr>
            <w:rFonts w:ascii="Cambria Math" w:hAnsi="Cambria Math"/>
          </w:rPr>
          <m:t>Q</m:t>
        </m:r>
      </m:oMath>
      <w:r w:rsidRPr="005C69A6">
        <w:t>. Therefore Equation 4.</w:t>
      </w:r>
      <w:r w:rsidR="00382B36" w:rsidRPr="005C69A6">
        <w:t>5</w:t>
      </w:r>
      <w:r w:rsidRPr="005C69A6">
        <w:t xml:space="preserve"> can be converted into terms of </w:t>
      </w:r>
      <m:oMath>
        <m:r>
          <w:rPr>
            <w:rFonts w:ascii="Cambria Math" w:hAnsi="Cambria Math"/>
          </w:rPr>
          <m:t>Q</m:t>
        </m:r>
      </m:oMath>
      <w:r w:rsidRPr="005C69A6">
        <w:t xml:space="preserve"> in Equation 4.</w:t>
      </w:r>
      <w:r w:rsidR="00382B36" w:rsidRPr="005C69A6">
        <w:t>6</w:t>
      </w:r>
      <w:r w:rsidRPr="005C69A6">
        <w:t>. The flow rate and pressure at point 1 represent the inlet flow rate (</w:t>
      </w:r>
      <m:oMath>
        <m:sSub>
          <m:sSubPr>
            <m:ctrlPr>
              <w:rPr>
                <w:rFonts w:ascii="Cambria Math" w:hAnsi="Cambria Math"/>
                <w:i/>
              </w:rPr>
            </m:ctrlPr>
          </m:sSubPr>
          <m:e>
            <m:r>
              <w:rPr>
                <w:rFonts w:ascii="Cambria Math" w:hAnsi="Cambria Math"/>
              </w:rPr>
              <m:t>Q</m:t>
            </m:r>
          </m:e>
          <m:sub>
            <m:r>
              <w:rPr>
                <w:rFonts w:ascii="Cambria Math" w:hAnsi="Cambria Math"/>
              </w:rPr>
              <m:t>1</m:t>
            </m:r>
          </m:sub>
        </m:sSub>
      </m:oMath>
      <w:r w:rsidRPr="005C69A6">
        <w:t>) and the inlet pressure (</w:t>
      </w:r>
      <m:oMath>
        <m:sSub>
          <m:sSubPr>
            <m:ctrlPr>
              <w:rPr>
                <w:rFonts w:ascii="Cambria Math" w:hAnsi="Cambria Math"/>
                <w:i/>
              </w:rPr>
            </m:ctrlPr>
          </m:sSubPr>
          <m:e>
            <m:r>
              <w:rPr>
                <w:rFonts w:ascii="Cambria Math" w:hAnsi="Cambria Math"/>
              </w:rPr>
              <m:t>P</m:t>
            </m:r>
          </m:e>
          <m:sub>
            <m:r>
              <w:rPr>
                <w:rFonts w:ascii="Cambria Math" w:hAnsi="Cambria Math"/>
              </w:rPr>
              <m:t>1</m:t>
            </m:r>
          </m:sub>
        </m:sSub>
      </m:oMath>
      <w:r w:rsidRPr="005C69A6">
        <w:t>). The flow rate and pressure at point 2 represent the outlet flow rate (</w:t>
      </w:r>
      <m:oMath>
        <m:sSub>
          <m:sSubPr>
            <m:ctrlPr>
              <w:rPr>
                <w:rFonts w:ascii="Cambria Math" w:hAnsi="Cambria Math"/>
                <w:i/>
              </w:rPr>
            </m:ctrlPr>
          </m:sSubPr>
          <m:e>
            <m:r>
              <w:rPr>
                <w:rFonts w:ascii="Cambria Math" w:hAnsi="Cambria Math"/>
              </w:rPr>
              <m:t>Q</m:t>
            </m:r>
          </m:e>
          <m:sub>
            <m:r>
              <w:rPr>
                <w:rFonts w:ascii="Cambria Math" w:hAnsi="Cambria Math"/>
              </w:rPr>
              <m:t>2</m:t>
            </m:r>
          </m:sub>
        </m:sSub>
      </m:oMath>
      <w:r w:rsidRPr="005C69A6">
        <w:t>) and the outlet pressure (</w:t>
      </w:r>
      <m:oMath>
        <m:sSub>
          <m:sSubPr>
            <m:ctrlPr>
              <w:rPr>
                <w:rFonts w:ascii="Cambria Math" w:hAnsi="Cambria Math"/>
                <w:i/>
              </w:rPr>
            </m:ctrlPr>
          </m:sSubPr>
          <m:e>
            <m:r>
              <w:rPr>
                <w:rFonts w:ascii="Cambria Math" w:hAnsi="Cambria Math"/>
              </w:rPr>
              <m:t>P</m:t>
            </m:r>
          </m:e>
          <m:sub>
            <m:r>
              <w:rPr>
                <w:rFonts w:ascii="Cambria Math" w:hAnsi="Cambria Math"/>
              </w:rPr>
              <m:t>2</m:t>
            </m:r>
          </m:sub>
        </m:sSub>
      </m:oMath>
      <w:r w:rsidRPr="005C69A6">
        <w:t>). This relationship is shown in Equation 4.</w:t>
      </w:r>
      <w:r w:rsidR="00382B36" w:rsidRPr="005C69A6">
        <w:t>6</w:t>
      </w:r>
      <w:r w:rsidRPr="005C69A6">
        <w:t>.</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2760" w:rsidRPr="005C69A6" w14:paraId="0BC0BCA5" w14:textId="77777777" w:rsidTr="00962760">
        <w:trPr>
          <w:trHeight w:val="576"/>
        </w:trPr>
        <w:tc>
          <w:tcPr>
            <w:tcW w:w="720" w:type="dxa"/>
            <w:vAlign w:val="center"/>
          </w:tcPr>
          <w:p w14:paraId="7DBB1325" w14:textId="77777777" w:rsidR="00962760" w:rsidRPr="005C69A6" w:rsidRDefault="00962760" w:rsidP="00962760">
            <w:pPr>
              <w:spacing w:line="240" w:lineRule="auto"/>
              <w:jc w:val="center"/>
            </w:pPr>
          </w:p>
        </w:tc>
        <w:tc>
          <w:tcPr>
            <w:tcW w:w="7920" w:type="dxa"/>
            <w:vAlign w:val="center"/>
          </w:tcPr>
          <w:p w14:paraId="0CDA7319" w14:textId="77777777" w:rsidR="00962760" w:rsidRPr="005C69A6" w:rsidRDefault="00962760" w:rsidP="00962760">
            <w:pPr>
              <w:spacing w:line="240" w:lineRule="auto"/>
              <w:jc w:val="center"/>
            </w:pPr>
            <m:oMathPara>
              <m:oMath>
                <m:r>
                  <w:rPr>
                    <w:rFonts w:ascii="Cambria Math" w:hAnsi="Cambria Math"/>
                  </w:rPr>
                  <m:t>QP=</m:t>
                </m:r>
                <m:sSub>
                  <m:sSubPr>
                    <m:ctrlPr>
                      <w:rPr>
                        <w:rFonts w:ascii="Cambria Math" w:hAnsi="Cambria Math"/>
                        <w:i/>
                        <w:iCs/>
                      </w:rPr>
                    </m:ctrlPr>
                  </m:sSubPr>
                  <m:e>
                    <m:r>
                      <w:rPr>
                        <w:rFonts w:ascii="Cambria Math" w:hAnsi="Cambria Math"/>
                      </w:rPr>
                      <m:t>Q</m:t>
                    </m:r>
                  </m:e>
                  <m:sub>
                    <m:r>
                      <w:rPr>
                        <w:rFonts w:ascii="Cambria Math" w:hAnsi="Cambria Math"/>
                      </w:rPr>
                      <m:t>1</m:t>
                    </m:r>
                  </m:sub>
                </m:sSub>
                <m:sSub>
                  <m:sSubPr>
                    <m:ctrlPr>
                      <w:rPr>
                        <w:rFonts w:ascii="Cambria Math" w:hAnsi="Cambria Math"/>
                        <w:i/>
                        <w:iCs/>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i/>
                        <w:iCs/>
                      </w:rPr>
                    </m:ctrlPr>
                  </m:sSubPr>
                  <m:e>
                    <m:r>
                      <w:rPr>
                        <w:rFonts w:ascii="Cambria Math" w:hAnsi="Cambria Math"/>
                      </w:rPr>
                      <m:t>Q</m:t>
                    </m:r>
                  </m:e>
                  <m:sub>
                    <m:r>
                      <w:rPr>
                        <w:rFonts w:ascii="Cambria Math" w:hAnsi="Cambria Math"/>
                      </w:rPr>
                      <m:t>2</m:t>
                    </m:r>
                  </m:sub>
                </m:sSub>
                <m:sSub>
                  <m:sSubPr>
                    <m:ctrlPr>
                      <w:rPr>
                        <w:rFonts w:ascii="Cambria Math" w:hAnsi="Cambria Math"/>
                        <w:i/>
                        <w:iCs/>
                      </w:rPr>
                    </m:ctrlPr>
                  </m:sSubPr>
                  <m:e>
                    <m:r>
                      <w:rPr>
                        <w:rFonts w:ascii="Cambria Math" w:hAnsi="Cambria Math"/>
                      </w:rPr>
                      <m:t>P</m:t>
                    </m:r>
                  </m:e>
                  <m:sub>
                    <m:r>
                      <w:rPr>
                        <w:rFonts w:ascii="Cambria Math" w:hAnsi="Cambria Math"/>
                      </w:rPr>
                      <m:t>2</m:t>
                    </m:r>
                  </m:sub>
                </m:sSub>
              </m:oMath>
            </m:oMathPara>
          </w:p>
        </w:tc>
        <w:tc>
          <w:tcPr>
            <w:tcW w:w="720" w:type="dxa"/>
            <w:vAlign w:val="bottom"/>
          </w:tcPr>
          <w:p w14:paraId="337E34EA" w14:textId="7C69B1E9" w:rsidR="00962760" w:rsidRPr="005C69A6" w:rsidRDefault="00077C0B" w:rsidP="00BC23AD">
            <w:pPr>
              <w:pStyle w:val="Caption"/>
              <w:rPr>
                <w:i/>
              </w:rPr>
            </w:pPr>
            <w:r>
              <w:fldChar w:fldCharType="begin"/>
            </w:r>
            <w:r>
              <w:instrText xml:space="preserve"> STYLEREF 1 \s </w:instrText>
            </w:r>
            <w:r>
              <w:fldChar w:fldCharType="separate"/>
            </w:r>
            <w:r w:rsidR="0006023A">
              <w:rPr>
                <w:noProof/>
              </w:rPr>
              <w:t>4</w:t>
            </w:r>
            <w:r>
              <w:rPr>
                <w:noProof/>
              </w:rPr>
              <w:fldChar w:fldCharType="end"/>
            </w:r>
            <w:r w:rsidR="00962760" w:rsidRPr="005C69A6">
              <w:t>.</w:t>
            </w:r>
            <w:r>
              <w:fldChar w:fldCharType="begin"/>
            </w:r>
            <w:r>
              <w:instrText xml:space="preserve"> SEQ Equation \* ARABIC \s 1 </w:instrText>
            </w:r>
            <w:r>
              <w:fldChar w:fldCharType="separate"/>
            </w:r>
            <w:r w:rsidR="0006023A">
              <w:rPr>
                <w:noProof/>
              </w:rPr>
              <w:t>6</w:t>
            </w:r>
            <w:r>
              <w:rPr>
                <w:noProof/>
              </w:rPr>
              <w:fldChar w:fldCharType="end"/>
            </w:r>
          </w:p>
        </w:tc>
      </w:tr>
    </w:tbl>
    <w:p w14:paraId="7C11ABED" w14:textId="77777777" w:rsidR="00962760" w:rsidRPr="005C69A6" w:rsidRDefault="00962760" w:rsidP="00962760"/>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2760" w:rsidRPr="005C69A6" w14:paraId="2ABC216B" w14:textId="77777777" w:rsidTr="00962760">
        <w:trPr>
          <w:trHeight w:val="576"/>
        </w:trPr>
        <w:tc>
          <w:tcPr>
            <w:tcW w:w="720" w:type="dxa"/>
            <w:vAlign w:val="center"/>
          </w:tcPr>
          <w:p w14:paraId="4CFDA6D2" w14:textId="77777777" w:rsidR="00962760" w:rsidRPr="005C69A6" w:rsidRDefault="00962760" w:rsidP="00962760">
            <w:pPr>
              <w:spacing w:line="240" w:lineRule="auto"/>
              <w:jc w:val="center"/>
            </w:pPr>
          </w:p>
        </w:tc>
        <w:tc>
          <w:tcPr>
            <w:tcW w:w="7920" w:type="dxa"/>
            <w:vAlign w:val="center"/>
          </w:tcPr>
          <w:p w14:paraId="39F5ACB7" w14:textId="77777777" w:rsidR="00962760" w:rsidRPr="005C69A6" w:rsidRDefault="00962760" w:rsidP="00962760">
            <w:pPr>
              <w:spacing w:line="240" w:lineRule="auto"/>
              <w:jc w:val="center"/>
            </w:pPr>
            <m:oMathPara>
              <m:oMath>
                <m:r>
                  <w:rPr>
                    <w:rFonts w:ascii="Cambria Math" w:hAnsi="Cambria Math"/>
                  </w:rPr>
                  <m:t>Q=</m:t>
                </m:r>
                <m:f>
                  <m:fPr>
                    <m:ctrlPr>
                      <w:rPr>
                        <w:rFonts w:ascii="Cambria Math" w:hAnsi="Cambria Math"/>
                        <w:i/>
                        <w:iCs/>
                      </w:rPr>
                    </m:ctrlPr>
                  </m:fPr>
                  <m:num>
                    <m:sSub>
                      <m:sSubPr>
                        <m:ctrlPr>
                          <w:rPr>
                            <w:rFonts w:ascii="Cambria Math" w:hAnsi="Cambria Math"/>
                            <w:i/>
                            <w:iCs/>
                          </w:rPr>
                        </m:ctrlPr>
                      </m:sSubPr>
                      <m:e>
                        <m:r>
                          <w:rPr>
                            <w:rFonts w:ascii="Cambria Math" w:hAnsi="Cambria Math"/>
                          </w:rPr>
                          <m:t>Q</m:t>
                        </m:r>
                      </m:e>
                      <m:sub>
                        <m:r>
                          <w:rPr>
                            <w:rFonts w:ascii="Cambria Math" w:hAnsi="Cambria Math"/>
                          </w:rPr>
                          <m:t>2</m:t>
                        </m:r>
                      </m:sub>
                    </m:sSub>
                    <m:sSub>
                      <m:sSubPr>
                        <m:ctrlPr>
                          <w:rPr>
                            <w:rFonts w:ascii="Cambria Math" w:hAnsi="Cambria Math"/>
                            <w:i/>
                            <w:iCs/>
                          </w:rPr>
                        </m:ctrlPr>
                      </m:sSubPr>
                      <m:e>
                        <m:r>
                          <w:rPr>
                            <w:rFonts w:ascii="Cambria Math" w:hAnsi="Cambria Math"/>
                          </w:rPr>
                          <m:t>P</m:t>
                        </m:r>
                      </m:e>
                      <m:sub>
                        <m:r>
                          <w:rPr>
                            <w:rFonts w:ascii="Cambria Math" w:hAnsi="Cambria Math"/>
                          </w:rPr>
                          <m:t>2</m:t>
                        </m:r>
                      </m:sub>
                    </m:sSub>
                  </m:num>
                  <m:den>
                    <m:r>
                      <w:rPr>
                        <w:rFonts w:ascii="Cambria Math" w:hAnsi="Cambria Math"/>
                      </w:rPr>
                      <m:t>P</m:t>
                    </m:r>
                  </m:den>
                </m:f>
              </m:oMath>
            </m:oMathPara>
          </w:p>
        </w:tc>
        <w:tc>
          <w:tcPr>
            <w:tcW w:w="720" w:type="dxa"/>
            <w:vAlign w:val="bottom"/>
          </w:tcPr>
          <w:p w14:paraId="20EFCDF0" w14:textId="03C2C09E" w:rsidR="00962760" w:rsidRPr="005C69A6" w:rsidRDefault="00077C0B" w:rsidP="00BC23AD">
            <w:pPr>
              <w:pStyle w:val="Caption"/>
              <w:rPr>
                <w:i/>
              </w:rPr>
            </w:pPr>
            <w:r>
              <w:fldChar w:fldCharType="begin"/>
            </w:r>
            <w:r>
              <w:instrText xml:space="preserve"> STYLEREF 1 \s </w:instrText>
            </w:r>
            <w:r>
              <w:fldChar w:fldCharType="separate"/>
            </w:r>
            <w:r w:rsidR="0006023A">
              <w:rPr>
                <w:noProof/>
              </w:rPr>
              <w:t>4</w:t>
            </w:r>
            <w:r>
              <w:rPr>
                <w:noProof/>
              </w:rPr>
              <w:fldChar w:fldCharType="end"/>
            </w:r>
            <w:r w:rsidR="00962760" w:rsidRPr="005C69A6">
              <w:t>.</w:t>
            </w:r>
            <w:r>
              <w:fldChar w:fldCharType="begin"/>
            </w:r>
            <w:r>
              <w:instrText xml:space="preserve"> SEQ Equation \* ARABIC \s 1 </w:instrText>
            </w:r>
            <w:r>
              <w:fldChar w:fldCharType="separate"/>
            </w:r>
            <w:r w:rsidR="0006023A">
              <w:rPr>
                <w:noProof/>
              </w:rPr>
              <w:t>7</w:t>
            </w:r>
            <w:r>
              <w:rPr>
                <w:noProof/>
              </w:rPr>
              <w:fldChar w:fldCharType="end"/>
            </w:r>
          </w:p>
        </w:tc>
      </w:tr>
    </w:tbl>
    <w:p w14:paraId="0E5AC650" w14:textId="77777777" w:rsidR="00962760" w:rsidRPr="005C69A6" w:rsidRDefault="00962760" w:rsidP="00962760"/>
    <w:p w14:paraId="4B76A6A1" w14:textId="65806997" w:rsidR="00962760" w:rsidRPr="005C69A6" w:rsidRDefault="00962760" w:rsidP="00962760">
      <w:r w:rsidRPr="005C69A6">
        <w:tab/>
        <w:t>By substituting Equation 4.</w:t>
      </w:r>
      <w:r w:rsidR="00382B36" w:rsidRPr="005C69A6">
        <w:t>7</w:t>
      </w:r>
      <w:r w:rsidRPr="005C69A6">
        <w:t xml:space="preserve"> into Equation 4.</w:t>
      </w:r>
      <w:r w:rsidR="00382B36" w:rsidRPr="005C69A6">
        <w:t>1</w:t>
      </w:r>
      <w:r w:rsidRPr="005C69A6">
        <w:t>, Equation 4.</w:t>
      </w:r>
      <w:r w:rsidR="00382B36" w:rsidRPr="005C69A6">
        <w:t>8</w:t>
      </w:r>
      <w:r w:rsidRPr="005C69A6">
        <w:t xml:space="preserve"> is formed.</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2760" w:rsidRPr="005C69A6" w14:paraId="48101F37" w14:textId="77777777" w:rsidTr="00962760">
        <w:trPr>
          <w:trHeight w:val="576"/>
        </w:trPr>
        <w:tc>
          <w:tcPr>
            <w:tcW w:w="720" w:type="dxa"/>
            <w:vAlign w:val="center"/>
          </w:tcPr>
          <w:p w14:paraId="21E357D7" w14:textId="77777777" w:rsidR="00962760" w:rsidRPr="005C69A6" w:rsidRDefault="00962760" w:rsidP="00962760">
            <w:pPr>
              <w:spacing w:line="240" w:lineRule="auto"/>
              <w:jc w:val="center"/>
            </w:pPr>
          </w:p>
        </w:tc>
        <w:tc>
          <w:tcPr>
            <w:tcW w:w="7920" w:type="dxa"/>
            <w:vAlign w:val="center"/>
          </w:tcPr>
          <w:p w14:paraId="29AD956B" w14:textId="77777777" w:rsidR="00962760" w:rsidRPr="005C69A6" w:rsidRDefault="00962760" w:rsidP="00962760">
            <w:pPr>
              <w:spacing w:line="240" w:lineRule="auto"/>
              <w:jc w:val="center"/>
            </w:pPr>
            <m:oMathPara>
              <m:oMath>
                <m:r>
                  <w:rPr>
                    <w:rFonts w:ascii="Cambria Math" w:hAnsi="Cambria Math"/>
                  </w:rPr>
                  <m:t>-</m:t>
                </m:r>
                <m:f>
                  <m:fPr>
                    <m:ctrlPr>
                      <w:rPr>
                        <w:rFonts w:ascii="Cambria Math" w:hAnsi="Cambria Math"/>
                        <w:i/>
                        <w:iCs/>
                      </w:rPr>
                    </m:ctrlPr>
                  </m:fPr>
                  <m:num>
                    <m:r>
                      <w:rPr>
                        <w:rFonts w:ascii="Cambria Math" w:hAnsi="Cambria Math"/>
                      </w:rPr>
                      <m:t>dP</m:t>
                    </m:r>
                  </m:num>
                  <m:den>
                    <m:r>
                      <w:rPr>
                        <w:rFonts w:ascii="Cambria Math" w:hAnsi="Cambria Math"/>
                      </w:rPr>
                      <m:t>dx</m:t>
                    </m:r>
                  </m:den>
                </m:f>
                <m:r>
                  <w:rPr>
                    <w:rFonts w:ascii="Cambria Math" w:hAnsi="Cambria Math"/>
                  </w:rPr>
                  <m:t>=</m:t>
                </m:r>
                <m:f>
                  <m:fPr>
                    <m:ctrlPr>
                      <w:rPr>
                        <w:rFonts w:ascii="Cambria Math" w:hAnsi="Cambria Math"/>
                        <w:i/>
                        <w:iCs/>
                      </w:rPr>
                    </m:ctrlPr>
                  </m:fPr>
                  <m:num>
                    <m:r>
                      <w:rPr>
                        <w:rFonts w:ascii="Cambria Math" w:hAnsi="Cambria Math"/>
                      </w:rPr>
                      <m:t>8μ</m:t>
                    </m:r>
                    <m:sSub>
                      <m:sSubPr>
                        <m:ctrlPr>
                          <w:rPr>
                            <w:rFonts w:ascii="Cambria Math" w:hAnsi="Cambria Math"/>
                            <w:i/>
                            <w:iCs/>
                          </w:rPr>
                        </m:ctrlPr>
                      </m:sSubPr>
                      <m:e>
                        <m:r>
                          <w:rPr>
                            <w:rFonts w:ascii="Cambria Math" w:hAnsi="Cambria Math"/>
                          </w:rPr>
                          <m:t>Q</m:t>
                        </m:r>
                      </m:e>
                      <m:sub>
                        <m:r>
                          <w:rPr>
                            <w:rFonts w:ascii="Cambria Math" w:hAnsi="Cambria Math"/>
                          </w:rPr>
                          <m:t>2</m:t>
                        </m:r>
                      </m:sub>
                    </m:sSub>
                    <m:sSub>
                      <m:sSubPr>
                        <m:ctrlPr>
                          <w:rPr>
                            <w:rFonts w:ascii="Cambria Math" w:hAnsi="Cambria Math"/>
                            <w:i/>
                            <w:iCs/>
                          </w:rPr>
                        </m:ctrlPr>
                      </m:sSubPr>
                      <m:e>
                        <m:r>
                          <w:rPr>
                            <w:rFonts w:ascii="Cambria Math" w:hAnsi="Cambria Math"/>
                          </w:rPr>
                          <m:t>P</m:t>
                        </m:r>
                      </m:e>
                      <m:sub>
                        <m:r>
                          <w:rPr>
                            <w:rFonts w:ascii="Cambria Math" w:hAnsi="Cambria Math"/>
                          </w:rPr>
                          <m:t>2</m:t>
                        </m:r>
                      </m:sub>
                    </m:sSub>
                  </m:num>
                  <m:den>
                    <m:r>
                      <w:rPr>
                        <w:rFonts w:ascii="Cambria Math" w:hAnsi="Cambria Math"/>
                      </w:rPr>
                      <m:t>π</m:t>
                    </m:r>
                    <m:sSup>
                      <m:sSupPr>
                        <m:ctrlPr>
                          <w:rPr>
                            <w:rFonts w:ascii="Cambria Math" w:hAnsi="Cambria Math"/>
                            <w:i/>
                            <w:iCs/>
                          </w:rPr>
                        </m:ctrlPr>
                      </m:sSupPr>
                      <m:e>
                        <m:r>
                          <w:rPr>
                            <w:rFonts w:ascii="Cambria Math" w:hAnsi="Cambria Math"/>
                          </w:rPr>
                          <m:t>R</m:t>
                        </m:r>
                      </m:e>
                      <m:sup>
                        <m:r>
                          <w:rPr>
                            <w:rFonts w:ascii="Cambria Math" w:hAnsi="Cambria Math"/>
                          </w:rPr>
                          <m:t>4</m:t>
                        </m:r>
                      </m:sup>
                    </m:sSup>
                    <m:r>
                      <w:rPr>
                        <w:rFonts w:ascii="Cambria Math" w:hAnsi="Cambria Math"/>
                      </w:rPr>
                      <m:t>P</m:t>
                    </m:r>
                  </m:den>
                </m:f>
              </m:oMath>
            </m:oMathPara>
          </w:p>
        </w:tc>
        <w:tc>
          <w:tcPr>
            <w:tcW w:w="720" w:type="dxa"/>
            <w:vAlign w:val="bottom"/>
          </w:tcPr>
          <w:p w14:paraId="0349FA33" w14:textId="575729AB" w:rsidR="00962760" w:rsidRPr="005C69A6" w:rsidRDefault="00077C0B" w:rsidP="00BC23AD">
            <w:pPr>
              <w:pStyle w:val="Caption"/>
              <w:rPr>
                <w:i/>
              </w:rPr>
            </w:pPr>
            <w:r>
              <w:fldChar w:fldCharType="begin"/>
            </w:r>
            <w:r>
              <w:instrText xml:space="preserve"> STYLEREF 1 \s </w:instrText>
            </w:r>
            <w:r>
              <w:fldChar w:fldCharType="separate"/>
            </w:r>
            <w:r w:rsidR="0006023A">
              <w:rPr>
                <w:noProof/>
              </w:rPr>
              <w:t>4</w:t>
            </w:r>
            <w:r>
              <w:rPr>
                <w:noProof/>
              </w:rPr>
              <w:fldChar w:fldCharType="end"/>
            </w:r>
            <w:r w:rsidR="00962760" w:rsidRPr="005C69A6">
              <w:t>.</w:t>
            </w:r>
            <w:r>
              <w:fldChar w:fldCharType="begin"/>
            </w:r>
            <w:r>
              <w:instrText xml:space="preserve"> SEQ Equation \* ARABIC \s 1 </w:instrText>
            </w:r>
            <w:r>
              <w:fldChar w:fldCharType="separate"/>
            </w:r>
            <w:r w:rsidR="0006023A">
              <w:rPr>
                <w:noProof/>
              </w:rPr>
              <w:t>8</w:t>
            </w:r>
            <w:r>
              <w:rPr>
                <w:noProof/>
              </w:rPr>
              <w:fldChar w:fldCharType="end"/>
            </w:r>
          </w:p>
        </w:tc>
      </w:tr>
    </w:tbl>
    <w:p w14:paraId="2D8A4CA9" w14:textId="77777777" w:rsidR="00962760" w:rsidRPr="005C69A6" w:rsidRDefault="00962760" w:rsidP="00962760"/>
    <w:p w14:paraId="2DABCB68" w14:textId="124D1F77" w:rsidR="00962760" w:rsidRPr="005C69A6" w:rsidRDefault="00962760" w:rsidP="00962760">
      <w:pPr>
        <w:ind w:firstLine="720"/>
        <w:rPr>
          <w:iCs/>
        </w:rPr>
      </w:pPr>
      <w:r w:rsidRPr="005C69A6">
        <w:rPr>
          <w:iCs/>
        </w:rPr>
        <w:t>Assuming a small distance (</w:t>
      </w:r>
      <m:oMath>
        <m:r>
          <w:rPr>
            <w:rFonts w:ascii="Cambria Math" w:hAnsi="Cambria Math"/>
          </w:rPr>
          <m:t>dx</m:t>
        </m:r>
      </m:oMath>
      <w:r w:rsidRPr="005C69A6">
        <w:rPr>
          <w:iCs/>
        </w:rPr>
        <w:t>), the compressibility effect on the local pressure gradient can be ignored. The change in gas viscosity (</w:t>
      </w:r>
      <m:oMath>
        <m:r>
          <w:rPr>
            <w:rFonts w:ascii="Cambria Math" w:hAnsi="Cambria Math"/>
          </w:rPr>
          <m:t>μ</m:t>
        </m:r>
      </m:oMath>
      <w:r w:rsidRPr="005C69A6">
        <w:rPr>
          <w:iCs/>
        </w:rPr>
        <w:t xml:space="preserve">) with pressure is </w:t>
      </w:r>
      <w:r w:rsidR="00382B36" w:rsidRPr="005C69A6">
        <w:rPr>
          <w:iCs/>
        </w:rPr>
        <w:t>negligible</w:t>
      </w:r>
      <w:r w:rsidRPr="005C69A6">
        <w:rPr>
          <w:iCs/>
        </w:rPr>
        <w:t>, therefore we can integrate over the length of the pressure drop (</w:t>
      </w:r>
      <m:oMath>
        <m:r>
          <w:rPr>
            <w:rFonts w:ascii="Cambria Math" w:hAnsi="Cambria Math"/>
          </w:rPr>
          <m:t>L</m:t>
        </m:r>
      </m:oMath>
      <w:r w:rsidRPr="005C69A6">
        <w:rPr>
          <w:iCs/>
        </w:rPr>
        <w:t>) on the right and integrate over the inlet and outlet pressures (</w:t>
      </w:r>
      <m:oMath>
        <m:sSub>
          <m:sSubPr>
            <m:ctrlPr>
              <w:rPr>
                <w:rFonts w:ascii="Cambria Math" w:hAnsi="Cambria Math"/>
                <w:i/>
                <w:iCs/>
              </w:rPr>
            </m:ctrlPr>
          </m:sSubPr>
          <m:e>
            <m:r>
              <w:rPr>
                <w:rFonts w:ascii="Cambria Math" w:hAnsi="Cambria Math"/>
              </w:rPr>
              <m:t>P</m:t>
            </m:r>
          </m:e>
          <m:sub>
            <m:r>
              <w:rPr>
                <w:rFonts w:ascii="Cambria Math" w:hAnsi="Cambria Math"/>
              </w:rPr>
              <m:t>1</m:t>
            </m:r>
          </m:sub>
        </m:sSub>
      </m:oMath>
      <w:r w:rsidRPr="005C69A6">
        <w:rPr>
          <w:iCs/>
        </w:rPr>
        <w:t xml:space="preserve"> and </w:t>
      </w:r>
      <m:oMath>
        <m:sSub>
          <m:sSubPr>
            <m:ctrlPr>
              <w:rPr>
                <w:rFonts w:ascii="Cambria Math" w:hAnsi="Cambria Math"/>
                <w:i/>
                <w:iCs/>
              </w:rPr>
            </m:ctrlPr>
          </m:sSubPr>
          <m:e>
            <m:r>
              <w:rPr>
                <w:rFonts w:ascii="Cambria Math" w:hAnsi="Cambria Math"/>
              </w:rPr>
              <m:t>P</m:t>
            </m:r>
          </m:e>
          <m:sub>
            <m:r>
              <w:rPr>
                <w:rFonts w:ascii="Cambria Math" w:hAnsi="Cambria Math"/>
              </w:rPr>
              <m:t>2</m:t>
            </m:r>
          </m:sub>
        </m:sSub>
      </m:oMath>
      <w:r w:rsidRPr="005C69A6">
        <w:rPr>
          <w:rFonts w:eastAsiaTheme="minorEastAsia"/>
          <w:iCs/>
        </w:rPr>
        <w:t>, respectively</w:t>
      </w:r>
      <w:r w:rsidRPr="005C69A6">
        <w:rPr>
          <w:iCs/>
        </w:rPr>
        <w:t>) on the left</w:t>
      </w:r>
      <w:r w:rsidR="00B62040">
        <w:rPr>
          <w:iCs/>
        </w:rPr>
        <w:t>.</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2760" w:rsidRPr="005C69A6" w14:paraId="2D432262" w14:textId="77777777" w:rsidTr="00962760">
        <w:trPr>
          <w:trHeight w:val="576"/>
        </w:trPr>
        <w:tc>
          <w:tcPr>
            <w:tcW w:w="720" w:type="dxa"/>
            <w:vAlign w:val="center"/>
          </w:tcPr>
          <w:p w14:paraId="32A730B8" w14:textId="77777777" w:rsidR="00962760" w:rsidRPr="005C69A6" w:rsidRDefault="00962760" w:rsidP="00962760">
            <w:pPr>
              <w:spacing w:line="240" w:lineRule="auto"/>
              <w:jc w:val="center"/>
            </w:pPr>
          </w:p>
        </w:tc>
        <w:tc>
          <w:tcPr>
            <w:tcW w:w="7920" w:type="dxa"/>
            <w:vAlign w:val="center"/>
          </w:tcPr>
          <w:p w14:paraId="5304D7D0" w14:textId="77777777" w:rsidR="00962760" w:rsidRPr="005C69A6" w:rsidRDefault="00962760" w:rsidP="00962760">
            <w:pPr>
              <w:spacing w:line="240" w:lineRule="auto"/>
              <w:jc w:val="center"/>
            </w:pPr>
            <m:oMathPara>
              <m:oMath>
                <m:r>
                  <w:rPr>
                    <w:rFonts w:ascii="Cambria Math" w:hAnsi="Cambria Math"/>
                  </w:rPr>
                  <m:t>-PdP=</m:t>
                </m:r>
                <m:f>
                  <m:fPr>
                    <m:ctrlPr>
                      <w:rPr>
                        <w:rFonts w:ascii="Cambria Math" w:hAnsi="Cambria Math"/>
                        <w:i/>
                        <w:iCs/>
                      </w:rPr>
                    </m:ctrlPr>
                  </m:fPr>
                  <m:num>
                    <m:r>
                      <w:rPr>
                        <w:rFonts w:ascii="Cambria Math" w:hAnsi="Cambria Math"/>
                      </w:rPr>
                      <m:t>8μ</m:t>
                    </m:r>
                    <m:sSub>
                      <m:sSubPr>
                        <m:ctrlPr>
                          <w:rPr>
                            <w:rFonts w:ascii="Cambria Math" w:hAnsi="Cambria Math"/>
                            <w:i/>
                            <w:iCs/>
                          </w:rPr>
                        </m:ctrlPr>
                      </m:sSubPr>
                      <m:e>
                        <m:r>
                          <w:rPr>
                            <w:rFonts w:ascii="Cambria Math" w:hAnsi="Cambria Math"/>
                          </w:rPr>
                          <m:t>Q</m:t>
                        </m:r>
                      </m:e>
                      <m:sub>
                        <m:r>
                          <w:rPr>
                            <w:rFonts w:ascii="Cambria Math" w:hAnsi="Cambria Math"/>
                          </w:rPr>
                          <m:t>2</m:t>
                        </m:r>
                      </m:sub>
                    </m:sSub>
                    <m:sSub>
                      <m:sSubPr>
                        <m:ctrlPr>
                          <w:rPr>
                            <w:rFonts w:ascii="Cambria Math" w:hAnsi="Cambria Math"/>
                            <w:i/>
                            <w:iCs/>
                          </w:rPr>
                        </m:ctrlPr>
                      </m:sSubPr>
                      <m:e>
                        <m:r>
                          <w:rPr>
                            <w:rFonts w:ascii="Cambria Math" w:hAnsi="Cambria Math"/>
                          </w:rPr>
                          <m:t>P</m:t>
                        </m:r>
                      </m:e>
                      <m:sub>
                        <m:r>
                          <w:rPr>
                            <w:rFonts w:ascii="Cambria Math" w:hAnsi="Cambria Math"/>
                          </w:rPr>
                          <m:t>2</m:t>
                        </m:r>
                      </m:sub>
                    </m:sSub>
                  </m:num>
                  <m:den>
                    <m:r>
                      <w:rPr>
                        <w:rFonts w:ascii="Cambria Math" w:hAnsi="Cambria Math"/>
                      </w:rPr>
                      <m:t>π</m:t>
                    </m:r>
                    <m:sSup>
                      <m:sSupPr>
                        <m:ctrlPr>
                          <w:rPr>
                            <w:rFonts w:ascii="Cambria Math" w:hAnsi="Cambria Math"/>
                            <w:i/>
                            <w:iCs/>
                          </w:rPr>
                        </m:ctrlPr>
                      </m:sSupPr>
                      <m:e>
                        <m:r>
                          <w:rPr>
                            <w:rFonts w:ascii="Cambria Math" w:hAnsi="Cambria Math"/>
                          </w:rPr>
                          <m:t>R</m:t>
                        </m:r>
                      </m:e>
                      <m:sup>
                        <m:r>
                          <w:rPr>
                            <w:rFonts w:ascii="Cambria Math" w:hAnsi="Cambria Math"/>
                          </w:rPr>
                          <m:t>4</m:t>
                        </m:r>
                      </m:sup>
                    </m:sSup>
                  </m:den>
                </m:f>
                <m:r>
                  <w:rPr>
                    <w:rFonts w:ascii="Cambria Math" w:hAnsi="Cambria Math"/>
                  </w:rPr>
                  <m:t> dx</m:t>
                </m:r>
              </m:oMath>
            </m:oMathPara>
          </w:p>
        </w:tc>
        <w:tc>
          <w:tcPr>
            <w:tcW w:w="720" w:type="dxa"/>
            <w:vAlign w:val="bottom"/>
          </w:tcPr>
          <w:p w14:paraId="7BD81FA6" w14:textId="682FBB2D" w:rsidR="00962760" w:rsidRPr="005C69A6" w:rsidRDefault="00077C0B" w:rsidP="00BC23AD">
            <w:pPr>
              <w:pStyle w:val="Caption"/>
              <w:rPr>
                <w:i/>
              </w:rPr>
            </w:pPr>
            <w:r>
              <w:fldChar w:fldCharType="begin"/>
            </w:r>
            <w:r>
              <w:instrText xml:space="preserve"> STYLEREF 1 \s </w:instrText>
            </w:r>
            <w:r>
              <w:fldChar w:fldCharType="separate"/>
            </w:r>
            <w:r w:rsidR="0006023A">
              <w:rPr>
                <w:noProof/>
              </w:rPr>
              <w:t>4</w:t>
            </w:r>
            <w:r>
              <w:rPr>
                <w:noProof/>
              </w:rPr>
              <w:fldChar w:fldCharType="end"/>
            </w:r>
            <w:r w:rsidR="00962760" w:rsidRPr="005C69A6">
              <w:t>.</w:t>
            </w:r>
            <w:r>
              <w:fldChar w:fldCharType="begin"/>
            </w:r>
            <w:r>
              <w:instrText xml:space="preserve"> SEQ Equation \* ARABIC \s 1 </w:instrText>
            </w:r>
            <w:r>
              <w:fldChar w:fldCharType="separate"/>
            </w:r>
            <w:r w:rsidR="0006023A">
              <w:rPr>
                <w:noProof/>
              </w:rPr>
              <w:t>9</w:t>
            </w:r>
            <w:r>
              <w:rPr>
                <w:noProof/>
              </w:rPr>
              <w:fldChar w:fldCharType="end"/>
            </w:r>
          </w:p>
        </w:tc>
      </w:tr>
    </w:tbl>
    <w:p w14:paraId="038AE5D8" w14:textId="77777777" w:rsidR="00962760" w:rsidRPr="005C69A6" w:rsidRDefault="00962760" w:rsidP="00962760">
      <w:pPr>
        <w:ind w:firstLine="720"/>
        <w:rPr>
          <w:iCs/>
        </w:rPr>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2760" w:rsidRPr="005C69A6" w14:paraId="78F577C2" w14:textId="77777777" w:rsidTr="00962760">
        <w:trPr>
          <w:trHeight w:val="576"/>
        </w:trPr>
        <w:tc>
          <w:tcPr>
            <w:tcW w:w="720" w:type="dxa"/>
            <w:vAlign w:val="center"/>
          </w:tcPr>
          <w:p w14:paraId="02A03397" w14:textId="77777777" w:rsidR="00962760" w:rsidRPr="005C69A6" w:rsidRDefault="00962760" w:rsidP="00962760">
            <w:pPr>
              <w:spacing w:line="240" w:lineRule="auto"/>
              <w:jc w:val="center"/>
            </w:pPr>
          </w:p>
        </w:tc>
        <w:tc>
          <w:tcPr>
            <w:tcW w:w="7920" w:type="dxa"/>
            <w:vAlign w:val="center"/>
          </w:tcPr>
          <w:p w14:paraId="56E7CA19" w14:textId="77777777" w:rsidR="00962760" w:rsidRPr="005C69A6" w:rsidRDefault="00962760" w:rsidP="00962760">
            <w:pPr>
              <w:spacing w:line="240" w:lineRule="auto"/>
              <w:jc w:val="center"/>
            </w:pPr>
            <m:oMathPara>
              <m:oMath>
                <m:r>
                  <w:rPr>
                    <w:rFonts w:ascii="Cambria Math" w:hAnsi="Cambria Math"/>
                  </w:rPr>
                  <m:t>-</m:t>
                </m:r>
                <m:nary>
                  <m:naryPr>
                    <m:ctrlPr>
                      <w:rPr>
                        <w:rFonts w:ascii="Cambria Math" w:hAnsi="Cambria Math"/>
                        <w:i/>
                        <w:iCs/>
                      </w:rPr>
                    </m:ctrlPr>
                  </m:naryPr>
                  <m:sub>
                    <m:sSub>
                      <m:sSubPr>
                        <m:ctrlPr>
                          <w:rPr>
                            <w:rFonts w:ascii="Cambria Math" w:hAnsi="Cambria Math"/>
                            <w:i/>
                            <w:iCs/>
                          </w:rPr>
                        </m:ctrlPr>
                      </m:sSubPr>
                      <m:e>
                        <m:r>
                          <w:rPr>
                            <w:rFonts w:ascii="Cambria Math" w:hAnsi="Cambria Math"/>
                          </w:rPr>
                          <m:t>P</m:t>
                        </m:r>
                      </m:e>
                      <m:sub>
                        <m:r>
                          <w:rPr>
                            <w:rFonts w:ascii="Cambria Math" w:hAnsi="Cambria Math"/>
                          </w:rPr>
                          <m:t>1</m:t>
                        </m:r>
                      </m:sub>
                    </m:sSub>
                  </m:sub>
                  <m:sup>
                    <m:sSub>
                      <m:sSubPr>
                        <m:ctrlPr>
                          <w:rPr>
                            <w:rFonts w:ascii="Cambria Math" w:hAnsi="Cambria Math"/>
                            <w:i/>
                            <w:iCs/>
                          </w:rPr>
                        </m:ctrlPr>
                      </m:sSubPr>
                      <m:e>
                        <m:r>
                          <w:rPr>
                            <w:rFonts w:ascii="Cambria Math" w:hAnsi="Cambria Math"/>
                          </w:rPr>
                          <m:t>P</m:t>
                        </m:r>
                      </m:e>
                      <m:sub>
                        <m:r>
                          <w:rPr>
                            <w:rFonts w:ascii="Cambria Math" w:hAnsi="Cambria Math"/>
                          </w:rPr>
                          <m:t>2</m:t>
                        </m:r>
                      </m:sub>
                    </m:sSub>
                  </m:sup>
                  <m:e>
                    <m:r>
                      <w:rPr>
                        <w:rFonts w:ascii="Cambria Math" w:hAnsi="Cambria Math"/>
                      </w:rPr>
                      <m:t>P</m:t>
                    </m:r>
                  </m:e>
                </m:nary>
                <m:r>
                  <w:rPr>
                    <w:rFonts w:ascii="Cambria Math" w:hAnsi="Cambria Math"/>
                  </w:rPr>
                  <m:t>dP=</m:t>
                </m:r>
                <m:nary>
                  <m:naryPr>
                    <m:ctrlPr>
                      <w:rPr>
                        <w:rFonts w:ascii="Cambria Math" w:hAnsi="Cambria Math"/>
                        <w:i/>
                        <w:iCs/>
                      </w:rPr>
                    </m:ctrlPr>
                  </m:naryPr>
                  <m:sub>
                    <m:r>
                      <w:rPr>
                        <w:rFonts w:ascii="Cambria Math" w:hAnsi="Cambria Math"/>
                      </w:rPr>
                      <m:t>0</m:t>
                    </m:r>
                  </m:sub>
                  <m:sup>
                    <m:r>
                      <w:rPr>
                        <w:rFonts w:ascii="Cambria Math" w:hAnsi="Cambria Math"/>
                      </w:rPr>
                      <m:t>L</m:t>
                    </m:r>
                  </m:sup>
                  <m:e>
                    <m:f>
                      <m:fPr>
                        <m:ctrlPr>
                          <w:rPr>
                            <w:rFonts w:ascii="Cambria Math" w:hAnsi="Cambria Math"/>
                            <w:i/>
                            <w:iCs/>
                          </w:rPr>
                        </m:ctrlPr>
                      </m:fPr>
                      <m:num>
                        <m:r>
                          <w:rPr>
                            <w:rFonts w:ascii="Cambria Math" w:hAnsi="Cambria Math"/>
                          </w:rPr>
                          <m:t>8μ</m:t>
                        </m:r>
                        <m:sSub>
                          <m:sSubPr>
                            <m:ctrlPr>
                              <w:rPr>
                                <w:rFonts w:ascii="Cambria Math" w:hAnsi="Cambria Math"/>
                                <w:i/>
                                <w:iCs/>
                              </w:rPr>
                            </m:ctrlPr>
                          </m:sSubPr>
                          <m:e>
                            <m:r>
                              <w:rPr>
                                <w:rFonts w:ascii="Cambria Math" w:hAnsi="Cambria Math"/>
                              </w:rPr>
                              <m:t>Q</m:t>
                            </m:r>
                          </m:e>
                          <m:sub>
                            <m:r>
                              <w:rPr>
                                <w:rFonts w:ascii="Cambria Math" w:hAnsi="Cambria Math"/>
                              </w:rPr>
                              <m:t>2</m:t>
                            </m:r>
                          </m:sub>
                        </m:sSub>
                        <m:sSub>
                          <m:sSubPr>
                            <m:ctrlPr>
                              <w:rPr>
                                <w:rFonts w:ascii="Cambria Math" w:hAnsi="Cambria Math"/>
                                <w:i/>
                                <w:iCs/>
                              </w:rPr>
                            </m:ctrlPr>
                          </m:sSubPr>
                          <m:e>
                            <m:r>
                              <w:rPr>
                                <w:rFonts w:ascii="Cambria Math" w:hAnsi="Cambria Math"/>
                              </w:rPr>
                              <m:t>P</m:t>
                            </m:r>
                          </m:e>
                          <m:sub>
                            <m:r>
                              <w:rPr>
                                <w:rFonts w:ascii="Cambria Math" w:hAnsi="Cambria Math"/>
                              </w:rPr>
                              <m:t>2</m:t>
                            </m:r>
                          </m:sub>
                        </m:sSub>
                      </m:num>
                      <m:den>
                        <m:r>
                          <w:rPr>
                            <w:rFonts w:ascii="Cambria Math" w:hAnsi="Cambria Math"/>
                          </w:rPr>
                          <m:t>π</m:t>
                        </m:r>
                        <m:sSup>
                          <m:sSupPr>
                            <m:ctrlPr>
                              <w:rPr>
                                <w:rFonts w:ascii="Cambria Math" w:hAnsi="Cambria Math"/>
                                <w:i/>
                                <w:iCs/>
                              </w:rPr>
                            </m:ctrlPr>
                          </m:sSupPr>
                          <m:e>
                            <m:r>
                              <w:rPr>
                                <w:rFonts w:ascii="Cambria Math" w:hAnsi="Cambria Math"/>
                              </w:rPr>
                              <m:t>R</m:t>
                            </m:r>
                          </m:e>
                          <m:sup>
                            <m:r>
                              <w:rPr>
                                <w:rFonts w:ascii="Cambria Math" w:hAnsi="Cambria Math"/>
                              </w:rPr>
                              <m:t>4</m:t>
                            </m:r>
                          </m:sup>
                        </m:sSup>
                      </m:den>
                    </m:f>
                  </m:e>
                </m:nary>
                <m:r>
                  <w:rPr>
                    <w:rFonts w:ascii="Cambria Math" w:hAnsi="Cambria Math"/>
                  </w:rPr>
                  <m:t>dx</m:t>
                </m:r>
              </m:oMath>
            </m:oMathPara>
          </w:p>
        </w:tc>
        <w:tc>
          <w:tcPr>
            <w:tcW w:w="720" w:type="dxa"/>
            <w:vAlign w:val="bottom"/>
          </w:tcPr>
          <w:p w14:paraId="1540FB4D" w14:textId="57B5168C" w:rsidR="00962760" w:rsidRPr="005C69A6" w:rsidRDefault="00077C0B" w:rsidP="00BC23AD">
            <w:pPr>
              <w:pStyle w:val="Caption"/>
              <w:rPr>
                <w:i/>
              </w:rPr>
            </w:pPr>
            <w:r>
              <w:fldChar w:fldCharType="begin"/>
            </w:r>
            <w:r>
              <w:instrText xml:space="preserve"> STYLEREF 1 \s </w:instrText>
            </w:r>
            <w:r>
              <w:fldChar w:fldCharType="separate"/>
            </w:r>
            <w:r w:rsidR="0006023A">
              <w:rPr>
                <w:noProof/>
              </w:rPr>
              <w:t>4</w:t>
            </w:r>
            <w:r>
              <w:rPr>
                <w:noProof/>
              </w:rPr>
              <w:fldChar w:fldCharType="end"/>
            </w:r>
            <w:r w:rsidR="00962760" w:rsidRPr="005C69A6">
              <w:t>.</w:t>
            </w:r>
            <w:r>
              <w:fldChar w:fldCharType="begin"/>
            </w:r>
            <w:r>
              <w:instrText xml:space="preserve"> SEQ Equation \* ARABIC \s 1 </w:instrText>
            </w:r>
            <w:r>
              <w:fldChar w:fldCharType="separate"/>
            </w:r>
            <w:r w:rsidR="0006023A">
              <w:rPr>
                <w:noProof/>
              </w:rPr>
              <w:t>10</w:t>
            </w:r>
            <w:r>
              <w:rPr>
                <w:noProof/>
              </w:rPr>
              <w:fldChar w:fldCharType="end"/>
            </w:r>
          </w:p>
        </w:tc>
      </w:tr>
    </w:tbl>
    <w:p w14:paraId="7C0055EB" w14:textId="77777777" w:rsidR="00962760" w:rsidRPr="005C69A6" w:rsidRDefault="00962760" w:rsidP="00962760">
      <w:pPr>
        <w:ind w:firstLine="720"/>
        <w:rPr>
          <w:iCs/>
        </w:rPr>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2760" w:rsidRPr="005C69A6" w14:paraId="23440070" w14:textId="77777777" w:rsidTr="00962760">
        <w:trPr>
          <w:trHeight w:val="576"/>
        </w:trPr>
        <w:tc>
          <w:tcPr>
            <w:tcW w:w="720" w:type="dxa"/>
            <w:vAlign w:val="center"/>
          </w:tcPr>
          <w:p w14:paraId="33ED0FBC" w14:textId="77777777" w:rsidR="00962760" w:rsidRPr="005C69A6" w:rsidRDefault="00962760" w:rsidP="00962760">
            <w:pPr>
              <w:spacing w:line="240" w:lineRule="auto"/>
              <w:jc w:val="center"/>
            </w:pPr>
          </w:p>
        </w:tc>
        <w:tc>
          <w:tcPr>
            <w:tcW w:w="7920" w:type="dxa"/>
            <w:vAlign w:val="center"/>
          </w:tcPr>
          <w:p w14:paraId="28816069" w14:textId="77777777" w:rsidR="00962760" w:rsidRPr="005C69A6" w:rsidRDefault="00077C0B" w:rsidP="00962760">
            <w:pPr>
              <w:spacing w:line="240" w:lineRule="auto"/>
              <w:jc w:val="center"/>
            </w:pPr>
            <m:oMathPara>
              <m:oMath>
                <m:f>
                  <m:fPr>
                    <m:ctrlPr>
                      <w:rPr>
                        <w:rFonts w:ascii="Cambria Math" w:hAnsi="Cambria Math"/>
                        <w:i/>
                        <w:iCs/>
                      </w:rPr>
                    </m:ctrlPr>
                  </m:fPr>
                  <m:num>
                    <m:sSubSup>
                      <m:sSubSupPr>
                        <m:ctrlPr>
                          <w:rPr>
                            <w:rFonts w:ascii="Cambria Math" w:hAnsi="Cambria Math"/>
                            <w:i/>
                            <w:iCs/>
                          </w:rPr>
                        </m:ctrlPr>
                      </m:sSubSupPr>
                      <m:e>
                        <m:r>
                          <w:rPr>
                            <w:rFonts w:ascii="Cambria Math" w:hAnsi="Cambria Math"/>
                          </w:rPr>
                          <m:t>P</m:t>
                        </m:r>
                      </m:e>
                      <m:sub>
                        <m:r>
                          <w:rPr>
                            <w:rFonts w:ascii="Cambria Math" w:hAnsi="Cambria Math"/>
                          </w:rPr>
                          <m:t>1</m:t>
                        </m:r>
                      </m:sub>
                      <m:sup>
                        <m:r>
                          <w:rPr>
                            <w:rFonts w:ascii="Cambria Math" w:hAnsi="Cambria Math"/>
                          </w:rPr>
                          <m:t>2</m:t>
                        </m:r>
                      </m:sup>
                    </m:sSubSup>
                    <m:r>
                      <w:rPr>
                        <w:rFonts w:ascii="Cambria Math" w:hAnsi="Cambria Math"/>
                      </w:rPr>
                      <m:t>-</m:t>
                    </m:r>
                    <m:sSubSup>
                      <m:sSubSupPr>
                        <m:ctrlPr>
                          <w:rPr>
                            <w:rFonts w:ascii="Cambria Math" w:hAnsi="Cambria Math"/>
                            <w:i/>
                            <w:iCs/>
                          </w:rPr>
                        </m:ctrlPr>
                      </m:sSubSupPr>
                      <m:e>
                        <m:r>
                          <w:rPr>
                            <w:rFonts w:ascii="Cambria Math" w:hAnsi="Cambria Math"/>
                          </w:rPr>
                          <m:t>P</m:t>
                        </m:r>
                      </m:e>
                      <m:sub>
                        <m:r>
                          <w:rPr>
                            <w:rFonts w:ascii="Cambria Math" w:hAnsi="Cambria Math"/>
                          </w:rPr>
                          <m:t>2</m:t>
                        </m:r>
                      </m:sub>
                      <m:sup>
                        <m:r>
                          <w:rPr>
                            <w:rFonts w:ascii="Cambria Math" w:hAnsi="Cambria Math"/>
                          </w:rPr>
                          <m:t>2</m:t>
                        </m:r>
                      </m:sup>
                    </m:sSubSup>
                  </m:num>
                  <m:den>
                    <m:r>
                      <w:rPr>
                        <w:rFonts w:ascii="Cambria Math" w:hAnsi="Cambria Math"/>
                      </w:rPr>
                      <m:t>2</m:t>
                    </m:r>
                  </m:den>
                </m:f>
                <m:r>
                  <w:rPr>
                    <w:rFonts w:ascii="Cambria Math" w:hAnsi="Cambria Math"/>
                  </w:rPr>
                  <m:t>=</m:t>
                </m:r>
                <m:f>
                  <m:fPr>
                    <m:ctrlPr>
                      <w:rPr>
                        <w:rFonts w:ascii="Cambria Math" w:hAnsi="Cambria Math"/>
                        <w:i/>
                        <w:iCs/>
                      </w:rPr>
                    </m:ctrlPr>
                  </m:fPr>
                  <m:num>
                    <m:r>
                      <w:rPr>
                        <w:rFonts w:ascii="Cambria Math" w:hAnsi="Cambria Math"/>
                      </w:rPr>
                      <m:t>8μ</m:t>
                    </m:r>
                    <m:sSub>
                      <m:sSubPr>
                        <m:ctrlPr>
                          <w:rPr>
                            <w:rFonts w:ascii="Cambria Math" w:hAnsi="Cambria Math"/>
                            <w:i/>
                            <w:iCs/>
                          </w:rPr>
                        </m:ctrlPr>
                      </m:sSubPr>
                      <m:e>
                        <m:r>
                          <w:rPr>
                            <w:rFonts w:ascii="Cambria Math" w:hAnsi="Cambria Math"/>
                          </w:rPr>
                          <m:t>Q</m:t>
                        </m:r>
                      </m:e>
                      <m:sub>
                        <m:r>
                          <w:rPr>
                            <w:rFonts w:ascii="Cambria Math" w:hAnsi="Cambria Math"/>
                          </w:rPr>
                          <m:t>2</m:t>
                        </m:r>
                      </m:sub>
                    </m:sSub>
                    <m:sSub>
                      <m:sSubPr>
                        <m:ctrlPr>
                          <w:rPr>
                            <w:rFonts w:ascii="Cambria Math" w:hAnsi="Cambria Math"/>
                            <w:i/>
                            <w:iCs/>
                          </w:rPr>
                        </m:ctrlPr>
                      </m:sSubPr>
                      <m:e>
                        <m:r>
                          <w:rPr>
                            <w:rFonts w:ascii="Cambria Math" w:hAnsi="Cambria Math"/>
                          </w:rPr>
                          <m:t>P</m:t>
                        </m:r>
                      </m:e>
                      <m:sub>
                        <m:r>
                          <w:rPr>
                            <w:rFonts w:ascii="Cambria Math" w:hAnsi="Cambria Math"/>
                          </w:rPr>
                          <m:t>2</m:t>
                        </m:r>
                      </m:sub>
                    </m:sSub>
                    <m:r>
                      <w:rPr>
                        <w:rFonts w:ascii="Cambria Math" w:hAnsi="Cambria Math"/>
                      </w:rPr>
                      <m:t>L</m:t>
                    </m:r>
                  </m:num>
                  <m:den>
                    <m:r>
                      <w:rPr>
                        <w:rFonts w:ascii="Cambria Math" w:hAnsi="Cambria Math"/>
                      </w:rPr>
                      <m:t>π</m:t>
                    </m:r>
                    <m:sSup>
                      <m:sSupPr>
                        <m:ctrlPr>
                          <w:rPr>
                            <w:rFonts w:ascii="Cambria Math" w:hAnsi="Cambria Math"/>
                            <w:i/>
                            <w:iCs/>
                          </w:rPr>
                        </m:ctrlPr>
                      </m:sSupPr>
                      <m:e>
                        <m:r>
                          <w:rPr>
                            <w:rFonts w:ascii="Cambria Math" w:hAnsi="Cambria Math"/>
                          </w:rPr>
                          <m:t>R</m:t>
                        </m:r>
                      </m:e>
                      <m:sup>
                        <m:r>
                          <w:rPr>
                            <w:rFonts w:ascii="Cambria Math" w:hAnsi="Cambria Math"/>
                          </w:rPr>
                          <m:t>4</m:t>
                        </m:r>
                      </m:sup>
                    </m:sSup>
                  </m:den>
                </m:f>
              </m:oMath>
            </m:oMathPara>
          </w:p>
        </w:tc>
        <w:tc>
          <w:tcPr>
            <w:tcW w:w="720" w:type="dxa"/>
            <w:vAlign w:val="bottom"/>
          </w:tcPr>
          <w:p w14:paraId="065C7011" w14:textId="30FA083D" w:rsidR="00962760" w:rsidRPr="005C69A6" w:rsidRDefault="00077C0B" w:rsidP="00BC23AD">
            <w:pPr>
              <w:pStyle w:val="Caption"/>
              <w:rPr>
                <w:i/>
              </w:rPr>
            </w:pPr>
            <w:r>
              <w:fldChar w:fldCharType="begin"/>
            </w:r>
            <w:r>
              <w:instrText xml:space="preserve"> STYLEREF 1 \s </w:instrText>
            </w:r>
            <w:r>
              <w:fldChar w:fldCharType="separate"/>
            </w:r>
            <w:r w:rsidR="0006023A">
              <w:rPr>
                <w:noProof/>
              </w:rPr>
              <w:t>4</w:t>
            </w:r>
            <w:r>
              <w:rPr>
                <w:noProof/>
              </w:rPr>
              <w:fldChar w:fldCharType="end"/>
            </w:r>
            <w:r w:rsidR="00962760" w:rsidRPr="005C69A6">
              <w:t>.</w:t>
            </w:r>
            <w:r>
              <w:fldChar w:fldCharType="begin"/>
            </w:r>
            <w:r>
              <w:instrText xml:space="preserve"> SEQ Equation \* ARABIC \s 1 </w:instrText>
            </w:r>
            <w:r>
              <w:fldChar w:fldCharType="separate"/>
            </w:r>
            <w:r w:rsidR="0006023A">
              <w:rPr>
                <w:noProof/>
              </w:rPr>
              <w:t>11</w:t>
            </w:r>
            <w:r>
              <w:rPr>
                <w:noProof/>
              </w:rPr>
              <w:fldChar w:fldCharType="end"/>
            </w:r>
          </w:p>
        </w:tc>
      </w:tr>
    </w:tbl>
    <w:p w14:paraId="02D18E60" w14:textId="77777777" w:rsidR="00962760" w:rsidRPr="005C69A6" w:rsidRDefault="00962760" w:rsidP="00962760">
      <w:pPr>
        <w:ind w:firstLine="720"/>
        <w:rPr>
          <w:iCs/>
        </w:rPr>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2760" w:rsidRPr="005C69A6" w14:paraId="0EAE79F4" w14:textId="77777777" w:rsidTr="00962760">
        <w:trPr>
          <w:trHeight w:val="576"/>
        </w:trPr>
        <w:tc>
          <w:tcPr>
            <w:tcW w:w="720" w:type="dxa"/>
            <w:vAlign w:val="center"/>
          </w:tcPr>
          <w:p w14:paraId="3C4FA981" w14:textId="77777777" w:rsidR="00962760" w:rsidRPr="005C69A6" w:rsidRDefault="00962760" w:rsidP="00962760">
            <w:pPr>
              <w:spacing w:line="240" w:lineRule="auto"/>
              <w:jc w:val="center"/>
            </w:pPr>
          </w:p>
        </w:tc>
        <w:tc>
          <w:tcPr>
            <w:tcW w:w="7920" w:type="dxa"/>
            <w:vAlign w:val="center"/>
          </w:tcPr>
          <w:p w14:paraId="57268F48" w14:textId="77777777" w:rsidR="00962760" w:rsidRPr="005C69A6" w:rsidRDefault="00077C0B" w:rsidP="00962760">
            <w:pPr>
              <w:spacing w:line="240" w:lineRule="auto"/>
              <w:jc w:val="center"/>
            </w:pPr>
            <m:oMathPara>
              <m:oMath>
                <m:sSub>
                  <m:sSubPr>
                    <m:ctrlPr>
                      <w:rPr>
                        <w:rFonts w:ascii="Cambria Math" w:hAnsi="Cambria Math"/>
                        <w:i/>
                        <w:iCs/>
                      </w:rPr>
                    </m:ctrlPr>
                  </m:sSubPr>
                  <m:e>
                    <m:r>
                      <w:rPr>
                        <w:rFonts w:ascii="Cambria Math" w:hAnsi="Cambria Math"/>
                      </w:rPr>
                      <m:t>Q</m:t>
                    </m:r>
                  </m:e>
                  <m:sub>
                    <m:r>
                      <w:rPr>
                        <w:rFonts w:ascii="Cambria Math" w:hAnsi="Cambria Math"/>
                      </w:rPr>
                      <m:t>2</m:t>
                    </m:r>
                  </m:sub>
                </m:sSub>
                <m:r>
                  <w:rPr>
                    <w:rFonts w:ascii="Cambria Math" w:hAnsi="Cambria Math"/>
                  </w:rPr>
                  <m:t>=</m:t>
                </m:r>
                <m:f>
                  <m:fPr>
                    <m:ctrlPr>
                      <w:rPr>
                        <w:rFonts w:ascii="Cambria Math" w:hAnsi="Cambria Math"/>
                        <w:i/>
                        <w:iCs/>
                      </w:rPr>
                    </m:ctrlPr>
                  </m:fPr>
                  <m:num>
                    <m:sSubSup>
                      <m:sSubSupPr>
                        <m:ctrlPr>
                          <w:rPr>
                            <w:rFonts w:ascii="Cambria Math" w:hAnsi="Cambria Math"/>
                            <w:i/>
                            <w:iCs/>
                          </w:rPr>
                        </m:ctrlPr>
                      </m:sSubSupPr>
                      <m:e>
                        <m:r>
                          <w:rPr>
                            <w:rFonts w:ascii="Cambria Math" w:hAnsi="Cambria Math"/>
                          </w:rPr>
                          <m:t>P</m:t>
                        </m:r>
                      </m:e>
                      <m:sub>
                        <m:r>
                          <w:rPr>
                            <w:rFonts w:ascii="Cambria Math" w:hAnsi="Cambria Math"/>
                          </w:rPr>
                          <m:t>1</m:t>
                        </m:r>
                      </m:sub>
                      <m:sup>
                        <m:r>
                          <w:rPr>
                            <w:rFonts w:ascii="Cambria Math" w:hAnsi="Cambria Math"/>
                          </w:rPr>
                          <m:t>2</m:t>
                        </m:r>
                      </m:sup>
                    </m:sSubSup>
                    <m:r>
                      <w:rPr>
                        <w:rFonts w:ascii="Cambria Math" w:hAnsi="Cambria Math"/>
                      </w:rPr>
                      <m:t>-</m:t>
                    </m:r>
                    <m:sSubSup>
                      <m:sSubSupPr>
                        <m:ctrlPr>
                          <w:rPr>
                            <w:rFonts w:ascii="Cambria Math" w:hAnsi="Cambria Math"/>
                            <w:i/>
                            <w:iCs/>
                          </w:rPr>
                        </m:ctrlPr>
                      </m:sSubSupPr>
                      <m:e>
                        <m:r>
                          <w:rPr>
                            <w:rFonts w:ascii="Cambria Math" w:hAnsi="Cambria Math"/>
                          </w:rPr>
                          <m:t>P</m:t>
                        </m:r>
                      </m:e>
                      <m:sub>
                        <m:r>
                          <w:rPr>
                            <w:rFonts w:ascii="Cambria Math" w:hAnsi="Cambria Math"/>
                          </w:rPr>
                          <m:t>2</m:t>
                        </m:r>
                      </m:sub>
                      <m:sup>
                        <m:r>
                          <w:rPr>
                            <w:rFonts w:ascii="Cambria Math" w:hAnsi="Cambria Math"/>
                          </w:rPr>
                          <m:t>2</m:t>
                        </m:r>
                      </m:sup>
                    </m:sSubSup>
                  </m:num>
                  <m:den>
                    <m:r>
                      <w:rPr>
                        <w:rFonts w:ascii="Cambria Math" w:hAnsi="Cambria Math"/>
                      </w:rPr>
                      <m:t>2</m:t>
                    </m:r>
                  </m:den>
                </m:f>
                <m:r>
                  <w:rPr>
                    <w:rFonts w:ascii="Cambria Math" w:hAnsi="Cambria Math"/>
                  </w:rPr>
                  <m:t>∙</m:t>
                </m:r>
                <m:f>
                  <m:fPr>
                    <m:ctrlPr>
                      <w:rPr>
                        <w:rFonts w:ascii="Cambria Math" w:hAnsi="Cambria Math"/>
                        <w:i/>
                        <w:iCs/>
                      </w:rPr>
                    </m:ctrlPr>
                  </m:fPr>
                  <m:num>
                    <m:r>
                      <w:rPr>
                        <w:rFonts w:ascii="Cambria Math" w:hAnsi="Cambria Math"/>
                      </w:rPr>
                      <m:t>π</m:t>
                    </m:r>
                    <m:sSup>
                      <m:sSupPr>
                        <m:ctrlPr>
                          <w:rPr>
                            <w:rFonts w:ascii="Cambria Math" w:hAnsi="Cambria Math"/>
                            <w:i/>
                            <w:iCs/>
                          </w:rPr>
                        </m:ctrlPr>
                      </m:sSupPr>
                      <m:e>
                        <m:r>
                          <w:rPr>
                            <w:rFonts w:ascii="Cambria Math" w:hAnsi="Cambria Math"/>
                          </w:rPr>
                          <m:t>R</m:t>
                        </m:r>
                      </m:e>
                      <m:sup>
                        <m:r>
                          <w:rPr>
                            <w:rFonts w:ascii="Cambria Math" w:hAnsi="Cambria Math"/>
                          </w:rPr>
                          <m:t>4</m:t>
                        </m:r>
                      </m:sup>
                    </m:sSup>
                  </m:num>
                  <m:den>
                    <m:r>
                      <w:rPr>
                        <w:rFonts w:ascii="Cambria Math" w:hAnsi="Cambria Math"/>
                      </w:rPr>
                      <m:t>8μL</m:t>
                    </m:r>
                    <m:sSub>
                      <m:sSubPr>
                        <m:ctrlPr>
                          <w:rPr>
                            <w:rFonts w:ascii="Cambria Math" w:hAnsi="Cambria Math"/>
                            <w:i/>
                            <w:iCs/>
                          </w:rPr>
                        </m:ctrlPr>
                      </m:sSubPr>
                      <m:e>
                        <m:r>
                          <w:rPr>
                            <w:rFonts w:ascii="Cambria Math" w:hAnsi="Cambria Math"/>
                          </w:rPr>
                          <m:t>P</m:t>
                        </m:r>
                      </m:e>
                      <m:sub>
                        <m:r>
                          <w:rPr>
                            <w:rFonts w:ascii="Cambria Math" w:hAnsi="Cambria Math"/>
                          </w:rPr>
                          <m:t>2</m:t>
                        </m:r>
                      </m:sub>
                    </m:sSub>
                    <m:r>
                      <w:rPr>
                        <w:rFonts w:ascii="Cambria Math" w:hAnsi="Cambria Math"/>
                      </w:rPr>
                      <m:t> </m:t>
                    </m:r>
                  </m:den>
                </m:f>
              </m:oMath>
            </m:oMathPara>
          </w:p>
        </w:tc>
        <w:tc>
          <w:tcPr>
            <w:tcW w:w="720" w:type="dxa"/>
            <w:vAlign w:val="bottom"/>
          </w:tcPr>
          <w:p w14:paraId="7D53B0B1" w14:textId="18D08EFE" w:rsidR="00962760" w:rsidRPr="005C69A6" w:rsidRDefault="00077C0B" w:rsidP="00BC23AD">
            <w:pPr>
              <w:pStyle w:val="Caption"/>
              <w:rPr>
                <w:i/>
              </w:rPr>
            </w:pPr>
            <w:r>
              <w:fldChar w:fldCharType="begin"/>
            </w:r>
            <w:r>
              <w:instrText xml:space="preserve"> STYLEREF 1 \s </w:instrText>
            </w:r>
            <w:r>
              <w:fldChar w:fldCharType="separate"/>
            </w:r>
            <w:r w:rsidR="0006023A">
              <w:rPr>
                <w:noProof/>
              </w:rPr>
              <w:t>4</w:t>
            </w:r>
            <w:r>
              <w:rPr>
                <w:noProof/>
              </w:rPr>
              <w:fldChar w:fldCharType="end"/>
            </w:r>
            <w:r w:rsidR="00962760" w:rsidRPr="005C69A6">
              <w:t>.</w:t>
            </w:r>
            <w:r>
              <w:fldChar w:fldCharType="begin"/>
            </w:r>
            <w:r>
              <w:instrText xml:space="preserve"> SEQ Equation \* ARABIC \s 1 </w:instrText>
            </w:r>
            <w:r>
              <w:fldChar w:fldCharType="separate"/>
            </w:r>
            <w:r w:rsidR="0006023A">
              <w:rPr>
                <w:noProof/>
              </w:rPr>
              <w:t>12</w:t>
            </w:r>
            <w:r>
              <w:rPr>
                <w:noProof/>
              </w:rPr>
              <w:fldChar w:fldCharType="end"/>
            </w:r>
          </w:p>
        </w:tc>
      </w:tr>
    </w:tbl>
    <w:p w14:paraId="56893EA9" w14:textId="77777777" w:rsidR="00962760" w:rsidRPr="005C69A6" w:rsidRDefault="00962760" w:rsidP="00962760">
      <w:pPr>
        <w:ind w:firstLine="720"/>
        <w:rPr>
          <w:iCs/>
        </w:rPr>
      </w:pPr>
    </w:p>
    <w:p w14:paraId="6A35BBFF" w14:textId="44D044A9" w:rsidR="00962760" w:rsidRPr="005C69A6" w:rsidRDefault="00205745" w:rsidP="00962760">
      <w:pPr>
        <w:ind w:firstLine="720"/>
        <w:rPr>
          <w:iCs/>
        </w:rPr>
      </w:pPr>
      <w:r>
        <w:t>The s</w:t>
      </w:r>
      <w:r w:rsidR="00382B36" w:rsidRPr="005C69A6">
        <w:t xml:space="preserve">eparation of terms </w:t>
      </w:r>
      <w:r w:rsidR="00E6341D">
        <w:t>for</w:t>
      </w:r>
      <w:r w:rsidR="00E6341D" w:rsidRPr="005C69A6">
        <w:t xml:space="preserve"> </w:t>
      </w:r>
      <w:r w:rsidR="00962760" w:rsidRPr="005C69A6">
        <w:t>Equation 4.1</w:t>
      </w:r>
      <w:r w:rsidR="00382B36" w:rsidRPr="005C69A6">
        <w:t>2</w:t>
      </w:r>
      <w:r w:rsidR="00962760" w:rsidRPr="005C69A6">
        <w:t xml:space="preserve"> </w:t>
      </w:r>
      <w:r w:rsidR="00382B36" w:rsidRPr="005C69A6">
        <w:t xml:space="preserve">looks similar to </w:t>
      </w:r>
      <w:r w:rsidR="00962760" w:rsidRPr="005C69A6">
        <w:rPr>
          <w:iCs/>
        </w:rPr>
        <w:t xml:space="preserve">the Hagen-Poiseulle equation for circular flow </w:t>
      </w:r>
      <w:r w:rsidR="00382B36" w:rsidRPr="005C69A6">
        <w:rPr>
          <w:iCs/>
        </w:rPr>
        <w:t>(Equation 2.36)</w:t>
      </w:r>
      <w:r w:rsidR="00962760" w:rsidRPr="005C69A6">
        <w:rPr>
          <w:iCs/>
        </w:rPr>
        <w:t xml:space="preserve"> but with a</w:t>
      </w:r>
      <w:r w:rsidR="00382B36" w:rsidRPr="005C69A6">
        <w:rPr>
          <w:iCs/>
        </w:rPr>
        <w:t>n additional term.</w:t>
      </w:r>
      <w:r w:rsidR="00962760" w:rsidRPr="005C69A6">
        <w:rPr>
          <w:iCs/>
        </w:rPr>
        <w:t xml:space="preserve"> </w:t>
      </w:r>
      <w:r w:rsidR="00382B36" w:rsidRPr="005C69A6">
        <w:rPr>
          <w:iCs/>
        </w:rPr>
        <w:t xml:space="preserve">The additional term, </w:t>
      </w:r>
      <m:oMath>
        <m:d>
          <m:dPr>
            <m:ctrlPr>
              <w:rPr>
                <w:rFonts w:ascii="Cambria Math" w:hAnsi="Cambria Math"/>
                <w:i/>
                <w:iCs/>
              </w:rPr>
            </m:ctrlPr>
          </m:dPr>
          <m:e>
            <m:f>
              <m:fPr>
                <m:ctrlPr>
                  <w:rPr>
                    <w:rFonts w:ascii="Cambria Math" w:hAnsi="Cambria Math"/>
                    <w:i/>
                    <w:iCs/>
                  </w:rPr>
                </m:ctrlPr>
              </m:fPr>
              <m:num>
                <m:sSub>
                  <m:sSubPr>
                    <m:ctrlPr>
                      <w:rPr>
                        <w:rFonts w:ascii="Cambria Math" w:hAnsi="Cambria Math"/>
                        <w:i/>
                        <w:iCs/>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i/>
                        <w:iCs/>
                      </w:rPr>
                    </m:ctrlPr>
                  </m:sSubPr>
                  <m:e>
                    <m:r>
                      <w:rPr>
                        <w:rFonts w:ascii="Cambria Math" w:hAnsi="Cambria Math"/>
                      </w:rPr>
                      <m:t>P</m:t>
                    </m:r>
                  </m:e>
                  <m:sub>
                    <m:r>
                      <w:rPr>
                        <w:rFonts w:ascii="Cambria Math" w:hAnsi="Cambria Math"/>
                      </w:rPr>
                      <m:t>2</m:t>
                    </m:r>
                  </m:sub>
                </m:sSub>
              </m:num>
              <m:den>
                <m:r>
                  <w:rPr>
                    <w:rFonts w:ascii="Cambria Math" w:hAnsi="Cambria Math"/>
                  </w:rPr>
                  <m:t>2</m:t>
                </m:r>
                <m:sSub>
                  <m:sSubPr>
                    <m:ctrlPr>
                      <w:rPr>
                        <w:rFonts w:ascii="Cambria Math" w:hAnsi="Cambria Math"/>
                        <w:i/>
                        <w:iCs/>
                      </w:rPr>
                    </m:ctrlPr>
                  </m:sSubPr>
                  <m:e>
                    <m:r>
                      <w:rPr>
                        <w:rFonts w:ascii="Cambria Math" w:hAnsi="Cambria Math"/>
                      </w:rPr>
                      <m:t>P</m:t>
                    </m:r>
                  </m:e>
                  <m:sub>
                    <m:r>
                      <w:rPr>
                        <w:rFonts w:ascii="Cambria Math" w:hAnsi="Cambria Math"/>
                      </w:rPr>
                      <m:t>2</m:t>
                    </m:r>
                  </m:sub>
                </m:sSub>
              </m:den>
            </m:f>
          </m:e>
        </m:d>
      </m:oMath>
      <w:r w:rsidR="00382B36" w:rsidRPr="005C69A6">
        <w:rPr>
          <w:rFonts w:eastAsiaTheme="minorEastAsia"/>
          <w:iCs/>
        </w:rPr>
        <w:t>, represents a</w:t>
      </w:r>
      <w:r w:rsidR="00382B36" w:rsidRPr="005C69A6">
        <w:rPr>
          <w:iCs/>
        </w:rPr>
        <w:t xml:space="preserve"> </w:t>
      </w:r>
      <w:r w:rsidR="00962760" w:rsidRPr="005C69A6">
        <w:rPr>
          <w:iCs/>
        </w:rPr>
        <w:t xml:space="preserve">pressure correction </w:t>
      </w:r>
      <w:r w:rsidR="00382B36" w:rsidRPr="005C69A6">
        <w:rPr>
          <w:iCs/>
        </w:rPr>
        <w:t xml:space="preserve">in addition to circular Hagen-Poiseulle flow </w:t>
      </w:r>
      <w:r w:rsidR="00962760" w:rsidRPr="005C69A6">
        <w:rPr>
          <w:iCs/>
        </w:rPr>
        <w:t xml:space="preserve">(Landau and Lifschitz 1987). </w:t>
      </w:r>
      <w:r w:rsidR="00DA68DE" w:rsidRPr="005C69A6">
        <w:rPr>
          <w:iCs/>
        </w:rPr>
        <w:t xml:space="preserve">Equation 4.13 is referred to as </w:t>
      </w:r>
      <w:r w:rsidR="00DA68DE" w:rsidRPr="005C69A6">
        <w:rPr>
          <w:i/>
          <w:iCs/>
        </w:rPr>
        <w:t>circular ideal gas flow</w:t>
      </w:r>
      <w:r w:rsidR="00DA68DE" w:rsidRPr="005C69A6">
        <w:rPr>
          <w:iCs/>
        </w:rPr>
        <w:t xml:space="preserve">. </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2760" w:rsidRPr="005C69A6" w14:paraId="1E4B34DB" w14:textId="77777777" w:rsidTr="00872B64">
        <w:trPr>
          <w:trHeight w:val="1008"/>
        </w:trPr>
        <w:tc>
          <w:tcPr>
            <w:tcW w:w="720" w:type="dxa"/>
            <w:vAlign w:val="center"/>
          </w:tcPr>
          <w:p w14:paraId="2A7A2757" w14:textId="77777777" w:rsidR="00962760" w:rsidRPr="005C69A6" w:rsidRDefault="00962760" w:rsidP="00872B64">
            <w:pPr>
              <w:spacing w:line="240" w:lineRule="auto"/>
              <w:jc w:val="center"/>
            </w:pPr>
          </w:p>
        </w:tc>
        <w:tc>
          <w:tcPr>
            <w:tcW w:w="7920" w:type="dxa"/>
            <w:vAlign w:val="center"/>
          </w:tcPr>
          <w:p w14:paraId="2B43F831" w14:textId="77777777" w:rsidR="00962760" w:rsidRPr="005C69A6" w:rsidRDefault="00077C0B" w:rsidP="00872B64">
            <w:pPr>
              <w:spacing w:line="240" w:lineRule="auto"/>
              <w:jc w:val="center"/>
            </w:pPr>
            <m:oMathPara>
              <m:oMath>
                <m:sSub>
                  <m:sSubPr>
                    <m:ctrlPr>
                      <w:rPr>
                        <w:rFonts w:ascii="Cambria Math" w:hAnsi="Cambria Math"/>
                        <w:i/>
                      </w:rPr>
                    </m:ctrlPr>
                  </m:sSubPr>
                  <m:e>
                    <m:r>
                      <w:rPr>
                        <w:rFonts w:ascii="Cambria Math" w:hAnsi="Cambria Math"/>
                      </w:rPr>
                      <m:t>Q</m:t>
                    </m:r>
                  </m:e>
                  <m:sub>
                    <m:r>
                      <w:rPr>
                        <w:rFonts w:ascii="Cambria Math" w:hAnsi="Cambria Math"/>
                      </w:rPr>
                      <m:t>2</m:t>
                    </m:r>
                  </m:sub>
                </m:sSub>
                <m:r>
                  <w:rPr>
                    <w:rFonts w:ascii="Cambria Math" w:hAnsi="Cambria Math"/>
                  </w:rPr>
                  <m:t xml:space="preserve">= </m:t>
                </m:r>
                <m:f>
                  <m:fPr>
                    <m:ctrlPr>
                      <w:rPr>
                        <w:rFonts w:ascii="Cambria Math" w:hAnsi="Cambria Math"/>
                        <w:i/>
                        <w:iCs/>
                      </w:rPr>
                    </m:ctrlPr>
                  </m:fPr>
                  <m:num>
                    <m:r>
                      <w:rPr>
                        <w:rFonts w:ascii="Cambria Math" w:hAnsi="Cambria Math"/>
                      </w:rPr>
                      <m:t>ΔP</m:t>
                    </m:r>
                    <m:sSup>
                      <m:sSupPr>
                        <m:ctrlPr>
                          <w:rPr>
                            <w:rFonts w:ascii="Cambria Math" w:hAnsi="Cambria Math"/>
                            <w:i/>
                            <w:iCs/>
                          </w:rPr>
                        </m:ctrlPr>
                      </m:sSupPr>
                      <m:e>
                        <m:r>
                          <w:rPr>
                            <w:rFonts w:ascii="Cambria Math" w:hAnsi="Cambria Math"/>
                          </w:rPr>
                          <m:t>R</m:t>
                        </m:r>
                      </m:e>
                      <m:sup>
                        <m:r>
                          <w:rPr>
                            <w:rFonts w:ascii="Cambria Math" w:hAnsi="Cambria Math"/>
                          </w:rPr>
                          <m:t>4</m:t>
                        </m:r>
                      </m:sup>
                    </m:sSup>
                    <m:r>
                      <w:rPr>
                        <w:rFonts w:ascii="Cambria Math" w:hAnsi="Cambria Math"/>
                      </w:rPr>
                      <m:t>π</m:t>
                    </m:r>
                  </m:num>
                  <m:den>
                    <m:r>
                      <w:rPr>
                        <w:rFonts w:ascii="Cambria Math" w:hAnsi="Cambria Math"/>
                      </w:rPr>
                      <m:t>8μL</m:t>
                    </m:r>
                  </m:den>
                </m:f>
                <m:r>
                  <w:rPr>
                    <w:rFonts w:ascii="Cambria Math" w:hAnsi="Cambria Math"/>
                  </w:rPr>
                  <m:t>∙</m:t>
                </m:r>
                <m:f>
                  <m:fPr>
                    <m:ctrlPr>
                      <w:rPr>
                        <w:rFonts w:ascii="Cambria Math" w:hAnsi="Cambria Math"/>
                        <w:i/>
                        <w:iCs/>
                      </w:rPr>
                    </m:ctrlPr>
                  </m:fPr>
                  <m:num>
                    <m:sSub>
                      <m:sSubPr>
                        <m:ctrlPr>
                          <w:rPr>
                            <w:rFonts w:ascii="Cambria Math" w:hAnsi="Cambria Math"/>
                            <w:i/>
                            <w:iCs/>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i/>
                            <w:iCs/>
                          </w:rPr>
                        </m:ctrlPr>
                      </m:sSubPr>
                      <m:e>
                        <m:r>
                          <w:rPr>
                            <w:rFonts w:ascii="Cambria Math" w:hAnsi="Cambria Math"/>
                          </w:rPr>
                          <m:t>P</m:t>
                        </m:r>
                      </m:e>
                      <m:sub>
                        <m:r>
                          <w:rPr>
                            <w:rFonts w:ascii="Cambria Math" w:hAnsi="Cambria Math"/>
                          </w:rPr>
                          <m:t>2</m:t>
                        </m:r>
                      </m:sub>
                    </m:sSub>
                  </m:num>
                  <m:den>
                    <m:r>
                      <w:rPr>
                        <w:rFonts w:ascii="Cambria Math" w:hAnsi="Cambria Math"/>
                      </w:rPr>
                      <m:t>2</m:t>
                    </m:r>
                    <m:sSub>
                      <m:sSubPr>
                        <m:ctrlPr>
                          <w:rPr>
                            <w:rFonts w:ascii="Cambria Math" w:hAnsi="Cambria Math"/>
                            <w:i/>
                            <w:iCs/>
                          </w:rPr>
                        </m:ctrlPr>
                      </m:sSubPr>
                      <m:e>
                        <m:r>
                          <w:rPr>
                            <w:rFonts w:ascii="Cambria Math" w:hAnsi="Cambria Math"/>
                          </w:rPr>
                          <m:t>P</m:t>
                        </m:r>
                      </m:e>
                      <m:sub>
                        <m:r>
                          <w:rPr>
                            <w:rFonts w:ascii="Cambria Math" w:hAnsi="Cambria Math"/>
                          </w:rPr>
                          <m:t>2</m:t>
                        </m:r>
                      </m:sub>
                    </m:sSub>
                  </m:den>
                </m:f>
              </m:oMath>
            </m:oMathPara>
          </w:p>
        </w:tc>
        <w:tc>
          <w:tcPr>
            <w:tcW w:w="720" w:type="dxa"/>
            <w:vAlign w:val="center"/>
          </w:tcPr>
          <w:p w14:paraId="6995437E" w14:textId="6A20C4A7" w:rsidR="00962760" w:rsidRPr="005C69A6" w:rsidRDefault="00077C0B" w:rsidP="00BC23AD">
            <w:pPr>
              <w:pStyle w:val="Caption"/>
              <w:rPr>
                <w:i/>
              </w:rPr>
            </w:pPr>
            <w:r>
              <w:fldChar w:fldCharType="begin"/>
            </w:r>
            <w:r>
              <w:instrText xml:space="preserve"> STYLEREF 1 \s </w:instrText>
            </w:r>
            <w:r>
              <w:fldChar w:fldCharType="separate"/>
            </w:r>
            <w:r w:rsidR="0006023A">
              <w:rPr>
                <w:noProof/>
              </w:rPr>
              <w:t>4</w:t>
            </w:r>
            <w:r>
              <w:rPr>
                <w:noProof/>
              </w:rPr>
              <w:fldChar w:fldCharType="end"/>
            </w:r>
            <w:r w:rsidR="00962760" w:rsidRPr="005C69A6">
              <w:t>.</w:t>
            </w:r>
            <w:r>
              <w:fldChar w:fldCharType="begin"/>
            </w:r>
            <w:r>
              <w:instrText xml:space="preserve"> SEQ Equation \* ARABIC \s 1 </w:instrText>
            </w:r>
            <w:r>
              <w:fldChar w:fldCharType="separate"/>
            </w:r>
            <w:r w:rsidR="0006023A">
              <w:rPr>
                <w:noProof/>
              </w:rPr>
              <w:t>13</w:t>
            </w:r>
            <w:r>
              <w:rPr>
                <w:noProof/>
              </w:rPr>
              <w:fldChar w:fldCharType="end"/>
            </w:r>
          </w:p>
        </w:tc>
      </w:tr>
    </w:tbl>
    <w:p w14:paraId="4637879B" w14:textId="77777777" w:rsidR="00962760" w:rsidRPr="005C69A6" w:rsidRDefault="00962760" w:rsidP="00962760">
      <w:pPr>
        <w:ind w:firstLine="720"/>
        <w:rPr>
          <w:iCs/>
        </w:rPr>
      </w:pPr>
    </w:p>
    <w:p w14:paraId="69D6280C" w14:textId="483407BC" w:rsidR="007D58FF" w:rsidRPr="005C69A6" w:rsidRDefault="001938BF" w:rsidP="006348F1">
      <w:pPr>
        <w:rPr>
          <w:b/>
        </w:rPr>
      </w:pPr>
      <w:r w:rsidRPr="005C69A6">
        <w:rPr>
          <w:b/>
        </w:rPr>
        <w:t xml:space="preserve">Annular </w:t>
      </w:r>
      <w:r w:rsidR="007D58FF" w:rsidRPr="005C69A6">
        <w:rPr>
          <w:b/>
        </w:rPr>
        <w:t>Ideal Gas Flow</w:t>
      </w:r>
    </w:p>
    <w:p w14:paraId="125EF51C" w14:textId="5F85C0BA" w:rsidR="00962760" w:rsidRPr="005C69A6" w:rsidRDefault="00DA68DE" w:rsidP="00962760">
      <w:pPr>
        <w:ind w:firstLine="720"/>
        <w:rPr>
          <w:iCs/>
        </w:rPr>
      </w:pPr>
      <w:r w:rsidRPr="005C69A6">
        <w:t>The circular ideal gas flow equation (</w:t>
      </w:r>
      <w:r w:rsidR="00962760" w:rsidRPr="005C69A6">
        <w:t xml:space="preserve">Equation </w:t>
      </w:r>
      <w:r w:rsidRPr="005C69A6">
        <w:t>4.13)</w:t>
      </w:r>
      <w:r w:rsidR="00962760" w:rsidRPr="005C69A6">
        <w:t xml:space="preserve"> can be useful </w:t>
      </w:r>
      <w:r w:rsidR="00962760" w:rsidRPr="005C69A6">
        <w:rPr>
          <w:iCs/>
        </w:rPr>
        <w:t xml:space="preserve">for estimating gas leakage in cement if the leakage path is a circular channel but according to recent literature, the leakage path in cement is assumed to be a uniform annular microannuli (Aas et al. 2016; Stormont et al. 2018; Lavrov and Torsaeter 2018; Skadsem et al. 2019). Therefore, </w:t>
      </w:r>
      <w:r w:rsidRPr="005C69A6">
        <w:rPr>
          <w:iCs/>
        </w:rPr>
        <w:t xml:space="preserve">an annular ideal gas flow equation is required. The </w:t>
      </w:r>
      <w:r w:rsidR="00962760" w:rsidRPr="005C69A6">
        <w:rPr>
          <w:iCs/>
        </w:rPr>
        <w:t xml:space="preserve">Hagen-Poiseulle equation for an annulus is given in Equation </w:t>
      </w:r>
      <w:r w:rsidRPr="005C69A6">
        <w:rPr>
          <w:iCs/>
        </w:rPr>
        <w:t>2.41</w:t>
      </w:r>
      <w:r w:rsidR="00962760" w:rsidRPr="005C69A6">
        <w:rPr>
          <w:iCs/>
        </w:rPr>
        <w:t>.</w:t>
      </w:r>
    </w:p>
    <w:p w14:paraId="20A2A3D0" w14:textId="64DB76C1" w:rsidR="00962760" w:rsidRPr="005C69A6" w:rsidRDefault="00962760" w:rsidP="00962760">
      <w:pPr>
        <w:ind w:firstLine="720"/>
        <w:rPr>
          <w:iCs/>
        </w:rPr>
      </w:pPr>
      <w:r w:rsidRPr="005C69A6">
        <w:rPr>
          <w:iCs/>
        </w:rPr>
        <w:t>Re-arranging in terms of pressure drop per length and assuming Boyle’s law (Equation 4.</w:t>
      </w:r>
      <w:r w:rsidR="00DA68DE" w:rsidRPr="005C69A6">
        <w:rPr>
          <w:iCs/>
        </w:rPr>
        <w:t>6</w:t>
      </w:r>
      <w:r w:rsidRPr="005C69A6">
        <w:rPr>
          <w:iCs/>
        </w:rPr>
        <w:t>)</w:t>
      </w:r>
      <w:r w:rsidR="0037598F">
        <w:rPr>
          <w:iCs/>
        </w:rPr>
        <w:t xml:space="preserve"> gives</w:t>
      </w:r>
      <w:r w:rsidRPr="005C69A6">
        <w:rPr>
          <w:iCs/>
        </w:rPr>
        <w:t>,</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2760" w:rsidRPr="005C69A6" w14:paraId="5B32189D" w14:textId="77777777" w:rsidTr="00962760">
        <w:trPr>
          <w:trHeight w:val="576"/>
        </w:trPr>
        <w:tc>
          <w:tcPr>
            <w:tcW w:w="720" w:type="dxa"/>
            <w:vAlign w:val="center"/>
          </w:tcPr>
          <w:p w14:paraId="1A73216E" w14:textId="77777777" w:rsidR="00962760" w:rsidRPr="005C69A6" w:rsidRDefault="00962760" w:rsidP="00962760">
            <w:pPr>
              <w:spacing w:line="240" w:lineRule="auto"/>
              <w:jc w:val="center"/>
            </w:pPr>
          </w:p>
        </w:tc>
        <w:tc>
          <w:tcPr>
            <w:tcW w:w="7920" w:type="dxa"/>
            <w:vAlign w:val="center"/>
          </w:tcPr>
          <w:p w14:paraId="4DD63BA6" w14:textId="77777777" w:rsidR="00962760" w:rsidRPr="005C69A6" w:rsidRDefault="00962760" w:rsidP="00962760">
            <w:pPr>
              <w:spacing w:line="240" w:lineRule="auto"/>
              <w:jc w:val="center"/>
            </w:pPr>
            <m:oMathPara>
              <m:oMath>
                <m:r>
                  <w:rPr>
                    <w:rFonts w:ascii="Cambria Math" w:hAnsi="Cambria Math"/>
                  </w:rPr>
                  <m:t>-</m:t>
                </m:r>
                <m:f>
                  <m:fPr>
                    <m:ctrlPr>
                      <w:rPr>
                        <w:rFonts w:ascii="Cambria Math" w:hAnsi="Cambria Math"/>
                        <w:i/>
                        <w:iCs/>
                      </w:rPr>
                    </m:ctrlPr>
                  </m:fPr>
                  <m:num>
                    <m:r>
                      <w:rPr>
                        <w:rFonts w:ascii="Cambria Math" w:hAnsi="Cambria Math"/>
                      </w:rPr>
                      <m:t>dP</m:t>
                    </m:r>
                  </m:num>
                  <m:den>
                    <m:r>
                      <w:rPr>
                        <w:rFonts w:ascii="Cambria Math" w:hAnsi="Cambria Math"/>
                      </w:rPr>
                      <m:t>dx</m:t>
                    </m:r>
                  </m:den>
                </m:f>
                <m:r>
                  <w:rPr>
                    <w:rFonts w:ascii="Cambria Math" w:hAnsi="Cambria Math"/>
                  </w:rPr>
                  <m:t>  =</m:t>
                </m:r>
                <m:f>
                  <m:fPr>
                    <m:ctrlPr>
                      <w:rPr>
                        <w:rFonts w:ascii="Cambria Math" w:hAnsi="Cambria Math"/>
                        <w:i/>
                        <w:iCs/>
                      </w:rPr>
                    </m:ctrlPr>
                  </m:fPr>
                  <m:num>
                    <m:r>
                      <w:rPr>
                        <w:rFonts w:ascii="Cambria Math" w:hAnsi="Cambria Math"/>
                      </w:rPr>
                      <m:t>12μ</m:t>
                    </m:r>
                    <m:sSub>
                      <m:sSubPr>
                        <m:ctrlPr>
                          <w:rPr>
                            <w:rFonts w:ascii="Cambria Math" w:hAnsi="Cambria Math"/>
                            <w:i/>
                            <w:iCs/>
                          </w:rPr>
                        </m:ctrlPr>
                      </m:sSubPr>
                      <m:e>
                        <m:r>
                          <w:rPr>
                            <w:rFonts w:ascii="Cambria Math" w:hAnsi="Cambria Math"/>
                          </w:rPr>
                          <m:t>Q</m:t>
                        </m:r>
                      </m:e>
                      <m:sub>
                        <m:r>
                          <w:rPr>
                            <w:rFonts w:ascii="Cambria Math" w:hAnsi="Cambria Math"/>
                          </w:rPr>
                          <m:t>2</m:t>
                        </m:r>
                      </m:sub>
                    </m:sSub>
                    <m:sSub>
                      <m:sSubPr>
                        <m:ctrlPr>
                          <w:rPr>
                            <w:rFonts w:ascii="Cambria Math" w:hAnsi="Cambria Math"/>
                            <w:i/>
                            <w:iCs/>
                          </w:rPr>
                        </m:ctrlPr>
                      </m:sSubPr>
                      <m:e>
                        <m:r>
                          <w:rPr>
                            <w:rFonts w:ascii="Cambria Math" w:hAnsi="Cambria Math"/>
                          </w:rPr>
                          <m:t>P</m:t>
                        </m:r>
                      </m:e>
                      <m:sub>
                        <m:r>
                          <w:rPr>
                            <w:rFonts w:ascii="Cambria Math" w:hAnsi="Cambria Math"/>
                          </w:rPr>
                          <m:t>2</m:t>
                        </m:r>
                      </m:sub>
                    </m:sSub>
                  </m:num>
                  <m:den>
                    <m:r>
                      <w:rPr>
                        <w:rFonts w:ascii="Cambria Math" w:hAnsi="Cambria Math"/>
                      </w:rPr>
                      <m:t>πD</m:t>
                    </m:r>
                    <m:sSup>
                      <m:sSupPr>
                        <m:ctrlPr>
                          <w:rPr>
                            <w:rFonts w:ascii="Cambria Math" w:hAnsi="Cambria Math"/>
                            <w:i/>
                            <w:iCs/>
                          </w:rPr>
                        </m:ctrlPr>
                      </m:sSupPr>
                      <m:e>
                        <m:r>
                          <w:rPr>
                            <w:rFonts w:ascii="Cambria Math" w:hAnsi="Cambria Math"/>
                          </w:rPr>
                          <m:t>w</m:t>
                        </m:r>
                      </m:e>
                      <m:sup>
                        <m:r>
                          <w:rPr>
                            <w:rFonts w:ascii="Cambria Math" w:hAnsi="Cambria Math"/>
                          </w:rPr>
                          <m:t>3</m:t>
                        </m:r>
                      </m:sup>
                    </m:sSup>
                    <m:r>
                      <w:rPr>
                        <w:rFonts w:ascii="Cambria Math" w:hAnsi="Cambria Math"/>
                      </w:rPr>
                      <m:t>P</m:t>
                    </m:r>
                  </m:den>
                </m:f>
              </m:oMath>
            </m:oMathPara>
          </w:p>
        </w:tc>
        <w:tc>
          <w:tcPr>
            <w:tcW w:w="720" w:type="dxa"/>
            <w:vAlign w:val="bottom"/>
          </w:tcPr>
          <w:p w14:paraId="2EBB1C1C" w14:textId="043D8EDB" w:rsidR="00962760" w:rsidRPr="005C69A6" w:rsidRDefault="00077C0B" w:rsidP="00BC23AD">
            <w:pPr>
              <w:pStyle w:val="Caption"/>
              <w:rPr>
                <w:i/>
              </w:rPr>
            </w:pPr>
            <w:r>
              <w:fldChar w:fldCharType="begin"/>
            </w:r>
            <w:r>
              <w:instrText xml:space="preserve"> STYLEREF 1 \s </w:instrText>
            </w:r>
            <w:r>
              <w:fldChar w:fldCharType="separate"/>
            </w:r>
            <w:r w:rsidR="0006023A">
              <w:rPr>
                <w:noProof/>
              </w:rPr>
              <w:t>4</w:t>
            </w:r>
            <w:r>
              <w:rPr>
                <w:noProof/>
              </w:rPr>
              <w:fldChar w:fldCharType="end"/>
            </w:r>
            <w:r w:rsidR="00962760" w:rsidRPr="005C69A6">
              <w:t>.</w:t>
            </w:r>
            <w:r>
              <w:fldChar w:fldCharType="begin"/>
            </w:r>
            <w:r>
              <w:instrText xml:space="preserve"> SEQ Equation \* ARABIC \s 1 </w:instrText>
            </w:r>
            <w:r>
              <w:fldChar w:fldCharType="separate"/>
            </w:r>
            <w:r w:rsidR="0006023A">
              <w:rPr>
                <w:noProof/>
              </w:rPr>
              <w:t>14</w:t>
            </w:r>
            <w:r>
              <w:rPr>
                <w:noProof/>
              </w:rPr>
              <w:fldChar w:fldCharType="end"/>
            </w:r>
          </w:p>
        </w:tc>
      </w:tr>
    </w:tbl>
    <w:p w14:paraId="2BE732F3" w14:textId="77777777" w:rsidR="00962760" w:rsidRPr="005C69A6" w:rsidRDefault="00962760" w:rsidP="00962760">
      <w:pPr>
        <w:ind w:firstLine="720"/>
        <w:rPr>
          <w:iCs/>
        </w:rPr>
      </w:pPr>
    </w:p>
    <w:p w14:paraId="5F9A6E0A" w14:textId="373727EA" w:rsidR="00962760" w:rsidRPr="005C69A6" w:rsidRDefault="00DA68DE" w:rsidP="00962760">
      <w:pPr>
        <w:ind w:firstLine="720"/>
      </w:pPr>
      <w:r w:rsidRPr="005C69A6">
        <w:rPr>
          <w:iCs/>
        </w:rPr>
        <w:lastRenderedPageBreak/>
        <w:t xml:space="preserve">Appling the same assumption in regards to pressure compressibility as above results in the </w:t>
      </w:r>
      <w:r w:rsidRPr="005C69A6">
        <w:rPr>
          <w:i/>
          <w:iCs/>
        </w:rPr>
        <w:t>annular ideal gas flow</w:t>
      </w:r>
      <w:r w:rsidRPr="005C69A6">
        <w:rPr>
          <w:iCs/>
        </w:rPr>
        <w:t xml:space="preserve"> equation shown in </w:t>
      </w:r>
      <w:r w:rsidR="00962760" w:rsidRPr="005C69A6">
        <w:rPr>
          <w:iCs/>
        </w:rPr>
        <w:t>Equation 4.1</w:t>
      </w:r>
      <w:r w:rsidRPr="005C69A6">
        <w:rPr>
          <w:iCs/>
        </w:rPr>
        <w:t>5</w:t>
      </w:r>
      <w:r w:rsidR="00962760" w:rsidRPr="005C69A6">
        <w:rPr>
          <w:iCs/>
        </w:rPr>
        <w:t>.</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2760" w:rsidRPr="005C69A6" w14:paraId="6BD56FD2" w14:textId="77777777" w:rsidTr="00962760">
        <w:trPr>
          <w:trHeight w:val="576"/>
        </w:trPr>
        <w:tc>
          <w:tcPr>
            <w:tcW w:w="720" w:type="dxa"/>
            <w:vAlign w:val="center"/>
          </w:tcPr>
          <w:p w14:paraId="427C66B3" w14:textId="77777777" w:rsidR="00962760" w:rsidRPr="005C69A6" w:rsidRDefault="00962760" w:rsidP="00962760">
            <w:pPr>
              <w:spacing w:line="240" w:lineRule="auto"/>
              <w:jc w:val="center"/>
            </w:pPr>
          </w:p>
        </w:tc>
        <w:tc>
          <w:tcPr>
            <w:tcW w:w="7920" w:type="dxa"/>
            <w:vAlign w:val="center"/>
          </w:tcPr>
          <w:p w14:paraId="397CBE8A" w14:textId="77777777" w:rsidR="00962760" w:rsidRPr="005C69A6" w:rsidRDefault="00077C0B" w:rsidP="00962760">
            <w:pPr>
              <w:spacing w:line="240" w:lineRule="auto"/>
              <w:jc w:val="center"/>
            </w:pPr>
            <m:oMathPara>
              <m:oMath>
                <m:sSub>
                  <m:sSubPr>
                    <m:ctrlPr>
                      <w:rPr>
                        <w:rFonts w:ascii="Cambria Math" w:hAnsi="Cambria Math"/>
                        <w:i/>
                      </w:rPr>
                    </m:ctrlPr>
                  </m:sSubPr>
                  <m:e>
                    <m:r>
                      <w:rPr>
                        <w:rFonts w:ascii="Cambria Math" w:hAnsi="Cambria Math"/>
                      </w:rPr>
                      <m:t>Q</m:t>
                    </m:r>
                  </m:e>
                  <m:sub>
                    <m:r>
                      <w:rPr>
                        <w:rFonts w:ascii="Cambria Math" w:hAnsi="Cambria Math"/>
                      </w:rPr>
                      <m:t>2</m:t>
                    </m:r>
                  </m:sub>
                </m:sSub>
                <m:r>
                  <w:rPr>
                    <w:rFonts w:ascii="Cambria Math" w:hAnsi="Cambria Math"/>
                  </w:rPr>
                  <m:t>=</m:t>
                </m:r>
                <m:f>
                  <m:fPr>
                    <m:ctrlPr>
                      <w:rPr>
                        <w:rFonts w:ascii="Cambria Math" w:hAnsi="Cambria Math"/>
                        <w:i/>
                        <w:iCs/>
                      </w:rPr>
                    </m:ctrlPr>
                  </m:fPr>
                  <m:num>
                    <m:r>
                      <w:rPr>
                        <w:rFonts w:ascii="Cambria Math" w:hAnsi="Cambria Math"/>
                      </w:rPr>
                      <m:t>ΔP</m:t>
                    </m:r>
                    <m:sSup>
                      <m:sSupPr>
                        <m:ctrlPr>
                          <w:rPr>
                            <w:rFonts w:ascii="Cambria Math" w:hAnsi="Cambria Math"/>
                            <w:i/>
                            <w:iCs/>
                          </w:rPr>
                        </m:ctrlPr>
                      </m:sSupPr>
                      <m:e>
                        <m:r>
                          <w:rPr>
                            <w:rFonts w:ascii="Cambria Math" w:hAnsi="Cambria Math"/>
                          </w:rPr>
                          <m:t>w</m:t>
                        </m:r>
                      </m:e>
                      <m:sup>
                        <m:r>
                          <w:rPr>
                            <w:rFonts w:ascii="Cambria Math" w:hAnsi="Cambria Math"/>
                          </w:rPr>
                          <m:t>3</m:t>
                        </m:r>
                      </m:sup>
                    </m:sSup>
                    <m:r>
                      <w:rPr>
                        <w:rFonts w:ascii="Cambria Math" w:hAnsi="Cambria Math"/>
                      </w:rPr>
                      <m:t>Dπ</m:t>
                    </m:r>
                  </m:num>
                  <m:den>
                    <m:r>
                      <w:rPr>
                        <w:rFonts w:ascii="Cambria Math" w:hAnsi="Cambria Math"/>
                      </w:rPr>
                      <m:t>12μL</m:t>
                    </m:r>
                  </m:den>
                </m:f>
                <m:r>
                  <w:rPr>
                    <w:rFonts w:ascii="Cambria Math" w:hAnsi="Cambria Math"/>
                  </w:rPr>
                  <m:t>∙</m:t>
                </m:r>
                <m:f>
                  <m:fPr>
                    <m:ctrlPr>
                      <w:rPr>
                        <w:rFonts w:ascii="Cambria Math" w:hAnsi="Cambria Math"/>
                        <w:i/>
                        <w:iCs/>
                      </w:rPr>
                    </m:ctrlPr>
                  </m:fPr>
                  <m:num>
                    <m:sSub>
                      <m:sSubPr>
                        <m:ctrlPr>
                          <w:rPr>
                            <w:rFonts w:ascii="Cambria Math" w:hAnsi="Cambria Math"/>
                            <w:i/>
                            <w:iCs/>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i/>
                            <w:iCs/>
                          </w:rPr>
                        </m:ctrlPr>
                      </m:sSubPr>
                      <m:e>
                        <m:r>
                          <w:rPr>
                            <w:rFonts w:ascii="Cambria Math" w:hAnsi="Cambria Math"/>
                          </w:rPr>
                          <m:t>P</m:t>
                        </m:r>
                      </m:e>
                      <m:sub>
                        <m:r>
                          <w:rPr>
                            <w:rFonts w:ascii="Cambria Math" w:hAnsi="Cambria Math"/>
                          </w:rPr>
                          <m:t>2</m:t>
                        </m:r>
                      </m:sub>
                    </m:sSub>
                  </m:num>
                  <m:den>
                    <m:r>
                      <w:rPr>
                        <w:rFonts w:ascii="Cambria Math" w:hAnsi="Cambria Math"/>
                      </w:rPr>
                      <m:t>2</m:t>
                    </m:r>
                    <m:sSub>
                      <m:sSubPr>
                        <m:ctrlPr>
                          <w:rPr>
                            <w:rFonts w:ascii="Cambria Math" w:hAnsi="Cambria Math"/>
                            <w:i/>
                            <w:iCs/>
                          </w:rPr>
                        </m:ctrlPr>
                      </m:sSubPr>
                      <m:e>
                        <m:r>
                          <w:rPr>
                            <w:rFonts w:ascii="Cambria Math" w:hAnsi="Cambria Math"/>
                          </w:rPr>
                          <m:t>P</m:t>
                        </m:r>
                      </m:e>
                      <m:sub>
                        <m:r>
                          <w:rPr>
                            <w:rFonts w:ascii="Cambria Math" w:hAnsi="Cambria Math"/>
                          </w:rPr>
                          <m:t>2</m:t>
                        </m:r>
                      </m:sub>
                    </m:sSub>
                  </m:den>
                </m:f>
              </m:oMath>
            </m:oMathPara>
          </w:p>
        </w:tc>
        <w:tc>
          <w:tcPr>
            <w:tcW w:w="720" w:type="dxa"/>
            <w:vAlign w:val="bottom"/>
          </w:tcPr>
          <w:p w14:paraId="01A681FD" w14:textId="3FD5C855" w:rsidR="00962760" w:rsidRPr="005C69A6" w:rsidRDefault="00077C0B" w:rsidP="00BC23AD">
            <w:pPr>
              <w:pStyle w:val="Caption"/>
              <w:rPr>
                <w:i/>
              </w:rPr>
            </w:pPr>
            <w:r>
              <w:fldChar w:fldCharType="begin"/>
            </w:r>
            <w:r>
              <w:instrText xml:space="preserve"> STYLEREF 1 \s </w:instrText>
            </w:r>
            <w:r>
              <w:fldChar w:fldCharType="separate"/>
            </w:r>
            <w:r w:rsidR="0006023A">
              <w:rPr>
                <w:noProof/>
              </w:rPr>
              <w:t>4</w:t>
            </w:r>
            <w:r>
              <w:rPr>
                <w:noProof/>
              </w:rPr>
              <w:fldChar w:fldCharType="end"/>
            </w:r>
            <w:r w:rsidR="00962760" w:rsidRPr="005C69A6">
              <w:t>.</w:t>
            </w:r>
            <w:r>
              <w:fldChar w:fldCharType="begin"/>
            </w:r>
            <w:r>
              <w:instrText xml:space="preserve"> SEQ Equation \* ARABIC \s 1 </w:instrText>
            </w:r>
            <w:r>
              <w:fldChar w:fldCharType="separate"/>
            </w:r>
            <w:r w:rsidR="0006023A">
              <w:rPr>
                <w:noProof/>
              </w:rPr>
              <w:t>15</w:t>
            </w:r>
            <w:r>
              <w:rPr>
                <w:noProof/>
              </w:rPr>
              <w:fldChar w:fldCharType="end"/>
            </w:r>
          </w:p>
        </w:tc>
      </w:tr>
    </w:tbl>
    <w:p w14:paraId="762FABDF" w14:textId="77777777" w:rsidR="00962760" w:rsidRPr="005C69A6" w:rsidRDefault="00962760" w:rsidP="00962760"/>
    <w:p w14:paraId="285D8815" w14:textId="7078E766" w:rsidR="007D58FF" w:rsidRPr="005C69A6" w:rsidRDefault="007D58FF" w:rsidP="006348F1">
      <w:pPr>
        <w:rPr>
          <w:b/>
        </w:rPr>
      </w:pPr>
      <w:r w:rsidRPr="005C69A6">
        <w:rPr>
          <w:b/>
        </w:rPr>
        <w:t>Annular Real Gas Flow</w:t>
      </w:r>
    </w:p>
    <w:p w14:paraId="273A6140" w14:textId="7D30064D" w:rsidR="007D58FF" w:rsidRPr="005C69A6" w:rsidRDefault="007D58FF" w:rsidP="007D58FF">
      <w:pPr>
        <w:ind w:firstLine="720"/>
      </w:pPr>
      <w:r w:rsidRPr="005C69A6">
        <w:t>Equation 4.1</w:t>
      </w:r>
      <w:r w:rsidR="00DA68DE" w:rsidRPr="005C69A6">
        <w:t>5</w:t>
      </w:r>
      <w:r w:rsidRPr="005C69A6">
        <w:t xml:space="preserve"> </w:t>
      </w:r>
      <w:r w:rsidR="00DA68DE" w:rsidRPr="005C69A6">
        <w:t xml:space="preserve">represents an ideal gas; for a real gas </w:t>
      </w:r>
      <w:r w:rsidR="00893161" w:rsidRPr="005C69A6">
        <w:t>assuming</w:t>
      </w:r>
      <w:r w:rsidRPr="005C69A6">
        <w:t xml:space="preserve"> the real gas law,</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7D58FF" w:rsidRPr="005C69A6" w14:paraId="6B7E3C0A" w14:textId="77777777" w:rsidTr="00893161">
        <w:trPr>
          <w:trHeight w:val="576"/>
        </w:trPr>
        <w:tc>
          <w:tcPr>
            <w:tcW w:w="720" w:type="dxa"/>
            <w:vAlign w:val="center"/>
          </w:tcPr>
          <w:p w14:paraId="05B1A301" w14:textId="77777777" w:rsidR="007D58FF" w:rsidRPr="005C69A6" w:rsidRDefault="007D58FF" w:rsidP="00893161">
            <w:pPr>
              <w:spacing w:line="240" w:lineRule="auto"/>
              <w:jc w:val="center"/>
            </w:pPr>
          </w:p>
        </w:tc>
        <w:tc>
          <w:tcPr>
            <w:tcW w:w="7920" w:type="dxa"/>
            <w:vAlign w:val="center"/>
          </w:tcPr>
          <w:p w14:paraId="0AC70D2C" w14:textId="77777777" w:rsidR="007D58FF" w:rsidRPr="005C69A6" w:rsidRDefault="00077C0B" w:rsidP="00893161">
            <w:pPr>
              <w:spacing w:line="240" w:lineRule="auto"/>
              <w:jc w:val="center"/>
            </w:pPr>
            <m:oMathPara>
              <m:oMath>
                <m:f>
                  <m:fPr>
                    <m:ctrlPr>
                      <w:rPr>
                        <w:rFonts w:ascii="Cambria Math" w:hAnsi="Cambria Math"/>
                        <w:i/>
                        <w:iCs/>
                      </w:rPr>
                    </m:ctrlPr>
                  </m:fPr>
                  <m:num>
                    <m:r>
                      <w:rPr>
                        <w:rFonts w:ascii="Cambria Math" w:hAnsi="Cambria Math"/>
                      </w:rPr>
                      <m:t>PV</m:t>
                    </m:r>
                  </m:num>
                  <m:den>
                    <m:r>
                      <w:rPr>
                        <w:rFonts w:ascii="Cambria Math" w:hAnsi="Cambria Math"/>
                      </w:rPr>
                      <m:t>z</m:t>
                    </m:r>
                  </m:den>
                </m:f>
                <m:r>
                  <w:rPr>
                    <w:rFonts w:ascii="Cambria Math" w:hAnsi="Cambria Math"/>
                  </w:rPr>
                  <m:t>=nRT</m:t>
                </m:r>
              </m:oMath>
            </m:oMathPara>
          </w:p>
        </w:tc>
        <w:tc>
          <w:tcPr>
            <w:tcW w:w="720" w:type="dxa"/>
            <w:vAlign w:val="bottom"/>
          </w:tcPr>
          <w:p w14:paraId="1151001E" w14:textId="5C7AFADA" w:rsidR="007D58FF" w:rsidRPr="005C69A6" w:rsidRDefault="00077C0B" w:rsidP="00BC23AD">
            <w:pPr>
              <w:pStyle w:val="Caption"/>
              <w:rPr>
                <w:i/>
              </w:rPr>
            </w:pPr>
            <w:r>
              <w:fldChar w:fldCharType="begin"/>
            </w:r>
            <w:r>
              <w:instrText xml:space="preserve"> STYLEREF 1 \s </w:instrText>
            </w:r>
            <w:r>
              <w:fldChar w:fldCharType="separate"/>
            </w:r>
            <w:r w:rsidR="0006023A">
              <w:rPr>
                <w:noProof/>
              </w:rPr>
              <w:t>4</w:t>
            </w:r>
            <w:r>
              <w:rPr>
                <w:noProof/>
              </w:rPr>
              <w:fldChar w:fldCharType="end"/>
            </w:r>
            <w:r w:rsidR="007D58FF" w:rsidRPr="005C69A6">
              <w:t>.</w:t>
            </w:r>
            <w:r>
              <w:fldChar w:fldCharType="begin"/>
            </w:r>
            <w:r>
              <w:instrText xml:space="preserve"> SEQ Equation \* ARABIC \s 1 </w:instrText>
            </w:r>
            <w:r>
              <w:fldChar w:fldCharType="separate"/>
            </w:r>
            <w:r w:rsidR="0006023A">
              <w:rPr>
                <w:noProof/>
              </w:rPr>
              <w:t>16</w:t>
            </w:r>
            <w:r>
              <w:rPr>
                <w:noProof/>
              </w:rPr>
              <w:fldChar w:fldCharType="end"/>
            </w:r>
          </w:p>
        </w:tc>
      </w:tr>
    </w:tbl>
    <w:p w14:paraId="64D22DDD" w14:textId="77777777" w:rsidR="007D58FF" w:rsidRPr="005C69A6" w:rsidRDefault="007D58FF" w:rsidP="007D58FF"/>
    <w:p w14:paraId="6E365638" w14:textId="7462A963" w:rsidR="007D58FF" w:rsidRPr="005C69A6" w:rsidRDefault="007D58FF" w:rsidP="007D58FF">
      <w:r w:rsidRPr="005C69A6">
        <w:tab/>
      </w:r>
      <w:r w:rsidR="00DA68DE" w:rsidRPr="005C69A6">
        <w:t>The r</w:t>
      </w:r>
      <w:r w:rsidRPr="005C69A6">
        <w:t>eal gas law in terms of flow rate, becomes</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7D58FF" w:rsidRPr="005C69A6" w14:paraId="489672B2" w14:textId="77777777" w:rsidTr="00893161">
        <w:trPr>
          <w:trHeight w:val="576"/>
        </w:trPr>
        <w:tc>
          <w:tcPr>
            <w:tcW w:w="720" w:type="dxa"/>
            <w:vAlign w:val="center"/>
          </w:tcPr>
          <w:p w14:paraId="35968181" w14:textId="77777777" w:rsidR="007D58FF" w:rsidRPr="005C69A6" w:rsidRDefault="007D58FF" w:rsidP="00893161">
            <w:pPr>
              <w:spacing w:line="240" w:lineRule="auto"/>
              <w:jc w:val="center"/>
            </w:pPr>
          </w:p>
        </w:tc>
        <w:tc>
          <w:tcPr>
            <w:tcW w:w="7920" w:type="dxa"/>
            <w:vAlign w:val="center"/>
          </w:tcPr>
          <w:p w14:paraId="69F2FFB6" w14:textId="77777777" w:rsidR="007D58FF" w:rsidRPr="005C69A6" w:rsidRDefault="00077C0B" w:rsidP="00893161">
            <w:pPr>
              <w:spacing w:line="240" w:lineRule="auto"/>
              <w:jc w:val="center"/>
            </w:pPr>
            <m:oMathPara>
              <m:oMath>
                <m:f>
                  <m:fPr>
                    <m:ctrlPr>
                      <w:rPr>
                        <w:rFonts w:ascii="Cambria Math" w:hAnsi="Cambria Math"/>
                        <w:i/>
                        <w:iCs/>
                      </w:rPr>
                    </m:ctrlPr>
                  </m:fPr>
                  <m:num>
                    <m:r>
                      <w:rPr>
                        <w:rFonts w:ascii="Cambria Math" w:hAnsi="Cambria Math"/>
                      </w:rPr>
                      <m:t>PV</m:t>
                    </m:r>
                  </m:num>
                  <m:den>
                    <m:r>
                      <w:rPr>
                        <w:rFonts w:ascii="Cambria Math" w:hAnsi="Cambria Math"/>
                      </w:rPr>
                      <m:t>zt</m:t>
                    </m:r>
                  </m:den>
                </m:f>
                <m:r>
                  <w:rPr>
                    <w:rFonts w:ascii="Cambria Math" w:hAnsi="Cambria Math"/>
                  </w:rPr>
                  <m:t>=</m:t>
                </m:r>
                <m:f>
                  <m:fPr>
                    <m:ctrlPr>
                      <w:rPr>
                        <w:rFonts w:ascii="Cambria Math" w:hAnsi="Cambria Math"/>
                        <w:i/>
                        <w:iCs/>
                      </w:rPr>
                    </m:ctrlPr>
                  </m:fPr>
                  <m:num>
                    <m:r>
                      <w:rPr>
                        <w:rFonts w:ascii="Cambria Math" w:hAnsi="Cambria Math"/>
                      </w:rPr>
                      <m:t>nRT</m:t>
                    </m:r>
                  </m:num>
                  <m:den>
                    <m:r>
                      <w:rPr>
                        <w:rFonts w:ascii="Cambria Math" w:hAnsi="Cambria Math"/>
                      </w:rPr>
                      <m:t>t</m:t>
                    </m:r>
                  </m:den>
                </m:f>
              </m:oMath>
            </m:oMathPara>
          </w:p>
        </w:tc>
        <w:tc>
          <w:tcPr>
            <w:tcW w:w="720" w:type="dxa"/>
            <w:vAlign w:val="bottom"/>
          </w:tcPr>
          <w:p w14:paraId="2A48DEC2" w14:textId="403B4A1F" w:rsidR="007D58FF" w:rsidRPr="005C69A6" w:rsidRDefault="00077C0B" w:rsidP="00BC23AD">
            <w:pPr>
              <w:pStyle w:val="Caption"/>
              <w:rPr>
                <w:i/>
              </w:rPr>
            </w:pPr>
            <w:r>
              <w:fldChar w:fldCharType="begin"/>
            </w:r>
            <w:r>
              <w:instrText xml:space="preserve"> STYLEREF 1 \s </w:instrText>
            </w:r>
            <w:r>
              <w:fldChar w:fldCharType="separate"/>
            </w:r>
            <w:r w:rsidR="0006023A">
              <w:rPr>
                <w:noProof/>
              </w:rPr>
              <w:t>4</w:t>
            </w:r>
            <w:r>
              <w:rPr>
                <w:noProof/>
              </w:rPr>
              <w:fldChar w:fldCharType="end"/>
            </w:r>
            <w:r w:rsidR="007D58FF" w:rsidRPr="005C69A6">
              <w:t>.</w:t>
            </w:r>
            <w:r>
              <w:fldChar w:fldCharType="begin"/>
            </w:r>
            <w:r>
              <w:instrText xml:space="preserve"> SEQ Equation \* ARABIC \s 1 </w:instrText>
            </w:r>
            <w:r>
              <w:fldChar w:fldCharType="separate"/>
            </w:r>
            <w:r w:rsidR="0006023A">
              <w:rPr>
                <w:noProof/>
              </w:rPr>
              <w:t>17</w:t>
            </w:r>
            <w:r>
              <w:rPr>
                <w:noProof/>
              </w:rPr>
              <w:fldChar w:fldCharType="end"/>
            </w:r>
          </w:p>
        </w:tc>
      </w:tr>
    </w:tbl>
    <w:p w14:paraId="4EBAF5AC" w14:textId="77777777" w:rsidR="007D58FF" w:rsidRPr="005C69A6" w:rsidRDefault="007D58FF" w:rsidP="007D58FF"/>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7D58FF" w:rsidRPr="005C69A6" w14:paraId="4FB65B37" w14:textId="77777777" w:rsidTr="00893161">
        <w:trPr>
          <w:trHeight w:val="576"/>
        </w:trPr>
        <w:tc>
          <w:tcPr>
            <w:tcW w:w="720" w:type="dxa"/>
            <w:vAlign w:val="center"/>
          </w:tcPr>
          <w:p w14:paraId="756FAD9C" w14:textId="77777777" w:rsidR="007D58FF" w:rsidRPr="005C69A6" w:rsidRDefault="007D58FF" w:rsidP="00893161">
            <w:pPr>
              <w:spacing w:line="240" w:lineRule="auto"/>
              <w:jc w:val="center"/>
            </w:pPr>
          </w:p>
        </w:tc>
        <w:tc>
          <w:tcPr>
            <w:tcW w:w="7920" w:type="dxa"/>
            <w:vAlign w:val="center"/>
          </w:tcPr>
          <w:p w14:paraId="5864299D" w14:textId="77777777" w:rsidR="007D58FF" w:rsidRPr="005C69A6" w:rsidRDefault="00077C0B" w:rsidP="00893161">
            <w:pPr>
              <w:spacing w:line="240" w:lineRule="auto"/>
              <w:jc w:val="center"/>
            </w:pPr>
            <m:oMathPara>
              <m:oMath>
                <m:f>
                  <m:fPr>
                    <m:ctrlPr>
                      <w:rPr>
                        <w:rFonts w:ascii="Cambria Math" w:hAnsi="Cambria Math"/>
                        <w:i/>
                        <w:iCs/>
                      </w:rPr>
                    </m:ctrlPr>
                  </m:fPr>
                  <m:num>
                    <m:r>
                      <w:rPr>
                        <w:rFonts w:ascii="Cambria Math" w:hAnsi="Cambria Math"/>
                      </w:rPr>
                      <m:t>P</m:t>
                    </m:r>
                  </m:num>
                  <m:den>
                    <m:r>
                      <w:rPr>
                        <w:rFonts w:ascii="Cambria Math" w:hAnsi="Cambria Math"/>
                      </w:rPr>
                      <m:t>z</m:t>
                    </m:r>
                  </m:den>
                </m:f>
                <m:d>
                  <m:dPr>
                    <m:ctrlPr>
                      <w:rPr>
                        <w:rFonts w:ascii="Cambria Math" w:hAnsi="Cambria Math"/>
                        <w:i/>
                        <w:iCs/>
                      </w:rPr>
                    </m:ctrlPr>
                  </m:dPr>
                  <m:e>
                    <m:f>
                      <m:fPr>
                        <m:ctrlPr>
                          <w:rPr>
                            <w:rFonts w:ascii="Cambria Math" w:hAnsi="Cambria Math"/>
                            <w:i/>
                            <w:iCs/>
                          </w:rPr>
                        </m:ctrlPr>
                      </m:fPr>
                      <m:num>
                        <m:r>
                          <w:rPr>
                            <w:rFonts w:ascii="Cambria Math" w:hAnsi="Cambria Math"/>
                          </w:rPr>
                          <m:t>V</m:t>
                        </m:r>
                      </m:num>
                      <m:den>
                        <m:r>
                          <w:rPr>
                            <w:rFonts w:ascii="Cambria Math" w:hAnsi="Cambria Math"/>
                          </w:rPr>
                          <m:t>t</m:t>
                        </m:r>
                      </m:den>
                    </m:f>
                  </m:e>
                </m:d>
                <m:r>
                  <w:rPr>
                    <w:rFonts w:ascii="Cambria Math" w:hAnsi="Cambria Math"/>
                  </w:rPr>
                  <m:t>=</m:t>
                </m:r>
                <m:f>
                  <m:fPr>
                    <m:ctrlPr>
                      <w:rPr>
                        <w:rFonts w:ascii="Cambria Math" w:hAnsi="Cambria Math"/>
                        <w:i/>
                        <w:iCs/>
                      </w:rPr>
                    </m:ctrlPr>
                  </m:fPr>
                  <m:num>
                    <m:r>
                      <w:rPr>
                        <w:rFonts w:ascii="Cambria Math" w:hAnsi="Cambria Math"/>
                      </w:rPr>
                      <m:t>PQ</m:t>
                    </m:r>
                  </m:num>
                  <m:den>
                    <m:r>
                      <w:rPr>
                        <w:rFonts w:ascii="Cambria Math" w:hAnsi="Cambria Math"/>
                      </w:rPr>
                      <m:t>z</m:t>
                    </m:r>
                  </m:den>
                </m:f>
                <m:r>
                  <w:rPr>
                    <w:rFonts w:ascii="Cambria Math" w:hAnsi="Cambria Math"/>
                  </w:rPr>
                  <m:t>=</m:t>
                </m:r>
                <m:f>
                  <m:fPr>
                    <m:ctrlPr>
                      <w:rPr>
                        <w:rFonts w:ascii="Cambria Math" w:hAnsi="Cambria Math"/>
                        <w:i/>
                        <w:iCs/>
                      </w:rPr>
                    </m:ctrlPr>
                  </m:fPr>
                  <m:num>
                    <m:r>
                      <w:rPr>
                        <w:rFonts w:ascii="Cambria Math" w:hAnsi="Cambria Math"/>
                      </w:rPr>
                      <m:t>nRT</m:t>
                    </m:r>
                  </m:num>
                  <m:den>
                    <m:r>
                      <w:rPr>
                        <w:rFonts w:ascii="Cambria Math" w:hAnsi="Cambria Math"/>
                      </w:rPr>
                      <m:t>t</m:t>
                    </m:r>
                  </m:den>
                </m:f>
              </m:oMath>
            </m:oMathPara>
          </w:p>
        </w:tc>
        <w:tc>
          <w:tcPr>
            <w:tcW w:w="720" w:type="dxa"/>
            <w:vAlign w:val="bottom"/>
          </w:tcPr>
          <w:p w14:paraId="159D5443" w14:textId="5B5478E9" w:rsidR="007D58FF" w:rsidRPr="005C69A6" w:rsidRDefault="00077C0B" w:rsidP="00BC23AD">
            <w:pPr>
              <w:pStyle w:val="Caption"/>
              <w:rPr>
                <w:i/>
              </w:rPr>
            </w:pPr>
            <w:r>
              <w:fldChar w:fldCharType="begin"/>
            </w:r>
            <w:r>
              <w:instrText xml:space="preserve"> STYLEREF 1 \s </w:instrText>
            </w:r>
            <w:r>
              <w:fldChar w:fldCharType="separate"/>
            </w:r>
            <w:r w:rsidR="0006023A">
              <w:rPr>
                <w:noProof/>
              </w:rPr>
              <w:t>4</w:t>
            </w:r>
            <w:r>
              <w:rPr>
                <w:noProof/>
              </w:rPr>
              <w:fldChar w:fldCharType="end"/>
            </w:r>
            <w:r w:rsidR="007D58FF" w:rsidRPr="005C69A6">
              <w:t>.</w:t>
            </w:r>
            <w:r>
              <w:fldChar w:fldCharType="begin"/>
            </w:r>
            <w:r>
              <w:instrText xml:space="preserve"> SEQ Equation \* ARABIC \s 1 </w:instrText>
            </w:r>
            <w:r>
              <w:fldChar w:fldCharType="separate"/>
            </w:r>
            <w:r w:rsidR="0006023A">
              <w:rPr>
                <w:noProof/>
              </w:rPr>
              <w:t>18</w:t>
            </w:r>
            <w:r>
              <w:rPr>
                <w:noProof/>
              </w:rPr>
              <w:fldChar w:fldCharType="end"/>
            </w:r>
          </w:p>
        </w:tc>
      </w:tr>
    </w:tbl>
    <w:p w14:paraId="21D634C2" w14:textId="77777777" w:rsidR="007D58FF" w:rsidRPr="005C69A6" w:rsidRDefault="007D58FF" w:rsidP="007D58FF"/>
    <w:p w14:paraId="31B2BFE8" w14:textId="77777777" w:rsidR="007D58FF" w:rsidRPr="005C69A6" w:rsidRDefault="007D58FF" w:rsidP="007D58FF">
      <w:r w:rsidRPr="005C69A6">
        <w:tab/>
        <w:t>Boyle’s law gives,</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7D58FF" w:rsidRPr="005C69A6" w14:paraId="4428BA04" w14:textId="77777777" w:rsidTr="00893161">
        <w:trPr>
          <w:trHeight w:val="576"/>
        </w:trPr>
        <w:tc>
          <w:tcPr>
            <w:tcW w:w="720" w:type="dxa"/>
            <w:vAlign w:val="center"/>
          </w:tcPr>
          <w:p w14:paraId="3179016C" w14:textId="77777777" w:rsidR="007D58FF" w:rsidRPr="005C69A6" w:rsidRDefault="007D58FF" w:rsidP="00893161">
            <w:pPr>
              <w:spacing w:line="240" w:lineRule="auto"/>
              <w:jc w:val="center"/>
            </w:pPr>
          </w:p>
        </w:tc>
        <w:tc>
          <w:tcPr>
            <w:tcW w:w="7920" w:type="dxa"/>
            <w:vAlign w:val="center"/>
          </w:tcPr>
          <w:p w14:paraId="0A38536B" w14:textId="77777777" w:rsidR="007D58FF" w:rsidRPr="005C69A6" w:rsidRDefault="00077C0B" w:rsidP="00893161">
            <w:pPr>
              <w:spacing w:line="240" w:lineRule="auto"/>
              <w:jc w:val="center"/>
            </w:pPr>
            <m:oMathPara>
              <m:oMath>
                <m:f>
                  <m:fPr>
                    <m:ctrlPr>
                      <w:rPr>
                        <w:rFonts w:ascii="Cambria Math" w:hAnsi="Cambria Math"/>
                        <w:i/>
                        <w:iCs/>
                      </w:rPr>
                    </m:ctrlPr>
                  </m:fPr>
                  <m:num>
                    <m:sSub>
                      <m:sSubPr>
                        <m:ctrlPr>
                          <w:rPr>
                            <w:rFonts w:ascii="Cambria Math" w:hAnsi="Cambria Math"/>
                            <w:i/>
                            <w:iCs/>
                          </w:rPr>
                        </m:ctrlPr>
                      </m:sSubPr>
                      <m:e>
                        <m:r>
                          <w:rPr>
                            <w:rFonts w:ascii="Cambria Math" w:hAnsi="Cambria Math"/>
                          </w:rPr>
                          <m:t>P</m:t>
                        </m:r>
                      </m:e>
                      <m:sub>
                        <m:r>
                          <w:rPr>
                            <w:rFonts w:ascii="Cambria Math" w:hAnsi="Cambria Math"/>
                          </w:rPr>
                          <m:t>1</m:t>
                        </m:r>
                      </m:sub>
                    </m:sSub>
                    <m:sSub>
                      <m:sSubPr>
                        <m:ctrlPr>
                          <w:rPr>
                            <w:rFonts w:ascii="Cambria Math" w:hAnsi="Cambria Math"/>
                            <w:i/>
                            <w:iCs/>
                          </w:rPr>
                        </m:ctrlPr>
                      </m:sSubPr>
                      <m:e>
                        <m:r>
                          <w:rPr>
                            <w:rFonts w:ascii="Cambria Math" w:hAnsi="Cambria Math"/>
                          </w:rPr>
                          <m:t>V</m:t>
                        </m:r>
                      </m:e>
                      <m:sub>
                        <m:r>
                          <w:rPr>
                            <w:rFonts w:ascii="Cambria Math" w:hAnsi="Cambria Math"/>
                          </w:rPr>
                          <m:t>1</m:t>
                        </m:r>
                      </m:sub>
                    </m:sSub>
                  </m:num>
                  <m:den>
                    <m:sSub>
                      <m:sSubPr>
                        <m:ctrlPr>
                          <w:rPr>
                            <w:rFonts w:ascii="Cambria Math" w:hAnsi="Cambria Math"/>
                            <w:i/>
                            <w:iCs/>
                          </w:rPr>
                        </m:ctrlPr>
                      </m:sSubPr>
                      <m:e>
                        <m:r>
                          <w:rPr>
                            <w:rFonts w:ascii="Cambria Math" w:hAnsi="Cambria Math"/>
                          </w:rPr>
                          <m:t>z</m:t>
                        </m:r>
                      </m:e>
                      <m:sub>
                        <m:r>
                          <w:rPr>
                            <w:rFonts w:ascii="Cambria Math" w:hAnsi="Cambria Math"/>
                          </w:rPr>
                          <m:t>1</m:t>
                        </m:r>
                      </m:sub>
                    </m:sSub>
                  </m:den>
                </m:f>
                <m:r>
                  <w:rPr>
                    <w:rFonts w:ascii="Cambria Math" w:hAnsi="Cambria Math"/>
                  </w:rPr>
                  <m:t>=</m:t>
                </m:r>
                <m:f>
                  <m:fPr>
                    <m:ctrlPr>
                      <w:rPr>
                        <w:rFonts w:ascii="Cambria Math" w:hAnsi="Cambria Math"/>
                        <w:i/>
                        <w:iCs/>
                      </w:rPr>
                    </m:ctrlPr>
                  </m:fPr>
                  <m:num>
                    <m:sSub>
                      <m:sSubPr>
                        <m:ctrlPr>
                          <w:rPr>
                            <w:rFonts w:ascii="Cambria Math" w:hAnsi="Cambria Math"/>
                            <w:i/>
                            <w:iCs/>
                          </w:rPr>
                        </m:ctrlPr>
                      </m:sSubPr>
                      <m:e>
                        <m:r>
                          <w:rPr>
                            <w:rFonts w:ascii="Cambria Math" w:hAnsi="Cambria Math"/>
                          </w:rPr>
                          <m:t>P</m:t>
                        </m:r>
                      </m:e>
                      <m:sub>
                        <m:r>
                          <w:rPr>
                            <w:rFonts w:ascii="Cambria Math" w:hAnsi="Cambria Math"/>
                          </w:rPr>
                          <m:t>2</m:t>
                        </m:r>
                      </m:sub>
                    </m:sSub>
                    <m:sSub>
                      <m:sSubPr>
                        <m:ctrlPr>
                          <w:rPr>
                            <w:rFonts w:ascii="Cambria Math" w:hAnsi="Cambria Math"/>
                            <w:i/>
                            <w:iCs/>
                          </w:rPr>
                        </m:ctrlPr>
                      </m:sSubPr>
                      <m:e>
                        <m:r>
                          <w:rPr>
                            <w:rFonts w:ascii="Cambria Math" w:hAnsi="Cambria Math"/>
                          </w:rPr>
                          <m:t>V</m:t>
                        </m:r>
                      </m:e>
                      <m:sub>
                        <m:r>
                          <w:rPr>
                            <w:rFonts w:ascii="Cambria Math" w:hAnsi="Cambria Math"/>
                          </w:rPr>
                          <m:t>2</m:t>
                        </m:r>
                      </m:sub>
                    </m:sSub>
                  </m:num>
                  <m:den>
                    <m:sSub>
                      <m:sSubPr>
                        <m:ctrlPr>
                          <w:rPr>
                            <w:rFonts w:ascii="Cambria Math" w:hAnsi="Cambria Math"/>
                            <w:i/>
                            <w:iCs/>
                          </w:rPr>
                        </m:ctrlPr>
                      </m:sSubPr>
                      <m:e>
                        <m:r>
                          <w:rPr>
                            <w:rFonts w:ascii="Cambria Math" w:hAnsi="Cambria Math"/>
                          </w:rPr>
                          <m:t>z</m:t>
                        </m:r>
                      </m:e>
                      <m:sub>
                        <m:r>
                          <w:rPr>
                            <w:rFonts w:ascii="Cambria Math" w:hAnsi="Cambria Math"/>
                          </w:rPr>
                          <m:t>2</m:t>
                        </m:r>
                      </m:sub>
                    </m:sSub>
                  </m:den>
                </m:f>
              </m:oMath>
            </m:oMathPara>
          </w:p>
        </w:tc>
        <w:tc>
          <w:tcPr>
            <w:tcW w:w="720" w:type="dxa"/>
            <w:vAlign w:val="bottom"/>
          </w:tcPr>
          <w:p w14:paraId="2DE4F8C7" w14:textId="3BACB70A" w:rsidR="007D58FF" w:rsidRPr="005C69A6" w:rsidRDefault="00077C0B" w:rsidP="00BC23AD">
            <w:pPr>
              <w:pStyle w:val="Caption"/>
              <w:rPr>
                <w:i/>
              </w:rPr>
            </w:pPr>
            <w:r>
              <w:fldChar w:fldCharType="begin"/>
            </w:r>
            <w:r>
              <w:instrText xml:space="preserve"> STYLEREF 1 \s </w:instrText>
            </w:r>
            <w:r>
              <w:fldChar w:fldCharType="separate"/>
            </w:r>
            <w:r w:rsidR="0006023A">
              <w:rPr>
                <w:noProof/>
              </w:rPr>
              <w:t>4</w:t>
            </w:r>
            <w:r>
              <w:rPr>
                <w:noProof/>
              </w:rPr>
              <w:fldChar w:fldCharType="end"/>
            </w:r>
            <w:r w:rsidR="007D58FF" w:rsidRPr="005C69A6">
              <w:t>.</w:t>
            </w:r>
            <w:r>
              <w:fldChar w:fldCharType="begin"/>
            </w:r>
            <w:r>
              <w:instrText xml:space="preserve"> SEQ Equation \* ARABIC \s 1 </w:instrText>
            </w:r>
            <w:r>
              <w:fldChar w:fldCharType="separate"/>
            </w:r>
            <w:r w:rsidR="0006023A">
              <w:rPr>
                <w:noProof/>
              </w:rPr>
              <w:t>19</w:t>
            </w:r>
            <w:r>
              <w:rPr>
                <w:noProof/>
              </w:rPr>
              <w:fldChar w:fldCharType="end"/>
            </w:r>
          </w:p>
        </w:tc>
      </w:tr>
    </w:tbl>
    <w:p w14:paraId="69750F7B" w14:textId="77777777" w:rsidR="007D58FF" w:rsidRPr="005C69A6" w:rsidRDefault="007D58FF" w:rsidP="007D58FF"/>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7D58FF" w:rsidRPr="005C69A6" w14:paraId="2A51381D" w14:textId="77777777" w:rsidTr="00893161">
        <w:trPr>
          <w:trHeight w:val="576"/>
        </w:trPr>
        <w:tc>
          <w:tcPr>
            <w:tcW w:w="720" w:type="dxa"/>
            <w:vAlign w:val="center"/>
          </w:tcPr>
          <w:p w14:paraId="4ADFCE54" w14:textId="77777777" w:rsidR="007D58FF" w:rsidRPr="005C69A6" w:rsidRDefault="007D58FF" w:rsidP="00893161">
            <w:pPr>
              <w:spacing w:line="240" w:lineRule="auto"/>
              <w:jc w:val="center"/>
            </w:pPr>
          </w:p>
        </w:tc>
        <w:tc>
          <w:tcPr>
            <w:tcW w:w="7920" w:type="dxa"/>
            <w:vAlign w:val="center"/>
          </w:tcPr>
          <w:p w14:paraId="06FB54E5" w14:textId="77777777" w:rsidR="007D58FF" w:rsidRPr="005C69A6" w:rsidRDefault="00077C0B" w:rsidP="00893161">
            <w:pPr>
              <w:spacing w:line="240" w:lineRule="auto"/>
              <w:jc w:val="center"/>
            </w:pPr>
            <m:oMathPara>
              <m:oMath>
                <m:f>
                  <m:fPr>
                    <m:ctrlPr>
                      <w:rPr>
                        <w:rFonts w:ascii="Cambria Math" w:hAnsi="Cambria Math"/>
                        <w:i/>
                        <w:iCs/>
                      </w:rPr>
                    </m:ctrlPr>
                  </m:fPr>
                  <m:num>
                    <m:r>
                      <w:rPr>
                        <w:rFonts w:ascii="Cambria Math" w:hAnsi="Cambria Math"/>
                      </w:rPr>
                      <m:t>QP</m:t>
                    </m:r>
                  </m:num>
                  <m:den>
                    <m:r>
                      <w:rPr>
                        <w:rFonts w:ascii="Cambria Math" w:hAnsi="Cambria Math"/>
                      </w:rPr>
                      <m:t>z</m:t>
                    </m:r>
                  </m:den>
                </m:f>
                <m:r>
                  <w:rPr>
                    <w:rFonts w:ascii="Cambria Math" w:hAnsi="Cambria Math"/>
                  </w:rPr>
                  <m:t>=</m:t>
                </m:r>
                <m:f>
                  <m:fPr>
                    <m:ctrlPr>
                      <w:rPr>
                        <w:rFonts w:ascii="Cambria Math" w:hAnsi="Cambria Math"/>
                        <w:i/>
                        <w:iCs/>
                      </w:rPr>
                    </m:ctrlPr>
                  </m:fPr>
                  <m:num>
                    <m:sSub>
                      <m:sSubPr>
                        <m:ctrlPr>
                          <w:rPr>
                            <w:rFonts w:ascii="Cambria Math" w:hAnsi="Cambria Math"/>
                            <w:i/>
                            <w:iCs/>
                          </w:rPr>
                        </m:ctrlPr>
                      </m:sSubPr>
                      <m:e>
                        <m:r>
                          <w:rPr>
                            <w:rFonts w:ascii="Cambria Math" w:hAnsi="Cambria Math"/>
                          </w:rPr>
                          <m:t>Q</m:t>
                        </m:r>
                      </m:e>
                      <m:sub>
                        <m:r>
                          <w:rPr>
                            <w:rFonts w:ascii="Cambria Math" w:hAnsi="Cambria Math"/>
                          </w:rPr>
                          <m:t>1</m:t>
                        </m:r>
                      </m:sub>
                    </m:sSub>
                    <m:sSub>
                      <m:sSubPr>
                        <m:ctrlPr>
                          <w:rPr>
                            <w:rFonts w:ascii="Cambria Math" w:hAnsi="Cambria Math"/>
                            <w:i/>
                            <w:iCs/>
                          </w:rPr>
                        </m:ctrlPr>
                      </m:sSubPr>
                      <m:e>
                        <m:r>
                          <w:rPr>
                            <w:rFonts w:ascii="Cambria Math" w:hAnsi="Cambria Math"/>
                          </w:rPr>
                          <m:t>P</m:t>
                        </m:r>
                      </m:e>
                      <m:sub>
                        <m:r>
                          <w:rPr>
                            <w:rFonts w:ascii="Cambria Math" w:hAnsi="Cambria Math"/>
                          </w:rPr>
                          <m:t>1</m:t>
                        </m:r>
                      </m:sub>
                    </m:sSub>
                  </m:num>
                  <m:den>
                    <m:sSub>
                      <m:sSubPr>
                        <m:ctrlPr>
                          <w:rPr>
                            <w:rFonts w:ascii="Cambria Math" w:hAnsi="Cambria Math"/>
                            <w:i/>
                            <w:iCs/>
                          </w:rPr>
                        </m:ctrlPr>
                      </m:sSubPr>
                      <m:e>
                        <m:r>
                          <w:rPr>
                            <w:rFonts w:ascii="Cambria Math" w:hAnsi="Cambria Math"/>
                          </w:rPr>
                          <m:t>z</m:t>
                        </m:r>
                      </m:e>
                      <m:sub>
                        <m:r>
                          <w:rPr>
                            <w:rFonts w:ascii="Cambria Math" w:hAnsi="Cambria Math"/>
                          </w:rPr>
                          <m:t>1</m:t>
                        </m:r>
                      </m:sub>
                    </m:sSub>
                  </m:den>
                </m:f>
                <m:r>
                  <w:rPr>
                    <w:rFonts w:ascii="Cambria Math" w:hAnsi="Cambria Math"/>
                  </w:rPr>
                  <m:t> =</m:t>
                </m:r>
                <m:f>
                  <m:fPr>
                    <m:ctrlPr>
                      <w:rPr>
                        <w:rFonts w:ascii="Cambria Math" w:hAnsi="Cambria Math"/>
                        <w:i/>
                        <w:iCs/>
                      </w:rPr>
                    </m:ctrlPr>
                  </m:fPr>
                  <m:num>
                    <m:sSub>
                      <m:sSubPr>
                        <m:ctrlPr>
                          <w:rPr>
                            <w:rFonts w:ascii="Cambria Math" w:hAnsi="Cambria Math"/>
                            <w:i/>
                            <w:iCs/>
                          </w:rPr>
                        </m:ctrlPr>
                      </m:sSubPr>
                      <m:e>
                        <m:r>
                          <w:rPr>
                            <w:rFonts w:ascii="Cambria Math" w:hAnsi="Cambria Math"/>
                          </w:rPr>
                          <m:t>Q</m:t>
                        </m:r>
                      </m:e>
                      <m:sub>
                        <m:r>
                          <w:rPr>
                            <w:rFonts w:ascii="Cambria Math" w:hAnsi="Cambria Math"/>
                          </w:rPr>
                          <m:t>2</m:t>
                        </m:r>
                      </m:sub>
                    </m:sSub>
                    <m:sSub>
                      <m:sSubPr>
                        <m:ctrlPr>
                          <w:rPr>
                            <w:rFonts w:ascii="Cambria Math" w:hAnsi="Cambria Math"/>
                            <w:i/>
                            <w:iCs/>
                          </w:rPr>
                        </m:ctrlPr>
                      </m:sSubPr>
                      <m:e>
                        <m:r>
                          <w:rPr>
                            <w:rFonts w:ascii="Cambria Math" w:hAnsi="Cambria Math"/>
                          </w:rPr>
                          <m:t>P</m:t>
                        </m:r>
                      </m:e>
                      <m:sub>
                        <m:r>
                          <w:rPr>
                            <w:rFonts w:ascii="Cambria Math" w:hAnsi="Cambria Math"/>
                          </w:rPr>
                          <m:t>2</m:t>
                        </m:r>
                      </m:sub>
                    </m:sSub>
                  </m:num>
                  <m:den>
                    <m:sSub>
                      <m:sSubPr>
                        <m:ctrlPr>
                          <w:rPr>
                            <w:rFonts w:ascii="Cambria Math" w:hAnsi="Cambria Math"/>
                            <w:i/>
                            <w:iCs/>
                          </w:rPr>
                        </m:ctrlPr>
                      </m:sSubPr>
                      <m:e>
                        <m:r>
                          <w:rPr>
                            <w:rFonts w:ascii="Cambria Math" w:hAnsi="Cambria Math"/>
                          </w:rPr>
                          <m:t>z</m:t>
                        </m:r>
                      </m:e>
                      <m:sub>
                        <m:r>
                          <w:rPr>
                            <w:rFonts w:ascii="Cambria Math" w:hAnsi="Cambria Math"/>
                          </w:rPr>
                          <m:t>2</m:t>
                        </m:r>
                      </m:sub>
                    </m:sSub>
                  </m:den>
                </m:f>
              </m:oMath>
            </m:oMathPara>
          </w:p>
        </w:tc>
        <w:tc>
          <w:tcPr>
            <w:tcW w:w="720" w:type="dxa"/>
            <w:vAlign w:val="bottom"/>
          </w:tcPr>
          <w:p w14:paraId="72F489A3" w14:textId="5489B635" w:rsidR="007D58FF" w:rsidRPr="005C69A6" w:rsidRDefault="00077C0B" w:rsidP="00BC23AD">
            <w:pPr>
              <w:pStyle w:val="Caption"/>
              <w:rPr>
                <w:i/>
              </w:rPr>
            </w:pPr>
            <w:r>
              <w:fldChar w:fldCharType="begin"/>
            </w:r>
            <w:r>
              <w:instrText xml:space="preserve"> STYLEREF 1 \s </w:instrText>
            </w:r>
            <w:r>
              <w:fldChar w:fldCharType="separate"/>
            </w:r>
            <w:r w:rsidR="0006023A">
              <w:rPr>
                <w:noProof/>
              </w:rPr>
              <w:t>4</w:t>
            </w:r>
            <w:r>
              <w:rPr>
                <w:noProof/>
              </w:rPr>
              <w:fldChar w:fldCharType="end"/>
            </w:r>
            <w:r w:rsidR="007D58FF" w:rsidRPr="005C69A6">
              <w:t>.</w:t>
            </w:r>
            <w:r>
              <w:fldChar w:fldCharType="begin"/>
            </w:r>
            <w:r>
              <w:instrText xml:space="preserve"> SEQ Equation \* ARABIC \s 1 </w:instrText>
            </w:r>
            <w:r>
              <w:fldChar w:fldCharType="separate"/>
            </w:r>
            <w:r w:rsidR="0006023A">
              <w:rPr>
                <w:noProof/>
              </w:rPr>
              <w:t>20</w:t>
            </w:r>
            <w:r>
              <w:rPr>
                <w:noProof/>
              </w:rPr>
              <w:fldChar w:fldCharType="end"/>
            </w:r>
          </w:p>
        </w:tc>
      </w:tr>
    </w:tbl>
    <w:p w14:paraId="08E27ACB" w14:textId="77777777" w:rsidR="007D58FF" w:rsidRPr="005C69A6" w:rsidRDefault="007D58FF" w:rsidP="007D58FF"/>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7D58FF" w:rsidRPr="005C69A6" w14:paraId="2047CA32" w14:textId="77777777" w:rsidTr="00893161">
        <w:trPr>
          <w:trHeight w:val="576"/>
        </w:trPr>
        <w:tc>
          <w:tcPr>
            <w:tcW w:w="720" w:type="dxa"/>
            <w:vAlign w:val="center"/>
          </w:tcPr>
          <w:p w14:paraId="738D7172" w14:textId="77777777" w:rsidR="007D58FF" w:rsidRPr="005C69A6" w:rsidRDefault="007D58FF" w:rsidP="00893161">
            <w:pPr>
              <w:spacing w:line="240" w:lineRule="auto"/>
              <w:jc w:val="center"/>
            </w:pPr>
          </w:p>
        </w:tc>
        <w:tc>
          <w:tcPr>
            <w:tcW w:w="7920" w:type="dxa"/>
            <w:vAlign w:val="center"/>
          </w:tcPr>
          <w:p w14:paraId="144608FE" w14:textId="77777777" w:rsidR="007D58FF" w:rsidRPr="005C69A6" w:rsidRDefault="007D58FF" w:rsidP="00893161">
            <w:pPr>
              <w:spacing w:line="240" w:lineRule="auto"/>
              <w:jc w:val="center"/>
            </w:pPr>
            <m:oMathPara>
              <m:oMath>
                <m:r>
                  <w:rPr>
                    <w:rFonts w:ascii="Cambria Math" w:hAnsi="Cambria Math"/>
                  </w:rPr>
                  <m:t>Q=</m:t>
                </m:r>
                <m:f>
                  <m:fPr>
                    <m:ctrlPr>
                      <w:rPr>
                        <w:rFonts w:ascii="Cambria Math" w:hAnsi="Cambria Math"/>
                        <w:i/>
                        <w:iCs/>
                      </w:rPr>
                    </m:ctrlPr>
                  </m:fPr>
                  <m:num>
                    <m:sSub>
                      <m:sSubPr>
                        <m:ctrlPr>
                          <w:rPr>
                            <w:rFonts w:ascii="Cambria Math" w:hAnsi="Cambria Math"/>
                            <w:i/>
                            <w:iCs/>
                          </w:rPr>
                        </m:ctrlPr>
                      </m:sSubPr>
                      <m:e>
                        <m:r>
                          <w:rPr>
                            <w:rFonts w:ascii="Cambria Math" w:hAnsi="Cambria Math"/>
                          </w:rPr>
                          <m:t>Q</m:t>
                        </m:r>
                      </m:e>
                      <m:sub>
                        <m:r>
                          <w:rPr>
                            <w:rFonts w:ascii="Cambria Math" w:hAnsi="Cambria Math"/>
                          </w:rPr>
                          <m:t>2</m:t>
                        </m:r>
                      </m:sub>
                    </m:sSub>
                    <m:sSub>
                      <m:sSubPr>
                        <m:ctrlPr>
                          <w:rPr>
                            <w:rFonts w:ascii="Cambria Math" w:hAnsi="Cambria Math"/>
                            <w:i/>
                            <w:iCs/>
                          </w:rPr>
                        </m:ctrlPr>
                      </m:sSubPr>
                      <m:e>
                        <m:r>
                          <w:rPr>
                            <w:rFonts w:ascii="Cambria Math" w:hAnsi="Cambria Math"/>
                          </w:rPr>
                          <m:t>P</m:t>
                        </m:r>
                      </m:e>
                      <m:sub>
                        <m:r>
                          <w:rPr>
                            <w:rFonts w:ascii="Cambria Math" w:hAnsi="Cambria Math"/>
                          </w:rPr>
                          <m:t>2</m:t>
                        </m:r>
                      </m:sub>
                    </m:sSub>
                    <m:r>
                      <w:rPr>
                        <w:rFonts w:ascii="Cambria Math" w:hAnsi="Cambria Math"/>
                      </w:rPr>
                      <m:t>z</m:t>
                    </m:r>
                  </m:num>
                  <m:den>
                    <m:r>
                      <w:rPr>
                        <w:rFonts w:ascii="Cambria Math" w:hAnsi="Cambria Math"/>
                      </w:rPr>
                      <m:t>P</m:t>
                    </m:r>
                    <m:sSub>
                      <m:sSubPr>
                        <m:ctrlPr>
                          <w:rPr>
                            <w:rFonts w:ascii="Cambria Math" w:hAnsi="Cambria Math"/>
                            <w:i/>
                            <w:iCs/>
                          </w:rPr>
                        </m:ctrlPr>
                      </m:sSubPr>
                      <m:e>
                        <m:r>
                          <w:rPr>
                            <w:rFonts w:ascii="Cambria Math" w:hAnsi="Cambria Math"/>
                          </w:rPr>
                          <m:t>z</m:t>
                        </m:r>
                      </m:e>
                      <m:sub>
                        <m:r>
                          <w:rPr>
                            <w:rFonts w:ascii="Cambria Math" w:hAnsi="Cambria Math"/>
                          </w:rPr>
                          <m:t>2</m:t>
                        </m:r>
                      </m:sub>
                    </m:sSub>
                  </m:den>
                </m:f>
              </m:oMath>
            </m:oMathPara>
          </w:p>
        </w:tc>
        <w:tc>
          <w:tcPr>
            <w:tcW w:w="720" w:type="dxa"/>
            <w:vAlign w:val="bottom"/>
          </w:tcPr>
          <w:p w14:paraId="5DD3C560" w14:textId="4E525A23" w:rsidR="007D58FF" w:rsidRPr="005C69A6" w:rsidRDefault="00077C0B" w:rsidP="00BC23AD">
            <w:pPr>
              <w:pStyle w:val="Caption"/>
              <w:rPr>
                <w:i/>
              </w:rPr>
            </w:pPr>
            <w:r>
              <w:fldChar w:fldCharType="begin"/>
            </w:r>
            <w:r>
              <w:instrText xml:space="preserve"> STYLEREF 1 \s </w:instrText>
            </w:r>
            <w:r>
              <w:fldChar w:fldCharType="separate"/>
            </w:r>
            <w:r w:rsidR="0006023A">
              <w:rPr>
                <w:noProof/>
              </w:rPr>
              <w:t>4</w:t>
            </w:r>
            <w:r>
              <w:rPr>
                <w:noProof/>
              </w:rPr>
              <w:fldChar w:fldCharType="end"/>
            </w:r>
            <w:r w:rsidR="007D58FF" w:rsidRPr="005C69A6">
              <w:t>.</w:t>
            </w:r>
            <w:r>
              <w:fldChar w:fldCharType="begin"/>
            </w:r>
            <w:r>
              <w:instrText xml:space="preserve"> SEQ Equation \* ARABIC \s 1 </w:instrText>
            </w:r>
            <w:r>
              <w:fldChar w:fldCharType="separate"/>
            </w:r>
            <w:r w:rsidR="0006023A">
              <w:rPr>
                <w:noProof/>
              </w:rPr>
              <w:t>21</w:t>
            </w:r>
            <w:r>
              <w:rPr>
                <w:noProof/>
              </w:rPr>
              <w:fldChar w:fldCharType="end"/>
            </w:r>
          </w:p>
        </w:tc>
      </w:tr>
    </w:tbl>
    <w:p w14:paraId="7D249D3A" w14:textId="77777777" w:rsidR="007D58FF" w:rsidRPr="005C69A6" w:rsidRDefault="007D58FF" w:rsidP="007D58FF"/>
    <w:p w14:paraId="00B0BBB3" w14:textId="5852249C" w:rsidR="007D58FF" w:rsidRPr="005C69A6" w:rsidRDefault="007D58FF" w:rsidP="007D58FF">
      <w:pPr>
        <w:ind w:firstLine="720"/>
      </w:pPr>
      <w:r w:rsidRPr="005C69A6">
        <w:t xml:space="preserve">Then the </w:t>
      </w:r>
      <m:oMath>
        <m:r>
          <w:rPr>
            <w:rFonts w:ascii="Cambria Math" w:hAnsi="Cambria Math"/>
          </w:rPr>
          <m:t>Q</m:t>
        </m:r>
      </m:oMath>
      <w:r w:rsidRPr="005C69A6">
        <w:t xml:space="preserve"> for a</w:t>
      </w:r>
      <w:r w:rsidR="00893161" w:rsidRPr="005C69A6">
        <w:t xml:space="preserve"> real gas can be represented as,</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7D58FF" w:rsidRPr="005C69A6" w14:paraId="4D906473" w14:textId="77777777" w:rsidTr="00893161">
        <w:trPr>
          <w:trHeight w:val="576"/>
        </w:trPr>
        <w:tc>
          <w:tcPr>
            <w:tcW w:w="720" w:type="dxa"/>
            <w:vAlign w:val="center"/>
          </w:tcPr>
          <w:p w14:paraId="171D7ECC" w14:textId="77777777" w:rsidR="007D58FF" w:rsidRPr="005C69A6" w:rsidRDefault="007D58FF" w:rsidP="00893161">
            <w:pPr>
              <w:spacing w:line="240" w:lineRule="auto"/>
              <w:jc w:val="center"/>
            </w:pPr>
          </w:p>
        </w:tc>
        <w:tc>
          <w:tcPr>
            <w:tcW w:w="7920" w:type="dxa"/>
            <w:vAlign w:val="center"/>
          </w:tcPr>
          <w:p w14:paraId="61961780" w14:textId="77777777" w:rsidR="007D58FF" w:rsidRPr="005C69A6" w:rsidRDefault="007D58FF" w:rsidP="00893161">
            <w:pPr>
              <w:spacing w:line="240" w:lineRule="auto"/>
              <w:jc w:val="center"/>
            </w:pPr>
            <m:oMathPara>
              <m:oMath>
                <m:r>
                  <w:rPr>
                    <w:rFonts w:ascii="Cambria Math" w:hAnsi="Cambria Math"/>
                  </w:rPr>
                  <m:t>Q=</m:t>
                </m:r>
                <m:f>
                  <m:fPr>
                    <m:ctrlPr>
                      <w:rPr>
                        <w:rFonts w:ascii="Cambria Math" w:hAnsi="Cambria Math"/>
                        <w:i/>
                        <w:iCs/>
                      </w:rPr>
                    </m:ctrlPr>
                  </m:fPr>
                  <m:num>
                    <m:r>
                      <w:rPr>
                        <w:rFonts w:ascii="Cambria Math" w:hAnsi="Cambria Math"/>
                      </w:rPr>
                      <m:t>dP</m:t>
                    </m:r>
                  </m:num>
                  <m:den>
                    <m:r>
                      <w:rPr>
                        <w:rFonts w:ascii="Cambria Math" w:hAnsi="Cambria Math"/>
                      </w:rPr>
                      <m:t>dx</m:t>
                    </m:r>
                  </m:den>
                </m:f>
                <m:f>
                  <m:fPr>
                    <m:ctrlPr>
                      <w:rPr>
                        <w:rFonts w:ascii="Cambria Math" w:hAnsi="Cambria Math"/>
                        <w:i/>
                        <w:iCs/>
                      </w:rPr>
                    </m:ctrlPr>
                  </m:fPr>
                  <m:num>
                    <m:r>
                      <w:rPr>
                        <w:rFonts w:ascii="Cambria Math" w:hAnsi="Cambria Math"/>
                      </w:rPr>
                      <m:t>π</m:t>
                    </m:r>
                    <m:sSup>
                      <m:sSupPr>
                        <m:ctrlPr>
                          <w:rPr>
                            <w:rFonts w:ascii="Cambria Math" w:hAnsi="Cambria Math"/>
                            <w:i/>
                            <w:iCs/>
                          </w:rPr>
                        </m:ctrlPr>
                      </m:sSupPr>
                      <m:e>
                        <m:r>
                          <w:rPr>
                            <w:rFonts w:ascii="Cambria Math" w:hAnsi="Cambria Math"/>
                          </w:rPr>
                          <m:t>Dw</m:t>
                        </m:r>
                      </m:e>
                      <m:sup>
                        <m:r>
                          <w:rPr>
                            <w:rFonts w:ascii="Cambria Math" w:hAnsi="Cambria Math"/>
                          </w:rPr>
                          <m:t>3</m:t>
                        </m:r>
                      </m:sup>
                    </m:sSup>
                  </m:num>
                  <m:den>
                    <m:r>
                      <w:rPr>
                        <w:rFonts w:ascii="Cambria Math" w:hAnsi="Cambria Math"/>
                      </w:rPr>
                      <m:t>12μ</m:t>
                    </m:r>
                  </m:den>
                </m:f>
                <m:r>
                  <w:rPr>
                    <w:rFonts w:ascii="Cambria Math" w:hAnsi="Cambria Math"/>
                  </w:rPr>
                  <m:t>⇒</m:t>
                </m:r>
                <m:f>
                  <m:fPr>
                    <m:ctrlPr>
                      <w:rPr>
                        <w:rFonts w:ascii="Cambria Math" w:hAnsi="Cambria Math"/>
                        <w:i/>
                        <w:iCs/>
                      </w:rPr>
                    </m:ctrlPr>
                  </m:fPr>
                  <m:num>
                    <m:r>
                      <w:rPr>
                        <w:rFonts w:ascii="Cambria Math" w:hAnsi="Cambria Math"/>
                      </w:rPr>
                      <m:t>dP</m:t>
                    </m:r>
                  </m:num>
                  <m:den>
                    <m:r>
                      <w:rPr>
                        <w:rFonts w:ascii="Cambria Math" w:hAnsi="Cambria Math"/>
                      </w:rPr>
                      <m:t>dx</m:t>
                    </m:r>
                  </m:den>
                </m:f>
                <m:r>
                  <w:rPr>
                    <w:rFonts w:ascii="Cambria Math" w:hAnsi="Cambria Math"/>
                  </w:rPr>
                  <m:t>=</m:t>
                </m:r>
                <m:f>
                  <m:fPr>
                    <m:ctrlPr>
                      <w:rPr>
                        <w:rFonts w:ascii="Cambria Math" w:hAnsi="Cambria Math"/>
                        <w:i/>
                        <w:iCs/>
                      </w:rPr>
                    </m:ctrlPr>
                  </m:fPr>
                  <m:num>
                    <m:r>
                      <w:rPr>
                        <w:rFonts w:ascii="Cambria Math" w:hAnsi="Cambria Math"/>
                      </w:rPr>
                      <m:t>12μQ</m:t>
                    </m:r>
                  </m:num>
                  <m:den>
                    <m:r>
                      <w:rPr>
                        <w:rFonts w:ascii="Cambria Math" w:hAnsi="Cambria Math"/>
                      </w:rPr>
                      <m:t>π</m:t>
                    </m:r>
                    <m:sSup>
                      <m:sSupPr>
                        <m:ctrlPr>
                          <w:rPr>
                            <w:rFonts w:ascii="Cambria Math" w:hAnsi="Cambria Math"/>
                            <w:i/>
                            <w:iCs/>
                          </w:rPr>
                        </m:ctrlPr>
                      </m:sSupPr>
                      <m:e>
                        <m:r>
                          <w:rPr>
                            <w:rFonts w:ascii="Cambria Math" w:hAnsi="Cambria Math"/>
                          </w:rPr>
                          <m:t>Dw</m:t>
                        </m:r>
                      </m:e>
                      <m:sup>
                        <m:r>
                          <w:rPr>
                            <w:rFonts w:ascii="Cambria Math" w:hAnsi="Cambria Math"/>
                          </w:rPr>
                          <m:t>3</m:t>
                        </m:r>
                      </m:sup>
                    </m:sSup>
                  </m:den>
                </m:f>
                <m:r>
                  <w:rPr>
                    <w:rFonts w:ascii="Cambria Math" w:hAnsi="Cambria Math"/>
                  </w:rPr>
                  <m:t>=</m:t>
                </m:r>
                <m:f>
                  <m:fPr>
                    <m:ctrlPr>
                      <w:rPr>
                        <w:rFonts w:ascii="Cambria Math" w:hAnsi="Cambria Math"/>
                        <w:i/>
                        <w:iCs/>
                      </w:rPr>
                    </m:ctrlPr>
                  </m:fPr>
                  <m:num>
                    <m:r>
                      <w:rPr>
                        <w:rFonts w:ascii="Cambria Math" w:hAnsi="Cambria Math"/>
                      </w:rPr>
                      <m:t>12μ</m:t>
                    </m:r>
                    <m:sSub>
                      <m:sSubPr>
                        <m:ctrlPr>
                          <w:rPr>
                            <w:rFonts w:ascii="Cambria Math" w:hAnsi="Cambria Math"/>
                            <w:i/>
                            <w:iCs/>
                          </w:rPr>
                        </m:ctrlPr>
                      </m:sSubPr>
                      <m:e>
                        <m:r>
                          <w:rPr>
                            <w:rFonts w:ascii="Cambria Math" w:hAnsi="Cambria Math"/>
                          </w:rPr>
                          <m:t>Q</m:t>
                        </m:r>
                      </m:e>
                      <m:sub>
                        <m:r>
                          <w:rPr>
                            <w:rFonts w:ascii="Cambria Math" w:hAnsi="Cambria Math"/>
                          </w:rPr>
                          <m:t>2</m:t>
                        </m:r>
                      </m:sub>
                    </m:sSub>
                    <m:sSub>
                      <m:sSubPr>
                        <m:ctrlPr>
                          <w:rPr>
                            <w:rFonts w:ascii="Cambria Math" w:hAnsi="Cambria Math"/>
                            <w:i/>
                            <w:iCs/>
                          </w:rPr>
                        </m:ctrlPr>
                      </m:sSubPr>
                      <m:e>
                        <m:r>
                          <w:rPr>
                            <w:rFonts w:ascii="Cambria Math" w:hAnsi="Cambria Math"/>
                          </w:rPr>
                          <m:t>P</m:t>
                        </m:r>
                      </m:e>
                      <m:sub>
                        <m:r>
                          <w:rPr>
                            <w:rFonts w:ascii="Cambria Math" w:hAnsi="Cambria Math"/>
                          </w:rPr>
                          <m:t>2</m:t>
                        </m:r>
                      </m:sub>
                    </m:sSub>
                    <m:r>
                      <w:rPr>
                        <w:rFonts w:ascii="Cambria Math" w:hAnsi="Cambria Math"/>
                      </w:rPr>
                      <m:t>z</m:t>
                    </m:r>
                  </m:num>
                  <m:den>
                    <m:r>
                      <w:rPr>
                        <w:rFonts w:ascii="Cambria Math" w:hAnsi="Cambria Math"/>
                      </w:rPr>
                      <m:t>πD</m:t>
                    </m:r>
                    <m:sSup>
                      <m:sSupPr>
                        <m:ctrlPr>
                          <w:rPr>
                            <w:rFonts w:ascii="Cambria Math" w:hAnsi="Cambria Math"/>
                            <w:i/>
                            <w:iCs/>
                          </w:rPr>
                        </m:ctrlPr>
                      </m:sSupPr>
                      <m:e>
                        <m:r>
                          <w:rPr>
                            <w:rFonts w:ascii="Cambria Math" w:hAnsi="Cambria Math"/>
                          </w:rPr>
                          <m:t>w</m:t>
                        </m:r>
                      </m:e>
                      <m:sup>
                        <m:r>
                          <w:rPr>
                            <w:rFonts w:ascii="Cambria Math" w:hAnsi="Cambria Math"/>
                          </w:rPr>
                          <m:t>3</m:t>
                        </m:r>
                      </m:sup>
                    </m:sSup>
                    <m:r>
                      <w:rPr>
                        <w:rFonts w:ascii="Cambria Math" w:hAnsi="Cambria Math"/>
                      </w:rPr>
                      <m:t>P</m:t>
                    </m:r>
                    <m:sSub>
                      <m:sSubPr>
                        <m:ctrlPr>
                          <w:rPr>
                            <w:rFonts w:ascii="Cambria Math" w:hAnsi="Cambria Math"/>
                            <w:i/>
                            <w:iCs/>
                          </w:rPr>
                        </m:ctrlPr>
                      </m:sSubPr>
                      <m:e>
                        <m:r>
                          <w:rPr>
                            <w:rFonts w:ascii="Cambria Math" w:hAnsi="Cambria Math"/>
                          </w:rPr>
                          <m:t>z</m:t>
                        </m:r>
                      </m:e>
                      <m:sub>
                        <m:r>
                          <w:rPr>
                            <w:rFonts w:ascii="Cambria Math" w:hAnsi="Cambria Math"/>
                          </w:rPr>
                          <m:t>2</m:t>
                        </m:r>
                      </m:sub>
                    </m:sSub>
                  </m:den>
                </m:f>
              </m:oMath>
            </m:oMathPara>
          </w:p>
        </w:tc>
        <w:tc>
          <w:tcPr>
            <w:tcW w:w="720" w:type="dxa"/>
            <w:vAlign w:val="bottom"/>
          </w:tcPr>
          <w:p w14:paraId="5610621A" w14:textId="341B5738" w:rsidR="007D58FF" w:rsidRPr="005C69A6" w:rsidRDefault="00077C0B" w:rsidP="00BC23AD">
            <w:pPr>
              <w:pStyle w:val="Caption"/>
              <w:rPr>
                <w:i/>
              </w:rPr>
            </w:pPr>
            <w:r>
              <w:fldChar w:fldCharType="begin"/>
            </w:r>
            <w:r>
              <w:instrText xml:space="preserve"> STYLEREF 1 \s </w:instrText>
            </w:r>
            <w:r>
              <w:fldChar w:fldCharType="separate"/>
            </w:r>
            <w:r w:rsidR="0006023A">
              <w:rPr>
                <w:noProof/>
              </w:rPr>
              <w:t>4</w:t>
            </w:r>
            <w:r>
              <w:rPr>
                <w:noProof/>
              </w:rPr>
              <w:fldChar w:fldCharType="end"/>
            </w:r>
            <w:r w:rsidR="007D58FF" w:rsidRPr="005C69A6">
              <w:t>.</w:t>
            </w:r>
            <w:r>
              <w:fldChar w:fldCharType="begin"/>
            </w:r>
            <w:r>
              <w:instrText xml:space="preserve"> SEQ Equation \* ARABIC \s 1 </w:instrText>
            </w:r>
            <w:r>
              <w:fldChar w:fldCharType="separate"/>
            </w:r>
            <w:r w:rsidR="0006023A">
              <w:rPr>
                <w:noProof/>
              </w:rPr>
              <w:t>22</w:t>
            </w:r>
            <w:r>
              <w:rPr>
                <w:noProof/>
              </w:rPr>
              <w:fldChar w:fldCharType="end"/>
            </w:r>
          </w:p>
        </w:tc>
      </w:tr>
    </w:tbl>
    <w:p w14:paraId="376A63EC" w14:textId="77777777" w:rsidR="007D58FF" w:rsidRPr="005C69A6" w:rsidRDefault="007D58FF" w:rsidP="007D58FF"/>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7D58FF" w:rsidRPr="005C69A6" w14:paraId="09B32AA6" w14:textId="77777777" w:rsidTr="00893161">
        <w:trPr>
          <w:trHeight w:val="576"/>
        </w:trPr>
        <w:tc>
          <w:tcPr>
            <w:tcW w:w="720" w:type="dxa"/>
            <w:vAlign w:val="center"/>
          </w:tcPr>
          <w:p w14:paraId="07882DE7" w14:textId="77777777" w:rsidR="007D58FF" w:rsidRPr="005C69A6" w:rsidRDefault="007D58FF" w:rsidP="00893161">
            <w:pPr>
              <w:spacing w:line="240" w:lineRule="auto"/>
              <w:jc w:val="center"/>
            </w:pPr>
          </w:p>
        </w:tc>
        <w:tc>
          <w:tcPr>
            <w:tcW w:w="7920" w:type="dxa"/>
            <w:vAlign w:val="center"/>
          </w:tcPr>
          <w:p w14:paraId="0E55B03E" w14:textId="77777777" w:rsidR="007D58FF" w:rsidRPr="005C69A6" w:rsidRDefault="007D58FF" w:rsidP="00893161">
            <w:pPr>
              <w:spacing w:line="240" w:lineRule="auto"/>
              <w:jc w:val="center"/>
            </w:pPr>
            <m:oMathPara>
              <m:oMath>
                <m:r>
                  <w:rPr>
                    <w:rFonts w:ascii="Cambria Math" w:hAnsi="Cambria Math"/>
                  </w:rPr>
                  <m:t>-</m:t>
                </m:r>
                <m:f>
                  <m:fPr>
                    <m:ctrlPr>
                      <w:rPr>
                        <w:rFonts w:ascii="Cambria Math" w:hAnsi="Cambria Math"/>
                        <w:i/>
                        <w:iCs/>
                      </w:rPr>
                    </m:ctrlPr>
                  </m:fPr>
                  <m:num>
                    <m:r>
                      <w:rPr>
                        <w:rFonts w:ascii="Cambria Math" w:hAnsi="Cambria Math"/>
                      </w:rPr>
                      <m:t>dP</m:t>
                    </m:r>
                  </m:num>
                  <m:den>
                    <m:r>
                      <w:rPr>
                        <w:rFonts w:ascii="Cambria Math" w:hAnsi="Cambria Math"/>
                      </w:rPr>
                      <m:t>dx</m:t>
                    </m:r>
                  </m:den>
                </m:f>
                <m:r>
                  <w:rPr>
                    <w:rFonts w:ascii="Cambria Math" w:hAnsi="Cambria Math"/>
                  </w:rPr>
                  <m:t>  =</m:t>
                </m:r>
                <m:f>
                  <m:fPr>
                    <m:ctrlPr>
                      <w:rPr>
                        <w:rFonts w:ascii="Cambria Math" w:hAnsi="Cambria Math"/>
                        <w:i/>
                        <w:iCs/>
                      </w:rPr>
                    </m:ctrlPr>
                  </m:fPr>
                  <m:num>
                    <m:r>
                      <w:rPr>
                        <w:rFonts w:ascii="Cambria Math" w:hAnsi="Cambria Math"/>
                      </w:rPr>
                      <m:t>12μ</m:t>
                    </m:r>
                    <m:sSub>
                      <m:sSubPr>
                        <m:ctrlPr>
                          <w:rPr>
                            <w:rFonts w:ascii="Cambria Math" w:hAnsi="Cambria Math"/>
                            <w:i/>
                            <w:iCs/>
                          </w:rPr>
                        </m:ctrlPr>
                      </m:sSubPr>
                      <m:e>
                        <m:r>
                          <w:rPr>
                            <w:rFonts w:ascii="Cambria Math" w:hAnsi="Cambria Math"/>
                          </w:rPr>
                          <m:t>Q</m:t>
                        </m:r>
                      </m:e>
                      <m:sub>
                        <m:r>
                          <w:rPr>
                            <w:rFonts w:ascii="Cambria Math" w:hAnsi="Cambria Math"/>
                          </w:rPr>
                          <m:t>2</m:t>
                        </m:r>
                      </m:sub>
                    </m:sSub>
                    <m:sSub>
                      <m:sSubPr>
                        <m:ctrlPr>
                          <w:rPr>
                            <w:rFonts w:ascii="Cambria Math" w:hAnsi="Cambria Math"/>
                            <w:i/>
                            <w:iCs/>
                          </w:rPr>
                        </m:ctrlPr>
                      </m:sSubPr>
                      <m:e>
                        <m:r>
                          <w:rPr>
                            <w:rFonts w:ascii="Cambria Math" w:hAnsi="Cambria Math"/>
                          </w:rPr>
                          <m:t>P</m:t>
                        </m:r>
                      </m:e>
                      <m:sub>
                        <m:r>
                          <w:rPr>
                            <w:rFonts w:ascii="Cambria Math" w:hAnsi="Cambria Math"/>
                          </w:rPr>
                          <m:t>2</m:t>
                        </m:r>
                      </m:sub>
                    </m:sSub>
                    <m:r>
                      <w:rPr>
                        <w:rFonts w:ascii="Cambria Math" w:hAnsi="Cambria Math"/>
                      </w:rPr>
                      <m:t>z</m:t>
                    </m:r>
                  </m:num>
                  <m:den>
                    <m:r>
                      <w:rPr>
                        <w:rFonts w:ascii="Cambria Math" w:hAnsi="Cambria Math"/>
                      </w:rPr>
                      <m:t>πD</m:t>
                    </m:r>
                    <m:sSup>
                      <m:sSupPr>
                        <m:ctrlPr>
                          <w:rPr>
                            <w:rFonts w:ascii="Cambria Math" w:hAnsi="Cambria Math"/>
                            <w:i/>
                            <w:iCs/>
                          </w:rPr>
                        </m:ctrlPr>
                      </m:sSupPr>
                      <m:e>
                        <m:r>
                          <w:rPr>
                            <w:rFonts w:ascii="Cambria Math" w:hAnsi="Cambria Math"/>
                          </w:rPr>
                          <m:t>w</m:t>
                        </m:r>
                      </m:e>
                      <m:sup>
                        <m:r>
                          <w:rPr>
                            <w:rFonts w:ascii="Cambria Math" w:hAnsi="Cambria Math"/>
                          </w:rPr>
                          <m:t>3</m:t>
                        </m:r>
                      </m:sup>
                    </m:sSup>
                    <m:r>
                      <w:rPr>
                        <w:rFonts w:ascii="Cambria Math" w:hAnsi="Cambria Math"/>
                      </w:rPr>
                      <m:t>P</m:t>
                    </m:r>
                    <m:sSub>
                      <m:sSubPr>
                        <m:ctrlPr>
                          <w:rPr>
                            <w:rFonts w:ascii="Cambria Math" w:hAnsi="Cambria Math"/>
                            <w:i/>
                            <w:iCs/>
                          </w:rPr>
                        </m:ctrlPr>
                      </m:sSubPr>
                      <m:e>
                        <m:r>
                          <w:rPr>
                            <w:rFonts w:ascii="Cambria Math" w:hAnsi="Cambria Math"/>
                          </w:rPr>
                          <m:t>z</m:t>
                        </m:r>
                      </m:e>
                      <m:sub>
                        <m:r>
                          <w:rPr>
                            <w:rFonts w:ascii="Cambria Math" w:hAnsi="Cambria Math"/>
                          </w:rPr>
                          <m:t>2</m:t>
                        </m:r>
                      </m:sub>
                    </m:sSub>
                  </m:den>
                </m:f>
              </m:oMath>
            </m:oMathPara>
          </w:p>
        </w:tc>
        <w:tc>
          <w:tcPr>
            <w:tcW w:w="720" w:type="dxa"/>
            <w:vAlign w:val="bottom"/>
          </w:tcPr>
          <w:p w14:paraId="0856EC48" w14:textId="1634321C" w:rsidR="007D58FF" w:rsidRPr="005C69A6" w:rsidRDefault="00077C0B" w:rsidP="00BC23AD">
            <w:pPr>
              <w:pStyle w:val="Caption"/>
              <w:rPr>
                <w:i/>
              </w:rPr>
            </w:pPr>
            <w:r>
              <w:fldChar w:fldCharType="begin"/>
            </w:r>
            <w:r>
              <w:instrText xml:space="preserve"> STYLEREF 1 \s </w:instrText>
            </w:r>
            <w:r>
              <w:fldChar w:fldCharType="separate"/>
            </w:r>
            <w:r w:rsidR="0006023A">
              <w:rPr>
                <w:noProof/>
              </w:rPr>
              <w:t>4</w:t>
            </w:r>
            <w:r>
              <w:rPr>
                <w:noProof/>
              </w:rPr>
              <w:fldChar w:fldCharType="end"/>
            </w:r>
            <w:r w:rsidR="007D58FF" w:rsidRPr="005C69A6">
              <w:t>.</w:t>
            </w:r>
            <w:r>
              <w:fldChar w:fldCharType="begin"/>
            </w:r>
            <w:r>
              <w:instrText xml:space="preserve"> SEQ Equation \* ARABIC \s 1 </w:instrText>
            </w:r>
            <w:r>
              <w:fldChar w:fldCharType="separate"/>
            </w:r>
            <w:r w:rsidR="0006023A">
              <w:rPr>
                <w:noProof/>
              </w:rPr>
              <w:t>23</w:t>
            </w:r>
            <w:r>
              <w:rPr>
                <w:noProof/>
              </w:rPr>
              <w:fldChar w:fldCharType="end"/>
            </w:r>
          </w:p>
        </w:tc>
      </w:tr>
    </w:tbl>
    <w:p w14:paraId="3977E764" w14:textId="77777777" w:rsidR="007D58FF" w:rsidRPr="005C69A6" w:rsidRDefault="007D58FF" w:rsidP="007D58FF"/>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7D58FF" w:rsidRPr="005C69A6" w14:paraId="34D302B2" w14:textId="77777777" w:rsidTr="00893161">
        <w:trPr>
          <w:trHeight w:val="576"/>
        </w:trPr>
        <w:tc>
          <w:tcPr>
            <w:tcW w:w="720" w:type="dxa"/>
            <w:vAlign w:val="center"/>
          </w:tcPr>
          <w:p w14:paraId="47F4ACF0" w14:textId="77777777" w:rsidR="007D58FF" w:rsidRPr="005C69A6" w:rsidRDefault="007D58FF" w:rsidP="00893161">
            <w:pPr>
              <w:spacing w:line="240" w:lineRule="auto"/>
              <w:jc w:val="center"/>
            </w:pPr>
          </w:p>
        </w:tc>
        <w:tc>
          <w:tcPr>
            <w:tcW w:w="7920" w:type="dxa"/>
            <w:vAlign w:val="center"/>
          </w:tcPr>
          <w:p w14:paraId="109B4337" w14:textId="77777777" w:rsidR="007D58FF" w:rsidRPr="005C69A6" w:rsidRDefault="007D58FF" w:rsidP="00893161">
            <w:pPr>
              <w:spacing w:line="240" w:lineRule="auto"/>
              <w:jc w:val="center"/>
            </w:pPr>
            <m:oMathPara>
              <m:oMath>
                <m:r>
                  <w:rPr>
                    <w:rFonts w:ascii="Cambria Math" w:hAnsi="Cambria Math"/>
                  </w:rPr>
                  <m:t>-</m:t>
                </m:r>
                <m:f>
                  <m:fPr>
                    <m:ctrlPr>
                      <w:rPr>
                        <w:rFonts w:ascii="Cambria Math" w:hAnsi="Cambria Math"/>
                        <w:i/>
                      </w:rPr>
                    </m:ctrlPr>
                  </m:fPr>
                  <m:num>
                    <m:r>
                      <w:rPr>
                        <w:rFonts w:ascii="Cambria Math" w:hAnsi="Cambria Math"/>
                      </w:rPr>
                      <m:t>P</m:t>
                    </m:r>
                  </m:num>
                  <m:den>
                    <m:r>
                      <w:rPr>
                        <w:rFonts w:ascii="Cambria Math" w:hAnsi="Cambria Math"/>
                      </w:rPr>
                      <m:t>z</m:t>
                    </m:r>
                  </m:den>
                </m:f>
                <m:r>
                  <w:rPr>
                    <w:rFonts w:ascii="Cambria Math" w:hAnsi="Cambria Math"/>
                  </w:rPr>
                  <m:t>dP=</m:t>
                </m:r>
                <m:f>
                  <m:fPr>
                    <m:ctrlPr>
                      <w:rPr>
                        <w:rFonts w:ascii="Cambria Math" w:hAnsi="Cambria Math"/>
                        <w:i/>
                        <w:iCs/>
                      </w:rPr>
                    </m:ctrlPr>
                  </m:fPr>
                  <m:num>
                    <m:r>
                      <w:rPr>
                        <w:rFonts w:ascii="Cambria Math" w:hAnsi="Cambria Math"/>
                      </w:rPr>
                      <m:t>12μ</m:t>
                    </m:r>
                    <m:sSub>
                      <m:sSubPr>
                        <m:ctrlPr>
                          <w:rPr>
                            <w:rFonts w:ascii="Cambria Math" w:hAnsi="Cambria Math"/>
                            <w:i/>
                            <w:iCs/>
                          </w:rPr>
                        </m:ctrlPr>
                      </m:sSubPr>
                      <m:e>
                        <m:r>
                          <w:rPr>
                            <w:rFonts w:ascii="Cambria Math" w:hAnsi="Cambria Math"/>
                          </w:rPr>
                          <m:t>Q</m:t>
                        </m:r>
                      </m:e>
                      <m:sub>
                        <m:r>
                          <w:rPr>
                            <w:rFonts w:ascii="Cambria Math" w:hAnsi="Cambria Math"/>
                          </w:rPr>
                          <m:t>2</m:t>
                        </m:r>
                      </m:sub>
                    </m:sSub>
                    <m:sSub>
                      <m:sSubPr>
                        <m:ctrlPr>
                          <w:rPr>
                            <w:rFonts w:ascii="Cambria Math" w:hAnsi="Cambria Math"/>
                            <w:i/>
                            <w:iCs/>
                          </w:rPr>
                        </m:ctrlPr>
                      </m:sSubPr>
                      <m:e>
                        <m:r>
                          <w:rPr>
                            <w:rFonts w:ascii="Cambria Math" w:hAnsi="Cambria Math"/>
                          </w:rPr>
                          <m:t>P</m:t>
                        </m:r>
                      </m:e>
                      <m:sub>
                        <m:r>
                          <w:rPr>
                            <w:rFonts w:ascii="Cambria Math" w:hAnsi="Cambria Math"/>
                          </w:rPr>
                          <m:t>2</m:t>
                        </m:r>
                      </m:sub>
                    </m:sSub>
                  </m:num>
                  <m:den>
                    <m:r>
                      <w:rPr>
                        <w:rFonts w:ascii="Cambria Math" w:hAnsi="Cambria Math"/>
                      </w:rPr>
                      <m:t>πD</m:t>
                    </m:r>
                    <m:sSup>
                      <m:sSupPr>
                        <m:ctrlPr>
                          <w:rPr>
                            <w:rFonts w:ascii="Cambria Math" w:hAnsi="Cambria Math"/>
                            <w:i/>
                            <w:iCs/>
                          </w:rPr>
                        </m:ctrlPr>
                      </m:sSupPr>
                      <m:e>
                        <m:r>
                          <w:rPr>
                            <w:rFonts w:ascii="Cambria Math" w:hAnsi="Cambria Math"/>
                          </w:rPr>
                          <m:t>w</m:t>
                        </m:r>
                      </m:e>
                      <m:sup>
                        <m:r>
                          <w:rPr>
                            <w:rFonts w:ascii="Cambria Math" w:hAnsi="Cambria Math"/>
                          </w:rPr>
                          <m:t>3</m:t>
                        </m:r>
                      </m:sup>
                    </m:sSup>
                    <m:sSub>
                      <m:sSubPr>
                        <m:ctrlPr>
                          <w:rPr>
                            <w:rFonts w:ascii="Cambria Math" w:hAnsi="Cambria Math"/>
                            <w:i/>
                            <w:iCs/>
                          </w:rPr>
                        </m:ctrlPr>
                      </m:sSubPr>
                      <m:e>
                        <m:r>
                          <w:rPr>
                            <w:rFonts w:ascii="Cambria Math" w:hAnsi="Cambria Math"/>
                          </w:rPr>
                          <m:t>z</m:t>
                        </m:r>
                      </m:e>
                      <m:sub>
                        <m:r>
                          <w:rPr>
                            <w:rFonts w:ascii="Cambria Math" w:hAnsi="Cambria Math"/>
                          </w:rPr>
                          <m:t>2</m:t>
                        </m:r>
                      </m:sub>
                    </m:sSub>
                  </m:den>
                </m:f>
                <m:r>
                  <w:rPr>
                    <w:rFonts w:ascii="Cambria Math" w:hAnsi="Cambria Math"/>
                  </w:rPr>
                  <m:t> dx</m:t>
                </m:r>
              </m:oMath>
            </m:oMathPara>
          </w:p>
        </w:tc>
        <w:tc>
          <w:tcPr>
            <w:tcW w:w="720" w:type="dxa"/>
            <w:vAlign w:val="bottom"/>
          </w:tcPr>
          <w:p w14:paraId="2F6E4828" w14:textId="5CBD2518" w:rsidR="007D58FF" w:rsidRPr="005C69A6" w:rsidRDefault="00077C0B" w:rsidP="00BC23AD">
            <w:pPr>
              <w:pStyle w:val="Caption"/>
              <w:rPr>
                <w:i/>
              </w:rPr>
            </w:pPr>
            <w:r>
              <w:fldChar w:fldCharType="begin"/>
            </w:r>
            <w:r>
              <w:instrText xml:space="preserve"> STYLEREF 1 \s </w:instrText>
            </w:r>
            <w:r>
              <w:fldChar w:fldCharType="separate"/>
            </w:r>
            <w:r w:rsidR="0006023A">
              <w:rPr>
                <w:noProof/>
              </w:rPr>
              <w:t>4</w:t>
            </w:r>
            <w:r>
              <w:rPr>
                <w:noProof/>
              </w:rPr>
              <w:fldChar w:fldCharType="end"/>
            </w:r>
            <w:r w:rsidR="007D58FF" w:rsidRPr="005C69A6">
              <w:t>.</w:t>
            </w:r>
            <w:r>
              <w:fldChar w:fldCharType="begin"/>
            </w:r>
            <w:r>
              <w:instrText xml:space="preserve"> SEQ Equation \* ARABIC \s 1 </w:instrText>
            </w:r>
            <w:r>
              <w:fldChar w:fldCharType="separate"/>
            </w:r>
            <w:r w:rsidR="0006023A">
              <w:rPr>
                <w:noProof/>
              </w:rPr>
              <w:t>24</w:t>
            </w:r>
            <w:r>
              <w:rPr>
                <w:noProof/>
              </w:rPr>
              <w:fldChar w:fldCharType="end"/>
            </w:r>
          </w:p>
        </w:tc>
      </w:tr>
    </w:tbl>
    <w:p w14:paraId="1E1B2A2D" w14:textId="77777777" w:rsidR="007D58FF" w:rsidRPr="005C69A6" w:rsidRDefault="007D58FF" w:rsidP="007D58FF"/>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7D58FF" w:rsidRPr="005C69A6" w14:paraId="5CED2B0D" w14:textId="77777777" w:rsidTr="00893161">
        <w:trPr>
          <w:trHeight w:val="576"/>
        </w:trPr>
        <w:tc>
          <w:tcPr>
            <w:tcW w:w="720" w:type="dxa"/>
            <w:vAlign w:val="center"/>
          </w:tcPr>
          <w:p w14:paraId="132DCD14" w14:textId="77777777" w:rsidR="007D58FF" w:rsidRPr="005C69A6" w:rsidRDefault="007D58FF" w:rsidP="00893161">
            <w:pPr>
              <w:spacing w:line="240" w:lineRule="auto"/>
              <w:jc w:val="center"/>
            </w:pPr>
          </w:p>
        </w:tc>
        <w:tc>
          <w:tcPr>
            <w:tcW w:w="7920" w:type="dxa"/>
            <w:vAlign w:val="center"/>
          </w:tcPr>
          <w:p w14:paraId="5F212BBD" w14:textId="77777777" w:rsidR="007D58FF" w:rsidRPr="005C69A6" w:rsidRDefault="00077C0B" w:rsidP="00893161">
            <w:pPr>
              <w:spacing w:line="240" w:lineRule="auto"/>
              <w:jc w:val="center"/>
            </w:pPr>
            <m:oMathPara>
              <m:oMath>
                <m:nary>
                  <m:naryPr>
                    <m:ctrlPr>
                      <w:rPr>
                        <w:rFonts w:ascii="Cambria Math" w:hAnsi="Cambria Math"/>
                        <w:i/>
                        <w:iCs/>
                      </w:rPr>
                    </m:ctrlPr>
                  </m:naryPr>
                  <m:sub>
                    <m:sSub>
                      <m:sSubPr>
                        <m:ctrlPr>
                          <w:rPr>
                            <w:rFonts w:ascii="Cambria Math" w:hAnsi="Cambria Math"/>
                            <w:i/>
                            <w:iCs/>
                          </w:rPr>
                        </m:ctrlPr>
                      </m:sSubPr>
                      <m:e>
                        <m:r>
                          <w:rPr>
                            <w:rFonts w:ascii="Cambria Math" w:hAnsi="Cambria Math"/>
                          </w:rPr>
                          <m:t>P</m:t>
                        </m:r>
                      </m:e>
                      <m:sub>
                        <m:r>
                          <w:rPr>
                            <w:rFonts w:ascii="Cambria Math" w:hAnsi="Cambria Math"/>
                          </w:rPr>
                          <m:t>1</m:t>
                        </m:r>
                      </m:sub>
                    </m:sSub>
                  </m:sub>
                  <m:sup>
                    <m:sSub>
                      <m:sSubPr>
                        <m:ctrlPr>
                          <w:rPr>
                            <w:rFonts w:ascii="Cambria Math" w:hAnsi="Cambria Math"/>
                            <w:i/>
                            <w:iCs/>
                          </w:rPr>
                        </m:ctrlPr>
                      </m:sSubPr>
                      <m:e>
                        <m:r>
                          <w:rPr>
                            <w:rFonts w:ascii="Cambria Math" w:hAnsi="Cambria Math"/>
                          </w:rPr>
                          <m:t>P</m:t>
                        </m:r>
                      </m:e>
                      <m:sub>
                        <m:r>
                          <w:rPr>
                            <w:rFonts w:ascii="Cambria Math" w:hAnsi="Cambria Math"/>
                          </w:rPr>
                          <m:t>2</m:t>
                        </m:r>
                      </m:sub>
                    </m:sSub>
                  </m:sup>
                  <m:e>
                    <m:r>
                      <w:rPr>
                        <w:rFonts w:ascii="Cambria Math" w:hAnsi="Cambria Math"/>
                      </w:rPr>
                      <m:t>-</m:t>
                    </m:r>
                    <m:f>
                      <m:fPr>
                        <m:ctrlPr>
                          <w:rPr>
                            <w:rFonts w:ascii="Cambria Math" w:hAnsi="Cambria Math"/>
                            <w:i/>
                          </w:rPr>
                        </m:ctrlPr>
                      </m:fPr>
                      <m:num>
                        <m:r>
                          <w:rPr>
                            <w:rFonts w:ascii="Cambria Math" w:hAnsi="Cambria Math"/>
                          </w:rPr>
                          <m:t>P</m:t>
                        </m:r>
                      </m:num>
                      <m:den>
                        <m:r>
                          <w:rPr>
                            <w:rFonts w:ascii="Cambria Math" w:hAnsi="Cambria Math"/>
                          </w:rPr>
                          <m:t>z</m:t>
                        </m:r>
                      </m:den>
                    </m:f>
                  </m:e>
                </m:nary>
                <m:r>
                  <w:rPr>
                    <w:rFonts w:ascii="Cambria Math" w:hAnsi="Cambria Math"/>
                  </w:rPr>
                  <m:t>dP=</m:t>
                </m:r>
                <m:nary>
                  <m:naryPr>
                    <m:ctrlPr>
                      <w:rPr>
                        <w:rFonts w:ascii="Cambria Math" w:hAnsi="Cambria Math"/>
                        <w:i/>
                        <w:iCs/>
                      </w:rPr>
                    </m:ctrlPr>
                  </m:naryPr>
                  <m:sub>
                    <m:r>
                      <w:rPr>
                        <w:rFonts w:ascii="Cambria Math" w:hAnsi="Cambria Math"/>
                      </w:rPr>
                      <m:t>0</m:t>
                    </m:r>
                  </m:sub>
                  <m:sup>
                    <m:r>
                      <w:rPr>
                        <w:rFonts w:ascii="Cambria Math" w:hAnsi="Cambria Math"/>
                      </w:rPr>
                      <m:t>L</m:t>
                    </m:r>
                  </m:sup>
                  <m:e>
                    <m:f>
                      <m:fPr>
                        <m:ctrlPr>
                          <w:rPr>
                            <w:rFonts w:ascii="Cambria Math" w:hAnsi="Cambria Math"/>
                            <w:i/>
                            <w:iCs/>
                          </w:rPr>
                        </m:ctrlPr>
                      </m:fPr>
                      <m:num>
                        <m:r>
                          <w:rPr>
                            <w:rFonts w:ascii="Cambria Math" w:hAnsi="Cambria Math"/>
                          </w:rPr>
                          <m:t>12μ</m:t>
                        </m:r>
                        <m:sSub>
                          <m:sSubPr>
                            <m:ctrlPr>
                              <w:rPr>
                                <w:rFonts w:ascii="Cambria Math" w:hAnsi="Cambria Math"/>
                                <w:i/>
                                <w:iCs/>
                              </w:rPr>
                            </m:ctrlPr>
                          </m:sSubPr>
                          <m:e>
                            <m:r>
                              <w:rPr>
                                <w:rFonts w:ascii="Cambria Math" w:hAnsi="Cambria Math"/>
                              </w:rPr>
                              <m:t>Q</m:t>
                            </m:r>
                          </m:e>
                          <m:sub>
                            <m:r>
                              <w:rPr>
                                <w:rFonts w:ascii="Cambria Math" w:hAnsi="Cambria Math"/>
                              </w:rPr>
                              <m:t>2</m:t>
                            </m:r>
                          </m:sub>
                        </m:sSub>
                        <m:sSub>
                          <m:sSubPr>
                            <m:ctrlPr>
                              <w:rPr>
                                <w:rFonts w:ascii="Cambria Math" w:hAnsi="Cambria Math"/>
                                <w:i/>
                                <w:iCs/>
                              </w:rPr>
                            </m:ctrlPr>
                          </m:sSubPr>
                          <m:e>
                            <m:r>
                              <w:rPr>
                                <w:rFonts w:ascii="Cambria Math" w:hAnsi="Cambria Math"/>
                              </w:rPr>
                              <m:t>P</m:t>
                            </m:r>
                          </m:e>
                          <m:sub>
                            <m:r>
                              <w:rPr>
                                <w:rFonts w:ascii="Cambria Math" w:hAnsi="Cambria Math"/>
                              </w:rPr>
                              <m:t>2</m:t>
                            </m:r>
                          </m:sub>
                        </m:sSub>
                      </m:num>
                      <m:den>
                        <m:r>
                          <w:rPr>
                            <w:rFonts w:ascii="Cambria Math" w:hAnsi="Cambria Math"/>
                          </w:rPr>
                          <m:t>πD</m:t>
                        </m:r>
                        <m:sSup>
                          <m:sSupPr>
                            <m:ctrlPr>
                              <w:rPr>
                                <w:rFonts w:ascii="Cambria Math" w:hAnsi="Cambria Math"/>
                                <w:i/>
                                <w:iCs/>
                              </w:rPr>
                            </m:ctrlPr>
                          </m:sSupPr>
                          <m:e>
                            <m:r>
                              <w:rPr>
                                <w:rFonts w:ascii="Cambria Math" w:hAnsi="Cambria Math"/>
                              </w:rPr>
                              <m:t>w</m:t>
                            </m:r>
                          </m:e>
                          <m:sup>
                            <m:r>
                              <w:rPr>
                                <w:rFonts w:ascii="Cambria Math" w:hAnsi="Cambria Math"/>
                              </w:rPr>
                              <m:t>3</m:t>
                            </m:r>
                          </m:sup>
                        </m:sSup>
                        <m:sSub>
                          <m:sSubPr>
                            <m:ctrlPr>
                              <w:rPr>
                                <w:rFonts w:ascii="Cambria Math" w:hAnsi="Cambria Math"/>
                                <w:i/>
                                <w:iCs/>
                              </w:rPr>
                            </m:ctrlPr>
                          </m:sSubPr>
                          <m:e>
                            <m:r>
                              <w:rPr>
                                <w:rFonts w:ascii="Cambria Math" w:hAnsi="Cambria Math"/>
                              </w:rPr>
                              <m:t>z</m:t>
                            </m:r>
                          </m:e>
                          <m:sub>
                            <m:r>
                              <w:rPr>
                                <w:rFonts w:ascii="Cambria Math" w:hAnsi="Cambria Math"/>
                              </w:rPr>
                              <m:t>2</m:t>
                            </m:r>
                          </m:sub>
                        </m:sSub>
                      </m:den>
                    </m:f>
                  </m:e>
                </m:nary>
                <m:r>
                  <w:rPr>
                    <w:rFonts w:ascii="Cambria Math" w:hAnsi="Cambria Math"/>
                  </w:rPr>
                  <m:t>dx</m:t>
                </m:r>
              </m:oMath>
            </m:oMathPara>
          </w:p>
        </w:tc>
        <w:tc>
          <w:tcPr>
            <w:tcW w:w="720" w:type="dxa"/>
            <w:vAlign w:val="bottom"/>
          </w:tcPr>
          <w:p w14:paraId="1697E9B3" w14:textId="72260B55" w:rsidR="007D58FF" w:rsidRPr="005C69A6" w:rsidRDefault="00077C0B" w:rsidP="00BC23AD">
            <w:pPr>
              <w:pStyle w:val="Caption"/>
              <w:rPr>
                <w:i/>
              </w:rPr>
            </w:pPr>
            <w:r>
              <w:fldChar w:fldCharType="begin"/>
            </w:r>
            <w:r>
              <w:instrText xml:space="preserve"> STYLEREF 1 \s </w:instrText>
            </w:r>
            <w:r>
              <w:fldChar w:fldCharType="separate"/>
            </w:r>
            <w:r w:rsidR="0006023A">
              <w:rPr>
                <w:noProof/>
              </w:rPr>
              <w:t>4</w:t>
            </w:r>
            <w:r>
              <w:rPr>
                <w:noProof/>
              </w:rPr>
              <w:fldChar w:fldCharType="end"/>
            </w:r>
            <w:r w:rsidR="007D58FF" w:rsidRPr="005C69A6">
              <w:t>.</w:t>
            </w:r>
            <w:r>
              <w:fldChar w:fldCharType="begin"/>
            </w:r>
            <w:r>
              <w:instrText xml:space="preserve"> SEQ Equation \* ARABIC \s 1 </w:instrText>
            </w:r>
            <w:r>
              <w:fldChar w:fldCharType="separate"/>
            </w:r>
            <w:r w:rsidR="0006023A">
              <w:rPr>
                <w:noProof/>
              </w:rPr>
              <w:t>25</w:t>
            </w:r>
            <w:r>
              <w:rPr>
                <w:noProof/>
              </w:rPr>
              <w:fldChar w:fldCharType="end"/>
            </w:r>
          </w:p>
        </w:tc>
      </w:tr>
    </w:tbl>
    <w:p w14:paraId="11998650" w14:textId="77777777" w:rsidR="007D58FF" w:rsidRPr="005C69A6" w:rsidRDefault="007D58FF" w:rsidP="007D58FF"/>
    <w:p w14:paraId="49C276D1" w14:textId="35B6495F" w:rsidR="007D58FF" w:rsidRPr="005C69A6" w:rsidRDefault="007D58FF" w:rsidP="007D58FF">
      <w:r w:rsidRPr="005C69A6">
        <w:tab/>
        <w:t>A</w:t>
      </w:r>
      <w:r w:rsidR="00893161" w:rsidRPr="005C69A6">
        <w:t>ssuming an average</w:t>
      </w:r>
      <w:r w:rsidRPr="005C69A6">
        <w:t xml:space="preserve"> z-factor</w:t>
      </w:r>
      <w:r w:rsidR="00893161" w:rsidRPr="005C69A6">
        <w:t xml:space="preserve"> given the inlet and outlet pressure</w:t>
      </w:r>
      <w:r w:rsidR="00A36EAD" w:rsidRPr="005C69A6">
        <w:t>, the compressibility can be pulled out of the integral.</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7D58FF" w:rsidRPr="005C69A6" w14:paraId="75DD96EA" w14:textId="77777777" w:rsidTr="00893161">
        <w:trPr>
          <w:trHeight w:val="576"/>
        </w:trPr>
        <w:tc>
          <w:tcPr>
            <w:tcW w:w="720" w:type="dxa"/>
            <w:vAlign w:val="center"/>
          </w:tcPr>
          <w:p w14:paraId="4454FBE7" w14:textId="77777777" w:rsidR="007D58FF" w:rsidRPr="005C69A6" w:rsidRDefault="007D58FF" w:rsidP="00893161">
            <w:pPr>
              <w:spacing w:line="240" w:lineRule="auto"/>
              <w:jc w:val="center"/>
            </w:pPr>
          </w:p>
        </w:tc>
        <w:tc>
          <w:tcPr>
            <w:tcW w:w="7920" w:type="dxa"/>
            <w:vAlign w:val="center"/>
          </w:tcPr>
          <w:p w14:paraId="0B50ADCE" w14:textId="77777777" w:rsidR="007D58FF" w:rsidRPr="005C69A6" w:rsidRDefault="00077C0B" w:rsidP="00893161">
            <w:pPr>
              <w:spacing w:line="240" w:lineRule="auto"/>
              <w:jc w:val="center"/>
            </w:pPr>
            <m:oMathPara>
              <m:oMath>
                <m:acc>
                  <m:accPr>
                    <m:chr m:val="̅"/>
                    <m:ctrlPr>
                      <w:rPr>
                        <w:rFonts w:ascii="Cambria Math" w:hAnsi="Cambria Math"/>
                        <w:i/>
                        <w:iCs/>
                      </w:rPr>
                    </m:ctrlPr>
                  </m:accPr>
                  <m:e>
                    <m:r>
                      <w:rPr>
                        <w:rFonts w:ascii="Cambria Math" w:hAnsi="Cambria Math"/>
                      </w:rPr>
                      <m:t>z</m:t>
                    </m:r>
                  </m:e>
                </m:acc>
                <m:r>
                  <w:rPr>
                    <w:rFonts w:ascii="Cambria Math" w:hAnsi="Cambria Math"/>
                  </w:rPr>
                  <m:t>=</m:t>
                </m:r>
                <m:f>
                  <m:fPr>
                    <m:ctrlPr>
                      <w:rPr>
                        <w:rFonts w:ascii="Cambria Math" w:hAnsi="Cambria Math"/>
                        <w:i/>
                        <w:iCs/>
                      </w:rPr>
                    </m:ctrlPr>
                  </m:fPr>
                  <m:num>
                    <m:sSub>
                      <m:sSubPr>
                        <m:ctrlPr>
                          <w:rPr>
                            <w:rFonts w:ascii="Cambria Math" w:hAnsi="Cambria Math"/>
                            <w:i/>
                            <w:iCs/>
                          </w:rPr>
                        </m:ctrlPr>
                      </m:sSubPr>
                      <m:e>
                        <m:r>
                          <w:rPr>
                            <w:rFonts w:ascii="Cambria Math" w:hAnsi="Cambria Math"/>
                          </w:rPr>
                          <m:t>z</m:t>
                        </m:r>
                      </m:e>
                      <m:sub>
                        <m:r>
                          <w:rPr>
                            <w:rFonts w:ascii="Cambria Math" w:hAnsi="Cambria Math"/>
                          </w:rPr>
                          <m:t>1</m:t>
                        </m:r>
                      </m:sub>
                    </m:sSub>
                    <m:r>
                      <w:rPr>
                        <w:rFonts w:ascii="Cambria Math" w:hAnsi="Cambria Math"/>
                      </w:rPr>
                      <m:t>+</m:t>
                    </m:r>
                    <m:sSub>
                      <m:sSubPr>
                        <m:ctrlPr>
                          <w:rPr>
                            <w:rFonts w:ascii="Cambria Math" w:hAnsi="Cambria Math"/>
                            <w:i/>
                            <w:iCs/>
                          </w:rPr>
                        </m:ctrlPr>
                      </m:sSubPr>
                      <m:e>
                        <m:r>
                          <w:rPr>
                            <w:rFonts w:ascii="Cambria Math" w:hAnsi="Cambria Math"/>
                          </w:rPr>
                          <m:t>z</m:t>
                        </m:r>
                      </m:e>
                      <m:sub>
                        <m:r>
                          <w:rPr>
                            <w:rFonts w:ascii="Cambria Math" w:hAnsi="Cambria Math"/>
                          </w:rPr>
                          <m:t>2</m:t>
                        </m:r>
                      </m:sub>
                    </m:sSub>
                    <m:ctrlPr>
                      <w:rPr>
                        <w:rFonts w:ascii="Cambria Math" w:hAnsi="Cambria Math"/>
                        <w:i/>
                      </w:rPr>
                    </m:ctrlPr>
                  </m:num>
                  <m:den>
                    <m:r>
                      <w:rPr>
                        <w:rFonts w:ascii="Cambria Math" w:hAnsi="Cambria Math"/>
                      </w:rPr>
                      <m:t>2</m:t>
                    </m:r>
                  </m:den>
                </m:f>
              </m:oMath>
            </m:oMathPara>
          </w:p>
        </w:tc>
        <w:tc>
          <w:tcPr>
            <w:tcW w:w="720" w:type="dxa"/>
            <w:vAlign w:val="bottom"/>
          </w:tcPr>
          <w:p w14:paraId="312865FE" w14:textId="5B2B6131" w:rsidR="007D58FF" w:rsidRPr="005C69A6" w:rsidRDefault="00077C0B" w:rsidP="00BC23AD">
            <w:pPr>
              <w:pStyle w:val="Caption"/>
              <w:rPr>
                <w:i/>
              </w:rPr>
            </w:pPr>
            <w:r>
              <w:fldChar w:fldCharType="begin"/>
            </w:r>
            <w:r>
              <w:instrText xml:space="preserve"> STYLEREF 1 \s </w:instrText>
            </w:r>
            <w:r>
              <w:fldChar w:fldCharType="separate"/>
            </w:r>
            <w:r w:rsidR="0006023A">
              <w:rPr>
                <w:noProof/>
              </w:rPr>
              <w:t>4</w:t>
            </w:r>
            <w:r>
              <w:rPr>
                <w:noProof/>
              </w:rPr>
              <w:fldChar w:fldCharType="end"/>
            </w:r>
            <w:r w:rsidR="007D58FF" w:rsidRPr="005C69A6">
              <w:t>.</w:t>
            </w:r>
            <w:r>
              <w:fldChar w:fldCharType="begin"/>
            </w:r>
            <w:r>
              <w:instrText xml:space="preserve"> SEQ Equation \* ARABIC \s 1 </w:instrText>
            </w:r>
            <w:r>
              <w:fldChar w:fldCharType="separate"/>
            </w:r>
            <w:r w:rsidR="0006023A">
              <w:rPr>
                <w:noProof/>
              </w:rPr>
              <w:t>26</w:t>
            </w:r>
            <w:r>
              <w:rPr>
                <w:noProof/>
              </w:rPr>
              <w:fldChar w:fldCharType="end"/>
            </w:r>
          </w:p>
        </w:tc>
      </w:tr>
    </w:tbl>
    <w:p w14:paraId="50F38073" w14:textId="77777777" w:rsidR="007D58FF" w:rsidRPr="005C69A6" w:rsidRDefault="007D58FF" w:rsidP="007D58FF"/>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7D58FF" w:rsidRPr="005C69A6" w14:paraId="345DD880" w14:textId="77777777" w:rsidTr="00893161">
        <w:trPr>
          <w:trHeight w:val="576"/>
        </w:trPr>
        <w:tc>
          <w:tcPr>
            <w:tcW w:w="720" w:type="dxa"/>
            <w:vAlign w:val="center"/>
          </w:tcPr>
          <w:p w14:paraId="289395EB" w14:textId="77777777" w:rsidR="007D58FF" w:rsidRPr="005C69A6" w:rsidRDefault="007D58FF" w:rsidP="00893161">
            <w:pPr>
              <w:spacing w:line="240" w:lineRule="auto"/>
              <w:jc w:val="center"/>
            </w:pPr>
          </w:p>
        </w:tc>
        <w:tc>
          <w:tcPr>
            <w:tcW w:w="7920" w:type="dxa"/>
            <w:vAlign w:val="center"/>
          </w:tcPr>
          <w:p w14:paraId="40EB1F8E" w14:textId="77777777" w:rsidR="007D58FF" w:rsidRPr="005C69A6" w:rsidRDefault="00077C0B" w:rsidP="00893161">
            <w:pPr>
              <w:spacing w:line="240" w:lineRule="auto"/>
              <w:jc w:val="center"/>
            </w:pPr>
            <m:oMathPara>
              <m:oMath>
                <m:nary>
                  <m:naryPr>
                    <m:ctrlPr>
                      <w:rPr>
                        <w:rFonts w:ascii="Cambria Math" w:hAnsi="Cambria Math"/>
                        <w:i/>
                        <w:iCs/>
                      </w:rPr>
                    </m:ctrlPr>
                  </m:naryPr>
                  <m:sub>
                    <m:sSub>
                      <m:sSubPr>
                        <m:ctrlPr>
                          <w:rPr>
                            <w:rFonts w:ascii="Cambria Math" w:hAnsi="Cambria Math"/>
                            <w:i/>
                            <w:iCs/>
                          </w:rPr>
                        </m:ctrlPr>
                      </m:sSubPr>
                      <m:e>
                        <m:r>
                          <w:rPr>
                            <w:rFonts w:ascii="Cambria Math" w:hAnsi="Cambria Math"/>
                          </w:rPr>
                          <m:t>P</m:t>
                        </m:r>
                      </m:e>
                      <m:sub>
                        <m:r>
                          <w:rPr>
                            <w:rFonts w:ascii="Cambria Math" w:hAnsi="Cambria Math"/>
                          </w:rPr>
                          <m:t>1</m:t>
                        </m:r>
                      </m:sub>
                    </m:sSub>
                  </m:sub>
                  <m:sup>
                    <m:sSub>
                      <m:sSubPr>
                        <m:ctrlPr>
                          <w:rPr>
                            <w:rFonts w:ascii="Cambria Math" w:hAnsi="Cambria Math"/>
                            <w:i/>
                            <w:iCs/>
                          </w:rPr>
                        </m:ctrlPr>
                      </m:sSubPr>
                      <m:e>
                        <m:r>
                          <w:rPr>
                            <w:rFonts w:ascii="Cambria Math" w:hAnsi="Cambria Math"/>
                          </w:rPr>
                          <m:t>P</m:t>
                        </m:r>
                      </m:e>
                      <m:sub>
                        <m:r>
                          <w:rPr>
                            <w:rFonts w:ascii="Cambria Math" w:hAnsi="Cambria Math"/>
                          </w:rPr>
                          <m:t>2</m:t>
                        </m:r>
                      </m:sub>
                    </m:sSub>
                  </m:sup>
                  <m:e>
                    <m:r>
                      <w:rPr>
                        <w:rFonts w:ascii="Cambria Math" w:hAnsi="Cambria Math"/>
                      </w:rPr>
                      <m:t>-</m:t>
                    </m:r>
                    <m:f>
                      <m:fPr>
                        <m:ctrlPr>
                          <w:rPr>
                            <w:rFonts w:ascii="Cambria Math" w:hAnsi="Cambria Math"/>
                            <w:i/>
                          </w:rPr>
                        </m:ctrlPr>
                      </m:fPr>
                      <m:num>
                        <m:r>
                          <w:rPr>
                            <w:rFonts w:ascii="Cambria Math" w:hAnsi="Cambria Math"/>
                          </w:rPr>
                          <m:t>P</m:t>
                        </m:r>
                      </m:num>
                      <m:den>
                        <m:acc>
                          <m:accPr>
                            <m:chr m:val="̅"/>
                            <m:ctrlPr>
                              <w:rPr>
                                <w:rFonts w:ascii="Cambria Math" w:hAnsi="Cambria Math"/>
                                <w:i/>
                              </w:rPr>
                            </m:ctrlPr>
                          </m:accPr>
                          <m:e>
                            <m:r>
                              <w:rPr>
                                <w:rFonts w:ascii="Cambria Math" w:hAnsi="Cambria Math"/>
                              </w:rPr>
                              <m:t>z</m:t>
                            </m:r>
                          </m:e>
                        </m:acc>
                      </m:den>
                    </m:f>
                  </m:e>
                </m:nary>
                <m:r>
                  <w:rPr>
                    <w:rFonts w:ascii="Cambria Math" w:hAnsi="Cambria Math"/>
                  </w:rPr>
                  <m:t>dP=</m:t>
                </m:r>
                <m:nary>
                  <m:naryPr>
                    <m:ctrlPr>
                      <w:rPr>
                        <w:rFonts w:ascii="Cambria Math" w:hAnsi="Cambria Math"/>
                        <w:i/>
                        <w:iCs/>
                      </w:rPr>
                    </m:ctrlPr>
                  </m:naryPr>
                  <m:sub>
                    <m:r>
                      <w:rPr>
                        <w:rFonts w:ascii="Cambria Math" w:hAnsi="Cambria Math"/>
                      </w:rPr>
                      <m:t>0</m:t>
                    </m:r>
                  </m:sub>
                  <m:sup>
                    <m:r>
                      <w:rPr>
                        <w:rFonts w:ascii="Cambria Math" w:hAnsi="Cambria Math"/>
                      </w:rPr>
                      <m:t>L</m:t>
                    </m:r>
                  </m:sup>
                  <m:e>
                    <m:f>
                      <m:fPr>
                        <m:ctrlPr>
                          <w:rPr>
                            <w:rFonts w:ascii="Cambria Math" w:hAnsi="Cambria Math"/>
                            <w:i/>
                            <w:iCs/>
                          </w:rPr>
                        </m:ctrlPr>
                      </m:fPr>
                      <m:num>
                        <m:r>
                          <w:rPr>
                            <w:rFonts w:ascii="Cambria Math" w:hAnsi="Cambria Math"/>
                          </w:rPr>
                          <m:t>12μ</m:t>
                        </m:r>
                        <m:sSub>
                          <m:sSubPr>
                            <m:ctrlPr>
                              <w:rPr>
                                <w:rFonts w:ascii="Cambria Math" w:hAnsi="Cambria Math"/>
                                <w:i/>
                                <w:iCs/>
                              </w:rPr>
                            </m:ctrlPr>
                          </m:sSubPr>
                          <m:e>
                            <m:r>
                              <w:rPr>
                                <w:rFonts w:ascii="Cambria Math" w:hAnsi="Cambria Math"/>
                              </w:rPr>
                              <m:t>Q</m:t>
                            </m:r>
                          </m:e>
                          <m:sub>
                            <m:r>
                              <w:rPr>
                                <w:rFonts w:ascii="Cambria Math" w:hAnsi="Cambria Math"/>
                              </w:rPr>
                              <m:t>2</m:t>
                            </m:r>
                          </m:sub>
                        </m:sSub>
                        <m:sSub>
                          <m:sSubPr>
                            <m:ctrlPr>
                              <w:rPr>
                                <w:rFonts w:ascii="Cambria Math" w:hAnsi="Cambria Math"/>
                                <w:i/>
                                <w:iCs/>
                              </w:rPr>
                            </m:ctrlPr>
                          </m:sSubPr>
                          <m:e>
                            <m:r>
                              <w:rPr>
                                <w:rFonts w:ascii="Cambria Math" w:hAnsi="Cambria Math"/>
                              </w:rPr>
                              <m:t>P</m:t>
                            </m:r>
                          </m:e>
                          <m:sub>
                            <m:r>
                              <w:rPr>
                                <w:rFonts w:ascii="Cambria Math" w:hAnsi="Cambria Math"/>
                              </w:rPr>
                              <m:t>2</m:t>
                            </m:r>
                          </m:sub>
                        </m:sSub>
                      </m:num>
                      <m:den>
                        <m:r>
                          <w:rPr>
                            <w:rFonts w:ascii="Cambria Math" w:hAnsi="Cambria Math"/>
                          </w:rPr>
                          <m:t>πD</m:t>
                        </m:r>
                        <m:sSup>
                          <m:sSupPr>
                            <m:ctrlPr>
                              <w:rPr>
                                <w:rFonts w:ascii="Cambria Math" w:hAnsi="Cambria Math"/>
                                <w:i/>
                                <w:iCs/>
                              </w:rPr>
                            </m:ctrlPr>
                          </m:sSupPr>
                          <m:e>
                            <m:r>
                              <w:rPr>
                                <w:rFonts w:ascii="Cambria Math" w:hAnsi="Cambria Math"/>
                              </w:rPr>
                              <m:t>w</m:t>
                            </m:r>
                          </m:e>
                          <m:sup>
                            <m:r>
                              <w:rPr>
                                <w:rFonts w:ascii="Cambria Math" w:hAnsi="Cambria Math"/>
                              </w:rPr>
                              <m:t>3</m:t>
                            </m:r>
                          </m:sup>
                        </m:sSup>
                        <m:sSub>
                          <m:sSubPr>
                            <m:ctrlPr>
                              <w:rPr>
                                <w:rFonts w:ascii="Cambria Math" w:hAnsi="Cambria Math"/>
                                <w:i/>
                                <w:iCs/>
                              </w:rPr>
                            </m:ctrlPr>
                          </m:sSubPr>
                          <m:e>
                            <m:r>
                              <w:rPr>
                                <w:rFonts w:ascii="Cambria Math" w:hAnsi="Cambria Math"/>
                              </w:rPr>
                              <m:t>z</m:t>
                            </m:r>
                          </m:e>
                          <m:sub>
                            <m:r>
                              <w:rPr>
                                <w:rFonts w:ascii="Cambria Math" w:hAnsi="Cambria Math"/>
                              </w:rPr>
                              <m:t>2</m:t>
                            </m:r>
                          </m:sub>
                        </m:sSub>
                      </m:den>
                    </m:f>
                  </m:e>
                </m:nary>
                <m:r>
                  <w:rPr>
                    <w:rFonts w:ascii="Cambria Math" w:hAnsi="Cambria Math"/>
                  </w:rPr>
                  <m:t>dx</m:t>
                </m:r>
              </m:oMath>
            </m:oMathPara>
          </w:p>
        </w:tc>
        <w:tc>
          <w:tcPr>
            <w:tcW w:w="720" w:type="dxa"/>
            <w:vAlign w:val="bottom"/>
          </w:tcPr>
          <w:p w14:paraId="1726537E" w14:textId="33D9CE14" w:rsidR="007D58FF" w:rsidRPr="005C69A6" w:rsidRDefault="00077C0B" w:rsidP="00BC23AD">
            <w:pPr>
              <w:pStyle w:val="Caption"/>
              <w:rPr>
                <w:i/>
              </w:rPr>
            </w:pPr>
            <w:r>
              <w:fldChar w:fldCharType="begin"/>
            </w:r>
            <w:r>
              <w:instrText xml:space="preserve"> STYLEREF 1 \s </w:instrText>
            </w:r>
            <w:r>
              <w:fldChar w:fldCharType="separate"/>
            </w:r>
            <w:r w:rsidR="0006023A">
              <w:rPr>
                <w:noProof/>
              </w:rPr>
              <w:t>4</w:t>
            </w:r>
            <w:r>
              <w:rPr>
                <w:noProof/>
              </w:rPr>
              <w:fldChar w:fldCharType="end"/>
            </w:r>
            <w:r w:rsidR="007D58FF" w:rsidRPr="005C69A6">
              <w:t>.</w:t>
            </w:r>
            <w:r>
              <w:fldChar w:fldCharType="begin"/>
            </w:r>
            <w:r>
              <w:instrText xml:space="preserve"> SEQ Equation \* ARABIC \s 1 </w:instrText>
            </w:r>
            <w:r>
              <w:fldChar w:fldCharType="separate"/>
            </w:r>
            <w:r w:rsidR="0006023A">
              <w:rPr>
                <w:noProof/>
              </w:rPr>
              <w:t>27</w:t>
            </w:r>
            <w:r>
              <w:rPr>
                <w:noProof/>
              </w:rPr>
              <w:fldChar w:fldCharType="end"/>
            </w:r>
          </w:p>
        </w:tc>
      </w:tr>
    </w:tbl>
    <w:p w14:paraId="0F47642B" w14:textId="77777777" w:rsidR="007D58FF" w:rsidRPr="005C69A6" w:rsidRDefault="007D58FF" w:rsidP="007D58FF"/>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7D58FF" w:rsidRPr="005C69A6" w14:paraId="007AC3FD" w14:textId="77777777" w:rsidTr="00893161">
        <w:trPr>
          <w:trHeight w:val="576"/>
        </w:trPr>
        <w:tc>
          <w:tcPr>
            <w:tcW w:w="720" w:type="dxa"/>
            <w:vAlign w:val="center"/>
          </w:tcPr>
          <w:p w14:paraId="40DA8BE7" w14:textId="77777777" w:rsidR="007D58FF" w:rsidRPr="005C69A6" w:rsidRDefault="007D58FF" w:rsidP="00893161">
            <w:pPr>
              <w:spacing w:line="240" w:lineRule="auto"/>
              <w:jc w:val="center"/>
            </w:pPr>
          </w:p>
        </w:tc>
        <w:tc>
          <w:tcPr>
            <w:tcW w:w="7920" w:type="dxa"/>
            <w:vAlign w:val="center"/>
          </w:tcPr>
          <w:p w14:paraId="1B36054C" w14:textId="77777777" w:rsidR="007D58FF" w:rsidRPr="005C69A6" w:rsidRDefault="007D58FF" w:rsidP="00893161">
            <w:pPr>
              <w:spacing w:line="240" w:lineRule="auto"/>
              <w:jc w:val="center"/>
            </w:pPr>
            <m:oMathPara>
              <m:oMath>
                <m:r>
                  <w:rPr>
                    <w:rFonts w:ascii="Cambria Math" w:hAnsi="Cambria Math"/>
                  </w:rPr>
                  <m:t>-</m:t>
                </m:r>
                <m:f>
                  <m:fPr>
                    <m:ctrlPr>
                      <w:rPr>
                        <w:rFonts w:ascii="Cambria Math" w:hAnsi="Cambria Math"/>
                        <w:i/>
                        <w:iCs/>
                      </w:rPr>
                    </m:ctrlPr>
                  </m:fPr>
                  <m:num>
                    <m:r>
                      <w:rPr>
                        <w:rFonts w:ascii="Cambria Math" w:hAnsi="Cambria Math"/>
                      </w:rPr>
                      <m:t>2</m:t>
                    </m:r>
                  </m:num>
                  <m:den>
                    <m:sSub>
                      <m:sSubPr>
                        <m:ctrlPr>
                          <w:rPr>
                            <w:rFonts w:ascii="Cambria Math" w:hAnsi="Cambria Math"/>
                            <w:i/>
                          </w:rPr>
                        </m:ctrlPr>
                      </m:sSubPr>
                      <m:e>
                        <m:r>
                          <w:rPr>
                            <w:rFonts w:ascii="Cambria Math" w:hAnsi="Cambria Math"/>
                          </w:rPr>
                          <m:t>z</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2</m:t>
                        </m:r>
                      </m:sub>
                    </m:sSub>
                  </m:den>
                </m:f>
                <m:nary>
                  <m:naryPr>
                    <m:ctrlPr>
                      <w:rPr>
                        <w:rFonts w:ascii="Cambria Math" w:hAnsi="Cambria Math"/>
                        <w:i/>
                        <w:iCs/>
                      </w:rPr>
                    </m:ctrlPr>
                  </m:naryPr>
                  <m:sub>
                    <m:sSub>
                      <m:sSubPr>
                        <m:ctrlPr>
                          <w:rPr>
                            <w:rFonts w:ascii="Cambria Math" w:hAnsi="Cambria Math"/>
                            <w:i/>
                            <w:iCs/>
                          </w:rPr>
                        </m:ctrlPr>
                      </m:sSubPr>
                      <m:e>
                        <m:r>
                          <w:rPr>
                            <w:rFonts w:ascii="Cambria Math" w:hAnsi="Cambria Math"/>
                          </w:rPr>
                          <m:t>P</m:t>
                        </m:r>
                      </m:e>
                      <m:sub>
                        <m:r>
                          <w:rPr>
                            <w:rFonts w:ascii="Cambria Math" w:hAnsi="Cambria Math"/>
                          </w:rPr>
                          <m:t>1</m:t>
                        </m:r>
                      </m:sub>
                    </m:sSub>
                  </m:sub>
                  <m:sup>
                    <m:sSub>
                      <m:sSubPr>
                        <m:ctrlPr>
                          <w:rPr>
                            <w:rFonts w:ascii="Cambria Math" w:hAnsi="Cambria Math"/>
                            <w:i/>
                            <w:iCs/>
                          </w:rPr>
                        </m:ctrlPr>
                      </m:sSubPr>
                      <m:e>
                        <m:r>
                          <w:rPr>
                            <w:rFonts w:ascii="Cambria Math" w:hAnsi="Cambria Math"/>
                          </w:rPr>
                          <m:t>P</m:t>
                        </m:r>
                      </m:e>
                      <m:sub>
                        <m:r>
                          <w:rPr>
                            <w:rFonts w:ascii="Cambria Math" w:hAnsi="Cambria Math"/>
                          </w:rPr>
                          <m:t>2</m:t>
                        </m:r>
                      </m:sub>
                    </m:sSub>
                  </m:sup>
                  <m:e>
                    <m:r>
                      <w:rPr>
                        <w:rFonts w:ascii="Cambria Math" w:hAnsi="Cambria Math"/>
                      </w:rPr>
                      <m:t>P</m:t>
                    </m:r>
                  </m:e>
                </m:nary>
                <m:r>
                  <w:rPr>
                    <w:rFonts w:ascii="Cambria Math" w:hAnsi="Cambria Math"/>
                  </w:rPr>
                  <m:t>dP=</m:t>
                </m:r>
                <m:nary>
                  <m:naryPr>
                    <m:ctrlPr>
                      <w:rPr>
                        <w:rFonts w:ascii="Cambria Math" w:hAnsi="Cambria Math"/>
                        <w:i/>
                        <w:iCs/>
                      </w:rPr>
                    </m:ctrlPr>
                  </m:naryPr>
                  <m:sub>
                    <m:r>
                      <w:rPr>
                        <w:rFonts w:ascii="Cambria Math" w:hAnsi="Cambria Math"/>
                      </w:rPr>
                      <m:t>0</m:t>
                    </m:r>
                  </m:sub>
                  <m:sup>
                    <m:r>
                      <w:rPr>
                        <w:rFonts w:ascii="Cambria Math" w:hAnsi="Cambria Math"/>
                      </w:rPr>
                      <m:t>L</m:t>
                    </m:r>
                  </m:sup>
                  <m:e>
                    <m:f>
                      <m:fPr>
                        <m:ctrlPr>
                          <w:rPr>
                            <w:rFonts w:ascii="Cambria Math" w:hAnsi="Cambria Math"/>
                            <w:i/>
                            <w:iCs/>
                          </w:rPr>
                        </m:ctrlPr>
                      </m:fPr>
                      <m:num>
                        <m:r>
                          <w:rPr>
                            <w:rFonts w:ascii="Cambria Math" w:hAnsi="Cambria Math"/>
                          </w:rPr>
                          <m:t>12μ</m:t>
                        </m:r>
                        <m:sSub>
                          <m:sSubPr>
                            <m:ctrlPr>
                              <w:rPr>
                                <w:rFonts w:ascii="Cambria Math" w:hAnsi="Cambria Math"/>
                                <w:i/>
                                <w:iCs/>
                              </w:rPr>
                            </m:ctrlPr>
                          </m:sSubPr>
                          <m:e>
                            <m:r>
                              <w:rPr>
                                <w:rFonts w:ascii="Cambria Math" w:hAnsi="Cambria Math"/>
                              </w:rPr>
                              <m:t>Q</m:t>
                            </m:r>
                          </m:e>
                          <m:sub>
                            <m:r>
                              <w:rPr>
                                <w:rFonts w:ascii="Cambria Math" w:hAnsi="Cambria Math"/>
                              </w:rPr>
                              <m:t>2</m:t>
                            </m:r>
                          </m:sub>
                        </m:sSub>
                        <m:sSub>
                          <m:sSubPr>
                            <m:ctrlPr>
                              <w:rPr>
                                <w:rFonts w:ascii="Cambria Math" w:hAnsi="Cambria Math"/>
                                <w:i/>
                                <w:iCs/>
                              </w:rPr>
                            </m:ctrlPr>
                          </m:sSubPr>
                          <m:e>
                            <m:r>
                              <w:rPr>
                                <w:rFonts w:ascii="Cambria Math" w:hAnsi="Cambria Math"/>
                              </w:rPr>
                              <m:t>P</m:t>
                            </m:r>
                          </m:e>
                          <m:sub>
                            <m:r>
                              <w:rPr>
                                <w:rFonts w:ascii="Cambria Math" w:hAnsi="Cambria Math"/>
                              </w:rPr>
                              <m:t>2</m:t>
                            </m:r>
                          </m:sub>
                        </m:sSub>
                      </m:num>
                      <m:den>
                        <m:r>
                          <w:rPr>
                            <w:rFonts w:ascii="Cambria Math" w:hAnsi="Cambria Math"/>
                          </w:rPr>
                          <m:t>πD</m:t>
                        </m:r>
                        <m:sSup>
                          <m:sSupPr>
                            <m:ctrlPr>
                              <w:rPr>
                                <w:rFonts w:ascii="Cambria Math" w:hAnsi="Cambria Math"/>
                                <w:i/>
                                <w:iCs/>
                              </w:rPr>
                            </m:ctrlPr>
                          </m:sSupPr>
                          <m:e>
                            <m:r>
                              <w:rPr>
                                <w:rFonts w:ascii="Cambria Math" w:hAnsi="Cambria Math"/>
                              </w:rPr>
                              <m:t>w</m:t>
                            </m:r>
                          </m:e>
                          <m:sup>
                            <m:r>
                              <w:rPr>
                                <w:rFonts w:ascii="Cambria Math" w:hAnsi="Cambria Math"/>
                              </w:rPr>
                              <m:t>3</m:t>
                            </m:r>
                          </m:sup>
                        </m:sSup>
                        <m:sSub>
                          <m:sSubPr>
                            <m:ctrlPr>
                              <w:rPr>
                                <w:rFonts w:ascii="Cambria Math" w:hAnsi="Cambria Math"/>
                                <w:i/>
                                <w:iCs/>
                              </w:rPr>
                            </m:ctrlPr>
                          </m:sSubPr>
                          <m:e>
                            <m:r>
                              <w:rPr>
                                <w:rFonts w:ascii="Cambria Math" w:hAnsi="Cambria Math"/>
                              </w:rPr>
                              <m:t>z</m:t>
                            </m:r>
                          </m:e>
                          <m:sub>
                            <m:r>
                              <w:rPr>
                                <w:rFonts w:ascii="Cambria Math" w:hAnsi="Cambria Math"/>
                              </w:rPr>
                              <m:t>2</m:t>
                            </m:r>
                          </m:sub>
                        </m:sSub>
                      </m:den>
                    </m:f>
                  </m:e>
                </m:nary>
                <m:r>
                  <w:rPr>
                    <w:rFonts w:ascii="Cambria Math" w:hAnsi="Cambria Math"/>
                  </w:rPr>
                  <m:t>dx</m:t>
                </m:r>
              </m:oMath>
            </m:oMathPara>
          </w:p>
        </w:tc>
        <w:tc>
          <w:tcPr>
            <w:tcW w:w="720" w:type="dxa"/>
            <w:vAlign w:val="bottom"/>
          </w:tcPr>
          <w:p w14:paraId="0275E910" w14:textId="3D6C7EFC" w:rsidR="007D58FF" w:rsidRPr="005C69A6" w:rsidRDefault="00077C0B" w:rsidP="00BC23AD">
            <w:pPr>
              <w:pStyle w:val="Caption"/>
              <w:rPr>
                <w:i/>
              </w:rPr>
            </w:pPr>
            <w:r>
              <w:fldChar w:fldCharType="begin"/>
            </w:r>
            <w:r>
              <w:instrText xml:space="preserve"> STYLEREF 1 \s </w:instrText>
            </w:r>
            <w:r>
              <w:fldChar w:fldCharType="separate"/>
            </w:r>
            <w:r w:rsidR="0006023A">
              <w:rPr>
                <w:noProof/>
              </w:rPr>
              <w:t>4</w:t>
            </w:r>
            <w:r>
              <w:rPr>
                <w:noProof/>
              </w:rPr>
              <w:fldChar w:fldCharType="end"/>
            </w:r>
            <w:r w:rsidR="007D58FF" w:rsidRPr="005C69A6">
              <w:t>.</w:t>
            </w:r>
            <w:r>
              <w:fldChar w:fldCharType="begin"/>
            </w:r>
            <w:r>
              <w:instrText xml:space="preserve"> SEQ Equation \* ARABIC \s 1 </w:instrText>
            </w:r>
            <w:r>
              <w:fldChar w:fldCharType="separate"/>
            </w:r>
            <w:r w:rsidR="0006023A">
              <w:rPr>
                <w:noProof/>
              </w:rPr>
              <w:t>28</w:t>
            </w:r>
            <w:r>
              <w:rPr>
                <w:noProof/>
              </w:rPr>
              <w:fldChar w:fldCharType="end"/>
            </w:r>
          </w:p>
        </w:tc>
      </w:tr>
    </w:tbl>
    <w:p w14:paraId="00BD64BB" w14:textId="77777777" w:rsidR="007D58FF" w:rsidRPr="005C69A6" w:rsidRDefault="007D58FF" w:rsidP="007D58FF"/>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7D58FF" w:rsidRPr="005C69A6" w14:paraId="05633DE2" w14:textId="77777777" w:rsidTr="00893161">
        <w:trPr>
          <w:trHeight w:val="576"/>
        </w:trPr>
        <w:tc>
          <w:tcPr>
            <w:tcW w:w="720" w:type="dxa"/>
            <w:vAlign w:val="center"/>
          </w:tcPr>
          <w:p w14:paraId="7CCE1DA9" w14:textId="77777777" w:rsidR="007D58FF" w:rsidRPr="005C69A6" w:rsidRDefault="007D58FF" w:rsidP="00893161">
            <w:pPr>
              <w:spacing w:line="240" w:lineRule="auto"/>
              <w:jc w:val="center"/>
            </w:pPr>
          </w:p>
        </w:tc>
        <w:tc>
          <w:tcPr>
            <w:tcW w:w="7920" w:type="dxa"/>
            <w:vAlign w:val="center"/>
          </w:tcPr>
          <w:p w14:paraId="0A54D144" w14:textId="77777777" w:rsidR="007D58FF" w:rsidRPr="005C69A6" w:rsidRDefault="007D58FF" w:rsidP="00893161">
            <w:pPr>
              <w:spacing w:line="240" w:lineRule="auto"/>
              <w:jc w:val="center"/>
            </w:pPr>
            <m:oMathPara>
              <m:oMath>
                <m:r>
                  <w:rPr>
                    <w:rFonts w:ascii="Cambria Math" w:hAnsi="Cambria Math"/>
                  </w:rPr>
                  <m:t>-</m:t>
                </m:r>
                <m:f>
                  <m:fPr>
                    <m:ctrlPr>
                      <w:rPr>
                        <w:rFonts w:ascii="Cambria Math" w:hAnsi="Cambria Math"/>
                        <w:i/>
                        <w:iCs/>
                      </w:rPr>
                    </m:ctrlPr>
                  </m:fPr>
                  <m:num>
                    <m:r>
                      <w:rPr>
                        <w:rFonts w:ascii="Cambria Math" w:hAnsi="Cambria Math"/>
                      </w:rPr>
                      <m:t>2</m:t>
                    </m:r>
                  </m:num>
                  <m:den>
                    <m:sSub>
                      <m:sSubPr>
                        <m:ctrlPr>
                          <w:rPr>
                            <w:rFonts w:ascii="Cambria Math" w:hAnsi="Cambria Math"/>
                            <w:i/>
                          </w:rPr>
                        </m:ctrlPr>
                      </m:sSubPr>
                      <m:e>
                        <m:r>
                          <w:rPr>
                            <w:rFonts w:ascii="Cambria Math" w:hAnsi="Cambria Math"/>
                          </w:rPr>
                          <m:t>z</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2</m:t>
                        </m:r>
                      </m:sub>
                    </m:sSub>
                  </m:den>
                </m:f>
                <m:d>
                  <m:dPr>
                    <m:ctrlPr>
                      <w:rPr>
                        <w:rFonts w:ascii="Cambria Math" w:hAnsi="Cambria Math"/>
                        <w:i/>
                        <w:iCs/>
                      </w:rPr>
                    </m:ctrlPr>
                  </m:dPr>
                  <m:e>
                    <m:f>
                      <m:fPr>
                        <m:ctrlPr>
                          <w:rPr>
                            <w:rFonts w:ascii="Cambria Math" w:hAnsi="Cambria Math"/>
                            <w:i/>
                            <w:iCs/>
                          </w:rPr>
                        </m:ctrlPr>
                      </m:fPr>
                      <m:num>
                        <m:sSubSup>
                          <m:sSubSupPr>
                            <m:ctrlPr>
                              <w:rPr>
                                <w:rFonts w:ascii="Cambria Math" w:hAnsi="Cambria Math"/>
                                <w:i/>
                                <w:iCs/>
                              </w:rPr>
                            </m:ctrlPr>
                          </m:sSubSupPr>
                          <m:e>
                            <m:r>
                              <w:rPr>
                                <w:rFonts w:ascii="Cambria Math" w:hAnsi="Cambria Math"/>
                              </w:rPr>
                              <m:t>P</m:t>
                            </m:r>
                          </m:e>
                          <m:sub>
                            <m:r>
                              <w:rPr>
                                <w:rFonts w:ascii="Cambria Math" w:hAnsi="Cambria Math"/>
                              </w:rPr>
                              <m:t>2</m:t>
                            </m:r>
                          </m:sub>
                          <m:sup>
                            <m:r>
                              <w:rPr>
                                <w:rFonts w:ascii="Cambria Math" w:hAnsi="Cambria Math"/>
                              </w:rPr>
                              <m:t>2</m:t>
                            </m:r>
                          </m:sup>
                        </m:sSubSup>
                      </m:num>
                      <m:den>
                        <m:r>
                          <w:rPr>
                            <w:rFonts w:ascii="Cambria Math" w:hAnsi="Cambria Math"/>
                          </w:rPr>
                          <m:t>2</m:t>
                        </m:r>
                      </m:den>
                    </m:f>
                    <m:r>
                      <w:rPr>
                        <w:rFonts w:ascii="Cambria Math" w:hAnsi="Cambria Math"/>
                      </w:rPr>
                      <m:t>-</m:t>
                    </m:r>
                    <m:f>
                      <m:fPr>
                        <m:ctrlPr>
                          <w:rPr>
                            <w:rFonts w:ascii="Cambria Math" w:hAnsi="Cambria Math"/>
                            <w:i/>
                            <w:iCs/>
                          </w:rPr>
                        </m:ctrlPr>
                      </m:fPr>
                      <m:num>
                        <m:sSubSup>
                          <m:sSubSupPr>
                            <m:ctrlPr>
                              <w:rPr>
                                <w:rFonts w:ascii="Cambria Math" w:hAnsi="Cambria Math"/>
                                <w:i/>
                                <w:iCs/>
                              </w:rPr>
                            </m:ctrlPr>
                          </m:sSubSupPr>
                          <m:e>
                            <m:r>
                              <w:rPr>
                                <w:rFonts w:ascii="Cambria Math" w:hAnsi="Cambria Math"/>
                              </w:rPr>
                              <m:t>P</m:t>
                            </m:r>
                          </m:e>
                          <m:sub>
                            <m:r>
                              <w:rPr>
                                <w:rFonts w:ascii="Cambria Math" w:hAnsi="Cambria Math"/>
                              </w:rPr>
                              <m:t>1</m:t>
                            </m:r>
                          </m:sub>
                          <m:sup>
                            <m:r>
                              <w:rPr>
                                <w:rFonts w:ascii="Cambria Math" w:hAnsi="Cambria Math"/>
                              </w:rPr>
                              <m:t>2</m:t>
                            </m:r>
                          </m:sup>
                        </m:sSubSup>
                      </m:num>
                      <m:den>
                        <m:r>
                          <w:rPr>
                            <w:rFonts w:ascii="Cambria Math" w:hAnsi="Cambria Math"/>
                          </w:rPr>
                          <m:t>2</m:t>
                        </m:r>
                      </m:den>
                    </m:f>
                  </m:e>
                </m:d>
                <m:r>
                  <w:rPr>
                    <w:rFonts w:ascii="Cambria Math" w:hAnsi="Cambria Math"/>
                  </w:rPr>
                  <m:t>=</m:t>
                </m:r>
                <m:f>
                  <m:fPr>
                    <m:ctrlPr>
                      <w:rPr>
                        <w:rFonts w:ascii="Cambria Math" w:hAnsi="Cambria Math"/>
                        <w:i/>
                        <w:iCs/>
                      </w:rPr>
                    </m:ctrlPr>
                  </m:fPr>
                  <m:num>
                    <m:r>
                      <w:rPr>
                        <w:rFonts w:ascii="Cambria Math" w:hAnsi="Cambria Math"/>
                      </w:rPr>
                      <m:t>12μ</m:t>
                    </m:r>
                    <m:sSub>
                      <m:sSubPr>
                        <m:ctrlPr>
                          <w:rPr>
                            <w:rFonts w:ascii="Cambria Math" w:hAnsi="Cambria Math"/>
                            <w:i/>
                            <w:iCs/>
                          </w:rPr>
                        </m:ctrlPr>
                      </m:sSubPr>
                      <m:e>
                        <m:r>
                          <w:rPr>
                            <w:rFonts w:ascii="Cambria Math" w:hAnsi="Cambria Math"/>
                          </w:rPr>
                          <m:t>Q</m:t>
                        </m:r>
                      </m:e>
                      <m:sub>
                        <m:r>
                          <w:rPr>
                            <w:rFonts w:ascii="Cambria Math" w:hAnsi="Cambria Math"/>
                          </w:rPr>
                          <m:t>2</m:t>
                        </m:r>
                      </m:sub>
                    </m:sSub>
                    <m:sSub>
                      <m:sSubPr>
                        <m:ctrlPr>
                          <w:rPr>
                            <w:rFonts w:ascii="Cambria Math" w:hAnsi="Cambria Math"/>
                            <w:i/>
                            <w:iCs/>
                          </w:rPr>
                        </m:ctrlPr>
                      </m:sSubPr>
                      <m:e>
                        <m:r>
                          <w:rPr>
                            <w:rFonts w:ascii="Cambria Math" w:hAnsi="Cambria Math"/>
                          </w:rPr>
                          <m:t>P</m:t>
                        </m:r>
                      </m:e>
                      <m:sub>
                        <m:r>
                          <w:rPr>
                            <w:rFonts w:ascii="Cambria Math" w:hAnsi="Cambria Math"/>
                          </w:rPr>
                          <m:t>2</m:t>
                        </m:r>
                      </m:sub>
                    </m:sSub>
                    <m:r>
                      <w:rPr>
                        <w:rFonts w:ascii="Cambria Math" w:hAnsi="Cambria Math"/>
                      </w:rPr>
                      <m:t>L</m:t>
                    </m:r>
                  </m:num>
                  <m:den>
                    <m:r>
                      <w:rPr>
                        <w:rFonts w:ascii="Cambria Math" w:hAnsi="Cambria Math"/>
                      </w:rPr>
                      <m:t>πD</m:t>
                    </m:r>
                    <m:sSup>
                      <m:sSupPr>
                        <m:ctrlPr>
                          <w:rPr>
                            <w:rFonts w:ascii="Cambria Math" w:hAnsi="Cambria Math"/>
                            <w:i/>
                            <w:iCs/>
                          </w:rPr>
                        </m:ctrlPr>
                      </m:sSupPr>
                      <m:e>
                        <m:r>
                          <w:rPr>
                            <w:rFonts w:ascii="Cambria Math" w:hAnsi="Cambria Math"/>
                          </w:rPr>
                          <m:t>w</m:t>
                        </m:r>
                      </m:e>
                      <m:sup>
                        <m:r>
                          <w:rPr>
                            <w:rFonts w:ascii="Cambria Math" w:hAnsi="Cambria Math"/>
                          </w:rPr>
                          <m:t>3</m:t>
                        </m:r>
                      </m:sup>
                    </m:sSup>
                    <m:sSub>
                      <m:sSubPr>
                        <m:ctrlPr>
                          <w:rPr>
                            <w:rFonts w:ascii="Cambria Math" w:hAnsi="Cambria Math"/>
                            <w:i/>
                            <w:iCs/>
                          </w:rPr>
                        </m:ctrlPr>
                      </m:sSubPr>
                      <m:e>
                        <m:r>
                          <w:rPr>
                            <w:rFonts w:ascii="Cambria Math" w:hAnsi="Cambria Math"/>
                          </w:rPr>
                          <m:t>z</m:t>
                        </m:r>
                      </m:e>
                      <m:sub>
                        <m:r>
                          <w:rPr>
                            <w:rFonts w:ascii="Cambria Math" w:hAnsi="Cambria Math"/>
                          </w:rPr>
                          <m:t>2</m:t>
                        </m:r>
                      </m:sub>
                    </m:sSub>
                  </m:den>
                </m:f>
              </m:oMath>
            </m:oMathPara>
          </w:p>
        </w:tc>
        <w:tc>
          <w:tcPr>
            <w:tcW w:w="720" w:type="dxa"/>
            <w:vAlign w:val="bottom"/>
          </w:tcPr>
          <w:p w14:paraId="72ECE6E8" w14:textId="1780060D" w:rsidR="007D58FF" w:rsidRPr="005C69A6" w:rsidRDefault="00077C0B" w:rsidP="00BC23AD">
            <w:pPr>
              <w:pStyle w:val="Caption"/>
              <w:rPr>
                <w:i/>
              </w:rPr>
            </w:pPr>
            <w:r>
              <w:fldChar w:fldCharType="begin"/>
            </w:r>
            <w:r>
              <w:instrText xml:space="preserve"> STYLEREF 1 \s </w:instrText>
            </w:r>
            <w:r>
              <w:fldChar w:fldCharType="separate"/>
            </w:r>
            <w:r w:rsidR="0006023A">
              <w:rPr>
                <w:noProof/>
              </w:rPr>
              <w:t>4</w:t>
            </w:r>
            <w:r>
              <w:rPr>
                <w:noProof/>
              </w:rPr>
              <w:fldChar w:fldCharType="end"/>
            </w:r>
            <w:r w:rsidR="007D58FF" w:rsidRPr="005C69A6">
              <w:t>.</w:t>
            </w:r>
            <w:r>
              <w:fldChar w:fldCharType="begin"/>
            </w:r>
            <w:r>
              <w:instrText xml:space="preserve"> SEQ Equation \* ARABIC \s 1 </w:instrText>
            </w:r>
            <w:r>
              <w:fldChar w:fldCharType="separate"/>
            </w:r>
            <w:r w:rsidR="0006023A">
              <w:rPr>
                <w:noProof/>
              </w:rPr>
              <w:t>29</w:t>
            </w:r>
            <w:r>
              <w:rPr>
                <w:noProof/>
              </w:rPr>
              <w:fldChar w:fldCharType="end"/>
            </w:r>
          </w:p>
        </w:tc>
      </w:tr>
    </w:tbl>
    <w:p w14:paraId="4B49B448" w14:textId="77777777" w:rsidR="007D58FF" w:rsidRPr="005C69A6" w:rsidRDefault="007D58FF" w:rsidP="007D58FF"/>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7D58FF" w:rsidRPr="005C69A6" w14:paraId="11508289" w14:textId="77777777" w:rsidTr="00893161">
        <w:trPr>
          <w:trHeight w:val="576"/>
        </w:trPr>
        <w:tc>
          <w:tcPr>
            <w:tcW w:w="720" w:type="dxa"/>
            <w:vAlign w:val="center"/>
          </w:tcPr>
          <w:p w14:paraId="65961C4D" w14:textId="77777777" w:rsidR="007D58FF" w:rsidRPr="005C69A6" w:rsidRDefault="007D58FF" w:rsidP="00893161">
            <w:pPr>
              <w:spacing w:line="240" w:lineRule="auto"/>
              <w:jc w:val="center"/>
            </w:pPr>
          </w:p>
        </w:tc>
        <w:tc>
          <w:tcPr>
            <w:tcW w:w="7920" w:type="dxa"/>
            <w:vAlign w:val="center"/>
          </w:tcPr>
          <w:p w14:paraId="4AC89043" w14:textId="77777777" w:rsidR="007D58FF" w:rsidRPr="005C69A6" w:rsidRDefault="00077C0B" w:rsidP="00893161">
            <w:pPr>
              <w:spacing w:line="240" w:lineRule="auto"/>
              <w:jc w:val="center"/>
            </w:pPr>
            <m:oMathPara>
              <m:oMath>
                <m:f>
                  <m:fPr>
                    <m:ctrlPr>
                      <w:rPr>
                        <w:rFonts w:ascii="Cambria Math" w:hAnsi="Cambria Math"/>
                        <w:i/>
                      </w:rPr>
                    </m:ctrlPr>
                  </m:fPr>
                  <m:num>
                    <m:sSubSup>
                      <m:sSubSupPr>
                        <m:ctrlPr>
                          <w:rPr>
                            <w:rFonts w:ascii="Cambria Math" w:hAnsi="Cambria Math"/>
                            <w:i/>
                          </w:rPr>
                        </m:ctrlPr>
                      </m:sSubSupPr>
                      <m:e>
                        <m:r>
                          <w:rPr>
                            <w:rFonts w:ascii="Cambria Math" w:hAnsi="Cambria Math"/>
                          </w:rPr>
                          <m:t>P</m:t>
                        </m:r>
                      </m:e>
                      <m:sub>
                        <m:r>
                          <w:rPr>
                            <w:rFonts w:ascii="Cambria Math" w:hAnsi="Cambria Math"/>
                          </w:rPr>
                          <m:t>1</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P</m:t>
                        </m:r>
                      </m:e>
                      <m:sub>
                        <m:r>
                          <w:rPr>
                            <w:rFonts w:ascii="Cambria Math" w:hAnsi="Cambria Math"/>
                          </w:rPr>
                          <m:t>2</m:t>
                        </m:r>
                      </m:sub>
                      <m:sup>
                        <m:r>
                          <w:rPr>
                            <w:rFonts w:ascii="Cambria Math" w:hAnsi="Cambria Math"/>
                          </w:rPr>
                          <m:t>2</m:t>
                        </m:r>
                      </m:sup>
                    </m:sSubSup>
                  </m:num>
                  <m:den>
                    <m:sSub>
                      <m:sSubPr>
                        <m:ctrlPr>
                          <w:rPr>
                            <w:rFonts w:ascii="Cambria Math" w:hAnsi="Cambria Math"/>
                            <w:i/>
                          </w:rPr>
                        </m:ctrlPr>
                      </m:sSubPr>
                      <m:e>
                        <m:r>
                          <w:rPr>
                            <w:rFonts w:ascii="Cambria Math" w:hAnsi="Cambria Math"/>
                          </w:rPr>
                          <m:t>z</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2</m:t>
                        </m:r>
                      </m:sub>
                    </m:sSub>
                  </m:den>
                </m:f>
                <m:r>
                  <w:rPr>
                    <w:rFonts w:ascii="Cambria Math" w:hAnsi="Cambria Math"/>
                  </w:rPr>
                  <m:t>=</m:t>
                </m:r>
                <m:f>
                  <m:fPr>
                    <m:ctrlPr>
                      <w:rPr>
                        <w:rFonts w:ascii="Cambria Math" w:hAnsi="Cambria Math"/>
                        <w:i/>
                        <w:iCs/>
                      </w:rPr>
                    </m:ctrlPr>
                  </m:fPr>
                  <m:num>
                    <m:r>
                      <w:rPr>
                        <w:rFonts w:ascii="Cambria Math" w:hAnsi="Cambria Math"/>
                      </w:rPr>
                      <m:t>12μ</m:t>
                    </m:r>
                    <m:sSub>
                      <m:sSubPr>
                        <m:ctrlPr>
                          <w:rPr>
                            <w:rFonts w:ascii="Cambria Math" w:hAnsi="Cambria Math"/>
                            <w:i/>
                            <w:iCs/>
                          </w:rPr>
                        </m:ctrlPr>
                      </m:sSubPr>
                      <m:e>
                        <m:r>
                          <w:rPr>
                            <w:rFonts w:ascii="Cambria Math" w:hAnsi="Cambria Math"/>
                          </w:rPr>
                          <m:t>Q</m:t>
                        </m:r>
                      </m:e>
                      <m:sub>
                        <m:r>
                          <w:rPr>
                            <w:rFonts w:ascii="Cambria Math" w:hAnsi="Cambria Math"/>
                          </w:rPr>
                          <m:t>2</m:t>
                        </m:r>
                      </m:sub>
                    </m:sSub>
                    <m:sSub>
                      <m:sSubPr>
                        <m:ctrlPr>
                          <w:rPr>
                            <w:rFonts w:ascii="Cambria Math" w:hAnsi="Cambria Math"/>
                            <w:i/>
                            <w:iCs/>
                          </w:rPr>
                        </m:ctrlPr>
                      </m:sSubPr>
                      <m:e>
                        <m:r>
                          <w:rPr>
                            <w:rFonts w:ascii="Cambria Math" w:hAnsi="Cambria Math"/>
                          </w:rPr>
                          <m:t>P</m:t>
                        </m:r>
                      </m:e>
                      <m:sub>
                        <m:r>
                          <w:rPr>
                            <w:rFonts w:ascii="Cambria Math" w:hAnsi="Cambria Math"/>
                          </w:rPr>
                          <m:t>2</m:t>
                        </m:r>
                      </m:sub>
                    </m:sSub>
                    <m:r>
                      <w:rPr>
                        <w:rFonts w:ascii="Cambria Math" w:hAnsi="Cambria Math"/>
                      </w:rPr>
                      <m:t>L</m:t>
                    </m:r>
                  </m:num>
                  <m:den>
                    <m:r>
                      <w:rPr>
                        <w:rFonts w:ascii="Cambria Math" w:hAnsi="Cambria Math"/>
                      </w:rPr>
                      <m:t>πD</m:t>
                    </m:r>
                    <m:sSup>
                      <m:sSupPr>
                        <m:ctrlPr>
                          <w:rPr>
                            <w:rFonts w:ascii="Cambria Math" w:hAnsi="Cambria Math"/>
                            <w:i/>
                            <w:iCs/>
                          </w:rPr>
                        </m:ctrlPr>
                      </m:sSupPr>
                      <m:e>
                        <m:r>
                          <w:rPr>
                            <w:rFonts w:ascii="Cambria Math" w:hAnsi="Cambria Math"/>
                          </w:rPr>
                          <m:t>w</m:t>
                        </m:r>
                      </m:e>
                      <m:sup>
                        <m:r>
                          <w:rPr>
                            <w:rFonts w:ascii="Cambria Math" w:hAnsi="Cambria Math"/>
                          </w:rPr>
                          <m:t>3</m:t>
                        </m:r>
                      </m:sup>
                    </m:sSup>
                    <m:sSub>
                      <m:sSubPr>
                        <m:ctrlPr>
                          <w:rPr>
                            <w:rFonts w:ascii="Cambria Math" w:hAnsi="Cambria Math"/>
                            <w:i/>
                            <w:iCs/>
                          </w:rPr>
                        </m:ctrlPr>
                      </m:sSubPr>
                      <m:e>
                        <m:r>
                          <w:rPr>
                            <w:rFonts w:ascii="Cambria Math" w:hAnsi="Cambria Math"/>
                          </w:rPr>
                          <m:t>z</m:t>
                        </m:r>
                      </m:e>
                      <m:sub>
                        <m:r>
                          <w:rPr>
                            <w:rFonts w:ascii="Cambria Math" w:hAnsi="Cambria Math"/>
                          </w:rPr>
                          <m:t>2</m:t>
                        </m:r>
                      </m:sub>
                    </m:sSub>
                  </m:den>
                </m:f>
              </m:oMath>
            </m:oMathPara>
          </w:p>
        </w:tc>
        <w:tc>
          <w:tcPr>
            <w:tcW w:w="720" w:type="dxa"/>
            <w:vAlign w:val="bottom"/>
          </w:tcPr>
          <w:p w14:paraId="0B532F76" w14:textId="071FC481" w:rsidR="007D58FF" w:rsidRPr="005C69A6" w:rsidRDefault="00077C0B" w:rsidP="00BC23AD">
            <w:pPr>
              <w:pStyle w:val="Caption"/>
              <w:rPr>
                <w:i/>
              </w:rPr>
            </w:pPr>
            <w:r>
              <w:fldChar w:fldCharType="begin"/>
            </w:r>
            <w:r>
              <w:instrText xml:space="preserve"> STYLEREF 1 \s </w:instrText>
            </w:r>
            <w:r>
              <w:fldChar w:fldCharType="separate"/>
            </w:r>
            <w:r w:rsidR="0006023A">
              <w:rPr>
                <w:noProof/>
              </w:rPr>
              <w:t>4</w:t>
            </w:r>
            <w:r>
              <w:rPr>
                <w:noProof/>
              </w:rPr>
              <w:fldChar w:fldCharType="end"/>
            </w:r>
            <w:r w:rsidR="007D58FF" w:rsidRPr="005C69A6">
              <w:t>.</w:t>
            </w:r>
            <w:r>
              <w:fldChar w:fldCharType="begin"/>
            </w:r>
            <w:r>
              <w:instrText xml:space="preserve"> SEQ Equation \* ARABIC \s 1 </w:instrText>
            </w:r>
            <w:r>
              <w:fldChar w:fldCharType="separate"/>
            </w:r>
            <w:r w:rsidR="0006023A">
              <w:rPr>
                <w:noProof/>
              </w:rPr>
              <w:t>30</w:t>
            </w:r>
            <w:r>
              <w:rPr>
                <w:noProof/>
              </w:rPr>
              <w:fldChar w:fldCharType="end"/>
            </w:r>
          </w:p>
        </w:tc>
      </w:tr>
    </w:tbl>
    <w:p w14:paraId="58AC6BE1" w14:textId="77777777" w:rsidR="007D58FF" w:rsidRPr="005C69A6" w:rsidRDefault="007D58FF" w:rsidP="007D58FF"/>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7D58FF" w:rsidRPr="005C69A6" w14:paraId="5B233701" w14:textId="77777777" w:rsidTr="00893161">
        <w:trPr>
          <w:trHeight w:val="576"/>
        </w:trPr>
        <w:tc>
          <w:tcPr>
            <w:tcW w:w="720" w:type="dxa"/>
            <w:vAlign w:val="center"/>
          </w:tcPr>
          <w:p w14:paraId="69B373B9" w14:textId="77777777" w:rsidR="007D58FF" w:rsidRPr="005C69A6" w:rsidRDefault="007D58FF" w:rsidP="00893161">
            <w:pPr>
              <w:spacing w:line="240" w:lineRule="auto"/>
              <w:jc w:val="center"/>
            </w:pPr>
          </w:p>
        </w:tc>
        <w:tc>
          <w:tcPr>
            <w:tcW w:w="7920" w:type="dxa"/>
            <w:vAlign w:val="center"/>
          </w:tcPr>
          <w:p w14:paraId="246B6A02" w14:textId="77777777" w:rsidR="007D58FF" w:rsidRPr="005C69A6" w:rsidRDefault="00077C0B" w:rsidP="00893161">
            <w:pPr>
              <w:spacing w:line="240" w:lineRule="auto"/>
              <w:jc w:val="center"/>
            </w:pPr>
            <m:oMathPara>
              <m:oMath>
                <m:sSub>
                  <m:sSubPr>
                    <m:ctrlPr>
                      <w:rPr>
                        <w:rFonts w:ascii="Cambria Math" w:hAnsi="Cambria Math"/>
                        <w:i/>
                        <w:iCs/>
                      </w:rPr>
                    </m:ctrlPr>
                  </m:sSubPr>
                  <m:e>
                    <m:r>
                      <w:rPr>
                        <w:rFonts w:ascii="Cambria Math" w:hAnsi="Cambria Math"/>
                      </w:rPr>
                      <m:t>Q</m:t>
                    </m:r>
                  </m:e>
                  <m:sub>
                    <m:r>
                      <w:rPr>
                        <w:rFonts w:ascii="Cambria Math" w:hAnsi="Cambria Math"/>
                      </w:rPr>
                      <m:t>2</m:t>
                    </m:r>
                  </m:sub>
                </m:sSub>
                <m:r>
                  <w:rPr>
                    <w:rFonts w:ascii="Cambria Math" w:hAnsi="Cambria Math"/>
                  </w:rPr>
                  <m:t>=</m:t>
                </m:r>
                <m:f>
                  <m:fPr>
                    <m:ctrlPr>
                      <w:rPr>
                        <w:rFonts w:ascii="Cambria Math" w:hAnsi="Cambria Math"/>
                        <w:i/>
                        <w:iCs/>
                      </w:rPr>
                    </m:ctrlPr>
                  </m:fPr>
                  <m:num>
                    <m:r>
                      <w:rPr>
                        <w:rFonts w:ascii="Cambria Math" w:hAnsi="Cambria Math"/>
                      </w:rPr>
                      <m:t>πD</m:t>
                    </m:r>
                    <m:sSup>
                      <m:sSupPr>
                        <m:ctrlPr>
                          <w:rPr>
                            <w:rFonts w:ascii="Cambria Math" w:hAnsi="Cambria Math"/>
                            <w:i/>
                            <w:iCs/>
                          </w:rPr>
                        </m:ctrlPr>
                      </m:sSupPr>
                      <m:e>
                        <m:r>
                          <w:rPr>
                            <w:rFonts w:ascii="Cambria Math" w:hAnsi="Cambria Math"/>
                          </w:rPr>
                          <m:t>w</m:t>
                        </m:r>
                      </m:e>
                      <m:sup>
                        <m:r>
                          <w:rPr>
                            <w:rFonts w:ascii="Cambria Math" w:hAnsi="Cambria Math"/>
                          </w:rPr>
                          <m:t>3</m:t>
                        </m:r>
                      </m:sup>
                    </m:sSup>
                    <m:sSub>
                      <m:sSubPr>
                        <m:ctrlPr>
                          <w:rPr>
                            <w:rFonts w:ascii="Cambria Math" w:hAnsi="Cambria Math"/>
                            <w:i/>
                            <w:iCs/>
                          </w:rPr>
                        </m:ctrlPr>
                      </m:sSubPr>
                      <m:e>
                        <m:r>
                          <w:rPr>
                            <w:rFonts w:ascii="Cambria Math" w:hAnsi="Cambria Math"/>
                          </w:rPr>
                          <m:t>z</m:t>
                        </m:r>
                      </m:e>
                      <m:sub>
                        <m:r>
                          <w:rPr>
                            <w:rFonts w:ascii="Cambria Math" w:hAnsi="Cambria Math"/>
                          </w:rPr>
                          <m:t>2</m:t>
                        </m:r>
                      </m:sub>
                    </m:sSub>
                  </m:num>
                  <m:den>
                    <m:r>
                      <w:rPr>
                        <w:rFonts w:ascii="Cambria Math" w:hAnsi="Cambria Math"/>
                      </w:rPr>
                      <m:t>12μ</m:t>
                    </m:r>
                    <m:sSub>
                      <m:sSubPr>
                        <m:ctrlPr>
                          <w:rPr>
                            <w:rFonts w:ascii="Cambria Math" w:hAnsi="Cambria Math"/>
                            <w:i/>
                            <w:iCs/>
                          </w:rPr>
                        </m:ctrlPr>
                      </m:sSubPr>
                      <m:e>
                        <m:r>
                          <w:rPr>
                            <w:rFonts w:ascii="Cambria Math" w:hAnsi="Cambria Math"/>
                          </w:rPr>
                          <m:t>P</m:t>
                        </m:r>
                      </m:e>
                      <m:sub>
                        <m:r>
                          <w:rPr>
                            <w:rFonts w:ascii="Cambria Math" w:hAnsi="Cambria Math"/>
                          </w:rPr>
                          <m:t>2</m:t>
                        </m:r>
                      </m:sub>
                    </m:sSub>
                    <m:r>
                      <w:rPr>
                        <w:rFonts w:ascii="Cambria Math" w:hAnsi="Cambria Math"/>
                      </w:rPr>
                      <m:t>L</m:t>
                    </m:r>
                  </m:den>
                </m:f>
                <m:d>
                  <m:dPr>
                    <m:ctrlPr>
                      <w:rPr>
                        <w:rFonts w:ascii="Cambria Math" w:hAnsi="Cambria Math"/>
                        <w:i/>
                        <w:iCs/>
                      </w:rPr>
                    </m:ctrlPr>
                  </m:dPr>
                  <m:e>
                    <m:f>
                      <m:fPr>
                        <m:ctrlPr>
                          <w:rPr>
                            <w:rFonts w:ascii="Cambria Math" w:hAnsi="Cambria Math"/>
                            <w:i/>
                            <w:iCs/>
                          </w:rPr>
                        </m:ctrlPr>
                      </m:fPr>
                      <m:num>
                        <m:sSubSup>
                          <m:sSubSupPr>
                            <m:ctrlPr>
                              <w:rPr>
                                <w:rFonts w:ascii="Cambria Math" w:hAnsi="Cambria Math"/>
                                <w:i/>
                                <w:iCs/>
                              </w:rPr>
                            </m:ctrlPr>
                          </m:sSubSupPr>
                          <m:e>
                            <m:r>
                              <w:rPr>
                                <w:rFonts w:ascii="Cambria Math" w:hAnsi="Cambria Math"/>
                              </w:rPr>
                              <m:t>P</m:t>
                            </m:r>
                          </m:e>
                          <m:sub>
                            <m:r>
                              <w:rPr>
                                <w:rFonts w:ascii="Cambria Math" w:hAnsi="Cambria Math"/>
                              </w:rPr>
                              <m:t>1</m:t>
                            </m:r>
                          </m:sub>
                          <m:sup>
                            <m:r>
                              <w:rPr>
                                <w:rFonts w:ascii="Cambria Math" w:hAnsi="Cambria Math"/>
                              </w:rPr>
                              <m:t>2</m:t>
                            </m:r>
                          </m:sup>
                        </m:sSubSup>
                        <m:r>
                          <w:rPr>
                            <w:rFonts w:ascii="Cambria Math" w:hAnsi="Cambria Math"/>
                          </w:rPr>
                          <m:t>-</m:t>
                        </m:r>
                        <m:sSubSup>
                          <m:sSubSupPr>
                            <m:ctrlPr>
                              <w:rPr>
                                <w:rFonts w:ascii="Cambria Math" w:hAnsi="Cambria Math"/>
                                <w:i/>
                                <w:iCs/>
                              </w:rPr>
                            </m:ctrlPr>
                          </m:sSubSupPr>
                          <m:e>
                            <m:r>
                              <w:rPr>
                                <w:rFonts w:ascii="Cambria Math" w:hAnsi="Cambria Math"/>
                              </w:rPr>
                              <m:t>P</m:t>
                            </m:r>
                          </m:e>
                          <m:sub>
                            <m:r>
                              <w:rPr>
                                <w:rFonts w:ascii="Cambria Math" w:hAnsi="Cambria Math"/>
                              </w:rPr>
                              <m:t>2</m:t>
                            </m:r>
                          </m:sub>
                          <m:sup>
                            <m:r>
                              <w:rPr>
                                <w:rFonts w:ascii="Cambria Math" w:hAnsi="Cambria Math"/>
                              </w:rPr>
                              <m:t>2</m:t>
                            </m:r>
                          </m:sup>
                        </m:sSubSup>
                      </m:num>
                      <m:den>
                        <m:sSub>
                          <m:sSubPr>
                            <m:ctrlPr>
                              <w:rPr>
                                <w:rFonts w:ascii="Cambria Math" w:hAnsi="Cambria Math"/>
                                <w:i/>
                                <w:iCs/>
                              </w:rPr>
                            </m:ctrlPr>
                          </m:sSubPr>
                          <m:e>
                            <m:r>
                              <w:rPr>
                                <w:rFonts w:ascii="Cambria Math" w:hAnsi="Cambria Math"/>
                              </w:rPr>
                              <m:t>z</m:t>
                            </m:r>
                          </m:e>
                          <m:sub>
                            <m:r>
                              <w:rPr>
                                <w:rFonts w:ascii="Cambria Math" w:hAnsi="Cambria Math"/>
                              </w:rPr>
                              <m:t>1</m:t>
                            </m:r>
                          </m:sub>
                        </m:sSub>
                        <m:r>
                          <w:rPr>
                            <w:rFonts w:ascii="Cambria Math" w:hAnsi="Cambria Math"/>
                          </w:rPr>
                          <m:t>+</m:t>
                        </m:r>
                        <m:sSub>
                          <m:sSubPr>
                            <m:ctrlPr>
                              <w:rPr>
                                <w:rFonts w:ascii="Cambria Math" w:hAnsi="Cambria Math"/>
                                <w:i/>
                                <w:iCs/>
                              </w:rPr>
                            </m:ctrlPr>
                          </m:sSubPr>
                          <m:e>
                            <m:r>
                              <w:rPr>
                                <w:rFonts w:ascii="Cambria Math" w:hAnsi="Cambria Math"/>
                              </w:rPr>
                              <m:t>z</m:t>
                            </m:r>
                          </m:e>
                          <m:sub>
                            <m:r>
                              <w:rPr>
                                <w:rFonts w:ascii="Cambria Math" w:hAnsi="Cambria Math"/>
                              </w:rPr>
                              <m:t>2</m:t>
                            </m:r>
                          </m:sub>
                        </m:sSub>
                      </m:den>
                    </m:f>
                  </m:e>
                </m:d>
              </m:oMath>
            </m:oMathPara>
          </w:p>
        </w:tc>
        <w:tc>
          <w:tcPr>
            <w:tcW w:w="720" w:type="dxa"/>
            <w:vAlign w:val="bottom"/>
          </w:tcPr>
          <w:p w14:paraId="47CE947C" w14:textId="293BC70D" w:rsidR="007D58FF" w:rsidRPr="005C69A6" w:rsidRDefault="00077C0B" w:rsidP="00BC23AD">
            <w:pPr>
              <w:pStyle w:val="Caption"/>
              <w:rPr>
                <w:i/>
              </w:rPr>
            </w:pPr>
            <w:r>
              <w:fldChar w:fldCharType="begin"/>
            </w:r>
            <w:r>
              <w:instrText xml:space="preserve"> STYLEREF 1 \s </w:instrText>
            </w:r>
            <w:r>
              <w:fldChar w:fldCharType="separate"/>
            </w:r>
            <w:r w:rsidR="0006023A">
              <w:rPr>
                <w:noProof/>
              </w:rPr>
              <w:t>4</w:t>
            </w:r>
            <w:r>
              <w:rPr>
                <w:noProof/>
              </w:rPr>
              <w:fldChar w:fldCharType="end"/>
            </w:r>
            <w:r w:rsidR="007D58FF" w:rsidRPr="005C69A6">
              <w:t>.</w:t>
            </w:r>
            <w:r>
              <w:fldChar w:fldCharType="begin"/>
            </w:r>
            <w:r>
              <w:instrText xml:space="preserve"> SEQ Equation \* ARABIC \s 1 </w:instrText>
            </w:r>
            <w:r>
              <w:fldChar w:fldCharType="separate"/>
            </w:r>
            <w:r w:rsidR="0006023A">
              <w:rPr>
                <w:noProof/>
              </w:rPr>
              <w:t>31</w:t>
            </w:r>
            <w:r>
              <w:rPr>
                <w:noProof/>
              </w:rPr>
              <w:fldChar w:fldCharType="end"/>
            </w:r>
          </w:p>
        </w:tc>
      </w:tr>
    </w:tbl>
    <w:p w14:paraId="71021905" w14:textId="77777777" w:rsidR="007D58FF" w:rsidRPr="005C69A6" w:rsidRDefault="007D58FF" w:rsidP="007D58FF"/>
    <w:p w14:paraId="7886D816" w14:textId="229B9B0D" w:rsidR="007D58FF" w:rsidRPr="005C69A6" w:rsidRDefault="007D58FF" w:rsidP="007D58FF">
      <w:pPr>
        <w:ind w:firstLine="720"/>
        <w:rPr>
          <w:iCs/>
        </w:rPr>
      </w:pPr>
      <w:r w:rsidRPr="005C69A6">
        <w:lastRenderedPageBreak/>
        <w:t xml:space="preserve">The end result is the </w:t>
      </w:r>
      <w:r w:rsidR="002A26AA" w:rsidRPr="005C69A6">
        <w:t xml:space="preserve">annular </w:t>
      </w:r>
      <w:r w:rsidRPr="005C69A6">
        <w:t>flow equation for a real gas in which the z-factor for the gas at the inlet (</w:t>
      </w:r>
      <m:oMath>
        <m:sSub>
          <m:sSubPr>
            <m:ctrlPr>
              <w:rPr>
                <w:rFonts w:ascii="Cambria Math" w:hAnsi="Cambria Math"/>
                <w:i/>
              </w:rPr>
            </m:ctrlPr>
          </m:sSubPr>
          <m:e>
            <m:r>
              <w:rPr>
                <w:rFonts w:ascii="Cambria Math" w:hAnsi="Cambria Math"/>
              </w:rPr>
              <m:t>P</m:t>
            </m:r>
          </m:e>
          <m:sub>
            <m:r>
              <w:rPr>
                <w:rFonts w:ascii="Cambria Math" w:hAnsi="Cambria Math"/>
              </w:rPr>
              <m:t>1</m:t>
            </m:r>
          </m:sub>
        </m:sSub>
      </m:oMath>
      <w:r w:rsidRPr="005C69A6">
        <w:t>) and outlet (</w:t>
      </w:r>
      <m:oMath>
        <m:sSub>
          <m:sSubPr>
            <m:ctrlPr>
              <w:rPr>
                <w:rFonts w:ascii="Cambria Math" w:hAnsi="Cambria Math"/>
                <w:i/>
              </w:rPr>
            </m:ctrlPr>
          </m:sSubPr>
          <m:e>
            <m:r>
              <w:rPr>
                <w:rFonts w:ascii="Cambria Math" w:hAnsi="Cambria Math"/>
              </w:rPr>
              <m:t>P</m:t>
            </m:r>
          </m:e>
          <m:sub>
            <m:r>
              <w:rPr>
                <w:rFonts w:ascii="Cambria Math" w:hAnsi="Cambria Math"/>
              </w:rPr>
              <m:t>2</m:t>
            </m:r>
          </m:sub>
        </m:sSub>
      </m:oMath>
      <w:r w:rsidRPr="005C69A6">
        <w:t>) is included. It should be noted that Equation 4.3</w:t>
      </w:r>
      <w:r w:rsidR="002A26AA" w:rsidRPr="005C69A6">
        <w:t>1</w:t>
      </w:r>
      <w:r w:rsidRPr="005C69A6">
        <w:t xml:space="preserve"> reduces to Equation 4.1</w:t>
      </w:r>
      <w:r w:rsidR="002A26AA" w:rsidRPr="005C69A6">
        <w:t>5</w:t>
      </w:r>
      <w:r w:rsidRPr="005C69A6">
        <w:t xml:space="preserve"> when </w:t>
      </w:r>
      <w:r w:rsidR="002A26AA" w:rsidRPr="005C69A6">
        <w:t xml:space="preserve">the gas </w:t>
      </w:r>
      <w:r w:rsidRPr="005C69A6">
        <w:t>is ideal (</w:t>
      </w:r>
      <m:oMath>
        <m:sSub>
          <m:sSubPr>
            <m:ctrlPr>
              <w:rPr>
                <w:rFonts w:ascii="Cambria Math" w:hAnsi="Cambria Math"/>
                <w:i/>
                <w:iCs/>
              </w:rPr>
            </m:ctrlPr>
          </m:sSubPr>
          <m:e>
            <m:r>
              <w:rPr>
                <w:rFonts w:ascii="Cambria Math" w:hAnsi="Cambria Math"/>
              </w:rPr>
              <m:t>z</m:t>
            </m:r>
          </m:e>
          <m:sub>
            <m:r>
              <w:rPr>
                <w:rFonts w:ascii="Cambria Math" w:hAnsi="Cambria Math"/>
              </w:rPr>
              <m:t>1</m:t>
            </m:r>
          </m:sub>
        </m:sSub>
        <m:r>
          <w:rPr>
            <w:rFonts w:ascii="Cambria Math" w:hAnsi="Cambria Math"/>
          </w:rPr>
          <m:t>=</m:t>
        </m:r>
        <m:sSub>
          <m:sSubPr>
            <m:ctrlPr>
              <w:rPr>
                <w:rFonts w:ascii="Cambria Math" w:hAnsi="Cambria Math"/>
                <w:i/>
                <w:iCs/>
              </w:rPr>
            </m:ctrlPr>
          </m:sSubPr>
          <m:e>
            <m:r>
              <w:rPr>
                <w:rFonts w:ascii="Cambria Math" w:hAnsi="Cambria Math"/>
              </w:rPr>
              <m:t>z</m:t>
            </m:r>
          </m:e>
          <m:sub>
            <m:r>
              <w:rPr>
                <w:rFonts w:ascii="Cambria Math" w:hAnsi="Cambria Math"/>
              </w:rPr>
              <m:t>2</m:t>
            </m:r>
          </m:sub>
        </m:sSub>
        <m:r>
          <w:rPr>
            <w:rFonts w:ascii="Cambria Math" w:hAnsi="Cambria Math"/>
          </w:rPr>
          <m:t>=1</m:t>
        </m:r>
      </m:oMath>
      <w:r w:rsidRPr="005C69A6">
        <w:rPr>
          <w:iCs/>
        </w:rPr>
        <w:t>).</w:t>
      </w:r>
    </w:p>
    <w:p w14:paraId="681CCD2F" w14:textId="7A0AD993" w:rsidR="007D58FF" w:rsidRPr="005C69A6" w:rsidRDefault="007D58FF" w:rsidP="006348F1">
      <w:pPr>
        <w:rPr>
          <w:b/>
        </w:rPr>
      </w:pPr>
      <w:r w:rsidRPr="005C69A6">
        <w:rPr>
          <w:b/>
        </w:rPr>
        <w:t xml:space="preserve">Annular Ideal Gas Flow </w:t>
      </w:r>
      <w:r w:rsidR="00F30A6D">
        <w:rPr>
          <w:b/>
        </w:rPr>
        <w:t>I</w:t>
      </w:r>
      <w:r w:rsidRPr="005C69A6">
        <w:rPr>
          <w:b/>
        </w:rPr>
        <w:t>ncluding Gravity</w:t>
      </w:r>
    </w:p>
    <w:p w14:paraId="7DCC8819" w14:textId="730983DF" w:rsidR="007D58FF" w:rsidRDefault="007D58FF" w:rsidP="00893161">
      <w:pPr>
        <w:ind w:firstLine="720"/>
      </w:pPr>
      <w:r w:rsidRPr="005C69A6">
        <w:t xml:space="preserve">Equation </w:t>
      </w:r>
      <w:r w:rsidR="004968CC" w:rsidRPr="005C69A6">
        <w:t>4.</w:t>
      </w:r>
      <w:r w:rsidR="005C69A6" w:rsidRPr="005C69A6">
        <w:t>15</w:t>
      </w:r>
      <w:r w:rsidRPr="005C69A6">
        <w:t xml:space="preserve"> was developed for horizontal flow in which gravity can be neg</w:t>
      </w:r>
      <w:r w:rsidR="005C69A6" w:rsidRPr="005C69A6">
        <w:t>lected. For a vertical wellbore</w:t>
      </w:r>
      <w:r w:rsidRPr="005C69A6">
        <w:t>, a gravity term (</w:t>
      </w:r>
      <m:oMath>
        <m:r>
          <w:rPr>
            <w:rFonts w:ascii="Cambria Math" w:hAnsi="Cambria Math"/>
          </w:rPr>
          <m:t>ρg</m:t>
        </m:r>
      </m:oMath>
      <w:r w:rsidRPr="005C69A6">
        <w:t>) should be included. From Sutera and Skalak (1993),</w:t>
      </w:r>
      <w:r w:rsidR="00893161" w:rsidRPr="005C69A6">
        <w:t xml:space="preserve"> the</w:t>
      </w:r>
      <w:r w:rsidRPr="005C69A6">
        <w:t xml:space="preserve"> Hagen-Poiseulle equation for vertical flow </w:t>
      </w:r>
      <w:r w:rsidR="00893161" w:rsidRPr="005C69A6">
        <w:t xml:space="preserve">including the gravity term results in </w:t>
      </w:r>
      <w:r w:rsidRPr="005C69A6">
        <w:t>Equation 4.</w:t>
      </w:r>
      <w:r w:rsidR="004968CC" w:rsidRPr="005C69A6">
        <w:t>3</w:t>
      </w:r>
      <w:r w:rsidR="005C69A6" w:rsidRPr="005C69A6">
        <w:t>2</w:t>
      </w:r>
      <w:r w:rsidRPr="005C69A6">
        <w:t>.</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7D58FF" w14:paraId="723AB63C" w14:textId="77777777" w:rsidTr="00893161">
        <w:trPr>
          <w:trHeight w:val="576"/>
        </w:trPr>
        <w:tc>
          <w:tcPr>
            <w:tcW w:w="720" w:type="dxa"/>
            <w:vAlign w:val="center"/>
          </w:tcPr>
          <w:p w14:paraId="2A8E3273" w14:textId="77777777" w:rsidR="007D58FF" w:rsidRDefault="007D58FF" w:rsidP="00893161">
            <w:pPr>
              <w:spacing w:line="240" w:lineRule="auto"/>
              <w:jc w:val="center"/>
            </w:pPr>
          </w:p>
        </w:tc>
        <w:tc>
          <w:tcPr>
            <w:tcW w:w="7920" w:type="dxa"/>
            <w:vAlign w:val="center"/>
          </w:tcPr>
          <w:p w14:paraId="2C3239EC" w14:textId="77777777" w:rsidR="007D58FF" w:rsidRPr="003E4C6A" w:rsidRDefault="007D58FF" w:rsidP="00893161">
            <w:pPr>
              <w:spacing w:line="240" w:lineRule="auto"/>
              <w:jc w:val="center"/>
            </w:pPr>
            <m:oMathPara>
              <m:oMath>
                <m:r>
                  <w:rPr>
                    <w:rFonts w:ascii="Cambria Math" w:hAnsi="Cambria Math"/>
                  </w:rPr>
                  <m:t>Q=</m:t>
                </m:r>
                <m:f>
                  <m:fPr>
                    <m:ctrlPr>
                      <w:rPr>
                        <w:rFonts w:ascii="Cambria Math" w:hAnsi="Cambria Math"/>
                        <w:i/>
                        <w:iCs/>
                      </w:rPr>
                    </m:ctrlPr>
                  </m:fPr>
                  <m:num>
                    <m:r>
                      <w:rPr>
                        <w:rFonts w:ascii="Cambria Math" w:hAnsi="Cambria Math"/>
                      </w:rPr>
                      <m:t>π</m:t>
                    </m:r>
                    <m:sSup>
                      <m:sSupPr>
                        <m:ctrlPr>
                          <w:rPr>
                            <w:rFonts w:ascii="Cambria Math" w:hAnsi="Cambria Math"/>
                            <w:i/>
                            <w:iCs/>
                          </w:rPr>
                        </m:ctrlPr>
                      </m:sSupPr>
                      <m:e>
                        <m:r>
                          <w:rPr>
                            <w:rFonts w:ascii="Cambria Math" w:hAnsi="Cambria Math"/>
                          </w:rPr>
                          <m:t>R</m:t>
                        </m:r>
                      </m:e>
                      <m:sup>
                        <m:r>
                          <w:rPr>
                            <w:rFonts w:ascii="Cambria Math" w:hAnsi="Cambria Math"/>
                          </w:rPr>
                          <m:t>4</m:t>
                        </m:r>
                      </m:sup>
                    </m:sSup>
                  </m:num>
                  <m:den>
                    <m:r>
                      <w:rPr>
                        <w:rFonts w:ascii="Cambria Math" w:hAnsi="Cambria Math"/>
                      </w:rPr>
                      <m:t>8μ</m:t>
                    </m:r>
                  </m:den>
                </m:f>
                <m:d>
                  <m:dPr>
                    <m:ctrlPr>
                      <w:rPr>
                        <w:rFonts w:ascii="Cambria Math" w:hAnsi="Cambria Math"/>
                        <w:i/>
                        <w:iCs/>
                      </w:rPr>
                    </m:ctrlPr>
                  </m:dPr>
                  <m:e>
                    <m:f>
                      <m:fPr>
                        <m:ctrlPr>
                          <w:rPr>
                            <w:rFonts w:ascii="Cambria Math" w:hAnsi="Cambria Math"/>
                            <w:i/>
                            <w:iCs/>
                          </w:rPr>
                        </m:ctrlPr>
                      </m:fPr>
                      <m:num>
                        <m:r>
                          <w:rPr>
                            <w:rFonts w:ascii="Cambria Math" w:hAnsi="Cambria Math"/>
                          </w:rPr>
                          <m:t>dP</m:t>
                        </m:r>
                      </m:num>
                      <m:den>
                        <m:r>
                          <w:rPr>
                            <w:rFonts w:ascii="Cambria Math" w:hAnsi="Cambria Math"/>
                          </w:rPr>
                          <m:t>dz</m:t>
                        </m:r>
                      </m:den>
                    </m:f>
                    <m:r>
                      <w:rPr>
                        <w:rFonts w:ascii="Cambria Math" w:hAnsi="Cambria Math"/>
                      </w:rPr>
                      <m:t>+ρg</m:t>
                    </m:r>
                  </m:e>
                </m:d>
              </m:oMath>
            </m:oMathPara>
          </w:p>
        </w:tc>
        <w:tc>
          <w:tcPr>
            <w:tcW w:w="720" w:type="dxa"/>
            <w:vAlign w:val="bottom"/>
          </w:tcPr>
          <w:p w14:paraId="1DE4EBE7" w14:textId="7584C1D0" w:rsidR="007D58FF" w:rsidRPr="00470CB5" w:rsidRDefault="00077C0B" w:rsidP="00BC23AD">
            <w:pPr>
              <w:pStyle w:val="Caption"/>
              <w:rPr>
                <w:i/>
              </w:rPr>
            </w:pPr>
            <w:r>
              <w:fldChar w:fldCharType="begin"/>
            </w:r>
            <w:r>
              <w:instrText xml:space="preserve"> STYLEREF 1 \s </w:instrText>
            </w:r>
            <w:r>
              <w:fldChar w:fldCharType="separate"/>
            </w:r>
            <w:r w:rsidR="0006023A">
              <w:rPr>
                <w:noProof/>
              </w:rPr>
              <w:t>4</w:t>
            </w:r>
            <w:r>
              <w:rPr>
                <w:noProof/>
              </w:rPr>
              <w:fldChar w:fldCharType="end"/>
            </w:r>
            <w:r w:rsidR="007D58FF">
              <w:t>.</w:t>
            </w:r>
            <w:r>
              <w:fldChar w:fldCharType="begin"/>
            </w:r>
            <w:r>
              <w:instrText xml:space="preserve"> SEQ Equation \* ARABIC \s 1 </w:instrText>
            </w:r>
            <w:r>
              <w:fldChar w:fldCharType="separate"/>
            </w:r>
            <w:r w:rsidR="0006023A">
              <w:rPr>
                <w:noProof/>
              </w:rPr>
              <w:t>32</w:t>
            </w:r>
            <w:r>
              <w:rPr>
                <w:noProof/>
              </w:rPr>
              <w:fldChar w:fldCharType="end"/>
            </w:r>
          </w:p>
        </w:tc>
      </w:tr>
    </w:tbl>
    <w:p w14:paraId="516E1A46" w14:textId="77777777" w:rsidR="007D58FF" w:rsidRDefault="007D58FF" w:rsidP="007D58FF"/>
    <w:p w14:paraId="07F2E0A6" w14:textId="77777777" w:rsidR="007D58FF" w:rsidRDefault="007D58FF" w:rsidP="007D58FF">
      <w:r>
        <w:tab/>
        <w:t>Which can be shown as,</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7D58FF" w14:paraId="23ABDE29" w14:textId="77777777" w:rsidTr="00893161">
        <w:trPr>
          <w:trHeight w:val="576"/>
        </w:trPr>
        <w:tc>
          <w:tcPr>
            <w:tcW w:w="720" w:type="dxa"/>
            <w:vAlign w:val="center"/>
          </w:tcPr>
          <w:p w14:paraId="0BA10564" w14:textId="77777777" w:rsidR="007D58FF" w:rsidRDefault="007D58FF" w:rsidP="00893161">
            <w:pPr>
              <w:spacing w:line="240" w:lineRule="auto"/>
              <w:jc w:val="center"/>
            </w:pPr>
          </w:p>
        </w:tc>
        <w:tc>
          <w:tcPr>
            <w:tcW w:w="7920" w:type="dxa"/>
            <w:vAlign w:val="center"/>
          </w:tcPr>
          <w:p w14:paraId="3B5892F0" w14:textId="77777777" w:rsidR="007D58FF" w:rsidRPr="003E4C6A" w:rsidRDefault="007D58FF" w:rsidP="00893161">
            <w:pPr>
              <w:spacing w:line="240" w:lineRule="auto"/>
              <w:jc w:val="center"/>
            </w:pPr>
            <m:oMathPara>
              <m:oMath>
                <m:r>
                  <w:rPr>
                    <w:rFonts w:ascii="Cambria Math" w:hAnsi="Cambria Math"/>
                  </w:rPr>
                  <m:t>Q=</m:t>
                </m:r>
                <m:f>
                  <m:fPr>
                    <m:ctrlPr>
                      <w:rPr>
                        <w:rFonts w:ascii="Cambria Math" w:hAnsi="Cambria Math"/>
                        <w:i/>
                        <w:iCs/>
                      </w:rPr>
                    </m:ctrlPr>
                  </m:fPr>
                  <m:num>
                    <m:r>
                      <w:rPr>
                        <w:rFonts w:ascii="Cambria Math" w:hAnsi="Cambria Math"/>
                      </w:rPr>
                      <m:t>π</m:t>
                    </m:r>
                    <m:sSup>
                      <m:sSupPr>
                        <m:ctrlPr>
                          <w:rPr>
                            <w:rFonts w:ascii="Cambria Math" w:hAnsi="Cambria Math"/>
                            <w:i/>
                            <w:iCs/>
                          </w:rPr>
                        </m:ctrlPr>
                      </m:sSupPr>
                      <m:e>
                        <m:r>
                          <w:rPr>
                            <w:rFonts w:ascii="Cambria Math" w:hAnsi="Cambria Math"/>
                          </w:rPr>
                          <m:t>R</m:t>
                        </m:r>
                      </m:e>
                      <m:sup>
                        <m:r>
                          <w:rPr>
                            <w:rFonts w:ascii="Cambria Math" w:hAnsi="Cambria Math"/>
                          </w:rPr>
                          <m:t>4</m:t>
                        </m:r>
                      </m:sup>
                    </m:sSup>
                  </m:num>
                  <m:den>
                    <m:r>
                      <w:rPr>
                        <w:rFonts w:ascii="Cambria Math" w:hAnsi="Cambria Math"/>
                      </w:rPr>
                      <m:t>8μ</m:t>
                    </m:r>
                  </m:den>
                </m:f>
                <m:d>
                  <m:dPr>
                    <m:ctrlPr>
                      <w:rPr>
                        <w:rFonts w:ascii="Cambria Math" w:hAnsi="Cambria Math"/>
                        <w:i/>
                        <w:iCs/>
                      </w:rPr>
                    </m:ctrlPr>
                  </m:dPr>
                  <m:e>
                    <m:f>
                      <m:fPr>
                        <m:ctrlPr>
                          <w:rPr>
                            <w:rFonts w:ascii="Cambria Math" w:hAnsi="Cambria Math"/>
                            <w:i/>
                            <w:iCs/>
                          </w:rPr>
                        </m:ctrlPr>
                      </m:fPr>
                      <m:num>
                        <m:r>
                          <m:rPr>
                            <m:sty m:val="p"/>
                          </m:rPr>
                          <w:rPr>
                            <w:rFonts w:ascii="Cambria Math" w:hAnsi="Cambria Math"/>
                          </w:rPr>
                          <m:t>Δ</m:t>
                        </m:r>
                        <m:r>
                          <w:rPr>
                            <w:rFonts w:ascii="Cambria Math" w:hAnsi="Cambria Math"/>
                          </w:rPr>
                          <m:t>P</m:t>
                        </m:r>
                      </m:num>
                      <m:den>
                        <m:r>
                          <w:rPr>
                            <w:rFonts w:ascii="Cambria Math" w:hAnsi="Cambria Math"/>
                          </w:rPr>
                          <m:t>L</m:t>
                        </m:r>
                      </m:den>
                    </m:f>
                    <m:r>
                      <w:rPr>
                        <w:rFonts w:ascii="Cambria Math" w:hAnsi="Cambria Math"/>
                      </w:rPr>
                      <m:t>+ρg</m:t>
                    </m:r>
                  </m:e>
                </m:d>
              </m:oMath>
            </m:oMathPara>
          </w:p>
        </w:tc>
        <w:tc>
          <w:tcPr>
            <w:tcW w:w="720" w:type="dxa"/>
            <w:vAlign w:val="bottom"/>
          </w:tcPr>
          <w:p w14:paraId="5009D136" w14:textId="65848047" w:rsidR="007D58FF" w:rsidRPr="00470CB5" w:rsidRDefault="00077C0B" w:rsidP="00BC23AD">
            <w:pPr>
              <w:pStyle w:val="Caption"/>
              <w:rPr>
                <w:i/>
              </w:rPr>
            </w:pPr>
            <w:r>
              <w:fldChar w:fldCharType="begin"/>
            </w:r>
            <w:r>
              <w:instrText xml:space="preserve"> STYLEREF 1 \s </w:instrText>
            </w:r>
            <w:r>
              <w:fldChar w:fldCharType="separate"/>
            </w:r>
            <w:r w:rsidR="0006023A">
              <w:rPr>
                <w:noProof/>
              </w:rPr>
              <w:t>4</w:t>
            </w:r>
            <w:r>
              <w:rPr>
                <w:noProof/>
              </w:rPr>
              <w:fldChar w:fldCharType="end"/>
            </w:r>
            <w:r w:rsidR="007D58FF">
              <w:t>.</w:t>
            </w:r>
            <w:r>
              <w:fldChar w:fldCharType="begin"/>
            </w:r>
            <w:r>
              <w:instrText xml:space="preserve"> SEQ Equation \* ARABIC \s 1 </w:instrText>
            </w:r>
            <w:r>
              <w:fldChar w:fldCharType="separate"/>
            </w:r>
            <w:r w:rsidR="0006023A">
              <w:rPr>
                <w:noProof/>
              </w:rPr>
              <w:t>33</w:t>
            </w:r>
            <w:r>
              <w:rPr>
                <w:noProof/>
              </w:rPr>
              <w:fldChar w:fldCharType="end"/>
            </w:r>
          </w:p>
        </w:tc>
      </w:tr>
    </w:tbl>
    <w:p w14:paraId="137680B2" w14:textId="77777777" w:rsidR="007D58FF" w:rsidRDefault="007D58FF" w:rsidP="007D58FF">
      <w:r>
        <w:tab/>
      </w:r>
    </w:p>
    <w:p w14:paraId="4433F02D" w14:textId="77777777" w:rsidR="007D58FF" w:rsidRDefault="007D58FF" w:rsidP="007D58FF">
      <w:r>
        <w:tab/>
        <w:t>For an annulus,</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7D58FF" w14:paraId="2ED0D10E" w14:textId="77777777" w:rsidTr="00893161">
        <w:trPr>
          <w:trHeight w:val="576"/>
        </w:trPr>
        <w:tc>
          <w:tcPr>
            <w:tcW w:w="720" w:type="dxa"/>
            <w:vAlign w:val="center"/>
          </w:tcPr>
          <w:p w14:paraId="1791BB14" w14:textId="77777777" w:rsidR="007D58FF" w:rsidRDefault="007D58FF" w:rsidP="00893161">
            <w:pPr>
              <w:spacing w:line="240" w:lineRule="auto"/>
              <w:jc w:val="center"/>
            </w:pPr>
          </w:p>
        </w:tc>
        <w:tc>
          <w:tcPr>
            <w:tcW w:w="7920" w:type="dxa"/>
            <w:vAlign w:val="center"/>
          </w:tcPr>
          <w:p w14:paraId="4CC2A1BE" w14:textId="77777777" w:rsidR="007D58FF" w:rsidRPr="003E4C6A" w:rsidRDefault="007D58FF" w:rsidP="00893161">
            <w:pPr>
              <w:spacing w:line="240" w:lineRule="auto"/>
              <w:jc w:val="center"/>
            </w:pPr>
            <m:oMathPara>
              <m:oMath>
                <m:r>
                  <w:rPr>
                    <w:rFonts w:ascii="Cambria Math" w:hAnsi="Cambria Math"/>
                  </w:rPr>
                  <m:t>Q=</m:t>
                </m:r>
                <m:f>
                  <m:fPr>
                    <m:ctrlPr>
                      <w:rPr>
                        <w:rFonts w:ascii="Cambria Math" w:hAnsi="Cambria Math"/>
                        <w:i/>
                        <w:iCs/>
                      </w:rPr>
                    </m:ctrlPr>
                  </m:fPr>
                  <m:num>
                    <m:sSup>
                      <m:sSupPr>
                        <m:ctrlPr>
                          <w:rPr>
                            <w:rFonts w:ascii="Cambria Math" w:hAnsi="Cambria Math"/>
                            <w:i/>
                          </w:rPr>
                        </m:ctrlPr>
                      </m:sSupPr>
                      <m:e>
                        <m:r>
                          <w:rPr>
                            <w:rFonts w:ascii="Cambria Math" w:hAnsi="Cambria Math"/>
                          </w:rPr>
                          <m:t>w</m:t>
                        </m:r>
                      </m:e>
                      <m:sup>
                        <m:r>
                          <w:rPr>
                            <w:rFonts w:ascii="Cambria Math" w:hAnsi="Cambria Math"/>
                          </w:rPr>
                          <m:t>3</m:t>
                        </m:r>
                      </m:sup>
                    </m:sSup>
                    <m:r>
                      <w:rPr>
                        <w:rFonts w:ascii="Cambria Math" w:hAnsi="Cambria Math"/>
                      </w:rPr>
                      <m:t>Dπ</m:t>
                    </m:r>
                  </m:num>
                  <m:den>
                    <m:r>
                      <w:rPr>
                        <w:rFonts w:ascii="Cambria Math" w:hAnsi="Cambria Math"/>
                      </w:rPr>
                      <m:t>12μ</m:t>
                    </m:r>
                  </m:den>
                </m:f>
                <m:d>
                  <m:dPr>
                    <m:ctrlPr>
                      <w:rPr>
                        <w:rFonts w:ascii="Cambria Math" w:hAnsi="Cambria Math"/>
                        <w:i/>
                        <w:iCs/>
                      </w:rPr>
                    </m:ctrlPr>
                  </m:dPr>
                  <m:e>
                    <m:f>
                      <m:fPr>
                        <m:ctrlPr>
                          <w:rPr>
                            <w:rFonts w:ascii="Cambria Math" w:hAnsi="Cambria Math"/>
                            <w:i/>
                            <w:iCs/>
                          </w:rPr>
                        </m:ctrlPr>
                      </m:fPr>
                      <m:num>
                        <m:r>
                          <m:rPr>
                            <m:sty m:val="p"/>
                          </m:rPr>
                          <w:rPr>
                            <w:rFonts w:ascii="Cambria Math" w:hAnsi="Cambria Math"/>
                          </w:rPr>
                          <m:t>Δ</m:t>
                        </m:r>
                        <m:r>
                          <w:rPr>
                            <w:rFonts w:ascii="Cambria Math" w:hAnsi="Cambria Math"/>
                          </w:rPr>
                          <m:t>P</m:t>
                        </m:r>
                      </m:num>
                      <m:den>
                        <m:r>
                          <w:rPr>
                            <w:rFonts w:ascii="Cambria Math" w:hAnsi="Cambria Math"/>
                          </w:rPr>
                          <m:t>L</m:t>
                        </m:r>
                      </m:den>
                    </m:f>
                    <m:r>
                      <w:rPr>
                        <w:rFonts w:ascii="Cambria Math" w:hAnsi="Cambria Math"/>
                      </w:rPr>
                      <m:t>+ρg</m:t>
                    </m:r>
                  </m:e>
                </m:d>
              </m:oMath>
            </m:oMathPara>
          </w:p>
        </w:tc>
        <w:tc>
          <w:tcPr>
            <w:tcW w:w="720" w:type="dxa"/>
            <w:vAlign w:val="bottom"/>
          </w:tcPr>
          <w:p w14:paraId="61C3C7B2" w14:textId="5BC1F6AB" w:rsidR="007D58FF" w:rsidRPr="00470CB5" w:rsidRDefault="00077C0B" w:rsidP="00BC23AD">
            <w:pPr>
              <w:pStyle w:val="Caption"/>
              <w:rPr>
                <w:i/>
              </w:rPr>
            </w:pPr>
            <w:r>
              <w:fldChar w:fldCharType="begin"/>
            </w:r>
            <w:r>
              <w:instrText xml:space="preserve"> STYLEREF 1 \s </w:instrText>
            </w:r>
            <w:r>
              <w:fldChar w:fldCharType="separate"/>
            </w:r>
            <w:r w:rsidR="0006023A">
              <w:rPr>
                <w:noProof/>
              </w:rPr>
              <w:t>4</w:t>
            </w:r>
            <w:r>
              <w:rPr>
                <w:noProof/>
              </w:rPr>
              <w:fldChar w:fldCharType="end"/>
            </w:r>
            <w:r w:rsidR="007D58FF">
              <w:t>.</w:t>
            </w:r>
            <w:r>
              <w:fldChar w:fldCharType="begin"/>
            </w:r>
            <w:r>
              <w:instrText xml:space="preserve"> SEQ Equation \* ARABIC \s 1 </w:instrText>
            </w:r>
            <w:r>
              <w:fldChar w:fldCharType="separate"/>
            </w:r>
            <w:r w:rsidR="0006023A">
              <w:rPr>
                <w:noProof/>
              </w:rPr>
              <w:t>34</w:t>
            </w:r>
            <w:r>
              <w:rPr>
                <w:noProof/>
              </w:rPr>
              <w:fldChar w:fldCharType="end"/>
            </w:r>
          </w:p>
        </w:tc>
      </w:tr>
    </w:tbl>
    <w:p w14:paraId="1BF0D450" w14:textId="77777777" w:rsidR="007D58FF" w:rsidRDefault="007D58FF" w:rsidP="007D58FF"/>
    <w:p w14:paraId="010DCCD2" w14:textId="45CFA9CE" w:rsidR="007D58FF" w:rsidRDefault="007D58FF" w:rsidP="007D58FF">
      <w:r>
        <w:tab/>
        <w:t xml:space="preserve">Since </w:t>
      </w:r>
      <w:r w:rsidRPr="005C69A6">
        <w:t>Equation 4.</w:t>
      </w:r>
      <w:r w:rsidR="004968CC" w:rsidRPr="005C69A6">
        <w:t>3</w:t>
      </w:r>
      <w:r w:rsidR="005C69A6" w:rsidRPr="005C69A6">
        <w:t>4</w:t>
      </w:r>
      <w:r w:rsidRPr="005C69A6">
        <w:t xml:space="preserve"> has the form: flow rate = constant (pressure gradient + gravity), Equation 4.1</w:t>
      </w:r>
      <w:r w:rsidR="005C69A6" w:rsidRPr="005C69A6">
        <w:t>5</w:t>
      </w:r>
      <w:r w:rsidR="00BC731C" w:rsidRPr="005C69A6">
        <w:t xml:space="preserve"> can be converted to the form</w:t>
      </w:r>
      <w:r w:rsidRPr="005C69A6">
        <w:t xml:space="preserve"> shown in Equation 4.</w:t>
      </w:r>
      <w:r w:rsidR="004968CC" w:rsidRPr="005C69A6">
        <w:t>3</w:t>
      </w:r>
      <w:r w:rsidR="005C69A6" w:rsidRPr="005C69A6">
        <w:t>4</w:t>
      </w:r>
      <w:r w:rsidRPr="005C69A6">
        <w:t>. Equation 4.</w:t>
      </w:r>
      <w:r w:rsidR="004968CC" w:rsidRPr="005C69A6">
        <w:t>3</w:t>
      </w:r>
      <w:r w:rsidR="005C69A6" w:rsidRPr="005C69A6">
        <w:t>5</w:t>
      </w:r>
      <w:r w:rsidRPr="005C69A6">
        <w:t xml:space="preserve"> has the assumption that the fluid density is constant with respect to pressure. This assumption </w:t>
      </w:r>
      <w:r w:rsidRPr="005C69A6">
        <w:rPr>
          <w:iCs/>
        </w:rPr>
        <w:t>assumes that with a small enough distance (</w:t>
      </w:r>
      <m:oMath>
        <m:r>
          <w:rPr>
            <w:rFonts w:ascii="Cambria Math" w:hAnsi="Cambria Math"/>
          </w:rPr>
          <m:t>dL</m:t>
        </m:r>
      </m:oMath>
      <w:r w:rsidRPr="005C69A6">
        <w:rPr>
          <w:iCs/>
        </w:rPr>
        <w:t>), the local pressure gradient is not lar</w:t>
      </w:r>
      <w:r w:rsidR="004968CC" w:rsidRPr="005C69A6">
        <w:rPr>
          <w:iCs/>
        </w:rPr>
        <w:t>ge enough to effect the density and can therefore be constant.</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7D58FF" w14:paraId="2BB20907" w14:textId="77777777" w:rsidTr="00893161">
        <w:trPr>
          <w:trHeight w:val="576"/>
        </w:trPr>
        <w:tc>
          <w:tcPr>
            <w:tcW w:w="720" w:type="dxa"/>
            <w:vAlign w:val="center"/>
          </w:tcPr>
          <w:p w14:paraId="097739E8" w14:textId="77777777" w:rsidR="007D58FF" w:rsidRDefault="007D58FF" w:rsidP="00893161">
            <w:pPr>
              <w:spacing w:line="240" w:lineRule="auto"/>
              <w:jc w:val="center"/>
            </w:pPr>
          </w:p>
        </w:tc>
        <w:tc>
          <w:tcPr>
            <w:tcW w:w="7920" w:type="dxa"/>
            <w:vAlign w:val="center"/>
          </w:tcPr>
          <w:p w14:paraId="3DF533CD" w14:textId="77777777" w:rsidR="007D58FF" w:rsidRPr="003E4C6A" w:rsidRDefault="00077C0B" w:rsidP="00893161">
            <w:pPr>
              <w:spacing w:line="240" w:lineRule="auto"/>
              <w:jc w:val="center"/>
            </w:pPr>
            <m:oMathPara>
              <m:oMath>
                <m:sSub>
                  <m:sSubPr>
                    <m:ctrlPr>
                      <w:rPr>
                        <w:rFonts w:ascii="Cambria Math" w:hAnsi="Cambria Math"/>
                        <w:i/>
                      </w:rPr>
                    </m:ctrlPr>
                  </m:sSubPr>
                  <m:e>
                    <m:r>
                      <w:rPr>
                        <w:rFonts w:ascii="Cambria Math" w:hAnsi="Cambria Math"/>
                      </w:rPr>
                      <m:t>Q</m:t>
                    </m:r>
                  </m:e>
                  <m:sub>
                    <m:r>
                      <w:rPr>
                        <w:rFonts w:ascii="Cambria Math" w:hAnsi="Cambria Math"/>
                      </w:rPr>
                      <m:t>2</m:t>
                    </m:r>
                  </m:sub>
                </m:sSub>
                <m:r>
                  <w:rPr>
                    <w:rFonts w:ascii="Cambria Math" w:hAnsi="Cambria Math"/>
                  </w:rPr>
                  <m:t>=</m:t>
                </m:r>
                <m:f>
                  <m:fPr>
                    <m:ctrlPr>
                      <w:rPr>
                        <w:rFonts w:ascii="Cambria Math" w:hAnsi="Cambria Math"/>
                        <w:i/>
                        <w:iCs/>
                      </w:rPr>
                    </m:ctrlPr>
                  </m:fPr>
                  <m:num>
                    <m:sSup>
                      <m:sSupPr>
                        <m:ctrlPr>
                          <w:rPr>
                            <w:rFonts w:ascii="Cambria Math" w:hAnsi="Cambria Math"/>
                            <w:i/>
                          </w:rPr>
                        </m:ctrlPr>
                      </m:sSupPr>
                      <m:e>
                        <m:r>
                          <w:rPr>
                            <w:rFonts w:ascii="Cambria Math" w:hAnsi="Cambria Math"/>
                          </w:rPr>
                          <m:t>w</m:t>
                        </m:r>
                      </m:e>
                      <m:sup>
                        <m:r>
                          <w:rPr>
                            <w:rFonts w:ascii="Cambria Math" w:hAnsi="Cambria Math"/>
                          </w:rPr>
                          <m:t>3</m:t>
                        </m:r>
                      </m:sup>
                    </m:sSup>
                    <m:r>
                      <w:rPr>
                        <w:rFonts w:ascii="Cambria Math" w:hAnsi="Cambria Math"/>
                      </w:rPr>
                      <m:t>Dπ</m:t>
                    </m:r>
                  </m:num>
                  <m:den>
                    <m:r>
                      <w:rPr>
                        <w:rFonts w:ascii="Cambria Math" w:hAnsi="Cambria Math"/>
                      </w:rPr>
                      <m:t>12μ</m:t>
                    </m:r>
                  </m:den>
                </m:f>
                <m:d>
                  <m:dPr>
                    <m:ctrlPr>
                      <w:rPr>
                        <w:rFonts w:ascii="Cambria Math" w:hAnsi="Cambria Math"/>
                        <w:i/>
                        <w:iCs/>
                      </w:rPr>
                    </m:ctrlPr>
                  </m:dPr>
                  <m:e>
                    <m:f>
                      <m:fPr>
                        <m:ctrlPr>
                          <w:rPr>
                            <w:rFonts w:ascii="Cambria Math" w:hAnsi="Cambria Math"/>
                            <w:i/>
                            <w:iCs/>
                          </w:rPr>
                        </m:ctrlPr>
                      </m:fPr>
                      <m:num>
                        <m:r>
                          <m:rPr>
                            <m:sty m:val="p"/>
                          </m:rPr>
                          <w:rPr>
                            <w:rFonts w:ascii="Cambria Math" w:hAnsi="Cambria Math"/>
                          </w:rPr>
                          <m:t>Δ</m:t>
                        </m:r>
                        <m:r>
                          <w:rPr>
                            <w:rFonts w:ascii="Cambria Math" w:hAnsi="Cambria Math"/>
                          </w:rPr>
                          <m:t>P</m:t>
                        </m:r>
                      </m:num>
                      <m:den>
                        <m:r>
                          <w:rPr>
                            <w:rFonts w:ascii="Cambria Math" w:hAnsi="Cambria Math"/>
                          </w:rPr>
                          <m:t>L</m:t>
                        </m:r>
                      </m:den>
                    </m:f>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2</m:t>
                            </m:r>
                          </m:sub>
                        </m:sSub>
                      </m:num>
                      <m:den>
                        <m:r>
                          <w:rPr>
                            <w:rFonts w:ascii="Cambria Math" w:hAnsi="Cambria Math"/>
                          </w:rPr>
                          <m:t>2</m:t>
                        </m:r>
                        <m:sSub>
                          <m:sSubPr>
                            <m:ctrlPr>
                              <w:rPr>
                                <w:rFonts w:ascii="Cambria Math" w:hAnsi="Cambria Math"/>
                                <w:i/>
                              </w:rPr>
                            </m:ctrlPr>
                          </m:sSubPr>
                          <m:e>
                            <m:r>
                              <w:rPr>
                                <w:rFonts w:ascii="Cambria Math" w:hAnsi="Cambria Math"/>
                              </w:rPr>
                              <m:t>P</m:t>
                            </m:r>
                          </m:e>
                          <m:sub>
                            <m:r>
                              <w:rPr>
                                <w:rFonts w:ascii="Cambria Math" w:hAnsi="Cambria Math"/>
                              </w:rPr>
                              <m:t>2</m:t>
                            </m:r>
                          </m:sub>
                        </m:sSub>
                      </m:den>
                    </m:f>
                    <m:r>
                      <w:rPr>
                        <w:rFonts w:ascii="Cambria Math" w:hAnsi="Cambria Math"/>
                      </w:rPr>
                      <m:t>+ρg</m:t>
                    </m:r>
                  </m:e>
                </m:d>
              </m:oMath>
            </m:oMathPara>
          </w:p>
        </w:tc>
        <w:tc>
          <w:tcPr>
            <w:tcW w:w="720" w:type="dxa"/>
            <w:vAlign w:val="bottom"/>
          </w:tcPr>
          <w:p w14:paraId="02D11F7F" w14:textId="4E7B0E3F" w:rsidR="007D58FF" w:rsidRPr="00470CB5" w:rsidRDefault="00077C0B" w:rsidP="00BC23AD">
            <w:pPr>
              <w:pStyle w:val="Caption"/>
              <w:rPr>
                <w:i/>
              </w:rPr>
            </w:pPr>
            <w:r>
              <w:fldChar w:fldCharType="begin"/>
            </w:r>
            <w:r>
              <w:instrText xml:space="preserve"> STYLEREF 1 \s </w:instrText>
            </w:r>
            <w:r>
              <w:fldChar w:fldCharType="separate"/>
            </w:r>
            <w:r w:rsidR="0006023A">
              <w:rPr>
                <w:noProof/>
              </w:rPr>
              <w:t>4</w:t>
            </w:r>
            <w:r>
              <w:rPr>
                <w:noProof/>
              </w:rPr>
              <w:fldChar w:fldCharType="end"/>
            </w:r>
            <w:r w:rsidR="007D58FF">
              <w:t>.</w:t>
            </w:r>
            <w:r>
              <w:fldChar w:fldCharType="begin"/>
            </w:r>
            <w:r>
              <w:instrText xml:space="preserve"> SEQ Equation \* ARABIC \s 1 </w:instrText>
            </w:r>
            <w:r>
              <w:fldChar w:fldCharType="separate"/>
            </w:r>
            <w:r w:rsidR="0006023A">
              <w:rPr>
                <w:noProof/>
              </w:rPr>
              <w:t>35</w:t>
            </w:r>
            <w:r>
              <w:rPr>
                <w:noProof/>
              </w:rPr>
              <w:fldChar w:fldCharType="end"/>
            </w:r>
          </w:p>
        </w:tc>
      </w:tr>
    </w:tbl>
    <w:p w14:paraId="68112CBB" w14:textId="77777777" w:rsidR="007D58FF" w:rsidRDefault="007D58FF" w:rsidP="007D58FF"/>
    <w:p w14:paraId="75EDF4F2" w14:textId="4EB2F701" w:rsidR="007D58FF" w:rsidRDefault="007D58FF" w:rsidP="007D58FF">
      <w:pPr>
        <w:rPr>
          <w:rFonts w:eastAsiaTheme="minorEastAsia"/>
        </w:rPr>
      </w:pPr>
      <w:r>
        <w:lastRenderedPageBreak/>
        <w:tab/>
      </w:r>
      <w:r w:rsidRPr="005C69A6">
        <w:t>Equation 4.</w:t>
      </w:r>
      <w:r w:rsidR="004968CC">
        <w:t>3</w:t>
      </w:r>
      <w:r w:rsidR="005C69A6">
        <w:t>5</w:t>
      </w:r>
      <w:r>
        <w:t xml:space="preserve"> is for a vertical well. To account for a deviated wellbore, the gravity term</w:t>
      </w:r>
      <w:r w:rsidR="005C69A6">
        <w:t xml:space="preserve"> can be broken into components which adds the term,</w:t>
      </w:r>
      <w:r>
        <w:t xml:space="preserve"> </w:t>
      </w:r>
      <m:oMath>
        <m:func>
          <m:funcPr>
            <m:ctrlPr>
              <w:rPr>
                <w:rFonts w:ascii="Cambria Math" w:hAnsi="Cambria Math"/>
                <w:i/>
              </w:rPr>
            </m:ctrlPr>
          </m:funcPr>
          <m:fName>
            <m:r>
              <m:rPr>
                <m:sty m:val="p"/>
              </m:rPr>
              <w:rPr>
                <w:rFonts w:ascii="Cambria Math" w:hAnsi="Cambria Math"/>
              </w:rPr>
              <m:t>sin</m:t>
            </m:r>
          </m:fName>
          <m:e>
            <m:r>
              <w:rPr>
                <w:rFonts w:ascii="Cambria Math" w:hAnsi="Cambria Math"/>
              </w:rPr>
              <m:t>θ</m:t>
            </m:r>
          </m:e>
        </m:func>
      </m:oMath>
      <w:r w:rsidR="00A314A8">
        <w:rPr>
          <w:rFonts w:eastAsiaTheme="minorEastAsia"/>
        </w:rPr>
        <w:t>, for the vertical component</w:t>
      </w:r>
      <w:r w:rsidR="005C69A6">
        <w:rPr>
          <w:rFonts w:eastAsiaTheme="minorEastAsia"/>
        </w:rPr>
        <w:t>.</w:t>
      </w:r>
      <w:r>
        <w:rPr>
          <w:rFonts w:eastAsiaTheme="minorEastAsia"/>
        </w:rPr>
        <w:t xml:space="preserve"> </w:t>
      </w:r>
      <w:r w:rsidR="005C69A6">
        <w:rPr>
          <w:rFonts w:eastAsiaTheme="minorEastAsia"/>
        </w:rPr>
        <w:t xml:space="preserve">The angle of inclination of the wellbore to the horizontal is represented by the </w:t>
      </w:r>
      <m:oMath>
        <m:r>
          <w:rPr>
            <w:rFonts w:ascii="Cambria Math" w:eastAsiaTheme="minorEastAsia" w:hAnsi="Cambria Math"/>
          </w:rPr>
          <m:t>θ</m:t>
        </m:r>
      </m:oMath>
      <w:r w:rsidR="005C69A6">
        <w:rPr>
          <w:rFonts w:eastAsiaTheme="minorEastAsia"/>
        </w:rPr>
        <w:t xml:space="preserve"> term. For a vertical well, </w:t>
      </w:r>
      <m:oMath>
        <m:r>
          <w:rPr>
            <w:rFonts w:ascii="Cambria Math" w:eastAsiaTheme="minorEastAsia" w:hAnsi="Cambria Math"/>
          </w:rPr>
          <m:t>θ=90°</m:t>
        </m:r>
      </m:oMath>
      <w:r>
        <w:rPr>
          <w:rFonts w:eastAsiaTheme="minorEastAsia"/>
        </w:rPr>
        <w:t xml:space="preserve">. The complete version of the </w:t>
      </w:r>
      <w:r w:rsidRPr="005C69A6">
        <w:rPr>
          <w:rFonts w:eastAsiaTheme="minorEastAsia"/>
          <w:i/>
        </w:rPr>
        <w:t>annular ideal gas flow equation</w:t>
      </w:r>
      <w:r w:rsidR="005C69A6" w:rsidRPr="005C69A6">
        <w:rPr>
          <w:rFonts w:eastAsiaTheme="minorEastAsia"/>
          <w:i/>
        </w:rPr>
        <w:t xml:space="preserve"> with gravity</w:t>
      </w:r>
      <w:r>
        <w:rPr>
          <w:rFonts w:eastAsiaTheme="minorEastAsia"/>
        </w:rPr>
        <w:t xml:space="preserve"> is </w:t>
      </w:r>
      <w:r w:rsidR="00205745">
        <w:rPr>
          <w:rFonts w:eastAsiaTheme="minorEastAsia"/>
        </w:rPr>
        <w:t xml:space="preserve">defined </w:t>
      </w:r>
      <w:r w:rsidR="005C69A6">
        <w:rPr>
          <w:rFonts w:eastAsiaTheme="minorEastAsia"/>
        </w:rPr>
        <w:t>in Equation 4.36.</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7D58FF" w14:paraId="1658E51D" w14:textId="77777777" w:rsidTr="00893161">
        <w:trPr>
          <w:trHeight w:val="576"/>
        </w:trPr>
        <w:tc>
          <w:tcPr>
            <w:tcW w:w="720" w:type="dxa"/>
            <w:vAlign w:val="center"/>
          </w:tcPr>
          <w:p w14:paraId="44DAE126" w14:textId="77777777" w:rsidR="007D58FF" w:rsidRDefault="007D58FF" w:rsidP="00893161">
            <w:pPr>
              <w:spacing w:line="240" w:lineRule="auto"/>
              <w:jc w:val="center"/>
            </w:pPr>
          </w:p>
        </w:tc>
        <w:tc>
          <w:tcPr>
            <w:tcW w:w="7920" w:type="dxa"/>
            <w:vAlign w:val="center"/>
          </w:tcPr>
          <w:p w14:paraId="1BFC44C0" w14:textId="77777777" w:rsidR="007D58FF" w:rsidRPr="003E4C6A" w:rsidRDefault="00077C0B" w:rsidP="00893161">
            <w:pPr>
              <w:spacing w:line="240" w:lineRule="auto"/>
              <w:jc w:val="center"/>
            </w:pPr>
            <m:oMathPara>
              <m:oMath>
                <m:sSub>
                  <m:sSubPr>
                    <m:ctrlPr>
                      <w:rPr>
                        <w:rFonts w:ascii="Cambria Math" w:hAnsi="Cambria Math"/>
                        <w:i/>
                      </w:rPr>
                    </m:ctrlPr>
                  </m:sSubPr>
                  <m:e>
                    <m:r>
                      <w:rPr>
                        <w:rFonts w:ascii="Cambria Math" w:hAnsi="Cambria Math"/>
                      </w:rPr>
                      <m:t>Q</m:t>
                    </m:r>
                  </m:e>
                  <m:sub>
                    <m:r>
                      <w:rPr>
                        <w:rFonts w:ascii="Cambria Math" w:hAnsi="Cambria Math"/>
                      </w:rPr>
                      <m:t>2</m:t>
                    </m:r>
                  </m:sub>
                </m:sSub>
                <m:r>
                  <w:rPr>
                    <w:rFonts w:ascii="Cambria Math" w:hAnsi="Cambria Math"/>
                  </w:rPr>
                  <m:t>=</m:t>
                </m:r>
                <m:f>
                  <m:fPr>
                    <m:ctrlPr>
                      <w:rPr>
                        <w:rFonts w:ascii="Cambria Math" w:hAnsi="Cambria Math"/>
                        <w:i/>
                        <w:iCs/>
                      </w:rPr>
                    </m:ctrlPr>
                  </m:fPr>
                  <m:num>
                    <m:sSup>
                      <m:sSupPr>
                        <m:ctrlPr>
                          <w:rPr>
                            <w:rFonts w:ascii="Cambria Math" w:hAnsi="Cambria Math"/>
                            <w:i/>
                          </w:rPr>
                        </m:ctrlPr>
                      </m:sSupPr>
                      <m:e>
                        <m:r>
                          <w:rPr>
                            <w:rFonts w:ascii="Cambria Math" w:hAnsi="Cambria Math"/>
                          </w:rPr>
                          <m:t>w</m:t>
                        </m:r>
                      </m:e>
                      <m:sup>
                        <m:r>
                          <w:rPr>
                            <w:rFonts w:ascii="Cambria Math" w:hAnsi="Cambria Math"/>
                          </w:rPr>
                          <m:t>3</m:t>
                        </m:r>
                      </m:sup>
                    </m:sSup>
                    <m:r>
                      <w:rPr>
                        <w:rFonts w:ascii="Cambria Math" w:hAnsi="Cambria Math"/>
                      </w:rPr>
                      <m:t>Dπ</m:t>
                    </m:r>
                  </m:num>
                  <m:den>
                    <m:r>
                      <w:rPr>
                        <w:rFonts w:ascii="Cambria Math" w:hAnsi="Cambria Math"/>
                      </w:rPr>
                      <m:t>12μ</m:t>
                    </m:r>
                  </m:den>
                </m:f>
                <m:d>
                  <m:dPr>
                    <m:ctrlPr>
                      <w:rPr>
                        <w:rFonts w:ascii="Cambria Math" w:hAnsi="Cambria Math"/>
                        <w:i/>
                        <w:iCs/>
                      </w:rPr>
                    </m:ctrlPr>
                  </m:dPr>
                  <m:e>
                    <m:f>
                      <m:fPr>
                        <m:ctrlPr>
                          <w:rPr>
                            <w:rFonts w:ascii="Cambria Math" w:hAnsi="Cambria Math"/>
                            <w:i/>
                            <w:iCs/>
                          </w:rPr>
                        </m:ctrlPr>
                      </m:fPr>
                      <m:num>
                        <m:r>
                          <m:rPr>
                            <m:sty m:val="p"/>
                          </m:rPr>
                          <w:rPr>
                            <w:rFonts w:ascii="Cambria Math" w:hAnsi="Cambria Math"/>
                          </w:rPr>
                          <m:t>Δ</m:t>
                        </m:r>
                        <m:r>
                          <w:rPr>
                            <w:rFonts w:ascii="Cambria Math" w:hAnsi="Cambria Math"/>
                          </w:rPr>
                          <m:t>P</m:t>
                        </m:r>
                      </m:num>
                      <m:den>
                        <m:r>
                          <w:rPr>
                            <w:rFonts w:ascii="Cambria Math" w:hAnsi="Cambria Math"/>
                          </w:rPr>
                          <m:t>L</m:t>
                        </m:r>
                      </m:den>
                    </m:f>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2</m:t>
                            </m:r>
                          </m:sub>
                        </m:sSub>
                      </m:num>
                      <m:den>
                        <m:r>
                          <w:rPr>
                            <w:rFonts w:ascii="Cambria Math" w:hAnsi="Cambria Math"/>
                          </w:rPr>
                          <m:t>2</m:t>
                        </m:r>
                        <m:sSub>
                          <m:sSubPr>
                            <m:ctrlPr>
                              <w:rPr>
                                <w:rFonts w:ascii="Cambria Math" w:hAnsi="Cambria Math"/>
                                <w:i/>
                              </w:rPr>
                            </m:ctrlPr>
                          </m:sSubPr>
                          <m:e>
                            <m:r>
                              <w:rPr>
                                <w:rFonts w:ascii="Cambria Math" w:hAnsi="Cambria Math"/>
                              </w:rPr>
                              <m:t>P</m:t>
                            </m:r>
                          </m:e>
                          <m:sub>
                            <m:r>
                              <w:rPr>
                                <w:rFonts w:ascii="Cambria Math" w:hAnsi="Cambria Math"/>
                              </w:rPr>
                              <m:t>2</m:t>
                            </m:r>
                          </m:sub>
                        </m:sSub>
                      </m:den>
                    </m:f>
                    <m:r>
                      <w:rPr>
                        <w:rFonts w:ascii="Cambria Math" w:hAnsi="Cambria Math"/>
                      </w:rPr>
                      <m:t>+</m:t>
                    </m:r>
                    <m:d>
                      <m:dPr>
                        <m:ctrlPr>
                          <w:rPr>
                            <w:rFonts w:ascii="Cambria Math" w:hAnsi="Cambria Math"/>
                            <w:i/>
                          </w:rPr>
                        </m:ctrlPr>
                      </m:dPr>
                      <m:e>
                        <m:func>
                          <m:funcPr>
                            <m:ctrlPr>
                              <w:rPr>
                                <w:rFonts w:ascii="Cambria Math" w:hAnsi="Cambria Math"/>
                                <w:i/>
                              </w:rPr>
                            </m:ctrlPr>
                          </m:funcPr>
                          <m:fName>
                            <m:r>
                              <m:rPr>
                                <m:sty m:val="p"/>
                              </m:rPr>
                              <w:rPr>
                                <w:rFonts w:ascii="Cambria Math" w:hAnsi="Cambria Math"/>
                              </w:rPr>
                              <m:t>sin</m:t>
                            </m:r>
                          </m:fName>
                          <m:e>
                            <m:r>
                              <w:rPr>
                                <w:rFonts w:ascii="Cambria Math" w:hAnsi="Cambria Math"/>
                              </w:rPr>
                              <m:t>θ</m:t>
                            </m:r>
                          </m:e>
                        </m:func>
                      </m:e>
                    </m:d>
                    <m:r>
                      <w:rPr>
                        <w:rFonts w:ascii="Cambria Math" w:hAnsi="Cambria Math"/>
                      </w:rPr>
                      <m:t>ρg</m:t>
                    </m:r>
                  </m:e>
                </m:d>
              </m:oMath>
            </m:oMathPara>
          </w:p>
        </w:tc>
        <w:tc>
          <w:tcPr>
            <w:tcW w:w="720" w:type="dxa"/>
            <w:vAlign w:val="bottom"/>
          </w:tcPr>
          <w:p w14:paraId="37E63A57" w14:textId="54F7C7F4" w:rsidR="007D58FF" w:rsidRPr="00470CB5" w:rsidRDefault="00077C0B" w:rsidP="00BC23AD">
            <w:pPr>
              <w:pStyle w:val="Caption"/>
              <w:rPr>
                <w:i/>
              </w:rPr>
            </w:pPr>
            <w:r>
              <w:fldChar w:fldCharType="begin"/>
            </w:r>
            <w:r>
              <w:instrText xml:space="preserve"> STYLEREF 1 \s </w:instrText>
            </w:r>
            <w:r>
              <w:fldChar w:fldCharType="separate"/>
            </w:r>
            <w:r w:rsidR="0006023A">
              <w:rPr>
                <w:noProof/>
              </w:rPr>
              <w:t>4</w:t>
            </w:r>
            <w:r>
              <w:rPr>
                <w:noProof/>
              </w:rPr>
              <w:fldChar w:fldCharType="end"/>
            </w:r>
            <w:r w:rsidR="007D58FF">
              <w:t>.</w:t>
            </w:r>
            <w:r>
              <w:fldChar w:fldCharType="begin"/>
            </w:r>
            <w:r>
              <w:instrText xml:space="preserve"> SEQ Equation \* ARABIC \s 1 </w:instrText>
            </w:r>
            <w:r>
              <w:fldChar w:fldCharType="separate"/>
            </w:r>
            <w:r w:rsidR="0006023A">
              <w:rPr>
                <w:noProof/>
              </w:rPr>
              <w:t>36</w:t>
            </w:r>
            <w:r>
              <w:rPr>
                <w:noProof/>
              </w:rPr>
              <w:fldChar w:fldCharType="end"/>
            </w:r>
          </w:p>
        </w:tc>
      </w:tr>
    </w:tbl>
    <w:p w14:paraId="6B5A4447" w14:textId="77777777" w:rsidR="007D58FF" w:rsidRDefault="007D58FF" w:rsidP="007D58FF">
      <w:pPr>
        <w:rPr>
          <w:rFonts w:eastAsiaTheme="minorEastAsia"/>
        </w:rPr>
      </w:pPr>
    </w:p>
    <w:p w14:paraId="00FA4139" w14:textId="35529ABC" w:rsidR="007D58FF" w:rsidRPr="006348F1" w:rsidRDefault="007D58FF" w:rsidP="006348F1">
      <w:pPr>
        <w:rPr>
          <w:b/>
        </w:rPr>
      </w:pPr>
      <w:r w:rsidRPr="006348F1">
        <w:rPr>
          <w:b/>
        </w:rPr>
        <w:t>A</w:t>
      </w:r>
      <w:r w:rsidR="00A314A8">
        <w:rPr>
          <w:b/>
        </w:rPr>
        <w:t>nnular Real Gas Flow I</w:t>
      </w:r>
      <w:r w:rsidRPr="006348F1">
        <w:rPr>
          <w:b/>
        </w:rPr>
        <w:t>ncluding Gravity</w:t>
      </w:r>
    </w:p>
    <w:p w14:paraId="1BA4CAB3" w14:textId="5E339619" w:rsidR="007D58FF" w:rsidRDefault="007D58FF" w:rsidP="007D58FF">
      <w:pPr>
        <w:ind w:firstLine="720"/>
      </w:pPr>
      <w:r>
        <w:t>Adding gravity to real gas flow (</w:t>
      </w:r>
      <w:r w:rsidRPr="005C69A6">
        <w:t>Equation 4.3</w:t>
      </w:r>
      <w:r w:rsidR="005C69A6" w:rsidRPr="005C69A6">
        <w:t>1</w:t>
      </w:r>
      <w:r>
        <w:t xml:space="preserve">) </w:t>
      </w:r>
      <w:r w:rsidR="00BC731C">
        <w:t>gives,</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7D58FF" w14:paraId="58824513" w14:textId="77777777" w:rsidTr="00893161">
        <w:trPr>
          <w:trHeight w:val="576"/>
        </w:trPr>
        <w:tc>
          <w:tcPr>
            <w:tcW w:w="720" w:type="dxa"/>
            <w:vAlign w:val="center"/>
          </w:tcPr>
          <w:p w14:paraId="0F2CD5F2" w14:textId="77777777" w:rsidR="007D58FF" w:rsidRDefault="007D58FF" w:rsidP="00893161">
            <w:pPr>
              <w:spacing w:line="240" w:lineRule="auto"/>
              <w:jc w:val="center"/>
            </w:pPr>
          </w:p>
        </w:tc>
        <w:tc>
          <w:tcPr>
            <w:tcW w:w="7920" w:type="dxa"/>
            <w:vAlign w:val="center"/>
          </w:tcPr>
          <w:p w14:paraId="4618547E" w14:textId="77777777" w:rsidR="007D58FF" w:rsidRPr="003E4C6A" w:rsidRDefault="00077C0B" w:rsidP="00893161">
            <w:pPr>
              <w:spacing w:line="240" w:lineRule="auto"/>
              <w:jc w:val="center"/>
            </w:pPr>
            <m:oMathPara>
              <m:oMath>
                <m:sSub>
                  <m:sSubPr>
                    <m:ctrlPr>
                      <w:rPr>
                        <w:rFonts w:ascii="Cambria Math" w:hAnsi="Cambria Math"/>
                        <w:i/>
                      </w:rPr>
                    </m:ctrlPr>
                  </m:sSubPr>
                  <m:e>
                    <m:r>
                      <w:rPr>
                        <w:rFonts w:ascii="Cambria Math" w:hAnsi="Cambria Math"/>
                      </w:rPr>
                      <m:t>Q</m:t>
                    </m:r>
                  </m:e>
                  <m:sub>
                    <m:r>
                      <w:rPr>
                        <w:rFonts w:ascii="Cambria Math" w:hAnsi="Cambria Math"/>
                      </w:rPr>
                      <m:t>2</m:t>
                    </m:r>
                  </m:sub>
                </m:sSub>
                <m:r>
                  <w:rPr>
                    <w:rFonts w:ascii="Cambria Math" w:hAnsi="Cambria Math"/>
                  </w:rPr>
                  <m:t>=</m:t>
                </m:r>
                <m:f>
                  <m:fPr>
                    <m:ctrlPr>
                      <w:rPr>
                        <w:rFonts w:ascii="Cambria Math" w:hAnsi="Cambria Math"/>
                        <w:i/>
                        <w:iCs/>
                      </w:rPr>
                    </m:ctrlPr>
                  </m:fPr>
                  <m:num>
                    <m:sSup>
                      <m:sSupPr>
                        <m:ctrlPr>
                          <w:rPr>
                            <w:rFonts w:ascii="Cambria Math" w:hAnsi="Cambria Math"/>
                            <w:i/>
                          </w:rPr>
                        </m:ctrlPr>
                      </m:sSupPr>
                      <m:e>
                        <m:r>
                          <w:rPr>
                            <w:rFonts w:ascii="Cambria Math" w:hAnsi="Cambria Math"/>
                          </w:rPr>
                          <m:t>w</m:t>
                        </m:r>
                      </m:e>
                      <m:sup>
                        <m:r>
                          <w:rPr>
                            <w:rFonts w:ascii="Cambria Math" w:hAnsi="Cambria Math"/>
                          </w:rPr>
                          <m:t>3</m:t>
                        </m:r>
                      </m:sup>
                    </m:sSup>
                    <m:r>
                      <w:rPr>
                        <w:rFonts w:ascii="Cambria Math" w:hAnsi="Cambria Math"/>
                      </w:rPr>
                      <m:t>Dπ</m:t>
                    </m:r>
                  </m:num>
                  <m:den>
                    <m:r>
                      <w:rPr>
                        <w:rFonts w:ascii="Cambria Math" w:hAnsi="Cambria Math"/>
                      </w:rPr>
                      <m:t>12μ</m:t>
                    </m:r>
                  </m:den>
                </m:f>
                <m:d>
                  <m:dPr>
                    <m:begChr m:val="["/>
                    <m:endChr m:val="]"/>
                    <m:ctrlPr>
                      <w:rPr>
                        <w:rFonts w:ascii="Cambria Math" w:hAnsi="Cambria Math"/>
                        <w:i/>
                        <w:iCs/>
                      </w:rPr>
                    </m:ctrlPr>
                  </m:dPr>
                  <m:e>
                    <m:d>
                      <m:dPr>
                        <m:ctrlPr>
                          <w:rPr>
                            <w:rFonts w:ascii="Cambria Math" w:hAnsi="Cambria Math"/>
                            <w:i/>
                            <w:iCs/>
                          </w:rPr>
                        </m:ctrlPr>
                      </m:dPr>
                      <m:e>
                        <m:f>
                          <m:fPr>
                            <m:ctrlPr>
                              <w:rPr>
                                <w:rFonts w:ascii="Cambria Math" w:hAnsi="Cambria Math"/>
                                <w:i/>
                                <w:iCs/>
                              </w:rPr>
                            </m:ctrlPr>
                          </m:fPr>
                          <m:num>
                            <m:sSub>
                              <m:sSubPr>
                                <m:ctrlPr>
                                  <w:rPr>
                                    <w:rFonts w:ascii="Cambria Math" w:hAnsi="Cambria Math"/>
                                    <w:i/>
                                    <w:iCs/>
                                  </w:rPr>
                                </m:ctrlPr>
                              </m:sSubPr>
                              <m:e>
                                <m:r>
                                  <w:rPr>
                                    <w:rFonts w:ascii="Cambria Math" w:hAnsi="Cambria Math"/>
                                  </w:rPr>
                                  <m:t>z</m:t>
                                </m:r>
                              </m:e>
                              <m:sub>
                                <m:r>
                                  <w:rPr>
                                    <w:rFonts w:ascii="Cambria Math" w:hAnsi="Cambria Math"/>
                                  </w:rPr>
                                  <m:t>2</m:t>
                                </m:r>
                              </m:sub>
                            </m:sSub>
                          </m:num>
                          <m:den>
                            <m:sSub>
                              <m:sSubPr>
                                <m:ctrlPr>
                                  <w:rPr>
                                    <w:rFonts w:ascii="Cambria Math" w:hAnsi="Cambria Math"/>
                                    <w:i/>
                                    <w:iCs/>
                                  </w:rPr>
                                </m:ctrlPr>
                              </m:sSubPr>
                              <m:e>
                                <m:r>
                                  <w:rPr>
                                    <w:rFonts w:ascii="Cambria Math" w:hAnsi="Cambria Math"/>
                                  </w:rPr>
                                  <m:t>P</m:t>
                                </m:r>
                              </m:e>
                              <m:sub>
                                <m:r>
                                  <w:rPr>
                                    <w:rFonts w:ascii="Cambria Math" w:hAnsi="Cambria Math"/>
                                  </w:rPr>
                                  <m:t>2</m:t>
                                </m:r>
                              </m:sub>
                            </m:sSub>
                            <m:r>
                              <w:rPr>
                                <w:rFonts w:ascii="Cambria Math" w:hAnsi="Cambria Math"/>
                              </w:rPr>
                              <m:t>L</m:t>
                            </m:r>
                          </m:den>
                        </m:f>
                      </m:e>
                    </m:d>
                    <m:d>
                      <m:dPr>
                        <m:ctrlPr>
                          <w:rPr>
                            <w:rFonts w:ascii="Cambria Math" w:hAnsi="Cambria Math"/>
                            <w:i/>
                            <w:iCs/>
                          </w:rPr>
                        </m:ctrlPr>
                      </m:dPr>
                      <m:e>
                        <m:f>
                          <m:fPr>
                            <m:ctrlPr>
                              <w:rPr>
                                <w:rFonts w:ascii="Cambria Math" w:hAnsi="Cambria Math"/>
                                <w:i/>
                                <w:iCs/>
                              </w:rPr>
                            </m:ctrlPr>
                          </m:fPr>
                          <m:num>
                            <m:sSubSup>
                              <m:sSubSupPr>
                                <m:ctrlPr>
                                  <w:rPr>
                                    <w:rFonts w:ascii="Cambria Math" w:hAnsi="Cambria Math"/>
                                    <w:i/>
                                    <w:iCs/>
                                  </w:rPr>
                                </m:ctrlPr>
                              </m:sSubSupPr>
                              <m:e>
                                <m:r>
                                  <w:rPr>
                                    <w:rFonts w:ascii="Cambria Math" w:hAnsi="Cambria Math"/>
                                  </w:rPr>
                                  <m:t>P</m:t>
                                </m:r>
                              </m:e>
                              <m:sub>
                                <m:r>
                                  <w:rPr>
                                    <w:rFonts w:ascii="Cambria Math" w:hAnsi="Cambria Math"/>
                                  </w:rPr>
                                  <m:t>1</m:t>
                                </m:r>
                              </m:sub>
                              <m:sup>
                                <m:r>
                                  <w:rPr>
                                    <w:rFonts w:ascii="Cambria Math" w:hAnsi="Cambria Math"/>
                                  </w:rPr>
                                  <m:t>2</m:t>
                                </m:r>
                              </m:sup>
                            </m:sSubSup>
                            <m:r>
                              <w:rPr>
                                <w:rFonts w:ascii="Cambria Math" w:hAnsi="Cambria Math"/>
                              </w:rPr>
                              <m:t>-</m:t>
                            </m:r>
                            <m:sSubSup>
                              <m:sSubSupPr>
                                <m:ctrlPr>
                                  <w:rPr>
                                    <w:rFonts w:ascii="Cambria Math" w:hAnsi="Cambria Math"/>
                                    <w:i/>
                                    <w:iCs/>
                                  </w:rPr>
                                </m:ctrlPr>
                              </m:sSubSupPr>
                              <m:e>
                                <m:r>
                                  <w:rPr>
                                    <w:rFonts w:ascii="Cambria Math" w:hAnsi="Cambria Math"/>
                                  </w:rPr>
                                  <m:t>P</m:t>
                                </m:r>
                              </m:e>
                              <m:sub>
                                <m:r>
                                  <w:rPr>
                                    <w:rFonts w:ascii="Cambria Math" w:hAnsi="Cambria Math"/>
                                  </w:rPr>
                                  <m:t>2</m:t>
                                </m:r>
                              </m:sub>
                              <m:sup>
                                <m:r>
                                  <w:rPr>
                                    <w:rFonts w:ascii="Cambria Math" w:hAnsi="Cambria Math"/>
                                  </w:rPr>
                                  <m:t>2</m:t>
                                </m:r>
                              </m:sup>
                            </m:sSubSup>
                          </m:num>
                          <m:den>
                            <m:sSub>
                              <m:sSubPr>
                                <m:ctrlPr>
                                  <w:rPr>
                                    <w:rFonts w:ascii="Cambria Math" w:hAnsi="Cambria Math"/>
                                    <w:i/>
                                    <w:iCs/>
                                  </w:rPr>
                                </m:ctrlPr>
                              </m:sSubPr>
                              <m:e>
                                <m:r>
                                  <w:rPr>
                                    <w:rFonts w:ascii="Cambria Math" w:hAnsi="Cambria Math"/>
                                  </w:rPr>
                                  <m:t>z</m:t>
                                </m:r>
                              </m:e>
                              <m:sub>
                                <m:r>
                                  <w:rPr>
                                    <w:rFonts w:ascii="Cambria Math" w:hAnsi="Cambria Math"/>
                                  </w:rPr>
                                  <m:t>1</m:t>
                                </m:r>
                              </m:sub>
                            </m:sSub>
                            <m:r>
                              <w:rPr>
                                <w:rFonts w:ascii="Cambria Math" w:hAnsi="Cambria Math"/>
                              </w:rPr>
                              <m:t>+</m:t>
                            </m:r>
                            <m:sSub>
                              <m:sSubPr>
                                <m:ctrlPr>
                                  <w:rPr>
                                    <w:rFonts w:ascii="Cambria Math" w:hAnsi="Cambria Math"/>
                                    <w:i/>
                                    <w:iCs/>
                                  </w:rPr>
                                </m:ctrlPr>
                              </m:sSubPr>
                              <m:e>
                                <m:r>
                                  <w:rPr>
                                    <w:rFonts w:ascii="Cambria Math" w:hAnsi="Cambria Math"/>
                                  </w:rPr>
                                  <m:t>z</m:t>
                                </m:r>
                              </m:e>
                              <m:sub>
                                <m:r>
                                  <w:rPr>
                                    <w:rFonts w:ascii="Cambria Math" w:hAnsi="Cambria Math"/>
                                  </w:rPr>
                                  <m:t>2</m:t>
                                </m:r>
                              </m:sub>
                            </m:sSub>
                          </m:den>
                        </m:f>
                      </m:e>
                    </m:d>
                    <m:r>
                      <w:rPr>
                        <w:rFonts w:ascii="Cambria Math" w:hAnsi="Cambria Math"/>
                      </w:rPr>
                      <m:t>+</m:t>
                    </m:r>
                    <m:d>
                      <m:dPr>
                        <m:ctrlPr>
                          <w:rPr>
                            <w:rFonts w:ascii="Cambria Math" w:hAnsi="Cambria Math"/>
                            <w:i/>
                          </w:rPr>
                        </m:ctrlPr>
                      </m:dPr>
                      <m:e>
                        <m:func>
                          <m:funcPr>
                            <m:ctrlPr>
                              <w:rPr>
                                <w:rFonts w:ascii="Cambria Math" w:hAnsi="Cambria Math"/>
                                <w:i/>
                              </w:rPr>
                            </m:ctrlPr>
                          </m:funcPr>
                          <m:fName>
                            <m:r>
                              <m:rPr>
                                <m:sty m:val="p"/>
                              </m:rPr>
                              <w:rPr>
                                <w:rFonts w:ascii="Cambria Math" w:hAnsi="Cambria Math"/>
                              </w:rPr>
                              <m:t>sin</m:t>
                            </m:r>
                          </m:fName>
                          <m:e>
                            <m:r>
                              <w:rPr>
                                <w:rFonts w:ascii="Cambria Math" w:hAnsi="Cambria Math"/>
                              </w:rPr>
                              <m:t>θ</m:t>
                            </m:r>
                          </m:e>
                        </m:func>
                      </m:e>
                    </m:d>
                    <m:r>
                      <w:rPr>
                        <w:rFonts w:ascii="Cambria Math" w:hAnsi="Cambria Math"/>
                      </w:rPr>
                      <m:t>ρg</m:t>
                    </m:r>
                  </m:e>
                </m:d>
              </m:oMath>
            </m:oMathPara>
          </w:p>
        </w:tc>
        <w:tc>
          <w:tcPr>
            <w:tcW w:w="720" w:type="dxa"/>
            <w:vAlign w:val="bottom"/>
          </w:tcPr>
          <w:p w14:paraId="2E6E4CBA" w14:textId="447FFBC1" w:rsidR="007D58FF" w:rsidRPr="00470CB5" w:rsidRDefault="00077C0B" w:rsidP="00BC23AD">
            <w:pPr>
              <w:pStyle w:val="Caption"/>
              <w:rPr>
                <w:i/>
              </w:rPr>
            </w:pPr>
            <w:r>
              <w:fldChar w:fldCharType="begin"/>
            </w:r>
            <w:r>
              <w:instrText xml:space="preserve"> STYLEREF 1 \s </w:instrText>
            </w:r>
            <w:r>
              <w:fldChar w:fldCharType="separate"/>
            </w:r>
            <w:r w:rsidR="0006023A">
              <w:rPr>
                <w:noProof/>
              </w:rPr>
              <w:t>4</w:t>
            </w:r>
            <w:r>
              <w:rPr>
                <w:noProof/>
              </w:rPr>
              <w:fldChar w:fldCharType="end"/>
            </w:r>
            <w:r w:rsidR="007D58FF">
              <w:t>.</w:t>
            </w:r>
            <w:r>
              <w:fldChar w:fldCharType="begin"/>
            </w:r>
            <w:r>
              <w:instrText xml:space="preserve"> SEQ Equation \* ARABIC \s 1 </w:instrText>
            </w:r>
            <w:r>
              <w:fldChar w:fldCharType="separate"/>
            </w:r>
            <w:r w:rsidR="0006023A">
              <w:rPr>
                <w:noProof/>
              </w:rPr>
              <w:t>37</w:t>
            </w:r>
            <w:r>
              <w:rPr>
                <w:noProof/>
              </w:rPr>
              <w:fldChar w:fldCharType="end"/>
            </w:r>
          </w:p>
        </w:tc>
      </w:tr>
    </w:tbl>
    <w:p w14:paraId="18A0CB03" w14:textId="77777777" w:rsidR="007D58FF" w:rsidRDefault="007D58FF" w:rsidP="007D58FF"/>
    <w:p w14:paraId="6601A272" w14:textId="1F8D938D" w:rsidR="007D58FF" w:rsidRDefault="007D58FF" w:rsidP="007D58FF">
      <w:pPr>
        <w:ind w:firstLine="720"/>
      </w:pPr>
      <w:r>
        <w:t xml:space="preserve">The assumptions associated with the </w:t>
      </w:r>
      <w:r w:rsidR="004968CC">
        <w:t xml:space="preserve">developed </w:t>
      </w:r>
      <w:r>
        <w:t>gas flow equations are that:</w:t>
      </w:r>
    </w:p>
    <w:p w14:paraId="67C1E221" w14:textId="77777777" w:rsidR="007D58FF" w:rsidRDefault="007D58FF" w:rsidP="00FF2CA0">
      <w:pPr>
        <w:pStyle w:val="ListParagraph"/>
        <w:numPr>
          <w:ilvl w:val="0"/>
          <w:numId w:val="20"/>
        </w:numPr>
        <w:spacing w:line="240" w:lineRule="auto"/>
      </w:pPr>
      <w:r>
        <w:t>The flow is laminar (Reynolds number is less than 2,100).</w:t>
      </w:r>
    </w:p>
    <w:p w14:paraId="140CE95A" w14:textId="77777777" w:rsidR="007D58FF" w:rsidRDefault="007D58FF" w:rsidP="00FF2CA0">
      <w:pPr>
        <w:pStyle w:val="ListParagraph"/>
        <w:numPr>
          <w:ilvl w:val="0"/>
          <w:numId w:val="20"/>
        </w:numPr>
        <w:spacing w:line="240" w:lineRule="auto"/>
      </w:pPr>
      <w:r>
        <w:t>Flow is steady state.</w:t>
      </w:r>
    </w:p>
    <w:p w14:paraId="4E60E19C" w14:textId="627D249E" w:rsidR="007D58FF" w:rsidRDefault="00205745" w:rsidP="00FF2CA0">
      <w:pPr>
        <w:pStyle w:val="ListParagraph"/>
        <w:numPr>
          <w:ilvl w:val="0"/>
          <w:numId w:val="20"/>
        </w:numPr>
        <w:spacing w:line="240" w:lineRule="auto"/>
      </w:pPr>
      <w:r>
        <w:t>The f</w:t>
      </w:r>
      <w:r w:rsidR="007D58FF">
        <w:t>luid is Newtonian.</w:t>
      </w:r>
    </w:p>
    <w:p w14:paraId="75BBF52F" w14:textId="77777777" w:rsidR="007D58FF" w:rsidRDefault="007D58FF" w:rsidP="00FF2CA0">
      <w:pPr>
        <w:pStyle w:val="ListParagraph"/>
        <w:numPr>
          <w:ilvl w:val="0"/>
          <w:numId w:val="20"/>
        </w:numPr>
        <w:spacing w:line="240" w:lineRule="auto"/>
      </w:pPr>
      <w:r>
        <w:t>End effects are neglected.</w:t>
      </w:r>
    </w:p>
    <w:p w14:paraId="46BA1245" w14:textId="77777777" w:rsidR="007D58FF" w:rsidRDefault="007D58FF" w:rsidP="00FF2CA0">
      <w:pPr>
        <w:pStyle w:val="ListParagraph"/>
        <w:numPr>
          <w:ilvl w:val="0"/>
          <w:numId w:val="20"/>
        </w:numPr>
        <w:spacing w:line="240" w:lineRule="auto"/>
      </w:pPr>
      <w:r>
        <w:t>The fluid behaves as a continuum.</w:t>
      </w:r>
    </w:p>
    <w:p w14:paraId="6B5BC731" w14:textId="77777777" w:rsidR="007D58FF" w:rsidRDefault="007D58FF" w:rsidP="00FF2CA0">
      <w:pPr>
        <w:pStyle w:val="ListParagraph"/>
        <w:numPr>
          <w:ilvl w:val="0"/>
          <w:numId w:val="20"/>
        </w:numPr>
        <w:spacing w:line="240" w:lineRule="auto"/>
      </w:pPr>
      <w:r>
        <w:t>There is no slippage at the wall.</w:t>
      </w:r>
    </w:p>
    <w:p w14:paraId="3AF592BF" w14:textId="77777777" w:rsidR="007D58FF" w:rsidRDefault="007D58FF" w:rsidP="00FF2CA0">
      <w:pPr>
        <w:pStyle w:val="ListParagraph"/>
        <w:numPr>
          <w:ilvl w:val="0"/>
          <w:numId w:val="20"/>
        </w:numPr>
        <w:spacing w:line="240" w:lineRule="auto"/>
      </w:pPr>
      <w:r>
        <w:t>The system is isothermal.</w:t>
      </w:r>
    </w:p>
    <w:p w14:paraId="7A0B6B3F" w14:textId="07DE0655" w:rsidR="007D58FF" w:rsidRDefault="007D58FF" w:rsidP="00FF2CA0">
      <w:pPr>
        <w:pStyle w:val="ListParagraph"/>
        <w:numPr>
          <w:ilvl w:val="0"/>
          <w:numId w:val="20"/>
        </w:numPr>
        <w:spacing w:line="240" w:lineRule="auto"/>
      </w:pPr>
      <w:r>
        <w:t xml:space="preserve">The local pressure gradient is not large enough to </w:t>
      </w:r>
      <w:r w:rsidR="00205745">
        <w:t>a</w:t>
      </w:r>
      <w:r>
        <w:t>ffect the fluid density.</w:t>
      </w:r>
    </w:p>
    <w:p w14:paraId="231E4321" w14:textId="77777777" w:rsidR="007D58FF" w:rsidRDefault="007D58FF" w:rsidP="007D58FF">
      <w:pPr>
        <w:ind w:firstLine="720"/>
      </w:pPr>
    </w:p>
    <w:p w14:paraId="5B020A8D" w14:textId="533542B3" w:rsidR="007D58FF" w:rsidRDefault="007D58FF" w:rsidP="003E1B51">
      <w:pPr>
        <w:pStyle w:val="Heading3"/>
      </w:pPr>
      <w:bookmarkStart w:id="83" w:name="_Toc67566046"/>
      <w:r>
        <w:t>Comparison of Fluid Flow</w:t>
      </w:r>
      <w:r w:rsidR="00962760">
        <w:t xml:space="preserve"> Models</w:t>
      </w:r>
      <w:bookmarkEnd w:id="83"/>
    </w:p>
    <w:p w14:paraId="785B9A96" w14:textId="228A0EBD" w:rsidR="007D58FF" w:rsidRDefault="007D58FF" w:rsidP="007D58FF">
      <w:pPr>
        <w:ind w:firstLine="720"/>
      </w:pPr>
      <w:r>
        <w:t>A comparison of the six analytical equations (</w:t>
      </w:r>
      <w:r w:rsidR="004968CC">
        <w:t xml:space="preserve">Hagen-Poiseulle </w:t>
      </w:r>
      <w:r>
        <w:t xml:space="preserve">flow, </w:t>
      </w:r>
      <w:r w:rsidR="004968CC">
        <w:t xml:space="preserve">Hagen-Poiseulle </w:t>
      </w:r>
      <w:r>
        <w:t xml:space="preserve">flow </w:t>
      </w:r>
      <w:r w:rsidR="004968CC">
        <w:t xml:space="preserve">with </w:t>
      </w:r>
      <w:r>
        <w:t xml:space="preserve">gravity, ideal gas, ideal gas with gravity, real gas, and real gas with gravity) for an annular isothermal geometry is performed for a synthetic vertical wellbore with a uniform (arbitrary) microannuli of 100 μm. The parameters for the synthetic wellbore </w:t>
      </w:r>
      <w:r w:rsidR="00205745">
        <w:t>are</w:t>
      </w:r>
      <w:r>
        <w:t xml:space="preserve"> shown in </w:t>
      </w:r>
      <w:r w:rsidRPr="00F860F0">
        <w:t>Table 4.1</w:t>
      </w:r>
      <w:r>
        <w:t>.</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5040"/>
        <w:gridCol w:w="1440"/>
      </w:tblGrid>
      <w:tr w:rsidR="00191710" w14:paraId="0A08562C" w14:textId="77777777" w:rsidTr="00191710">
        <w:trPr>
          <w:trHeight w:val="864"/>
        </w:trPr>
        <w:tc>
          <w:tcPr>
            <w:tcW w:w="2880" w:type="dxa"/>
            <w:vAlign w:val="center"/>
          </w:tcPr>
          <w:p w14:paraId="7A6F9119" w14:textId="4B347F64" w:rsidR="00191710" w:rsidRPr="00191710" w:rsidRDefault="00191710" w:rsidP="00191710">
            <w:pPr>
              <w:spacing w:line="240" w:lineRule="auto"/>
              <w:jc w:val="center"/>
              <w:rPr>
                <w:b/>
                <w:sz w:val="20"/>
              </w:rPr>
            </w:pPr>
            <w:r w:rsidRPr="00191710">
              <w:rPr>
                <w:b/>
                <w:sz w:val="20"/>
              </w:rPr>
              <w:lastRenderedPageBreak/>
              <w:t>Hagen-Poiseulle Flow</w:t>
            </w:r>
          </w:p>
        </w:tc>
        <w:tc>
          <w:tcPr>
            <w:tcW w:w="5040" w:type="dxa"/>
            <w:vAlign w:val="center"/>
          </w:tcPr>
          <w:p w14:paraId="6D4664C0" w14:textId="0DB73BE9" w:rsidR="00191710" w:rsidRPr="003E4C6A" w:rsidRDefault="00191710" w:rsidP="00191710">
            <w:pPr>
              <w:spacing w:line="240" w:lineRule="auto"/>
              <w:jc w:val="center"/>
            </w:pPr>
            <m:oMathPara>
              <m:oMath>
                <m:r>
                  <w:rPr>
                    <w:rFonts w:ascii="Cambria Math" w:hAnsi="Cambria Math"/>
                  </w:rPr>
                  <m:t>Q=</m:t>
                </m:r>
                <m:f>
                  <m:fPr>
                    <m:ctrlPr>
                      <w:rPr>
                        <w:rFonts w:ascii="Cambria Math" w:hAnsi="Cambria Math"/>
                        <w:i/>
                        <w:iCs/>
                      </w:rPr>
                    </m:ctrlPr>
                  </m:fPr>
                  <m:num>
                    <m:r>
                      <w:rPr>
                        <w:rFonts w:ascii="Cambria Math" w:hAnsi="Cambria Math"/>
                      </w:rPr>
                      <m:t>ΔPπ</m:t>
                    </m:r>
                    <m:sSup>
                      <m:sSupPr>
                        <m:ctrlPr>
                          <w:rPr>
                            <w:rFonts w:ascii="Cambria Math" w:hAnsi="Cambria Math"/>
                            <w:i/>
                            <w:iCs/>
                          </w:rPr>
                        </m:ctrlPr>
                      </m:sSupPr>
                      <m:e>
                        <m:r>
                          <w:rPr>
                            <w:rFonts w:ascii="Cambria Math" w:hAnsi="Cambria Math"/>
                          </w:rPr>
                          <m:t>Dw</m:t>
                        </m:r>
                      </m:e>
                      <m:sup>
                        <m:r>
                          <w:rPr>
                            <w:rFonts w:ascii="Cambria Math" w:hAnsi="Cambria Math"/>
                          </w:rPr>
                          <m:t>3</m:t>
                        </m:r>
                      </m:sup>
                    </m:sSup>
                  </m:num>
                  <m:den>
                    <m:r>
                      <w:rPr>
                        <w:rFonts w:ascii="Cambria Math" w:hAnsi="Cambria Math"/>
                      </w:rPr>
                      <m:t>12μL</m:t>
                    </m:r>
                  </m:den>
                </m:f>
              </m:oMath>
            </m:oMathPara>
          </w:p>
        </w:tc>
        <w:tc>
          <w:tcPr>
            <w:tcW w:w="1440" w:type="dxa"/>
            <w:vAlign w:val="center"/>
          </w:tcPr>
          <w:p w14:paraId="4094081F" w14:textId="09EC2B9B" w:rsidR="00191710" w:rsidRPr="007E18ED" w:rsidRDefault="00191710" w:rsidP="00BC23AD">
            <w:pPr>
              <w:pStyle w:val="Caption"/>
            </w:pPr>
            <w:r>
              <w:t>2.41</w:t>
            </w:r>
          </w:p>
        </w:tc>
      </w:tr>
    </w:tbl>
    <w:p w14:paraId="7CDE7F57" w14:textId="6E4B9E7B" w:rsidR="007D58FF" w:rsidRDefault="007D58FF" w:rsidP="007D58FF">
      <w:pPr>
        <w:ind w:firstLine="720"/>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5040"/>
        <w:gridCol w:w="1440"/>
      </w:tblGrid>
      <w:tr w:rsidR="00191710" w14:paraId="5F124FDD" w14:textId="77777777" w:rsidTr="00191710">
        <w:trPr>
          <w:trHeight w:val="864"/>
        </w:trPr>
        <w:tc>
          <w:tcPr>
            <w:tcW w:w="2880" w:type="dxa"/>
            <w:vAlign w:val="center"/>
          </w:tcPr>
          <w:p w14:paraId="19F72067" w14:textId="7357794E" w:rsidR="00191710" w:rsidRPr="00191710" w:rsidRDefault="00191710" w:rsidP="001B5E2B">
            <w:pPr>
              <w:spacing w:line="240" w:lineRule="auto"/>
              <w:jc w:val="center"/>
              <w:rPr>
                <w:b/>
                <w:sz w:val="20"/>
              </w:rPr>
            </w:pPr>
            <w:r w:rsidRPr="00191710">
              <w:rPr>
                <w:b/>
                <w:sz w:val="20"/>
              </w:rPr>
              <w:t>Hagen-Poiseulle Flow</w:t>
            </w:r>
            <w:r>
              <w:rPr>
                <w:b/>
                <w:sz w:val="20"/>
              </w:rPr>
              <w:t xml:space="preserve"> + Gravity</w:t>
            </w:r>
          </w:p>
        </w:tc>
        <w:tc>
          <w:tcPr>
            <w:tcW w:w="5040" w:type="dxa"/>
            <w:vAlign w:val="center"/>
          </w:tcPr>
          <w:p w14:paraId="38A2CAFD" w14:textId="6B08FD37" w:rsidR="00191710" w:rsidRPr="003E4C6A" w:rsidRDefault="00191710" w:rsidP="001B5E2B">
            <w:pPr>
              <w:spacing w:line="240" w:lineRule="auto"/>
              <w:jc w:val="center"/>
            </w:pPr>
            <m:oMathPara>
              <m:oMath>
                <m:r>
                  <w:rPr>
                    <w:rFonts w:ascii="Cambria Math" w:hAnsi="Cambria Math"/>
                  </w:rPr>
                  <m:t>Q=</m:t>
                </m:r>
                <m:f>
                  <m:fPr>
                    <m:ctrlPr>
                      <w:rPr>
                        <w:rFonts w:ascii="Cambria Math" w:hAnsi="Cambria Math"/>
                        <w:i/>
                        <w:iCs/>
                      </w:rPr>
                    </m:ctrlPr>
                  </m:fPr>
                  <m:num>
                    <m:r>
                      <w:rPr>
                        <w:rFonts w:ascii="Cambria Math" w:hAnsi="Cambria Math"/>
                      </w:rPr>
                      <m:t>π</m:t>
                    </m:r>
                    <m:sSup>
                      <m:sSupPr>
                        <m:ctrlPr>
                          <w:rPr>
                            <w:rFonts w:ascii="Cambria Math" w:hAnsi="Cambria Math"/>
                            <w:i/>
                            <w:iCs/>
                          </w:rPr>
                        </m:ctrlPr>
                      </m:sSupPr>
                      <m:e>
                        <m:r>
                          <w:rPr>
                            <w:rFonts w:ascii="Cambria Math" w:hAnsi="Cambria Math"/>
                          </w:rPr>
                          <m:t>Dw</m:t>
                        </m:r>
                      </m:e>
                      <m:sup>
                        <m:r>
                          <w:rPr>
                            <w:rFonts w:ascii="Cambria Math" w:hAnsi="Cambria Math"/>
                          </w:rPr>
                          <m:t>3</m:t>
                        </m:r>
                      </m:sup>
                    </m:sSup>
                  </m:num>
                  <m:den>
                    <m:r>
                      <w:rPr>
                        <w:rFonts w:ascii="Cambria Math" w:hAnsi="Cambria Math"/>
                      </w:rPr>
                      <m:t>12μ</m:t>
                    </m:r>
                  </m:den>
                </m:f>
                <m:r>
                  <w:rPr>
                    <w:rFonts w:ascii="Cambria Math" w:hAnsi="Cambria Math"/>
                  </w:rPr>
                  <m:t>∙</m:t>
                </m:r>
                <m:d>
                  <m:dPr>
                    <m:ctrlPr>
                      <w:rPr>
                        <w:rFonts w:ascii="Cambria Math" w:hAnsi="Cambria Math"/>
                        <w:i/>
                        <w:iCs/>
                      </w:rPr>
                    </m:ctrlPr>
                  </m:dPr>
                  <m:e>
                    <m:f>
                      <m:fPr>
                        <m:ctrlPr>
                          <w:rPr>
                            <w:rFonts w:ascii="Cambria Math" w:hAnsi="Cambria Math"/>
                            <w:i/>
                            <w:iCs/>
                          </w:rPr>
                        </m:ctrlPr>
                      </m:fPr>
                      <m:num>
                        <m:r>
                          <w:rPr>
                            <w:rFonts w:ascii="Cambria Math" w:hAnsi="Cambria Math"/>
                          </w:rPr>
                          <m:t>ΔP</m:t>
                        </m:r>
                      </m:num>
                      <m:den>
                        <m:r>
                          <w:rPr>
                            <w:rFonts w:ascii="Cambria Math" w:hAnsi="Cambria Math"/>
                          </w:rPr>
                          <m:t>L</m:t>
                        </m:r>
                      </m:den>
                    </m:f>
                    <m:r>
                      <w:rPr>
                        <w:rFonts w:ascii="Cambria Math" w:hAnsi="Cambria Math"/>
                      </w:rPr>
                      <m:t>+</m:t>
                    </m:r>
                    <m:d>
                      <m:dPr>
                        <m:ctrlPr>
                          <w:rPr>
                            <w:rFonts w:ascii="Cambria Math" w:hAnsi="Cambria Math"/>
                            <w:i/>
                          </w:rPr>
                        </m:ctrlPr>
                      </m:dPr>
                      <m:e>
                        <m:func>
                          <m:funcPr>
                            <m:ctrlPr>
                              <w:rPr>
                                <w:rFonts w:ascii="Cambria Math" w:hAnsi="Cambria Math"/>
                                <w:i/>
                              </w:rPr>
                            </m:ctrlPr>
                          </m:funcPr>
                          <m:fName>
                            <m:r>
                              <m:rPr>
                                <m:sty m:val="p"/>
                              </m:rPr>
                              <w:rPr>
                                <w:rFonts w:ascii="Cambria Math" w:hAnsi="Cambria Math"/>
                              </w:rPr>
                              <m:t>sin</m:t>
                            </m:r>
                          </m:fName>
                          <m:e>
                            <m:r>
                              <w:rPr>
                                <w:rFonts w:ascii="Cambria Math" w:hAnsi="Cambria Math"/>
                              </w:rPr>
                              <m:t>θ</m:t>
                            </m:r>
                          </m:e>
                        </m:func>
                      </m:e>
                    </m:d>
                    <m:r>
                      <w:rPr>
                        <w:rFonts w:ascii="Cambria Math" w:hAnsi="Cambria Math"/>
                      </w:rPr>
                      <m:t>ρg</m:t>
                    </m:r>
                  </m:e>
                </m:d>
              </m:oMath>
            </m:oMathPara>
          </w:p>
        </w:tc>
        <w:tc>
          <w:tcPr>
            <w:tcW w:w="1440" w:type="dxa"/>
            <w:vAlign w:val="center"/>
          </w:tcPr>
          <w:p w14:paraId="58520EE5" w14:textId="08CE8687" w:rsidR="00191710" w:rsidRPr="007E18ED" w:rsidRDefault="00191710" w:rsidP="00BC23AD">
            <w:pPr>
              <w:pStyle w:val="Caption"/>
            </w:pPr>
            <w:r>
              <w:t>4.3</w:t>
            </w:r>
            <w:r w:rsidR="002C109A">
              <w:t>4</w:t>
            </w:r>
          </w:p>
        </w:tc>
      </w:tr>
    </w:tbl>
    <w:p w14:paraId="660BBE41" w14:textId="48FD8898" w:rsidR="00191710" w:rsidRDefault="00191710" w:rsidP="007D58FF">
      <w:pPr>
        <w:ind w:firstLine="720"/>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5040"/>
        <w:gridCol w:w="1440"/>
      </w:tblGrid>
      <w:tr w:rsidR="00191710" w14:paraId="1F7E1301" w14:textId="77777777" w:rsidTr="00191710">
        <w:trPr>
          <w:trHeight w:val="864"/>
        </w:trPr>
        <w:tc>
          <w:tcPr>
            <w:tcW w:w="2880" w:type="dxa"/>
            <w:vAlign w:val="center"/>
          </w:tcPr>
          <w:p w14:paraId="25A730BA" w14:textId="30D7CC55" w:rsidR="00191710" w:rsidRPr="00191710" w:rsidRDefault="00191710" w:rsidP="001B5E2B">
            <w:pPr>
              <w:spacing w:line="240" w:lineRule="auto"/>
              <w:jc w:val="center"/>
              <w:rPr>
                <w:b/>
                <w:sz w:val="20"/>
              </w:rPr>
            </w:pPr>
            <w:r>
              <w:rPr>
                <w:b/>
                <w:sz w:val="20"/>
              </w:rPr>
              <w:t>Ideal Gas</w:t>
            </w:r>
          </w:p>
        </w:tc>
        <w:tc>
          <w:tcPr>
            <w:tcW w:w="5040" w:type="dxa"/>
            <w:vAlign w:val="center"/>
          </w:tcPr>
          <w:p w14:paraId="1A052584" w14:textId="2A913C00" w:rsidR="00191710" w:rsidRPr="003E4C6A" w:rsidRDefault="00077C0B" w:rsidP="001B5E2B">
            <w:pPr>
              <w:spacing w:line="240" w:lineRule="auto"/>
              <w:jc w:val="center"/>
            </w:pPr>
            <m:oMathPara>
              <m:oMath>
                <m:sSub>
                  <m:sSubPr>
                    <m:ctrlPr>
                      <w:rPr>
                        <w:rFonts w:ascii="Cambria Math" w:hAnsi="Cambria Math"/>
                        <w:i/>
                        <w:iCs/>
                      </w:rPr>
                    </m:ctrlPr>
                  </m:sSubPr>
                  <m:e>
                    <m:r>
                      <w:rPr>
                        <w:rFonts w:ascii="Cambria Math" w:hAnsi="Cambria Math"/>
                      </w:rPr>
                      <m:t>Q</m:t>
                    </m:r>
                  </m:e>
                  <m:sub>
                    <m:r>
                      <w:rPr>
                        <w:rFonts w:ascii="Cambria Math" w:hAnsi="Cambria Math"/>
                      </w:rPr>
                      <m:t>2</m:t>
                    </m:r>
                  </m:sub>
                </m:sSub>
                <m:r>
                  <w:rPr>
                    <w:rFonts w:ascii="Cambria Math" w:hAnsi="Cambria Math"/>
                  </w:rPr>
                  <m:t>=</m:t>
                </m:r>
                <m:f>
                  <m:fPr>
                    <m:ctrlPr>
                      <w:rPr>
                        <w:rFonts w:ascii="Cambria Math" w:hAnsi="Cambria Math"/>
                        <w:i/>
                        <w:iCs/>
                      </w:rPr>
                    </m:ctrlPr>
                  </m:fPr>
                  <m:num>
                    <m:r>
                      <w:rPr>
                        <w:rFonts w:ascii="Cambria Math" w:hAnsi="Cambria Math"/>
                      </w:rPr>
                      <m:t>ΔP</m:t>
                    </m:r>
                    <m:sSup>
                      <m:sSupPr>
                        <m:ctrlPr>
                          <w:rPr>
                            <w:rFonts w:ascii="Cambria Math" w:hAnsi="Cambria Math"/>
                            <w:i/>
                            <w:iCs/>
                          </w:rPr>
                        </m:ctrlPr>
                      </m:sSupPr>
                      <m:e>
                        <m:r>
                          <w:rPr>
                            <w:rFonts w:ascii="Cambria Math" w:hAnsi="Cambria Math"/>
                          </w:rPr>
                          <m:t>w</m:t>
                        </m:r>
                      </m:e>
                      <m:sup>
                        <m:r>
                          <w:rPr>
                            <w:rFonts w:ascii="Cambria Math" w:hAnsi="Cambria Math"/>
                          </w:rPr>
                          <m:t>3</m:t>
                        </m:r>
                      </m:sup>
                    </m:sSup>
                    <m:r>
                      <w:rPr>
                        <w:rFonts w:ascii="Cambria Math" w:hAnsi="Cambria Math"/>
                      </w:rPr>
                      <m:t>Dπ</m:t>
                    </m:r>
                  </m:num>
                  <m:den>
                    <m:r>
                      <w:rPr>
                        <w:rFonts w:ascii="Cambria Math" w:hAnsi="Cambria Math"/>
                      </w:rPr>
                      <m:t>12μL</m:t>
                    </m:r>
                  </m:den>
                </m:f>
                <m:r>
                  <w:rPr>
                    <w:rFonts w:ascii="Cambria Math" w:hAnsi="Cambria Math"/>
                  </w:rPr>
                  <m:t>∙</m:t>
                </m:r>
                <m:f>
                  <m:fPr>
                    <m:ctrlPr>
                      <w:rPr>
                        <w:rFonts w:ascii="Cambria Math" w:hAnsi="Cambria Math"/>
                        <w:i/>
                        <w:iCs/>
                      </w:rPr>
                    </m:ctrlPr>
                  </m:fPr>
                  <m:num>
                    <m:sSub>
                      <m:sSubPr>
                        <m:ctrlPr>
                          <w:rPr>
                            <w:rFonts w:ascii="Cambria Math" w:hAnsi="Cambria Math"/>
                            <w:i/>
                            <w:iCs/>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i/>
                            <w:iCs/>
                          </w:rPr>
                        </m:ctrlPr>
                      </m:sSubPr>
                      <m:e>
                        <m:r>
                          <w:rPr>
                            <w:rFonts w:ascii="Cambria Math" w:hAnsi="Cambria Math"/>
                          </w:rPr>
                          <m:t>P</m:t>
                        </m:r>
                      </m:e>
                      <m:sub>
                        <m:r>
                          <w:rPr>
                            <w:rFonts w:ascii="Cambria Math" w:hAnsi="Cambria Math"/>
                          </w:rPr>
                          <m:t>2</m:t>
                        </m:r>
                      </m:sub>
                    </m:sSub>
                  </m:num>
                  <m:den>
                    <m:r>
                      <w:rPr>
                        <w:rFonts w:ascii="Cambria Math" w:hAnsi="Cambria Math"/>
                      </w:rPr>
                      <m:t>2</m:t>
                    </m:r>
                    <m:sSub>
                      <m:sSubPr>
                        <m:ctrlPr>
                          <w:rPr>
                            <w:rFonts w:ascii="Cambria Math" w:hAnsi="Cambria Math"/>
                            <w:i/>
                            <w:iCs/>
                          </w:rPr>
                        </m:ctrlPr>
                      </m:sSubPr>
                      <m:e>
                        <m:r>
                          <w:rPr>
                            <w:rFonts w:ascii="Cambria Math" w:hAnsi="Cambria Math"/>
                          </w:rPr>
                          <m:t>P</m:t>
                        </m:r>
                      </m:e>
                      <m:sub>
                        <m:r>
                          <w:rPr>
                            <w:rFonts w:ascii="Cambria Math" w:hAnsi="Cambria Math"/>
                          </w:rPr>
                          <m:t>2</m:t>
                        </m:r>
                      </m:sub>
                    </m:sSub>
                  </m:den>
                </m:f>
              </m:oMath>
            </m:oMathPara>
          </w:p>
        </w:tc>
        <w:tc>
          <w:tcPr>
            <w:tcW w:w="1440" w:type="dxa"/>
            <w:vAlign w:val="center"/>
          </w:tcPr>
          <w:p w14:paraId="527CF98A" w14:textId="4C94C7FD" w:rsidR="00191710" w:rsidRPr="007E18ED" w:rsidRDefault="00191710" w:rsidP="00BC23AD">
            <w:pPr>
              <w:pStyle w:val="Caption"/>
            </w:pPr>
            <w:r>
              <w:t>4.1</w:t>
            </w:r>
            <w:r w:rsidR="002C109A">
              <w:t>5</w:t>
            </w:r>
          </w:p>
        </w:tc>
      </w:tr>
    </w:tbl>
    <w:p w14:paraId="416E071C" w14:textId="29F860CB" w:rsidR="00191710" w:rsidRDefault="00191710" w:rsidP="007D58FF">
      <w:pPr>
        <w:ind w:firstLine="720"/>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5040"/>
        <w:gridCol w:w="1440"/>
      </w:tblGrid>
      <w:tr w:rsidR="00191710" w14:paraId="77A4CB8B" w14:textId="77777777" w:rsidTr="00191710">
        <w:trPr>
          <w:trHeight w:val="864"/>
        </w:trPr>
        <w:tc>
          <w:tcPr>
            <w:tcW w:w="2880" w:type="dxa"/>
            <w:vAlign w:val="center"/>
          </w:tcPr>
          <w:p w14:paraId="1E8209B0" w14:textId="4053E9C4" w:rsidR="00191710" w:rsidRPr="00191710" w:rsidRDefault="00191710" w:rsidP="001B5E2B">
            <w:pPr>
              <w:spacing w:line="240" w:lineRule="auto"/>
              <w:jc w:val="center"/>
              <w:rPr>
                <w:b/>
                <w:sz w:val="20"/>
              </w:rPr>
            </w:pPr>
            <w:r>
              <w:rPr>
                <w:b/>
                <w:sz w:val="20"/>
              </w:rPr>
              <w:t>Ideal Gas + Gravity</w:t>
            </w:r>
          </w:p>
        </w:tc>
        <w:tc>
          <w:tcPr>
            <w:tcW w:w="5040" w:type="dxa"/>
            <w:vAlign w:val="center"/>
          </w:tcPr>
          <w:p w14:paraId="7DBA7183" w14:textId="28435A62" w:rsidR="00191710" w:rsidRPr="003E4C6A" w:rsidRDefault="00077C0B" w:rsidP="001B5E2B">
            <w:pPr>
              <w:spacing w:line="240" w:lineRule="auto"/>
              <w:jc w:val="center"/>
            </w:pPr>
            <m:oMathPara>
              <m:oMath>
                <m:sSub>
                  <m:sSubPr>
                    <m:ctrlPr>
                      <w:rPr>
                        <w:rFonts w:ascii="Cambria Math" w:hAnsi="Cambria Math"/>
                        <w:i/>
                        <w:iCs/>
                      </w:rPr>
                    </m:ctrlPr>
                  </m:sSubPr>
                  <m:e>
                    <m:r>
                      <w:rPr>
                        <w:rFonts w:ascii="Cambria Math" w:hAnsi="Cambria Math"/>
                      </w:rPr>
                      <m:t>Q</m:t>
                    </m:r>
                  </m:e>
                  <m:sub>
                    <m:r>
                      <w:rPr>
                        <w:rFonts w:ascii="Cambria Math" w:hAnsi="Cambria Math"/>
                      </w:rPr>
                      <m:t>2</m:t>
                    </m:r>
                  </m:sub>
                </m:sSub>
                <m:r>
                  <w:rPr>
                    <w:rFonts w:ascii="Cambria Math" w:hAnsi="Cambria Math"/>
                  </w:rPr>
                  <m:t>=</m:t>
                </m:r>
                <m:d>
                  <m:dPr>
                    <m:ctrlPr>
                      <w:rPr>
                        <w:rFonts w:ascii="Cambria Math" w:hAnsi="Cambria Math"/>
                        <w:i/>
                        <w:iCs/>
                      </w:rPr>
                    </m:ctrlPr>
                  </m:dPr>
                  <m:e>
                    <m:f>
                      <m:fPr>
                        <m:ctrlPr>
                          <w:rPr>
                            <w:rFonts w:ascii="Cambria Math" w:hAnsi="Cambria Math"/>
                            <w:i/>
                            <w:iCs/>
                          </w:rPr>
                        </m:ctrlPr>
                      </m:fPr>
                      <m:num>
                        <m:r>
                          <w:rPr>
                            <w:rFonts w:ascii="Cambria Math" w:hAnsi="Cambria Math"/>
                          </w:rPr>
                          <m:t>πD</m:t>
                        </m:r>
                        <m:sSup>
                          <m:sSupPr>
                            <m:ctrlPr>
                              <w:rPr>
                                <w:rFonts w:ascii="Cambria Math" w:hAnsi="Cambria Math"/>
                                <w:i/>
                                <w:iCs/>
                              </w:rPr>
                            </m:ctrlPr>
                          </m:sSupPr>
                          <m:e>
                            <m:r>
                              <w:rPr>
                                <w:rFonts w:ascii="Cambria Math" w:hAnsi="Cambria Math"/>
                              </w:rPr>
                              <m:t>w</m:t>
                            </m:r>
                          </m:e>
                          <m:sup>
                            <m:r>
                              <w:rPr>
                                <w:rFonts w:ascii="Cambria Math" w:hAnsi="Cambria Math"/>
                              </w:rPr>
                              <m:t>3</m:t>
                            </m:r>
                          </m:sup>
                        </m:sSup>
                      </m:num>
                      <m:den>
                        <m:r>
                          <w:rPr>
                            <w:rFonts w:ascii="Cambria Math" w:hAnsi="Cambria Math"/>
                          </w:rPr>
                          <m:t>12μ</m:t>
                        </m:r>
                      </m:den>
                    </m:f>
                  </m:e>
                </m:d>
                <m:r>
                  <w:rPr>
                    <w:rFonts w:ascii="Cambria Math" w:hAnsi="Cambria Math"/>
                  </w:rPr>
                  <m:t>∙</m:t>
                </m:r>
                <m:d>
                  <m:dPr>
                    <m:ctrlPr>
                      <w:rPr>
                        <w:rFonts w:ascii="Cambria Math" w:hAnsi="Cambria Math"/>
                        <w:i/>
                        <w:iCs/>
                      </w:rPr>
                    </m:ctrlPr>
                  </m:dPr>
                  <m:e>
                    <m:f>
                      <m:fPr>
                        <m:ctrlPr>
                          <w:rPr>
                            <w:rFonts w:ascii="Cambria Math" w:hAnsi="Cambria Math"/>
                            <w:i/>
                            <w:iCs/>
                          </w:rPr>
                        </m:ctrlPr>
                      </m:fPr>
                      <m:num>
                        <m:r>
                          <w:rPr>
                            <w:rFonts w:ascii="Cambria Math" w:hAnsi="Cambria Math"/>
                          </w:rPr>
                          <m:t>ΔP</m:t>
                        </m:r>
                      </m:num>
                      <m:den>
                        <m:r>
                          <w:rPr>
                            <w:rFonts w:ascii="Cambria Math" w:hAnsi="Cambria Math"/>
                          </w:rPr>
                          <m:t>L</m:t>
                        </m:r>
                      </m:den>
                    </m:f>
                    <m:f>
                      <m:fPr>
                        <m:ctrlPr>
                          <w:rPr>
                            <w:rFonts w:ascii="Cambria Math" w:hAnsi="Cambria Math"/>
                            <w:i/>
                            <w:iCs/>
                          </w:rPr>
                        </m:ctrlPr>
                      </m:fPr>
                      <m:num>
                        <m:sSub>
                          <m:sSubPr>
                            <m:ctrlPr>
                              <w:rPr>
                                <w:rFonts w:ascii="Cambria Math" w:hAnsi="Cambria Math"/>
                                <w:i/>
                                <w:iCs/>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i/>
                                <w:iCs/>
                              </w:rPr>
                            </m:ctrlPr>
                          </m:sSubPr>
                          <m:e>
                            <m:r>
                              <w:rPr>
                                <w:rFonts w:ascii="Cambria Math" w:hAnsi="Cambria Math"/>
                              </w:rPr>
                              <m:t>P</m:t>
                            </m:r>
                          </m:e>
                          <m:sub>
                            <m:r>
                              <w:rPr>
                                <w:rFonts w:ascii="Cambria Math" w:hAnsi="Cambria Math"/>
                              </w:rPr>
                              <m:t>2</m:t>
                            </m:r>
                          </m:sub>
                        </m:sSub>
                      </m:num>
                      <m:den>
                        <m:r>
                          <w:rPr>
                            <w:rFonts w:ascii="Cambria Math" w:hAnsi="Cambria Math"/>
                          </w:rPr>
                          <m:t>2</m:t>
                        </m:r>
                        <m:sSub>
                          <m:sSubPr>
                            <m:ctrlPr>
                              <w:rPr>
                                <w:rFonts w:ascii="Cambria Math" w:hAnsi="Cambria Math"/>
                                <w:i/>
                                <w:iCs/>
                              </w:rPr>
                            </m:ctrlPr>
                          </m:sSubPr>
                          <m:e>
                            <m:r>
                              <w:rPr>
                                <w:rFonts w:ascii="Cambria Math" w:hAnsi="Cambria Math"/>
                              </w:rPr>
                              <m:t>P</m:t>
                            </m:r>
                          </m:e>
                          <m:sub>
                            <m:r>
                              <w:rPr>
                                <w:rFonts w:ascii="Cambria Math" w:hAnsi="Cambria Math"/>
                              </w:rPr>
                              <m:t>2</m:t>
                            </m:r>
                          </m:sub>
                        </m:sSub>
                      </m:den>
                    </m:f>
                    <m:r>
                      <w:rPr>
                        <w:rFonts w:ascii="Cambria Math" w:hAnsi="Cambria Math"/>
                      </w:rPr>
                      <m:t>+</m:t>
                    </m:r>
                    <m:d>
                      <m:dPr>
                        <m:ctrlPr>
                          <w:rPr>
                            <w:rFonts w:ascii="Cambria Math" w:hAnsi="Cambria Math"/>
                            <w:i/>
                          </w:rPr>
                        </m:ctrlPr>
                      </m:dPr>
                      <m:e>
                        <m:func>
                          <m:funcPr>
                            <m:ctrlPr>
                              <w:rPr>
                                <w:rFonts w:ascii="Cambria Math" w:hAnsi="Cambria Math"/>
                                <w:i/>
                              </w:rPr>
                            </m:ctrlPr>
                          </m:funcPr>
                          <m:fName>
                            <m:r>
                              <m:rPr>
                                <m:sty m:val="p"/>
                              </m:rPr>
                              <w:rPr>
                                <w:rFonts w:ascii="Cambria Math" w:hAnsi="Cambria Math"/>
                              </w:rPr>
                              <m:t>sin</m:t>
                            </m:r>
                          </m:fName>
                          <m:e>
                            <m:r>
                              <w:rPr>
                                <w:rFonts w:ascii="Cambria Math" w:hAnsi="Cambria Math"/>
                              </w:rPr>
                              <m:t>θ</m:t>
                            </m:r>
                          </m:e>
                        </m:func>
                      </m:e>
                    </m:d>
                    <m:r>
                      <w:rPr>
                        <w:rFonts w:ascii="Cambria Math" w:hAnsi="Cambria Math"/>
                      </w:rPr>
                      <m:t>ρg</m:t>
                    </m:r>
                  </m:e>
                </m:d>
              </m:oMath>
            </m:oMathPara>
          </w:p>
        </w:tc>
        <w:tc>
          <w:tcPr>
            <w:tcW w:w="1440" w:type="dxa"/>
            <w:vAlign w:val="center"/>
          </w:tcPr>
          <w:p w14:paraId="74A1A0DA" w14:textId="5EC70D54" w:rsidR="00191710" w:rsidRPr="007E18ED" w:rsidRDefault="00191710" w:rsidP="00BC23AD">
            <w:pPr>
              <w:pStyle w:val="Caption"/>
            </w:pPr>
            <w:r>
              <w:t>4.3</w:t>
            </w:r>
            <w:r w:rsidR="002C109A">
              <w:t>6</w:t>
            </w:r>
          </w:p>
        </w:tc>
      </w:tr>
    </w:tbl>
    <w:p w14:paraId="38A605F7" w14:textId="7CCC13CC" w:rsidR="00191710" w:rsidRDefault="00191710" w:rsidP="007D58FF">
      <w:pPr>
        <w:ind w:firstLine="720"/>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5040"/>
        <w:gridCol w:w="1440"/>
      </w:tblGrid>
      <w:tr w:rsidR="00191710" w14:paraId="1CF1AFB5" w14:textId="77777777" w:rsidTr="00191710">
        <w:trPr>
          <w:trHeight w:val="864"/>
        </w:trPr>
        <w:tc>
          <w:tcPr>
            <w:tcW w:w="2880" w:type="dxa"/>
            <w:vAlign w:val="center"/>
          </w:tcPr>
          <w:p w14:paraId="534B9560" w14:textId="44A64D7F" w:rsidR="00191710" w:rsidRPr="00191710" w:rsidRDefault="00191710" w:rsidP="001B5E2B">
            <w:pPr>
              <w:spacing w:line="240" w:lineRule="auto"/>
              <w:jc w:val="center"/>
              <w:rPr>
                <w:b/>
                <w:sz w:val="20"/>
              </w:rPr>
            </w:pPr>
            <w:r>
              <w:rPr>
                <w:b/>
                <w:sz w:val="20"/>
              </w:rPr>
              <w:t>Real Gas</w:t>
            </w:r>
          </w:p>
        </w:tc>
        <w:tc>
          <w:tcPr>
            <w:tcW w:w="5040" w:type="dxa"/>
            <w:vAlign w:val="center"/>
          </w:tcPr>
          <w:p w14:paraId="15AE6D60" w14:textId="2A52040C" w:rsidR="00191710" w:rsidRPr="003E4C6A" w:rsidRDefault="00077C0B" w:rsidP="001B5E2B">
            <w:pPr>
              <w:spacing w:line="240" w:lineRule="auto"/>
              <w:jc w:val="center"/>
            </w:pPr>
            <m:oMathPara>
              <m:oMath>
                <m:sSub>
                  <m:sSubPr>
                    <m:ctrlPr>
                      <w:rPr>
                        <w:rFonts w:ascii="Cambria Math" w:hAnsi="Cambria Math"/>
                        <w:i/>
                        <w:iCs/>
                      </w:rPr>
                    </m:ctrlPr>
                  </m:sSubPr>
                  <m:e>
                    <m:r>
                      <w:rPr>
                        <w:rFonts w:ascii="Cambria Math" w:hAnsi="Cambria Math"/>
                      </w:rPr>
                      <m:t>Q</m:t>
                    </m:r>
                  </m:e>
                  <m:sub>
                    <m:r>
                      <w:rPr>
                        <w:rFonts w:ascii="Cambria Math" w:hAnsi="Cambria Math"/>
                      </w:rPr>
                      <m:t>2</m:t>
                    </m:r>
                  </m:sub>
                </m:sSub>
                <m:r>
                  <w:rPr>
                    <w:rFonts w:ascii="Cambria Math" w:hAnsi="Cambria Math"/>
                  </w:rPr>
                  <m:t>=</m:t>
                </m:r>
                <m:f>
                  <m:fPr>
                    <m:ctrlPr>
                      <w:rPr>
                        <w:rFonts w:ascii="Cambria Math" w:hAnsi="Cambria Math"/>
                        <w:i/>
                        <w:iCs/>
                      </w:rPr>
                    </m:ctrlPr>
                  </m:fPr>
                  <m:num>
                    <m:r>
                      <w:rPr>
                        <w:rFonts w:ascii="Cambria Math" w:hAnsi="Cambria Math"/>
                      </w:rPr>
                      <m:t>πD</m:t>
                    </m:r>
                    <m:sSup>
                      <m:sSupPr>
                        <m:ctrlPr>
                          <w:rPr>
                            <w:rFonts w:ascii="Cambria Math" w:hAnsi="Cambria Math"/>
                            <w:i/>
                            <w:iCs/>
                          </w:rPr>
                        </m:ctrlPr>
                      </m:sSupPr>
                      <m:e>
                        <m:r>
                          <w:rPr>
                            <w:rFonts w:ascii="Cambria Math" w:hAnsi="Cambria Math"/>
                          </w:rPr>
                          <m:t>w</m:t>
                        </m:r>
                      </m:e>
                      <m:sup>
                        <m:r>
                          <w:rPr>
                            <w:rFonts w:ascii="Cambria Math" w:hAnsi="Cambria Math"/>
                          </w:rPr>
                          <m:t>3</m:t>
                        </m:r>
                      </m:sup>
                    </m:sSup>
                    <m:sSub>
                      <m:sSubPr>
                        <m:ctrlPr>
                          <w:rPr>
                            <w:rFonts w:ascii="Cambria Math" w:hAnsi="Cambria Math"/>
                            <w:i/>
                            <w:iCs/>
                          </w:rPr>
                        </m:ctrlPr>
                      </m:sSubPr>
                      <m:e>
                        <m:r>
                          <w:rPr>
                            <w:rFonts w:ascii="Cambria Math" w:hAnsi="Cambria Math"/>
                          </w:rPr>
                          <m:t>z</m:t>
                        </m:r>
                      </m:e>
                      <m:sub>
                        <m:r>
                          <w:rPr>
                            <w:rFonts w:ascii="Cambria Math" w:hAnsi="Cambria Math"/>
                          </w:rPr>
                          <m:t>2</m:t>
                        </m:r>
                      </m:sub>
                    </m:sSub>
                  </m:num>
                  <m:den>
                    <m:r>
                      <w:rPr>
                        <w:rFonts w:ascii="Cambria Math" w:hAnsi="Cambria Math"/>
                      </w:rPr>
                      <m:t>12μ</m:t>
                    </m:r>
                    <m:sSub>
                      <m:sSubPr>
                        <m:ctrlPr>
                          <w:rPr>
                            <w:rFonts w:ascii="Cambria Math" w:hAnsi="Cambria Math"/>
                            <w:i/>
                            <w:iCs/>
                          </w:rPr>
                        </m:ctrlPr>
                      </m:sSubPr>
                      <m:e>
                        <m:r>
                          <w:rPr>
                            <w:rFonts w:ascii="Cambria Math" w:hAnsi="Cambria Math"/>
                          </w:rPr>
                          <m:t>P</m:t>
                        </m:r>
                      </m:e>
                      <m:sub>
                        <m:r>
                          <w:rPr>
                            <w:rFonts w:ascii="Cambria Math" w:hAnsi="Cambria Math"/>
                          </w:rPr>
                          <m:t>2</m:t>
                        </m:r>
                      </m:sub>
                    </m:sSub>
                    <m:r>
                      <w:rPr>
                        <w:rFonts w:ascii="Cambria Math" w:hAnsi="Cambria Math"/>
                      </w:rPr>
                      <m:t>L</m:t>
                    </m:r>
                  </m:den>
                </m:f>
                <m:r>
                  <w:rPr>
                    <w:rFonts w:ascii="Cambria Math" w:hAnsi="Cambria Math"/>
                  </w:rPr>
                  <m:t>∙</m:t>
                </m:r>
                <m:d>
                  <m:dPr>
                    <m:ctrlPr>
                      <w:rPr>
                        <w:rFonts w:ascii="Cambria Math" w:hAnsi="Cambria Math"/>
                        <w:i/>
                        <w:iCs/>
                      </w:rPr>
                    </m:ctrlPr>
                  </m:dPr>
                  <m:e>
                    <m:f>
                      <m:fPr>
                        <m:ctrlPr>
                          <w:rPr>
                            <w:rFonts w:ascii="Cambria Math" w:hAnsi="Cambria Math"/>
                            <w:i/>
                            <w:iCs/>
                          </w:rPr>
                        </m:ctrlPr>
                      </m:fPr>
                      <m:num>
                        <m:sSubSup>
                          <m:sSubSupPr>
                            <m:ctrlPr>
                              <w:rPr>
                                <w:rFonts w:ascii="Cambria Math" w:hAnsi="Cambria Math"/>
                                <w:i/>
                                <w:iCs/>
                              </w:rPr>
                            </m:ctrlPr>
                          </m:sSubSupPr>
                          <m:e>
                            <m:r>
                              <w:rPr>
                                <w:rFonts w:ascii="Cambria Math" w:hAnsi="Cambria Math"/>
                              </w:rPr>
                              <m:t>P</m:t>
                            </m:r>
                          </m:e>
                          <m:sub>
                            <m:r>
                              <w:rPr>
                                <w:rFonts w:ascii="Cambria Math" w:hAnsi="Cambria Math"/>
                              </w:rPr>
                              <m:t>1</m:t>
                            </m:r>
                          </m:sub>
                          <m:sup>
                            <m:r>
                              <w:rPr>
                                <w:rFonts w:ascii="Cambria Math" w:hAnsi="Cambria Math"/>
                              </w:rPr>
                              <m:t>2</m:t>
                            </m:r>
                          </m:sup>
                        </m:sSubSup>
                        <m:r>
                          <w:rPr>
                            <w:rFonts w:ascii="Cambria Math" w:hAnsi="Cambria Math"/>
                          </w:rPr>
                          <m:t>-</m:t>
                        </m:r>
                        <m:sSubSup>
                          <m:sSubSupPr>
                            <m:ctrlPr>
                              <w:rPr>
                                <w:rFonts w:ascii="Cambria Math" w:hAnsi="Cambria Math"/>
                                <w:i/>
                                <w:iCs/>
                              </w:rPr>
                            </m:ctrlPr>
                          </m:sSubSupPr>
                          <m:e>
                            <m:r>
                              <w:rPr>
                                <w:rFonts w:ascii="Cambria Math" w:hAnsi="Cambria Math"/>
                              </w:rPr>
                              <m:t>P</m:t>
                            </m:r>
                          </m:e>
                          <m:sub>
                            <m:r>
                              <w:rPr>
                                <w:rFonts w:ascii="Cambria Math" w:hAnsi="Cambria Math"/>
                              </w:rPr>
                              <m:t>2</m:t>
                            </m:r>
                          </m:sub>
                          <m:sup>
                            <m:r>
                              <w:rPr>
                                <w:rFonts w:ascii="Cambria Math" w:hAnsi="Cambria Math"/>
                              </w:rPr>
                              <m:t>2</m:t>
                            </m:r>
                          </m:sup>
                        </m:sSubSup>
                      </m:num>
                      <m:den>
                        <m:sSub>
                          <m:sSubPr>
                            <m:ctrlPr>
                              <w:rPr>
                                <w:rFonts w:ascii="Cambria Math" w:hAnsi="Cambria Math"/>
                                <w:i/>
                                <w:iCs/>
                              </w:rPr>
                            </m:ctrlPr>
                          </m:sSubPr>
                          <m:e>
                            <m:r>
                              <w:rPr>
                                <w:rFonts w:ascii="Cambria Math" w:hAnsi="Cambria Math"/>
                              </w:rPr>
                              <m:t>z</m:t>
                            </m:r>
                          </m:e>
                          <m:sub>
                            <m:r>
                              <w:rPr>
                                <w:rFonts w:ascii="Cambria Math" w:hAnsi="Cambria Math"/>
                              </w:rPr>
                              <m:t>1</m:t>
                            </m:r>
                          </m:sub>
                        </m:sSub>
                        <m:r>
                          <w:rPr>
                            <w:rFonts w:ascii="Cambria Math" w:hAnsi="Cambria Math"/>
                          </w:rPr>
                          <m:t>+</m:t>
                        </m:r>
                        <m:sSub>
                          <m:sSubPr>
                            <m:ctrlPr>
                              <w:rPr>
                                <w:rFonts w:ascii="Cambria Math" w:hAnsi="Cambria Math"/>
                                <w:i/>
                                <w:iCs/>
                              </w:rPr>
                            </m:ctrlPr>
                          </m:sSubPr>
                          <m:e>
                            <m:r>
                              <w:rPr>
                                <w:rFonts w:ascii="Cambria Math" w:hAnsi="Cambria Math"/>
                              </w:rPr>
                              <m:t>z</m:t>
                            </m:r>
                          </m:e>
                          <m:sub>
                            <m:r>
                              <w:rPr>
                                <w:rFonts w:ascii="Cambria Math" w:hAnsi="Cambria Math"/>
                              </w:rPr>
                              <m:t>2</m:t>
                            </m:r>
                          </m:sub>
                        </m:sSub>
                      </m:den>
                    </m:f>
                  </m:e>
                </m:d>
              </m:oMath>
            </m:oMathPara>
          </w:p>
        </w:tc>
        <w:tc>
          <w:tcPr>
            <w:tcW w:w="1440" w:type="dxa"/>
            <w:vAlign w:val="center"/>
          </w:tcPr>
          <w:p w14:paraId="5FA6CC1F" w14:textId="66F4B0EC" w:rsidR="00191710" w:rsidRPr="007E18ED" w:rsidRDefault="00191710" w:rsidP="00BC23AD">
            <w:pPr>
              <w:pStyle w:val="Caption"/>
            </w:pPr>
            <w:r>
              <w:t>4.3</w:t>
            </w:r>
            <w:r w:rsidR="002C109A">
              <w:t>1</w:t>
            </w:r>
          </w:p>
        </w:tc>
      </w:tr>
    </w:tbl>
    <w:p w14:paraId="3C20762A" w14:textId="24D2BBF8" w:rsidR="00191710" w:rsidRDefault="00191710" w:rsidP="007D58FF">
      <w:pPr>
        <w:ind w:firstLine="720"/>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5040"/>
        <w:gridCol w:w="1440"/>
      </w:tblGrid>
      <w:tr w:rsidR="00191710" w14:paraId="00A524B5" w14:textId="77777777" w:rsidTr="00191710">
        <w:trPr>
          <w:trHeight w:val="864"/>
        </w:trPr>
        <w:tc>
          <w:tcPr>
            <w:tcW w:w="2880" w:type="dxa"/>
            <w:vAlign w:val="center"/>
          </w:tcPr>
          <w:p w14:paraId="539FCA6B" w14:textId="7D23FD26" w:rsidR="00191710" w:rsidRPr="00191710" w:rsidRDefault="00191710" w:rsidP="001B5E2B">
            <w:pPr>
              <w:spacing w:line="240" w:lineRule="auto"/>
              <w:jc w:val="center"/>
              <w:rPr>
                <w:b/>
                <w:sz w:val="20"/>
              </w:rPr>
            </w:pPr>
            <w:r>
              <w:rPr>
                <w:b/>
                <w:sz w:val="20"/>
              </w:rPr>
              <w:t>Real Gas + Gravity</w:t>
            </w:r>
          </w:p>
        </w:tc>
        <w:tc>
          <w:tcPr>
            <w:tcW w:w="5040" w:type="dxa"/>
            <w:vAlign w:val="center"/>
          </w:tcPr>
          <w:p w14:paraId="34255485" w14:textId="2C1A00DC" w:rsidR="00191710" w:rsidRPr="003E4C6A" w:rsidRDefault="00077C0B" w:rsidP="001B5E2B">
            <w:pPr>
              <w:spacing w:line="240" w:lineRule="auto"/>
              <w:jc w:val="center"/>
            </w:pPr>
            <m:oMathPara>
              <m:oMath>
                <m:sSub>
                  <m:sSubPr>
                    <m:ctrlPr>
                      <w:rPr>
                        <w:rFonts w:ascii="Cambria Math" w:hAnsi="Cambria Math"/>
                        <w:i/>
                        <w:iCs/>
                      </w:rPr>
                    </m:ctrlPr>
                  </m:sSubPr>
                  <m:e>
                    <m:r>
                      <w:rPr>
                        <w:rFonts w:ascii="Cambria Math" w:hAnsi="Cambria Math"/>
                      </w:rPr>
                      <m:t>Q</m:t>
                    </m:r>
                  </m:e>
                  <m:sub>
                    <m:r>
                      <w:rPr>
                        <w:rFonts w:ascii="Cambria Math" w:hAnsi="Cambria Math"/>
                      </w:rPr>
                      <m:t>2</m:t>
                    </m:r>
                  </m:sub>
                </m:sSub>
                <m:r>
                  <w:rPr>
                    <w:rFonts w:ascii="Cambria Math" w:hAnsi="Cambria Math"/>
                  </w:rPr>
                  <m:t>=</m:t>
                </m:r>
                <m:d>
                  <m:dPr>
                    <m:ctrlPr>
                      <w:rPr>
                        <w:rFonts w:ascii="Cambria Math" w:hAnsi="Cambria Math"/>
                        <w:i/>
                        <w:iCs/>
                      </w:rPr>
                    </m:ctrlPr>
                  </m:dPr>
                  <m:e>
                    <m:f>
                      <m:fPr>
                        <m:ctrlPr>
                          <w:rPr>
                            <w:rFonts w:ascii="Cambria Math" w:hAnsi="Cambria Math"/>
                            <w:i/>
                            <w:iCs/>
                          </w:rPr>
                        </m:ctrlPr>
                      </m:fPr>
                      <m:num>
                        <m:r>
                          <w:rPr>
                            <w:rFonts w:ascii="Cambria Math" w:hAnsi="Cambria Math"/>
                          </w:rPr>
                          <m:t>πD</m:t>
                        </m:r>
                        <m:sSup>
                          <m:sSupPr>
                            <m:ctrlPr>
                              <w:rPr>
                                <w:rFonts w:ascii="Cambria Math" w:hAnsi="Cambria Math"/>
                                <w:i/>
                                <w:iCs/>
                              </w:rPr>
                            </m:ctrlPr>
                          </m:sSupPr>
                          <m:e>
                            <m:r>
                              <w:rPr>
                                <w:rFonts w:ascii="Cambria Math" w:hAnsi="Cambria Math"/>
                              </w:rPr>
                              <m:t>w</m:t>
                            </m:r>
                          </m:e>
                          <m:sup>
                            <m:r>
                              <w:rPr>
                                <w:rFonts w:ascii="Cambria Math" w:hAnsi="Cambria Math"/>
                              </w:rPr>
                              <m:t>3</m:t>
                            </m:r>
                          </m:sup>
                        </m:sSup>
                      </m:num>
                      <m:den>
                        <m:r>
                          <w:rPr>
                            <w:rFonts w:ascii="Cambria Math" w:hAnsi="Cambria Math"/>
                          </w:rPr>
                          <m:t>12μ</m:t>
                        </m:r>
                      </m:den>
                    </m:f>
                  </m:e>
                </m:d>
                <m:r>
                  <w:rPr>
                    <w:rFonts w:ascii="Cambria Math" w:hAnsi="Cambria Math"/>
                  </w:rPr>
                  <m:t>∙</m:t>
                </m:r>
                <m:d>
                  <m:dPr>
                    <m:begChr m:val="["/>
                    <m:endChr m:val="]"/>
                    <m:ctrlPr>
                      <w:rPr>
                        <w:rFonts w:ascii="Cambria Math" w:hAnsi="Cambria Math"/>
                        <w:i/>
                        <w:iCs/>
                      </w:rPr>
                    </m:ctrlPr>
                  </m:dPr>
                  <m:e>
                    <m:d>
                      <m:dPr>
                        <m:ctrlPr>
                          <w:rPr>
                            <w:rFonts w:ascii="Cambria Math" w:hAnsi="Cambria Math"/>
                            <w:i/>
                            <w:iCs/>
                          </w:rPr>
                        </m:ctrlPr>
                      </m:dPr>
                      <m:e>
                        <m:f>
                          <m:fPr>
                            <m:ctrlPr>
                              <w:rPr>
                                <w:rFonts w:ascii="Cambria Math" w:hAnsi="Cambria Math"/>
                                <w:i/>
                                <w:iCs/>
                              </w:rPr>
                            </m:ctrlPr>
                          </m:fPr>
                          <m:num>
                            <m:sSub>
                              <m:sSubPr>
                                <m:ctrlPr>
                                  <w:rPr>
                                    <w:rFonts w:ascii="Cambria Math" w:hAnsi="Cambria Math"/>
                                    <w:i/>
                                    <w:iCs/>
                                  </w:rPr>
                                </m:ctrlPr>
                              </m:sSubPr>
                              <m:e>
                                <m:r>
                                  <w:rPr>
                                    <w:rFonts w:ascii="Cambria Math" w:hAnsi="Cambria Math"/>
                                  </w:rPr>
                                  <m:t>z</m:t>
                                </m:r>
                              </m:e>
                              <m:sub>
                                <m:r>
                                  <w:rPr>
                                    <w:rFonts w:ascii="Cambria Math" w:hAnsi="Cambria Math"/>
                                  </w:rPr>
                                  <m:t>2</m:t>
                                </m:r>
                              </m:sub>
                            </m:sSub>
                          </m:num>
                          <m:den>
                            <m:sSub>
                              <m:sSubPr>
                                <m:ctrlPr>
                                  <w:rPr>
                                    <w:rFonts w:ascii="Cambria Math" w:hAnsi="Cambria Math"/>
                                    <w:i/>
                                    <w:iCs/>
                                  </w:rPr>
                                </m:ctrlPr>
                              </m:sSubPr>
                              <m:e>
                                <m:r>
                                  <w:rPr>
                                    <w:rFonts w:ascii="Cambria Math" w:hAnsi="Cambria Math"/>
                                  </w:rPr>
                                  <m:t>P</m:t>
                                </m:r>
                              </m:e>
                              <m:sub>
                                <m:r>
                                  <w:rPr>
                                    <w:rFonts w:ascii="Cambria Math" w:hAnsi="Cambria Math"/>
                                  </w:rPr>
                                  <m:t>2</m:t>
                                </m:r>
                              </m:sub>
                            </m:sSub>
                            <m:r>
                              <w:rPr>
                                <w:rFonts w:ascii="Cambria Math" w:hAnsi="Cambria Math"/>
                              </w:rPr>
                              <m:t>L</m:t>
                            </m:r>
                          </m:den>
                        </m:f>
                      </m:e>
                    </m:d>
                    <m:d>
                      <m:dPr>
                        <m:ctrlPr>
                          <w:rPr>
                            <w:rFonts w:ascii="Cambria Math" w:hAnsi="Cambria Math"/>
                            <w:i/>
                            <w:iCs/>
                          </w:rPr>
                        </m:ctrlPr>
                      </m:dPr>
                      <m:e>
                        <m:f>
                          <m:fPr>
                            <m:ctrlPr>
                              <w:rPr>
                                <w:rFonts w:ascii="Cambria Math" w:hAnsi="Cambria Math"/>
                                <w:i/>
                                <w:iCs/>
                              </w:rPr>
                            </m:ctrlPr>
                          </m:fPr>
                          <m:num>
                            <m:sSubSup>
                              <m:sSubSupPr>
                                <m:ctrlPr>
                                  <w:rPr>
                                    <w:rFonts w:ascii="Cambria Math" w:hAnsi="Cambria Math"/>
                                    <w:i/>
                                    <w:iCs/>
                                  </w:rPr>
                                </m:ctrlPr>
                              </m:sSubSupPr>
                              <m:e>
                                <m:r>
                                  <w:rPr>
                                    <w:rFonts w:ascii="Cambria Math" w:hAnsi="Cambria Math"/>
                                  </w:rPr>
                                  <m:t>P</m:t>
                                </m:r>
                              </m:e>
                              <m:sub>
                                <m:r>
                                  <w:rPr>
                                    <w:rFonts w:ascii="Cambria Math" w:hAnsi="Cambria Math"/>
                                  </w:rPr>
                                  <m:t>1</m:t>
                                </m:r>
                              </m:sub>
                              <m:sup>
                                <m:r>
                                  <w:rPr>
                                    <w:rFonts w:ascii="Cambria Math" w:hAnsi="Cambria Math"/>
                                  </w:rPr>
                                  <m:t>2</m:t>
                                </m:r>
                              </m:sup>
                            </m:sSubSup>
                            <m:r>
                              <w:rPr>
                                <w:rFonts w:ascii="Cambria Math" w:hAnsi="Cambria Math"/>
                              </w:rPr>
                              <m:t>-</m:t>
                            </m:r>
                            <m:sSubSup>
                              <m:sSubSupPr>
                                <m:ctrlPr>
                                  <w:rPr>
                                    <w:rFonts w:ascii="Cambria Math" w:hAnsi="Cambria Math"/>
                                    <w:i/>
                                    <w:iCs/>
                                  </w:rPr>
                                </m:ctrlPr>
                              </m:sSubSupPr>
                              <m:e>
                                <m:r>
                                  <w:rPr>
                                    <w:rFonts w:ascii="Cambria Math" w:hAnsi="Cambria Math"/>
                                  </w:rPr>
                                  <m:t>P</m:t>
                                </m:r>
                              </m:e>
                              <m:sub>
                                <m:r>
                                  <w:rPr>
                                    <w:rFonts w:ascii="Cambria Math" w:hAnsi="Cambria Math"/>
                                  </w:rPr>
                                  <m:t>2</m:t>
                                </m:r>
                              </m:sub>
                              <m:sup>
                                <m:r>
                                  <w:rPr>
                                    <w:rFonts w:ascii="Cambria Math" w:hAnsi="Cambria Math"/>
                                  </w:rPr>
                                  <m:t>2</m:t>
                                </m:r>
                              </m:sup>
                            </m:sSubSup>
                          </m:num>
                          <m:den>
                            <m:sSub>
                              <m:sSubPr>
                                <m:ctrlPr>
                                  <w:rPr>
                                    <w:rFonts w:ascii="Cambria Math" w:hAnsi="Cambria Math"/>
                                    <w:i/>
                                    <w:iCs/>
                                  </w:rPr>
                                </m:ctrlPr>
                              </m:sSubPr>
                              <m:e>
                                <m:r>
                                  <w:rPr>
                                    <w:rFonts w:ascii="Cambria Math" w:hAnsi="Cambria Math"/>
                                  </w:rPr>
                                  <m:t>z</m:t>
                                </m:r>
                              </m:e>
                              <m:sub>
                                <m:r>
                                  <w:rPr>
                                    <w:rFonts w:ascii="Cambria Math" w:hAnsi="Cambria Math"/>
                                  </w:rPr>
                                  <m:t>1</m:t>
                                </m:r>
                              </m:sub>
                            </m:sSub>
                            <m:r>
                              <w:rPr>
                                <w:rFonts w:ascii="Cambria Math" w:hAnsi="Cambria Math"/>
                              </w:rPr>
                              <m:t>+</m:t>
                            </m:r>
                            <m:sSub>
                              <m:sSubPr>
                                <m:ctrlPr>
                                  <w:rPr>
                                    <w:rFonts w:ascii="Cambria Math" w:hAnsi="Cambria Math"/>
                                    <w:i/>
                                    <w:iCs/>
                                  </w:rPr>
                                </m:ctrlPr>
                              </m:sSubPr>
                              <m:e>
                                <m:r>
                                  <w:rPr>
                                    <w:rFonts w:ascii="Cambria Math" w:hAnsi="Cambria Math"/>
                                  </w:rPr>
                                  <m:t>z</m:t>
                                </m:r>
                              </m:e>
                              <m:sub>
                                <m:r>
                                  <w:rPr>
                                    <w:rFonts w:ascii="Cambria Math" w:hAnsi="Cambria Math"/>
                                  </w:rPr>
                                  <m:t>2</m:t>
                                </m:r>
                              </m:sub>
                            </m:sSub>
                          </m:den>
                        </m:f>
                      </m:e>
                    </m:d>
                    <m:r>
                      <w:rPr>
                        <w:rFonts w:ascii="Cambria Math" w:hAnsi="Cambria Math"/>
                      </w:rPr>
                      <m:t>+</m:t>
                    </m:r>
                    <m:d>
                      <m:dPr>
                        <m:ctrlPr>
                          <w:rPr>
                            <w:rFonts w:ascii="Cambria Math" w:hAnsi="Cambria Math"/>
                            <w:i/>
                          </w:rPr>
                        </m:ctrlPr>
                      </m:dPr>
                      <m:e>
                        <m:func>
                          <m:funcPr>
                            <m:ctrlPr>
                              <w:rPr>
                                <w:rFonts w:ascii="Cambria Math" w:hAnsi="Cambria Math"/>
                                <w:i/>
                              </w:rPr>
                            </m:ctrlPr>
                          </m:funcPr>
                          <m:fName>
                            <m:r>
                              <m:rPr>
                                <m:sty m:val="p"/>
                              </m:rPr>
                              <w:rPr>
                                <w:rFonts w:ascii="Cambria Math" w:hAnsi="Cambria Math"/>
                              </w:rPr>
                              <m:t>sin</m:t>
                            </m:r>
                          </m:fName>
                          <m:e>
                            <m:r>
                              <w:rPr>
                                <w:rFonts w:ascii="Cambria Math" w:hAnsi="Cambria Math"/>
                              </w:rPr>
                              <m:t>θ</m:t>
                            </m:r>
                          </m:e>
                        </m:func>
                      </m:e>
                    </m:d>
                    <m:r>
                      <w:rPr>
                        <w:rFonts w:ascii="Cambria Math" w:hAnsi="Cambria Math"/>
                      </w:rPr>
                      <m:t>ρg</m:t>
                    </m:r>
                  </m:e>
                </m:d>
              </m:oMath>
            </m:oMathPara>
          </w:p>
        </w:tc>
        <w:tc>
          <w:tcPr>
            <w:tcW w:w="1440" w:type="dxa"/>
            <w:vAlign w:val="center"/>
          </w:tcPr>
          <w:p w14:paraId="17285081" w14:textId="4EF3CA73" w:rsidR="00191710" w:rsidRPr="007E18ED" w:rsidRDefault="00191710" w:rsidP="00BC23AD">
            <w:pPr>
              <w:pStyle w:val="Caption"/>
            </w:pPr>
            <w:r>
              <w:t>4.3</w:t>
            </w:r>
            <w:r w:rsidR="002C109A">
              <w:t>7</w:t>
            </w:r>
          </w:p>
        </w:tc>
      </w:tr>
    </w:tbl>
    <w:p w14:paraId="4381D663" w14:textId="26E4E9B1" w:rsidR="00191710" w:rsidRDefault="00191710" w:rsidP="007D58FF">
      <w:pPr>
        <w:ind w:firstLine="720"/>
      </w:pPr>
    </w:p>
    <w:p w14:paraId="01AE19C2" w14:textId="77777777" w:rsidR="009D6299" w:rsidRDefault="009D6299">
      <w:pPr>
        <w:spacing w:after="160" w:line="259" w:lineRule="auto"/>
        <w:jc w:val="left"/>
        <w:rPr>
          <w:b/>
          <w:iCs/>
          <w:color w:val="000000" w:themeColor="text1"/>
          <w:sz w:val="20"/>
          <w:szCs w:val="18"/>
        </w:rPr>
      </w:pPr>
      <w:r>
        <w:br w:type="page"/>
      </w:r>
    </w:p>
    <w:p w14:paraId="30FF8D50" w14:textId="2CF660D3" w:rsidR="007D58FF" w:rsidRDefault="007D58FF" w:rsidP="00BC23AD">
      <w:pPr>
        <w:pStyle w:val="Caption"/>
      </w:pPr>
      <w:bookmarkStart w:id="84" w:name="_Toc67566089"/>
      <w:r>
        <w:lastRenderedPageBreak/>
        <w:t xml:space="preserve">Table </w:t>
      </w:r>
      <w:r w:rsidR="00077C0B">
        <w:fldChar w:fldCharType="begin"/>
      </w:r>
      <w:r w:rsidR="00077C0B">
        <w:instrText xml:space="preserve"> STYLEREF 1 \s </w:instrText>
      </w:r>
      <w:r w:rsidR="00077C0B">
        <w:fldChar w:fldCharType="separate"/>
      </w:r>
      <w:r w:rsidR="0006023A">
        <w:rPr>
          <w:noProof/>
        </w:rPr>
        <w:t>4</w:t>
      </w:r>
      <w:r w:rsidR="00077C0B">
        <w:rPr>
          <w:noProof/>
        </w:rPr>
        <w:fldChar w:fldCharType="end"/>
      </w:r>
      <w:r w:rsidR="00DD1F74">
        <w:t>.</w:t>
      </w:r>
      <w:r w:rsidR="00077C0B">
        <w:fldChar w:fldCharType="begin"/>
      </w:r>
      <w:r w:rsidR="00077C0B">
        <w:instrText xml:space="preserve"> SEQ Table \* ARABIC \s 1 </w:instrText>
      </w:r>
      <w:r w:rsidR="00077C0B">
        <w:fldChar w:fldCharType="separate"/>
      </w:r>
      <w:r w:rsidR="0006023A">
        <w:rPr>
          <w:noProof/>
        </w:rPr>
        <w:t>1</w:t>
      </w:r>
      <w:r w:rsidR="00077C0B">
        <w:rPr>
          <w:noProof/>
        </w:rPr>
        <w:fldChar w:fldCharType="end"/>
      </w:r>
      <w:r>
        <w:t>: Values for the synthetic wellbore to compare the analytical equations derived in this work with the Hagen-Poiseulle flow equation.</w:t>
      </w:r>
      <w:bookmarkEnd w:id="84"/>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2"/>
        <w:gridCol w:w="1872"/>
      </w:tblGrid>
      <w:tr w:rsidR="007D58FF" w14:paraId="3BFCDA0F" w14:textId="77777777" w:rsidTr="00893161">
        <w:trPr>
          <w:cantSplit/>
          <w:jc w:val="center"/>
        </w:trPr>
        <w:tc>
          <w:tcPr>
            <w:tcW w:w="1872" w:type="dxa"/>
            <w:tcBorders>
              <w:bottom w:val="single" w:sz="4" w:space="0" w:color="auto"/>
              <w:right w:val="single" w:sz="4" w:space="0" w:color="auto"/>
            </w:tcBorders>
            <w:vAlign w:val="center"/>
          </w:tcPr>
          <w:p w14:paraId="56DD1166" w14:textId="77777777" w:rsidR="007D58FF" w:rsidRPr="008550E0" w:rsidRDefault="007D58FF" w:rsidP="00893161">
            <w:pPr>
              <w:spacing w:line="240" w:lineRule="auto"/>
              <w:jc w:val="center"/>
              <w:rPr>
                <w:rFonts w:eastAsia="Calibri" w:cs="Times New Roman"/>
              </w:rPr>
            </w:pPr>
            <w:r>
              <w:rPr>
                <w:rFonts w:eastAsia="Calibri" w:cs="Times New Roman"/>
              </w:rPr>
              <w:t>Parameter</w:t>
            </w:r>
          </w:p>
        </w:tc>
        <w:tc>
          <w:tcPr>
            <w:tcW w:w="1872" w:type="dxa"/>
            <w:tcBorders>
              <w:left w:val="single" w:sz="4" w:space="0" w:color="auto"/>
              <w:bottom w:val="single" w:sz="4" w:space="0" w:color="auto"/>
            </w:tcBorders>
            <w:vAlign w:val="center"/>
          </w:tcPr>
          <w:p w14:paraId="79F16000" w14:textId="77777777" w:rsidR="007D58FF" w:rsidRDefault="007D58FF" w:rsidP="00893161">
            <w:pPr>
              <w:spacing w:line="240" w:lineRule="auto"/>
              <w:jc w:val="center"/>
            </w:pPr>
            <w:r>
              <w:t>Value</w:t>
            </w:r>
          </w:p>
        </w:tc>
      </w:tr>
      <w:tr w:rsidR="007D58FF" w14:paraId="2BF6F5E2" w14:textId="77777777" w:rsidTr="00893161">
        <w:trPr>
          <w:cantSplit/>
          <w:jc w:val="center"/>
        </w:trPr>
        <w:tc>
          <w:tcPr>
            <w:tcW w:w="1872" w:type="dxa"/>
            <w:tcBorders>
              <w:top w:val="single" w:sz="4" w:space="0" w:color="auto"/>
              <w:right w:val="single" w:sz="4" w:space="0" w:color="auto"/>
            </w:tcBorders>
            <w:vAlign w:val="center"/>
          </w:tcPr>
          <w:p w14:paraId="6E46473D" w14:textId="77777777" w:rsidR="007D58FF" w:rsidRDefault="007D58FF" w:rsidP="00893161">
            <w:pPr>
              <w:spacing w:line="240" w:lineRule="auto"/>
              <w:jc w:val="left"/>
            </w:pPr>
            <m:oMath>
              <m:r>
                <w:rPr>
                  <w:rFonts w:ascii="Cambria Math" w:hAnsi="Cambria Math"/>
                </w:rPr>
                <m:t>D</m:t>
              </m:r>
            </m:oMath>
            <w:r>
              <w:t xml:space="preserve"> (m)</w:t>
            </w:r>
          </w:p>
        </w:tc>
        <w:tc>
          <w:tcPr>
            <w:tcW w:w="1872" w:type="dxa"/>
            <w:tcBorders>
              <w:top w:val="single" w:sz="4" w:space="0" w:color="auto"/>
              <w:left w:val="single" w:sz="4" w:space="0" w:color="auto"/>
            </w:tcBorders>
            <w:vAlign w:val="center"/>
          </w:tcPr>
          <w:p w14:paraId="1927EE8A" w14:textId="77777777" w:rsidR="007D58FF" w:rsidRDefault="007D58FF" w:rsidP="00893161">
            <w:pPr>
              <w:spacing w:line="240" w:lineRule="auto"/>
              <w:jc w:val="center"/>
            </w:pPr>
            <w:r>
              <w:t>0.2445</w:t>
            </w:r>
          </w:p>
        </w:tc>
      </w:tr>
      <w:tr w:rsidR="007D58FF" w14:paraId="4473E391" w14:textId="77777777" w:rsidTr="00893161">
        <w:trPr>
          <w:cantSplit/>
          <w:jc w:val="center"/>
        </w:trPr>
        <w:tc>
          <w:tcPr>
            <w:tcW w:w="1872" w:type="dxa"/>
            <w:tcBorders>
              <w:right w:val="single" w:sz="4" w:space="0" w:color="auto"/>
            </w:tcBorders>
            <w:vAlign w:val="center"/>
          </w:tcPr>
          <w:p w14:paraId="3C439919" w14:textId="77777777" w:rsidR="007D58FF" w:rsidRDefault="007D58FF" w:rsidP="00893161">
            <w:pPr>
              <w:spacing w:line="240" w:lineRule="auto"/>
              <w:jc w:val="left"/>
            </w:pPr>
            <m:oMath>
              <m:r>
                <w:rPr>
                  <w:rFonts w:ascii="Cambria Math" w:hAnsi="Cambria Math"/>
                </w:rPr>
                <m:t>w</m:t>
              </m:r>
            </m:oMath>
            <w:r>
              <w:t xml:space="preserve"> (μm)</w:t>
            </w:r>
          </w:p>
        </w:tc>
        <w:tc>
          <w:tcPr>
            <w:tcW w:w="1872" w:type="dxa"/>
            <w:tcBorders>
              <w:left w:val="single" w:sz="4" w:space="0" w:color="auto"/>
            </w:tcBorders>
            <w:vAlign w:val="center"/>
          </w:tcPr>
          <w:p w14:paraId="08551E31" w14:textId="77777777" w:rsidR="007D58FF" w:rsidRDefault="007D58FF" w:rsidP="00893161">
            <w:pPr>
              <w:spacing w:line="240" w:lineRule="auto"/>
              <w:jc w:val="center"/>
            </w:pPr>
            <w:r>
              <w:t>100.0</w:t>
            </w:r>
          </w:p>
        </w:tc>
      </w:tr>
      <w:tr w:rsidR="007D58FF" w14:paraId="16E814E2" w14:textId="77777777" w:rsidTr="00893161">
        <w:trPr>
          <w:cantSplit/>
          <w:jc w:val="center"/>
        </w:trPr>
        <w:tc>
          <w:tcPr>
            <w:tcW w:w="1872" w:type="dxa"/>
            <w:tcBorders>
              <w:right w:val="single" w:sz="4" w:space="0" w:color="auto"/>
            </w:tcBorders>
            <w:vAlign w:val="center"/>
          </w:tcPr>
          <w:p w14:paraId="2CEDFA22" w14:textId="77777777" w:rsidR="007D58FF" w:rsidRDefault="007D58FF" w:rsidP="00893161">
            <w:pPr>
              <w:spacing w:line="240" w:lineRule="auto"/>
              <w:jc w:val="left"/>
            </w:pPr>
            <m:oMath>
              <m:r>
                <w:rPr>
                  <w:rFonts w:ascii="Cambria Math" w:hAnsi="Cambria Math"/>
                </w:rPr>
                <m:t>w</m:t>
              </m:r>
            </m:oMath>
            <w:r>
              <w:t xml:space="preserve"> (m)</w:t>
            </w:r>
          </w:p>
        </w:tc>
        <w:tc>
          <w:tcPr>
            <w:tcW w:w="1872" w:type="dxa"/>
            <w:tcBorders>
              <w:left w:val="single" w:sz="4" w:space="0" w:color="auto"/>
            </w:tcBorders>
            <w:vAlign w:val="center"/>
          </w:tcPr>
          <w:p w14:paraId="40A1B6A1" w14:textId="77777777" w:rsidR="007D58FF" w:rsidRDefault="007D58FF" w:rsidP="00893161">
            <w:pPr>
              <w:spacing w:line="240" w:lineRule="auto"/>
              <w:jc w:val="center"/>
            </w:pPr>
            <w:r>
              <w:t>1.00E-04</w:t>
            </w:r>
          </w:p>
        </w:tc>
      </w:tr>
      <w:tr w:rsidR="007D58FF" w14:paraId="013CEBEB" w14:textId="77777777" w:rsidTr="00893161">
        <w:trPr>
          <w:cantSplit/>
          <w:jc w:val="center"/>
        </w:trPr>
        <w:tc>
          <w:tcPr>
            <w:tcW w:w="1872" w:type="dxa"/>
            <w:tcBorders>
              <w:right w:val="single" w:sz="4" w:space="0" w:color="auto"/>
            </w:tcBorders>
            <w:vAlign w:val="center"/>
          </w:tcPr>
          <w:p w14:paraId="6075E623" w14:textId="77777777" w:rsidR="007D58FF" w:rsidRDefault="00077C0B" w:rsidP="00893161">
            <w:pPr>
              <w:spacing w:line="240" w:lineRule="auto"/>
              <w:jc w:val="left"/>
            </w:pPr>
            <m:oMath>
              <m:sSub>
                <m:sSubPr>
                  <m:ctrlPr>
                    <w:rPr>
                      <w:rFonts w:ascii="Cambria Math" w:hAnsi="Cambria Math"/>
                      <w:i/>
                    </w:rPr>
                  </m:ctrlPr>
                </m:sSubPr>
                <m:e>
                  <m:r>
                    <w:rPr>
                      <w:rFonts w:ascii="Cambria Math" w:hAnsi="Cambria Math"/>
                    </w:rPr>
                    <m:t>μ</m:t>
                  </m:r>
                </m:e>
                <m:sub>
                  <m:r>
                    <w:rPr>
                      <w:rFonts w:ascii="Cambria Math" w:hAnsi="Cambria Math"/>
                    </w:rPr>
                    <m:t>water</m:t>
                  </m:r>
                </m:sub>
              </m:sSub>
            </m:oMath>
            <w:r w:rsidR="007D58FF">
              <w:rPr>
                <w:rFonts w:eastAsiaTheme="minorEastAsia"/>
              </w:rPr>
              <w:t xml:space="preserve"> (Pa∙s)</w:t>
            </w:r>
          </w:p>
        </w:tc>
        <w:tc>
          <w:tcPr>
            <w:tcW w:w="1872" w:type="dxa"/>
            <w:tcBorders>
              <w:left w:val="single" w:sz="4" w:space="0" w:color="auto"/>
            </w:tcBorders>
            <w:vAlign w:val="center"/>
          </w:tcPr>
          <w:p w14:paraId="260AA3DC" w14:textId="77777777" w:rsidR="007D58FF" w:rsidRDefault="007D58FF" w:rsidP="00893161">
            <w:pPr>
              <w:spacing w:line="240" w:lineRule="auto"/>
              <w:jc w:val="center"/>
            </w:pPr>
            <w:r>
              <w:t>4.81E-04</w:t>
            </w:r>
          </w:p>
        </w:tc>
      </w:tr>
      <w:tr w:rsidR="007D58FF" w14:paraId="722B2CD8" w14:textId="77777777" w:rsidTr="00893161">
        <w:trPr>
          <w:cantSplit/>
          <w:jc w:val="center"/>
        </w:trPr>
        <w:tc>
          <w:tcPr>
            <w:tcW w:w="1872" w:type="dxa"/>
            <w:tcBorders>
              <w:right w:val="single" w:sz="4" w:space="0" w:color="auto"/>
            </w:tcBorders>
            <w:vAlign w:val="center"/>
          </w:tcPr>
          <w:p w14:paraId="1933444E" w14:textId="77777777" w:rsidR="007D58FF" w:rsidRDefault="00077C0B" w:rsidP="00893161">
            <w:pPr>
              <w:spacing w:line="240" w:lineRule="auto"/>
              <w:jc w:val="left"/>
            </w:pPr>
            <m:oMath>
              <m:sSub>
                <m:sSubPr>
                  <m:ctrlPr>
                    <w:rPr>
                      <w:rFonts w:ascii="Cambria Math" w:hAnsi="Cambria Math"/>
                      <w:i/>
                    </w:rPr>
                  </m:ctrlPr>
                </m:sSubPr>
                <m:e>
                  <m:r>
                    <w:rPr>
                      <w:rFonts w:ascii="Cambria Math" w:hAnsi="Cambria Math"/>
                    </w:rPr>
                    <m:t>μ</m:t>
                  </m:r>
                </m:e>
                <m:sub>
                  <m:r>
                    <w:rPr>
                      <w:rFonts w:ascii="Cambria Math" w:hAnsi="Cambria Math"/>
                    </w:rPr>
                    <m:t>gas</m:t>
                  </m:r>
                </m:sub>
              </m:sSub>
            </m:oMath>
            <w:r w:rsidR="007D58FF">
              <w:rPr>
                <w:rFonts w:eastAsiaTheme="minorEastAsia"/>
              </w:rPr>
              <w:t xml:space="preserve"> (Pa∙s)</w:t>
            </w:r>
          </w:p>
        </w:tc>
        <w:tc>
          <w:tcPr>
            <w:tcW w:w="1872" w:type="dxa"/>
            <w:tcBorders>
              <w:left w:val="single" w:sz="4" w:space="0" w:color="auto"/>
            </w:tcBorders>
            <w:vAlign w:val="center"/>
          </w:tcPr>
          <w:p w14:paraId="5ED02513" w14:textId="77777777" w:rsidR="007D58FF" w:rsidRDefault="007D58FF" w:rsidP="00893161">
            <w:pPr>
              <w:spacing w:line="240" w:lineRule="auto"/>
              <w:jc w:val="center"/>
            </w:pPr>
            <w:r>
              <w:t>2.20E-05</w:t>
            </w:r>
          </w:p>
        </w:tc>
      </w:tr>
      <w:tr w:rsidR="007D58FF" w14:paraId="2A6C63B6" w14:textId="77777777" w:rsidTr="00893161">
        <w:trPr>
          <w:cantSplit/>
          <w:jc w:val="center"/>
        </w:trPr>
        <w:tc>
          <w:tcPr>
            <w:tcW w:w="1872" w:type="dxa"/>
            <w:tcBorders>
              <w:right w:val="single" w:sz="4" w:space="0" w:color="auto"/>
            </w:tcBorders>
            <w:vAlign w:val="center"/>
          </w:tcPr>
          <w:p w14:paraId="7D644204" w14:textId="77777777" w:rsidR="007D58FF" w:rsidRDefault="00077C0B" w:rsidP="00893161">
            <w:pPr>
              <w:spacing w:line="240" w:lineRule="auto"/>
              <w:jc w:val="left"/>
              <w:rPr>
                <w:rFonts w:eastAsia="Calibri" w:cs="Times New Roman"/>
              </w:rPr>
            </w:pPr>
            <m:oMath>
              <m:sSub>
                <m:sSubPr>
                  <m:ctrlPr>
                    <w:rPr>
                      <w:rFonts w:ascii="Cambria Math" w:eastAsia="Calibri" w:hAnsi="Cambria Math" w:cs="Times New Roman"/>
                      <w:i/>
                    </w:rPr>
                  </m:ctrlPr>
                </m:sSubPr>
                <m:e>
                  <m:r>
                    <w:rPr>
                      <w:rFonts w:ascii="Cambria Math" w:eastAsia="Calibri" w:hAnsi="Cambria Math" w:cs="Times New Roman"/>
                    </w:rPr>
                    <m:t>P</m:t>
                  </m:r>
                </m:e>
                <m:sub>
                  <m:r>
                    <w:rPr>
                      <w:rFonts w:ascii="Cambria Math" w:eastAsia="Calibri" w:hAnsi="Cambria Math" w:cs="Times New Roman"/>
                    </w:rPr>
                    <m:t>1</m:t>
                  </m:r>
                </m:sub>
              </m:sSub>
            </m:oMath>
            <w:r w:rsidR="007D58FF">
              <w:rPr>
                <w:rFonts w:eastAsia="Calibri" w:cs="Times New Roman"/>
              </w:rPr>
              <w:t xml:space="preserve"> (Pa)</w:t>
            </w:r>
          </w:p>
        </w:tc>
        <w:tc>
          <w:tcPr>
            <w:tcW w:w="1872" w:type="dxa"/>
            <w:tcBorders>
              <w:left w:val="single" w:sz="4" w:space="0" w:color="auto"/>
            </w:tcBorders>
            <w:vAlign w:val="center"/>
          </w:tcPr>
          <w:p w14:paraId="0A4594DC" w14:textId="77777777" w:rsidR="007D58FF" w:rsidRDefault="007D58FF" w:rsidP="00893161">
            <w:pPr>
              <w:spacing w:line="240" w:lineRule="auto"/>
              <w:jc w:val="center"/>
            </w:pPr>
            <w:r>
              <w:t>2.94E07</w:t>
            </w:r>
          </w:p>
        </w:tc>
      </w:tr>
      <w:tr w:rsidR="007D58FF" w14:paraId="77E438F5" w14:textId="77777777" w:rsidTr="00893161">
        <w:trPr>
          <w:cantSplit/>
          <w:jc w:val="center"/>
        </w:trPr>
        <w:tc>
          <w:tcPr>
            <w:tcW w:w="1872" w:type="dxa"/>
            <w:tcBorders>
              <w:right w:val="single" w:sz="4" w:space="0" w:color="auto"/>
            </w:tcBorders>
            <w:vAlign w:val="center"/>
          </w:tcPr>
          <w:p w14:paraId="1B3A01E7" w14:textId="77777777" w:rsidR="007D58FF" w:rsidRDefault="00077C0B" w:rsidP="00893161">
            <w:pPr>
              <w:spacing w:line="240" w:lineRule="auto"/>
              <w:jc w:val="left"/>
              <w:rPr>
                <w:rFonts w:eastAsia="Calibri" w:cs="Times New Roman"/>
              </w:rPr>
            </w:pPr>
            <m:oMath>
              <m:sSub>
                <m:sSubPr>
                  <m:ctrlPr>
                    <w:rPr>
                      <w:rFonts w:ascii="Cambria Math" w:eastAsia="Calibri" w:hAnsi="Cambria Math" w:cs="Times New Roman"/>
                      <w:i/>
                    </w:rPr>
                  </m:ctrlPr>
                </m:sSubPr>
                <m:e>
                  <m:r>
                    <w:rPr>
                      <w:rFonts w:ascii="Cambria Math" w:eastAsia="Calibri" w:hAnsi="Cambria Math" w:cs="Times New Roman"/>
                    </w:rPr>
                    <m:t>P</m:t>
                  </m:r>
                </m:e>
                <m:sub>
                  <m:r>
                    <w:rPr>
                      <w:rFonts w:ascii="Cambria Math" w:eastAsia="Calibri" w:hAnsi="Cambria Math" w:cs="Times New Roman"/>
                    </w:rPr>
                    <m:t>2</m:t>
                  </m:r>
                </m:sub>
              </m:sSub>
            </m:oMath>
            <w:r w:rsidR="007D58FF">
              <w:rPr>
                <w:rFonts w:eastAsia="Calibri" w:cs="Times New Roman"/>
              </w:rPr>
              <w:t xml:space="preserve"> (Pa)</w:t>
            </w:r>
          </w:p>
        </w:tc>
        <w:tc>
          <w:tcPr>
            <w:tcW w:w="1872" w:type="dxa"/>
            <w:tcBorders>
              <w:left w:val="single" w:sz="4" w:space="0" w:color="auto"/>
            </w:tcBorders>
            <w:vAlign w:val="center"/>
          </w:tcPr>
          <w:p w14:paraId="1B67CB05" w14:textId="491376CF" w:rsidR="007D58FF" w:rsidRDefault="00750595" w:rsidP="00750595">
            <w:pPr>
              <w:spacing w:line="240" w:lineRule="auto"/>
              <w:jc w:val="center"/>
            </w:pPr>
            <w:r>
              <w:t>1</w:t>
            </w:r>
            <w:r w:rsidR="007D58FF">
              <w:t>.</w:t>
            </w:r>
            <w:r>
              <w:t>84</w:t>
            </w:r>
            <w:r w:rsidR="007D58FF">
              <w:t>E07</w:t>
            </w:r>
          </w:p>
        </w:tc>
      </w:tr>
      <w:tr w:rsidR="007D58FF" w14:paraId="124890FC" w14:textId="77777777" w:rsidTr="00893161">
        <w:trPr>
          <w:cantSplit/>
          <w:jc w:val="center"/>
        </w:trPr>
        <w:tc>
          <w:tcPr>
            <w:tcW w:w="1872" w:type="dxa"/>
            <w:tcBorders>
              <w:right w:val="single" w:sz="4" w:space="0" w:color="auto"/>
            </w:tcBorders>
            <w:vAlign w:val="center"/>
          </w:tcPr>
          <w:p w14:paraId="096A0D69" w14:textId="77777777" w:rsidR="007D58FF" w:rsidRDefault="007D58FF" w:rsidP="00893161">
            <w:pPr>
              <w:spacing w:line="240" w:lineRule="auto"/>
              <w:jc w:val="left"/>
              <w:rPr>
                <w:rFonts w:eastAsia="Calibri" w:cs="Times New Roman"/>
              </w:rPr>
            </w:pPr>
            <m:oMath>
              <m:r>
                <w:rPr>
                  <w:rFonts w:ascii="Cambria Math" w:eastAsia="Calibri" w:hAnsi="Cambria Math" w:cs="Times New Roman"/>
                </w:rPr>
                <m:t>L</m:t>
              </m:r>
            </m:oMath>
            <w:r>
              <w:rPr>
                <w:rFonts w:eastAsia="Calibri" w:cs="Times New Roman"/>
              </w:rPr>
              <w:t xml:space="preserve"> (m)</w:t>
            </w:r>
          </w:p>
        </w:tc>
        <w:tc>
          <w:tcPr>
            <w:tcW w:w="1872" w:type="dxa"/>
            <w:tcBorders>
              <w:left w:val="single" w:sz="4" w:space="0" w:color="auto"/>
            </w:tcBorders>
            <w:vAlign w:val="center"/>
          </w:tcPr>
          <w:p w14:paraId="4491391B" w14:textId="77777777" w:rsidR="007D58FF" w:rsidRDefault="007D58FF" w:rsidP="00893161">
            <w:pPr>
              <w:spacing w:line="240" w:lineRule="auto"/>
              <w:jc w:val="center"/>
            </w:pPr>
            <w:r>
              <w:t>1,127</w:t>
            </w:r>
          </w:p>
        </w:tc>
      </w:tr>
      <w:tr w:rsidR="007D58FF" w14:paraId="7FC786AF" w14:textId="77777777" w:rsidTr="00893161">
        <w:trPr>
          <w:cantSplit/>
          <w:jc w:val="center"/>
        </w:trPr>
        <w:tc>
          <w:tcPr>
            <w:tcW w:w="1872" w:type="dxa"/>
            <w:tcBorders>
              <w:right w:val="single" w:sz="4" w:space="0" w:color="auto"/>
            </w:tcBorders>
            <w:vAlign w:val="center"/>
          </w:tcPr>
          <w:p w14:paraId="04EED4AA" w14:textId="77777777" w:rsidR="007D58FF" w:rsidRDefault="00077C0B" w:rsidP="00893161">
            <w:pPr>
              <w:spacing w:line="240" w:lineRule="auto"/>
              <w:jc w:val="left"/>
            </w:pPr>
            <m:oMath>
              <m:sSub>
                <m:sSubPr>
                  <m:ctrlPr>
                    <w:rPr>
                      <w:rFonts w:ascii="Cambria Math" w:hAnsi="Cambria Math"/>
                      <w:i/>
                    </w:rPr>
                  </m:ctrlPr>
                </m:sSubPr>
                <m:e>
                  <m:r>
                    <w:rPr>
                      <w:rFonts w:ascii="Cambria Math" w:hAnsi="Cambria Math"/>
                    </w:rPr>
                    <m:t>ρ</m:t>
                  </m:r>
                </m:e>
                <m:sub>
                  <m:r>
                    <w:rPr>
                      <w:rFonts w:ascii="Cambria Math" w:hAnsi="Cambria Math"/>
                    </w:rPr>
                    <m:t>water</m:t>
                  </m:r>
                </m:sub>
              </m:sSub>
            </m:oMath>
            <w:r w:rsidR="007D58FF">
              <w:rPr>
                <w:rFonts w:eastAsiaTheme="minorEastAsia"/>
              </w:rPr>
              <w:t xml:space="preserve"> (kg/m</w:t>
            </w:r>
            <w:r w:rsidR="007D58FF" w:rsidRPr="008550E0">
              <w:rPr>
                <w:rFonts w:eastAsiaTheme="minorEastAsia"/>
                <w:vertAlign w:val="superscript"/>
              </w:rPr>
              <w:t>3</w:t>
            </w:r>
            <w:r w:rsidR="007D58FF">
              <w:rPr>
                <w:rFonts w:eastAsiaTheme="minorEastAsia"/>
              </w:rPr>
              <w:t>)</w:t>
            </w:r>
          </w:p>
        </w:tc>
        <w:tc>
          <w:tcPr>
            <w:tcW w:w="1872" w:type="dxa"/>
            <w:tcBorders>
              <w:left w:val="single" w:sz="4" w:space="0" w:color="auto"/>
            </w:tcBorders>
            <w:vAlign w:val="center"/>
          </w:tcPr>
          <w:p w14:paraId="59612B50" w14:textId="77777777" w:rsidR="007D58FF" w:rsidRDefault="007D58FF" w:rsidP="00893161">
            <w:pPr>
              <w:spacing w:line="240" w:lineRule="auto"/>
              <w:jc w:val="center"/>
            </w:pPr>
            <w:r>
              <w:t>995.71</w:t>
            </w:r>
          </w:p>
        </w:tc>
      </w:tr>
      <w:tr w:rsidR="007D58FF" w14:paraId="0D5FEE47" w14:textId="77777777" w:rsidTr="00893161">
        <w:trPr>
          <w:cantSplit/>
          <w:jc w:val="center"/>
        </w:trPr>
        <w:tc>
          <w:tcPr>
            <w:tcW w:w="1872" w:type="dxa"/>
            <w:tcBorders>
              <w:right w:val="single" w:sz="4" w:space="0" w:color="auto"/>
            </w:tcBorders>
            <w:vAlign w:val="center"/>
          </w:tcPr>
          <w:p w14:paraId="2486D39F" w14:textId="77777777" w:rsidR="007D58FF" w:rsidRDefault="00077C0B" w:rsidP="00893161">
            <w:pPr>
              <w:spacing w:line="240" w:lineRule="auto"/>
              <w:jc w:val="left"/>
            </w:pPr>
            <m:oMath>
              <m:sSub>
                <m:sSubPr>
                  <m:ctrlPr>
                    <w:rPr>
                      <w:rFonts w:ascii="Cambria Math" w:hAnsi="Cambria Math"/>
                      <w:i/>
                    </w:rPr>
                  </m:ctrlPr>
                </m:sSubPr>
                <m:e>
                  <m:r>
                    <w:rPr>
                      <w:rFonts w:ascii="Cambria Math" w:hAnsi="Cambria Math"/>
                    </w:rPr>
                    <m:t>ρ</m:t>
                  </m:r>
                </m:e>
                <m:sub>
                  <m:r>
                    <w:rPr>
                      <w:rFonts w:ascii="Cambria Math" w:hAnsi="Cambria Math"/>
                    </w:rPr>
                    <m:t>gas</m:t>
                  </m:r>
                </m:sub>
              </m:sSub>
            </m:oMath>
            <w:r w:rsidR="007D58FF">
              <w:rPr>
                <w:rFonts w:eastAsiaTheme="minorEastAsia"/>
              </w:rPr>
              <w:t xml:space="preserve"> (kg/m</w:t>
            </w:r>
            <w:r w:rsidR="007D58FF" w:rsidRPr="008550E0">
              <w:rPr>
                <w:rFonts w:eastAsiaTheme="minorEastAsia"/>
                <w:vertAlign w:val="superscript"/>
              </w:rPr>
              <w:t>3</w:t>
            </w:r>
            <w:r w:rsidR="007D58FF">
              <w:rPr>
                <w:rFonts w:eastAsiaTheme="minorEastAsia"/>
              </w:rPr>
              <w:t>)</w:t>
            </w:r>
          </w:p>
        </w:tc>
        <w:tc>
          <w:tcPr>
            <w:tcW w:w="1872" w:type="dxa"/>
            <w:tcBorders>
              <w:left w:val="single" w:sz="4" w:space="0" w:color="auto"/>
            </w:tcBorders>
            <w:vAlign w:val="center"/>
          </w:tcPr>
          <w:p w14:paraId="637151E7" w14:textId="77777777" w:rsidR="007D58FF" w:rsidRDefault="007D58FF" w:rsidP="00893161">
            <w:pPr>
              <w:spacing w:line="240" w:lineRule="auto"/>
              <w:jc w:val="center"/>
            </w:pPr>
            <w:r>
              <w:t>174.25</w:t>
            </w:r>
          </w:p>
        </w:tc>
      </w:tr>
      <w:tr w:rsidR="007D58FF" w14:paraId="4A860D24" w14:textId="77777777" w:rsidTr="00893161">
        <w:trPr>
          <w:cantSplit/>
          <w:jc w:val="center"/>
        </w:trPr>
        <w:tc>
          <w:tcPr>
            <w:tcW w:w="1872" w:type="dxa"/>
            <w:tcBorders>
              <w:right w:val="single" w:sz="4" w:space="0" w:color="auto"/>
            </w:tcBorders>
            <w:vAlign w:val="center"/>
          </w:tcPr>
          <w:p w14:paraId="3444C7BA" w14:textId="77777777" w:rsidR="007D58FF" w:rsidRDefault="00077C0B" w:rsidP="00893161">
            <w:pPr>
              <w:spacing w:line="240" w:lineRule="auto"/>
              <w:jc w:val="left"/>
            </w:pPr>
            <m:oMath>
              <m:sSub>
                <m:sSubPr>
                  <m:ctrlPr>
                    <w:rPr>
                      <w:rFonts w:ascii="Cambria Math" w:hAnsi="Cambria Math"/>
                      <w:i/>
                    </w:rPr>
                  </m:ctrlPr>
                </m:sSubPr>
                <m:e>
                  <m:r>
                    <w:rPr>
                      <w:rFonts w:ascii="Cambria Math" w:hAnsi="Cambria Math"/>
                    </w:rPr>
                    <m:t>z</m:t>
                  </m:r>
                </m:e>
                <m:sub>
                  <m:r>
                    <w:rPr>
                      <w:rFonts w:ascii="Cambria Math" w:hAnsi="Cambria Math"/>
                    </w:rPr>
                    <m:t>1</m:t>
                  </m:r>
                </m:sub>
              </m:sSub>
            </m:oMath>
            <w:r w:rsidR="007D58FF">
              <w:rPr>
                <w:rFonts w:eastAsiaTheme="minorEastAsia"/>
              </w:rPr>
              <w:t xml:space="preserve"> </w:t>
            </w:r>
          </w:p>
        </w:tc>
        <w:tc>
          <w:tcPr>
            <w:tcW w:w="1872" w:type="dxa"/>
            <w:tcBorders>
              <w:left w:val="single" w:sz="4" w:space="0" w:color="auto"/>
            </w:tcBorders>
            <w:vAlign w:val="center"/>
          </w:tcPr>
          <w:p w14:paraId="4DAEEB4F" w14:textId="77777777" w:rsidR="007D58FF" w:rsidRDefault="007D58FF" w:rsidP="00893161">
            <w:pPr>
              <w:spacing w:line="240" w:lineRule="auto"/>
              <w:jc w:val="center"/>
            </w:pPr>
            <w:r>
              <w:t>0.94</w:t>
            </w:r>
          </w:p>
        </w:tc>
      </w:tr>
      <w:tr w:rsidR="007D58FF" w14:paraId="642352CE" w14:textId="77777777" w:rsidTr="00893161">
        <w:trPr>
          <w:cantSplit/>
          <w:jc w:val="center"/>
        </w:trPr>
        <w:tc>
          <w:tcPr>
            <w:tcW w:w="1872" w:type="dxa"/>
            <w:tcBorders>
              <w:right w:val="single" w:sz="4" w:space="0" w:color="auto"/>
            </w:tcBorders>
            <w:vAlign w:val="center"/>
          </w:tcPr>
          <w:p w14:paraId="13B2F6F2" w14:textId="77777777" w:rsidR="007D58FF" w:rsidRDefault="00077C0B" w:rsidP="00893161">
            <w:pPr>
              <w:spacing w:line="240" w:lineRule="auto"/>
              <w:jc w:val="left"/>
            </w:pPr>
            <m:oMath>
              <m:sSub>
                <m:sSubPr>
                  <m:ctrlPr>
                    <w:rPr>
                      <w:rFonts w:ascii="Cambria Math" w:hAnsi="Cambria Math"/>
                      <w:i/>
                    </w:rPr>
                  </m:ctrlPr>
                </m:sSubPr>
                <m:e>
                  <m:r>
                    <w:rPr>
                      <w:rFonts w:ascii="Cambria Math" w:hAnsi="Cambria Math"/>
                    </w:rPr>
                    <m:t>z</m:t>
                  </m:r>
                </m:e>
                <m:sub>
                  <m:r>
                    <w:rPr>
                      <w:rFonts w:ascii="Cambria Math" w:hAnsi="Cambria Math"/>
                    </w:rPr>
                    <m:t>2</m:t>
                  </m:r>
                </m:sub>
              </m:sSub>
            </m:oMath>
            <w:r w:rsidR="007D58FF">
              <w:rPr>
                <w:rFonts w:eastAsiaTheme="minorEastAsia"/>
              </w:rPr>
              <w:t xml:space="preserve"> </w:t>
            </w:r>
          </w:p>
        </w:tc>
        <w:tc>
          <w:tcPr>
            <w:tcW w:w="1872" w:type="dxa"/>
            <w:tcBorders>
              <w:left w:val="single" w:sz="4" w:space="0" w:color="auto"/>
            </w:tcBorders>
            <w:vAlign w:val="center"/>
          </w:tcPr>
          <w:p w14:paraId="53B865B9" w14:textId="0BD61F3A" w:rsidR="007D58FF" w:rsidRDefault="007D58FF" w:rsidP="00750595">
            <w:pPr>
              <w:spacing w:line="240" w:lineRule="auto"/>
              <w:jc w:val="center"/>
            </w:pPr>
            <w:r>
              <w:t>0.</w:t>
            </w:r>
            <w:r w:rsidR="00750595">
              <w:t>87</w:t>
            </w:r>
          </w:p>
        </w:tc>
      </w:tr>
      <w:tr w:rsidR="007D58FF" w14:paraId="07A4A7C9" w14:textId="77777777" w:rsidTr="00893161">
        <w:trPr>
          <w:cantSplit/>
          <w:jc w:val="center"/>
        </w:trPr>
        <w:tc>
          <w:tcPr>
            <w:tcW w:w="1872" w:type="dxa"/>
            <w:tcBorders>
              <w:right w:val="single" w:sz="4" w:space="0" w:color="auto"/>
            </w:tcBorders>
            <w:vAlign w:val="center"/>
          </w:tcPr>
          <w:p w14:paraId="3A2C988E" w14:textId="77777777" w:rsidR="007D58FF" w:rsidRDefault="007D58FF" w:rsidP="00893161">
            <w:pPr>
              <w:spacing w:line="240" w:lineRule="auto"/>
              <w:jc w:val="left"/>
            </w:pPr>
            <m:oMath>
              <m:r>
                <w:rPr>
                  <w:rFonts w:ascii="Cambria Math" w:hAnsi="Cambria Math"/>
                </w:rPr>
                <m:t>θ</m:t>
              </m:r>
            </m:oMath>
            <w:r>
              <w:rPr>
                <w:rFonts w:eastAsiaTheme="minorEastAsia"/>
              </w:rPr>
              <w:t xml:space="preserve"> (°)</w:t>
            </w:r>
          </w:p>
        </w:tc>
        <w:tc>
          <w:tcPr>
            <w:tcW w:w="1872" w:type="dxa"/>
            <w:tcBorders>
              <w:left w:val="single" w:sz="4" w:space="0" w:color="auto"/>
            </w:tcBorders>
            <w:vAlign w:val="center"/>
          </w:tcPr>
          <w:p w14:paraId="5BE552C1" w14:textId="77777777" w:rsidR="007D58FF" w:rsidRDefault="007D58FF" w:rsidP="00893161">
            <w:pPr>
              <w:spacing w:line="240" w:lineRule="auto"/>
              <w:jc w:val="center"/>
            </w:pPr>
            <w:r>
              <w:t>90</w:t>
            </w:r>
          </w:p>
        </w:tc>
      </w:tr>
      <w:tr w:rsidR="007D58FF" w14:paraId="3BC24BD9" w14:textId="77777777" w:rsidTr="00893161">
        <w:trPr>
          <w:cantSplit/>
          <w:jc w:val="center"/>
        </w:trPr>
        <w:tc>
          <w:tcPr>
            <w:tcW w:w="1872" w:type="dxa"/>
            <w:tcBorders>
              <w:right w:val="single" w:sz="4" w:space="0" w:color="auto"/>
            </w:tcBorders>
            <w:vAlign w:val="center"/>
          </w:tcPr>
          <w:p w14:paraId="52C56C30" w14:textId="77777777" w:rsidR="007D58FF" w:rsidRDefault="007D58FF" w:rsidP="00893161">
            <w:pPr>
              <w:spacing w:line="240" w:lineRule="auto"/>
              <w:jc w:val="left"/>
              <w:rPr>
                <w:rFonts w:eastAsia="Calibri" w:cs="Times New Roman"/>
              </w:rPr>
            </w:pPr>
            <m:oMath>
              <m:r>
                <w:rPr>
                  <w:rFonts w:ascii="Cambria Math" w:eastAsia="Calibri" w:hAnsi="Cambria Math" w:cs="Times New Roman"/>
                </w:rPr>
                <m:t>T</m:t>
              </m:r>
            </m:oMath>
            <w:r>
              <w:rPr>
                <w:rFonts w:eastAsia="Calibri" w:cs="Times New Roman"/>
              </w:rPr>
              <w:t xml:space="preserve"> (°C)</w:t>
            </w:r>
          </w:p>
        </w:tc>
        <w:tc>
          <w:tcPr>
            <w:tcW w:w="1872" w:type="dxa"/>
            <w:tcBorders>
              <w:left w:val="single" w:sz="4" w:space="0" w:color="auto"/>
            </w:tcBorders>
            <w:vAlign w:val="center"/>
          </w:tcPr>
          <w:p w14:paraId="7AD440AE" w14:textId="77777777" w:rsidR="007D58FF" w:rsidRDefault="007D58FF" w:rsidP="00893161">
            <w:pPr>
              <w:spacing w:line="240" w:lineRule="auto"/>
              <w:jc w:val="center"/>
            </w:pPr>
            <w:r>
              <w:t>59.0</w:t>
            </w:r>
          </w:p>
        </w:tc>
      </w:tr>
    </w:tbl>
    <w:p w14:paraId="27E48865" w14:textId="77777777" w:rsidR="007D58FF" w:rsidRDefault="007D58FF" w:rsidP="007D58FF">
      <w:pPr>
        <w:ind w:firstLine="720"/>
      </w:pPr>
    </w:p>
    <w:p w14:paraId="1103890A" w14:textId="77777777" w:rsidR="00962760" w:rsidRDefault="00962760" w:rsidP="00962760">
      <w:pPr>
        <w:pStyle w:val="Heading2"/>
      </w:pPr>
      <w:bookmarkStart w:id="85" w:name="_Toc67566047"/>
      <w:r>
        <w:t>Staged Poro-Elastic FEA Stress Continuum Model</w:t>
      </w:r>
      <w:bookmarkEnd w:id="85"/>
      <w:r>
        <w:t xml:space="preserve"> </w:t>
      </w:r>
    </w:p>
    <w:p w14:paraId="260739D0" w14:textId="6A3F83D7" w:rsidR="009D6299" w:rsidRPr="00EC7EFC" w:rsidRDefault="00BE7319" w:rsidP="009D6299">
      <w:pPr>
        <w:ind w:firstLine="720"/>
        <w:rPr>
          <w:rFonts w:cs="Times New Roman"/>
          <w:szCs w:val="24"/>
        </w:rPr>
      </w:pPr>
      <w:r>
        <w:t xml:space="preserve">The first model that replicates the lifecycle of the well is the staged poro-elastic FEA stress continuum model. The </w:t>
      </w:r>
      <w:r w:rsidR="001917E8">
        <w:t xml:space="preserve">FEA </w:t>
      </w:r>
      <w:r>
        <w:t>stress continuum model</w:t>
      </w:r>
      <w:r w:rsidR="001917E8">
        <w:t xml:space="preserve"> was </w:t>
      </w:r>
      <w:r w:rsidR="00962760" w:rsidRPr="006C3C73">
        <w:rPr>
          <w:rFonts w:cs="Times New Roman"/>
        </w:rPr>
        <w:t>created an</w:t>
      </w:r>
      <w:r w:rsidR="006C133A">
        <w:rPr>
          <w:rFonts w:cs="Times New Roman"/>
        </w:rPr>
        <w:t>d simulated using ANSYS™ 19.1 and</w:t>
      </w:r>
      <w:r w:rsidR="00962760" w:rsidRPr="006C3C73">
        <w:rPr>
          <w:rFonts w:cs="Times New Roman"/>
        </w:rPr>
        <w:t xml:space="preserve"> is a 3D poro-elastic model that</w:t>
      </w:r>
      <w:r w:rsidR="00962760">
        <w:rPr>
          <w:rFonts w:cs="Times New Roman"/>
        </w:rPr>
        <w:t xml:space="preserve"> incorporates Mohr-Coulomb failure criteria in the cement sheath and</w:t>
      </w:r>
      <w:r w:rsidR="00962760" w:rsidRPr="006C3C73">
        <w:rPr>
          <w:rFonts w:cs="Times New Roman"/>
        </w:rPr>
        <w:t xml:space="preserve"> utilizes a three-dimensional mesh composed of 18,384 CPT216</w:t>
      </w:r>
      <w:r w:rsidR="00962760">
        <w:rPr>
          <w:rFonts w:cs="Times New Roman"/>
        </w:rPr>
        <w:t xml:space="preserve"> quadratic brick </w:t>
      </w:r>
      <w:r w:rsidR="00962760" w:rsidRPr="009D6299">
        <w:rPr>
          <w:rFonts w:cs="Times New Roman"/>
        </w:rPr>
        <w:t xml:space="preserve">elements. </w:t>
      </w:r>
      <w:r w:rsidR="009D6299">
        <w:rPr>
          <w:rFonts w:cs="Times New Roman"/>
          <w:szCs w:val="24"/>
        </w:rPr>
        <w:t xml:space="preserve">Figure 4.2 </w:t>
      </w:r>
      <w:r w:rsidR="009D6299" w:rsidRPr="00EC7EFC">
        <w:rPr>
          <w:rFonts w:cs="Times New Roman"/>
          <w:szCs w:val="24"/>
        </w:rPr>
        <w:t>depicts a 3D and 2D (A and B</w:t>
      </w:r>
      <w:r w:rsidR="009D6299">
        <w:rPr>
          <w:rFonts w:cs="Times New Roman"/>
          <w:szCs w:val="24"/>
        </w:rPr>
        <w:t>,</w:t>
      </w:r>
      <w:r w:rsidR="009D6299" w:rsidRPr="00EC7EFC">
        <w:rPr>
          <w:rFonts w:cs="Times New Roman"/>
          <w:szCs w:val="24"/>
        </w:rPr>
        <w:t xml:space="preserve"> respectively) schematic of the model including the dimensions used in the medium well case study, the far-field stresses, and the internal casing pressure.</w:t>
      </w:r>
    </w:p>
    <w:p w14:paraId="37F8A1D5" w14:textId="77777777" w:rsidR="009D6299" w:rsidRDefault="009D6299" w:rsidP="00962760">
      <w:pPr>
        <w:ind w:firstLine="720"/>
        <w:rPr>
          <w:rFonts w:cs="Times New Roman"/>
        </w:rPr>
      </w:pPr>
    </w:p>
    <w:p w14:paraId="3612AAEC" w14:textId="77777777" w:rsidR="009D6299" w:rsidRPr="00EC7EFC" w:rsidRDefault="009D6299" w:rsidP="00BC23AD">
      <w:pPr>
        <w:pStyle w:val="NoSpacing"/>
      </w:pPr>
      <w:r w:rsidRPr="006C3C73">
        <w:rPr>
          <w:noProof/>
        </w:rPr>
        <w:lastRenderedPageBreak/>
        <w:drawing>
          <wp:inline distT="0" distB="0" distL="0" distR="0" wp14:anchorId="354AF5F7" wp14:editId="17CACCF7">
            <wp:extent cx="5943600" cy="3040379"/>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43600" cy="3040379"/>
                    </a:xfrm>
                    <a:prstGeom prst="rect">
                      <a:avLst/>
                    </a:prstGeom>
                    <a:noFill/>
                  </pic:spPr>
                </pic:pic>
              </a:graphicData>
            </a:graphic>
          </wp:inline>
        </w:drawing>
      </w:r>
    </w:p>
    <w:p w14:paraId="0533F502" w14:textId="5A013A0C" w:rsidR="009D6299" w:rsidRPr="006C3C73" w:rsidRDefault="009D6299" w:rsidP="00BC23AD">
      <w:pPr>
        <w:pStyle w:val="Caption"/>
        <w:rPr>
          <w:rFonts w:cs="Times New Roman"/>
        </w:rPr>
      </w:pPr>
      <w:bookmarkStart w:id="86" w:name="_Ref533532463"/>
      <w:bookmarkStart w:id="87" w:name="_Toc7166667"/>
      <w:bookmarkStart w:id="88" w:name="_Toc67566218"/>
      <w:r w:rsidRPr="00EC7EFC">
        <w:t xml:space="preserve">Figure </w:t>
      </w:r>
      <w:r w:rsidR="00077C0B">
        <w:fldChar w:fldCharType="begin"/>
      </w:r>
      <w:r w:rsidR="00077C0B">
        <w:instrText xml:space="preserve"> STYLEREF 1 \s </w:instrText>
      </w:r>
      <w:r w:rsidR="00077C0B">
        <w:fldChar w:fldCharType="separate"/>
      </w:r>
      <w:r w:rsidR="0006023A">
        <w:rPr>
          <w:noProof/>
        </w:rPr>
        <w:t>4</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2</w:t>
      </w:r>
      <w:r w:rsidR="00077C0B">
        <w:rPr>
          <w:noProof/>
        </w:rPr>
        <w:fldChar w:fldCharType="end"/>
      </w:r>
      <w:bookmarkEnd w:id="86"/>
      <w:r w:rsidRPr="00EC7EFC">
        <w:t xml:space="preserve"> A) FEA 3D model schematic with dimensions and </w:t>
      </w:r>
      <w:r w:rsidRPr="006C3C73">
        <w:t>far-field stresses for the medium well case study.  B) 2D schematic of the medium well wellbore with dimensions and internal casing pressure.</w:t>
      </w:r>
      <w:bookmarkEnd w:id="87"/>
      <w:bookmarkEnd w:id="88"/>
    </w:p>
    <w:p w14:paraId="4FACEF7E" w14:textId="79814FC9" w:rsidR="00962760" w:rsidRDefault="00962760" w:rsidP="00962760">
      <w:pPr>
        <w:ind w:firstLine="720"/>
        <w:rPr>
          <w:rFonts w:cs="Times New Roman"/>
        </w:rPr>
      </w:pPr>
      <w:r w:rsidRPr="006C3C73">
        <w:rPr>
          <w:rFonts w:cs="Times New Roman"/>
        </w:rPr>
        <w:t xml:space="preserve">The element dimensions are designed </w:t>
      </w:r>
      <w:r w:rsidR="00205745">
        <w:rPr>
          <w:rFonts w:cs="Times New Roman"/>
        </w:rPr>
        <w:t xml:space="preserve">to be </w:t>
      </w:r>
      <w:r w:rsidRPr="006C3C73">
        <w:rPr>
          <w:rFonts w:cs="Times New Roman"/>
        </w:rPr>
        <w:t>smaller towards the center of the model (center of the wellbore) while increasing in size towards the model b</w:t>
      </w:r>
      <w:r>
        <w:rPr>
          <w:rFonts w:cs="Times New Roman"/>
        </w:rPr>
        <w:t xml:space="preserve">oundaries. </w:t>
      </w:r>
      <w:r w:rsidRPr="006C3C73">
        <w:rPr>
          <w:rFonts w:cs="Times New Roman"/>
        </w:rPr>
        <w:t xml:space="preserve">This configuration calculates the stress patterns more accurately in the casing, cement, and near rock formation while saving computational time </w:t>
      </w:r>
      <w:r w:rsidRPr="009D6299">
        <w:rPr>
          <w:rFonts w:cs="Times New Roman"/>
        </w:rPr>
        <w:t xml:space="preserve">by having larger elements towards the boundaries. Verification of the </w:t>
      </w:r>
      <w:r w:rsidR="00BE7319" w:rsidRPr="009D6299">
        <w:rPr>
          <w:rFonts w:cs="Times New Roman"/>
        </w:rPr>
        <w:t xml:space="preserve">stresses in the FEA stress continuum model are shown in </w:t>
      </w:r>
      <w:r w:rsidRPr="009D6299">
        <w:rPr>
          <w:rFonts w:cs="Times New Roman"/>
        </w:rPr>
        <w:t xml:space="preserve">Section 5.2.2. </w:t>
      </w:r>
      <w:r w:rsidR="009D6299">
        <w:rPr>
          <w:rFonts w:cs="Times New Roman"/>
        </w:rPr>
        <w:t>Figure 4.3</w:t>
      </w:r>
      <w:r w:rsidRPr="009D6299">
        <w:rPr>
          <w:rFonts w:cs="Times New Roman"/>
        </w:rPr>
        <w:t xml:space="preserve"> shows a 2D and 3D cutaway of the model. </w:t>
      </w:r>
      <w:r w:rsidR="009D6299">
        <w:rPr>
          <w:rFonts w:cs="Times New Roman"/>
        </w:rPr>
        <w:t>Figure 4.3</w:t>
      </w:r>
      <w:r w:rsidRPr="009D6299">
        <w:rPr>
          <w:rFonts w:cs="Times New Roman"/>
        </w:rPr>
        <w:t xml:space="preserve">A shows the three different materials included within the model (casing, cement, and rock formation) with their respective finite element grid pattern. </w:t>
      </w:r>
      <w:r w:rsidR="009D6299">
        <w:rPr>
          <w:rFonts w:cs="Times New Roman"/>
        </w:rPr>
        <w:t>Figure 4.3</w:t>
      </w:r>
      <w:r w:rsidRPr="009D6299">
        <w:rPr>
          <w:rFonts w:cs="Times New Roman"/>
        </w:rPr>
        <w:t>B shows a 3D view of the finite element</w:t>
      </w:r>
      <w:r w:rsidRPr="00EC7EFC">
        <w:rPr>
          <w:rFonts w:cs="Times New Roman"/>
        </w:rPr>
        <w:t xml:space="preserve"> gridded model.</w:t>
      </w:r>
    </w:p>
    <w:p w14:paraId="386C8AB8" w14:textId="77777777" w:rsidR="00962760" w:rsidRPr="00EC7EFC" w:rsidRDefault="00962760" w:rsidP="00BC23AD">
      <w:pPr>
        <w:pStyle w:val="NoSpacing"/>
      </w:pPr>
      <w:r w:rsidRPr="006C3C73">
        <w:rPr>
          <w:noProof/>
        </w:rPr>
        <w:lastRenderedPageBreak/>
        <w:drawing>
          <wp:inline distT="0" distB="0" distL="0" distR="0" wp14:anchorId="5B22B50B" wp14:editId="5D885151">
            <wp:extent cx="5943600" cy="339981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43600" cy="3399816"/>
                    </a:xfrm>
                    <a:prstGeom prst="rect">
                      <a:avLst/>
                    </a:prstGeom>
                    <a:noFill/>
                  </pic:spPr>
                </pic:pic>
              </a:graphicData>
            </a:graphic>
          </wp:inline>
        </w:drawing>
      </w:r>
    </w:p>
    <w:p w14:paraId="3712756F" w14:textId="24D6C45D" w:rsidR="00962760" w:rsidRPr="00EC7EFC" w:rsidRDefault="00962760" w:rsidP="00BC23AD">
      <w:pPr>
        <w:pStyle w:val="Caption"/>
        <w:rPr>
          <w:rFonts w:cs="Times New Roman"/>
        </w:rPr>
      </w:pPr>
      <w:bookmarkStart w:id="89" w:name="_Ref533533055"/>
      <w:bookmarkStart w:id="90" w:name="_Toc7166666"/>
      <w:bookmarkStart w:id="91" w:name="_Toc67566219"/>
      <w:r w:rsidRPr="00EC7EFC">
        <w:t xml:space="preserve">Figure </w:t>
      </w:r>
      <w:r w:rsidR="00077C0B">
        <w:fldChar w:fldCharType="begin"/>
      </w:r>
      <w:r w:rsidR="00077C0B">
        <w:instrText xml:space="preserve"> STYLEREF 1 \s </w:instrText>
      </w:r>
      <w:r w:rsidR="00077C0B">
        <w:fldChar w:fldCharType="separate"/>
      </w:r>
      <w:r w:rsidR="0006023A">
        <w:rPr>
          <w:noProof/>
        </w:rPr>
        <w:t>4</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3</w:t>
      </w:r>
      <w:r w:rsidR="00077C0B">
        <w:rPr>
          <w:noProof/>
        </w:rPr>
        <w:fldChar w:fldCharType="end"/>
      </w:r>
      <w:bookmarkEnd w:id="89"/>
      <w:r w:rsidRPr="00EC7EFC">
        <w:t xml:space="preserve"> A) Cutaway of the </w:t>
      </w:r>
      <w:r>
        <w:t xml:space="preserve">well </w:t>
      </w:r>
      <w:r w:rsidRPr="00EC7EFC">
        <w:t xml:space="preserve"> model showing the three different materials included in the near wellbore region with casing (</w:t>
      </w:r>
      <w:r w:rsidRPr="00585530">
        <w:t>green</w:t>
      </w:r>
      <w:r w:rsidRPr="00EC7EFC">
        <w:t>), cement (gray), and rock formation (brown) and the finite element grid pattern for the materials.  B) 3D view of the finite element gridded model consisting of a total of 18,384 elements.</w:t>
      </w:r>
      <w:bookmarkEnd w:id="90"/>
      <w:bookmarkEnd w:id="91"/>
    </w:p>
    <w:p w14:paraId="5A2FECD4" w14:textId="2D329EAB" w:rsidR="00962760" w:rsidRPr="006C3C73" w:rsidRDefault="00962760" w:rsidP="00962760">
      <w:pPr>
        <w:ind w:firstLine="720"/>
        <w:rPr>
          <w:rFonts w:cs="Times New Roman"/>
        </w:rPr>
      </w:pPr>
      <w:r w:rsidRPr="00EC7EFC">
        <w:rPr>
          <w:rFonts w:cs="Times New Roman"/>
        </w:rPr>
        <w:t xml:space="preserve">The </w:t>
      </w:r>
      <w:r w:rsidR="0037598F">
        <w:rPr>
          <w:rFonts w:cs="Times New Roman"/>
        </w:rPr>
        <w:t>outer</w:t>
      </w:r>
      <w:r w:rsidRPr="00EC7EFC">
        <w:rPr>
          <w:rFonts w:cs="Times New Roman"/>
        </w:rPr>
        <w:t xml:space="preserve"> dimensions of the model are 1.5 meters in length and width (</w:t>
      </w:r>
      <m:oMath>
        <m:r>
          <w:rPr>
            <w:rFonts w:ascii="Cambria Math" w:hAnsi="Cambria Math" w:cs="Times New Roman"/>
          </w:rPr>
          <m:t>x,y</m:t>
        </m:r>
      </m:oMath>
      <w:r w:rsidRPr="00EC7EFC">
        <w:rPr>
          <w:rFonts w:cs="Times New Roman"/>
        </w:rPr>
        <w:t>) and 0.05 meters in height (</w:t>
      </w:r>
      <m:oMath>
        <m:r>
          <w:rPr>
            <w:rFonts w:ascii="Cambria Math" w:hAnsi="Cambria Math" w:cs="Times New Roman"/>
          </w:rPr>
          <m:t>z</m:t>
        </m:r>
      </m:oMath>
      <w:r>
        <w:rPr>
          <w:rFonts w:cs="Times New Roman"/>
        </w:rPr>
        <w:t xml:space="preserve">). </w:t>
      </w:r>
      <w:r w:rsidRPr="00EC7EFC">
        <w:rPr>
          <w:rFonts w:cs="Times New Roman"/>
        </w:rPr>
        <w:t xml:space="preserve">The </w:t>
      </w:r>
      <w:r w:rsidR="0037598F">
        <w:rPr>
          <w:rFonts w:cs="Times New Roman"/>
        </w:rPr>
        <w:t xml:space="preserve">outer </w:t>
      </w:r>
      <w:r w:rsidRPr="00EC7EFC">
        <w:rPr>
          <w:rFonts w:cs="Times New Roman"/>
        </w:rPr>
        <w:t xml:space="preserve">dimensions are such that </w:t>
      </w:r>
      <w:r>
        <w:rPr>
          <w:rFonts w:cs="Times New Roman"/>
        </w:rPr>
        <w:t xml:space="preserve">boundary conditions will not affect the stress in the near borehole region. </w:t>
      </w:r>
      <w:r w:rsidRPr="00EC7EFC">
        <w:t>The</w:t>
      </w:r>
      <w:r>
        <w:t xml:space="preserve"> dimensions of the near wellbore region are based off actual wells </w:t>
      </w:r>
      <w:r w:rsidR="00205745">
        <w:t>defined in Chapter 3</w:t>
      </w:r>
      <w:r>
        <w:t xml:space="preserve">. The near wellbore </w:t>
      </w:r>
      <w:r w:rsidRPr="006C3C73">
        <w:rPr>
          <w:rFonts w:cs="Times New Roman"/>
        </w:rPr>
        <w:t xml:space="preserve">region dimensions change for </w:t>
      </w:r>
      <w:r>
        <w:rPr>
          <w:rFonts w:cs="Times New Roman"/>
        </w:rPr>
        <w:t xml:space="preserve">the individual wells </w:t>
      </w:r>
      <w:r w:rsidRPr="006C3C73">
        <w:rPr>
          <w:rFonts w:cs="Times New Roman"/>
        </w:rPr>
        <w:t>while the large scale dimensions stay</w:t>
      </w:r>
      <w:r>
        <w:rPr>
          <w:rFonts w:cs="Times New Roman"/>
        </w:rPr>
        <w:t xml:space="preserve"> constant. </w:t>
      </w:r>
      <w:r w:rsidRPr="006C3C73">
        <w:rPr>
          <w:rFonts w:cs="Times New Roman"/>
        </w:rPr>
        <w:t>The model is constrained using frictionless supports on all six sides t</w:t>
      </w:r>
      <w:r>
        <w:rPr>
          <w:rFonts w:cs="Times New Roman"/>
        </w:rPr>
        <w:t xml:space="preserve">o represent infinite supports and to </w:t>
      </w:r>
      <w:r w:rsidRPr="006C3C73">
        <w:rPr>
          <w:rFonts w:cs="Times New Roman"/>
        </w:rPr>
        <w:t>redu</w:t>
      </w:r>
      <w:r>
        <w:rPr>
          <w:rFonts w:cs="Times New Roman"/>
        </w:rPr>
        <w:t xml:space="preserve">ce undesired boundary effects. </w:t>
      </w:r>
      <w:r w:rsidRPr="006C3C73">
        <w:rPr>
          <w:rFonts w:cs="Times New Roman"/>
        </w:rPr>
        <w:t>The thickness (height) of the model is 0.05 m thick to represent a 3D cross section of the wellbore.</w:t>
      </w:r>
    </w:p>
    <w:p w14:paraId="15A95D6B" w14:textId="48CBBC95" w:rsidR="00962760" w:rsidRDefault="00962760" w:rsidP="00962760">
      <w:pPr>
        <w:ind w:firstLine="720"/>
        <w:rPr>
          <w:rFonts w:cs="Times New Roman"/>
        </w:rPr>
      </w:pPr>
      <w:r w:rsidRPr="006C3C73">
        <w:rPr>
          <w:rFonts w:cs="Times New Roman"/>
        </w:rPr>
        <w:t xml:space="preserve">The staged approach uses the property of superposition to build the model’s initial conditions before the </w:t>
      </w:r>
      <w:r>
        <w:rPr>
          <w:rFonts w:cs="Times New Roman"/>
        </w:rPr>
        <w:t xml:space="preserve">next load step is implemented. </w:t>
      </w:r>
      <w:r w:rsidRPr="006C3C73">
        <w:rPr>
          <w:rFonts w:cs="Times New Roman"/>
        </w:rPr>
        <w:t>The advantage of performing a staged approach is that the stress and deformation changes can b</w:t>
      </w:r>
      <w:r>
        <w:rPr>
          <w:rFonts w:cs="Times New Roman"/>
        </w:rPr>
        <w:t xml:space="preserve">e monitored in each load step. </w:t>
      </w:r>
      <w:r w:rsidRPr="006C3C73">
        <w:rPr>
          <w:rFonts w:cs="Times New Roman"/>
        </w:rPr>
        <w:t>The load steps used within this model were modi</w:t>
      </w:r>
      <w:r>
        <w:rPr>
          <w:rFonts w:cs="Times New Roman"/>
        </w:rPr>
        <w:t xml:space="preserve">fied from Weideman (2014). </w:t>
      </w:r>
      <w:r w:rsidRPr="006C3C73">
        <w:rPr>
          <w:rFonts w:cs="Times New Roman"/>
        </w:rPr>
        <w:t>The load steps are:</w:t>
      </w:r>
    </w:p>
    <w:p w14:paraId="4B0E7685" w14:textId="77777777" w:rsidR="009D6299" w:rsidRPr="006C3C73" w:rsidRDefault="009D6299" w:rsidP="00962760">
      <w:pPr>
        <w:ind w:firstLine="720"/>
        <w:rPr>
          <w:rFonts w:cs="Times New Roman"/>
        </w:rPr>
      </w:pPr>
    </w:p>
    <w:p w14:paraId="1D719D2D" w14:textId="77777777" w:rsidR="00962760" w:rsidRPr="006C3C73" w:rsidRDefault="00962760" w:rsidP="00962760">
      <w:pPr>
        <w:spacing w:line="240" w:lineRule="auto"/>
        <w:ind w:left="1440" w:hanging="720"/>
        <w:rPr>
          <w:rFonts w:cs="Times New Roman"/>
        </w:rPr>
      </w:pPr>
      <w:r w:rsidRPr="006C3C73">
        <w:rPr>
          <w:rFonts w:cs="Times New Roman"/>
        </w:rPr>
        <w:lastRenderedPageBreak/>
        <w:t>Step 1. The model is loaded with horizontal (</w:t>
      </w:r>
      <m:oMath>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vertAlign w:val="subscript"/>
              </w:rPr>
              <m:t>H</m:t>
            </m:r>
          </m:sub>
        </m:sSub>
        <m:r>
          <w:rPr>
            <w:rFonts w:ascii="Cambria Math" w:hAnsi="Cambria Math" w:cs="Times New Roman"/>
          </w:rPr>
          <m:t xml:space="preserve"> &amp; </m:t>
        </m:r>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vertAlign w:val="subscript"/>
              </w:rPr>
              <m:t>h</m:t>
            </m:r>
          </m:sub>
        </m:sSub>
      </m:oMath>
      <w:r w:rsidRPr="006C3C73">
        <w:rPr>
          <w:rFonts w:cs="Times New Roman"/>
        </w:rPr>
        <w:t>) and vertical (</w:t>
      </w:r>
      <m:oMath>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vertAlign w:val="subscript"/>
              </w:rPr>
              <m:t>v</m:t>
            </m:r>
          </m:sub>
        </m:sSub>
      </m:oMath>
      <w:r w:rsidRPr="006C3C73">
        <w:rPr>
          <w:rFonts w:cs="Times New Roman"/>
        </w:rPr>
        <w:t>)</w:t>
      </w:r>
      <w:r>
        <w:rPr>
          <w:rFonts w:cs="Times New Roman"/>
        </w:rPr>
        <w:t xml:space="preserve"> </w:t>
      </w:r>
      <w:r w:rsidRPr="006C3C73">
        <w:rPr>
          <w:rFonts w:cs="Times New Roman"/>
        </w:rPr>
        <w:t>in-situ stresses.</w:t>
      </w:r>
    </w:p>
    <w:p w14:paraId="2AA78FE1" w14:textId="77777777" w:rsidR="00962760" w:rsidRPr="006C3C73" w:rsidRDefault="00962760" w:rsidP="00962760">
      <w:pPr>
        <w:spacing w:line="240" w:lineRule="auto"/>
        <w:ind w:left="1440" w:hanging="720"/>
        <w:rPr>
          <w:rFonts w:cs="Times New Roman"/>
        </w:rPr>
      </w:pPr>
      <w:r w:rsidRPr="006C3C73">
        <w:rPr>
          <w:rFonts w:cs="Times New Roman"/>
        </w:rPr>
        <w:t>Step 2. The borehole is drilled, and a fluid weight is applied to the rock formation.</w:t>
      </w:r>
    </w:p>
    <w:p w14:paraId="79477DFB" w14:textId="77777777" w:rsidR="00962760" w:rsidRPr="006C3C73" w:rsidRDefault="00962760" w:rsidP="00962760">
      <w:pPr>
        <w:spacing w:line="240" w:lineRule="auto"/>
        <w:ind w:left="1440" w:hanging="720"/>
        <w:rPr>
          <w:rFonts w:cs="Times New Roman"/>
        </w:rPr>
      </w:pPr>
      <w:r w:rsidRPr="006C3C73">
        <w:rPr>
          <w:rFonts w:cs="Times New Roman"/>
        </w:rPr>
        <w:t xml:space="preserve">Step 3. </w:t>
      </w:r>
      <w:r w:rsidRPr="006C3C73">
        <w:t>The casing is added to the borehole with the fluid weight being applied to the inner and outer surfaces of the casing and the borehole.</w:t>
      </w:r>
      <w:r w:rsidRPr="006C3C73">
        <w:rPr>
          <w:rFonts w:cs="Times New Roman"/>
        </w:rPr>
        <w:t xml:space="preserve">  </w:t>
      </w:r>
    </w:p>
    <w:p w14:paraId="46B8FED1" w14:textId="77777777" w:rsidR="00962760" w:rsidRPr="006C3C73" w:rsidRDefault="00962760" w:rsidP="00962760">
      <w:pPr>
        <w:spacing w:line="240" w:lineRule="auto"/>
        <w:ind w:left="1440" w:hanging="720"/>
        <w:rPr>
          <w:rFonts w:cs="Times New Roman"/>
        </w:rPr>
      </w:pPr>
      <w:r w:rsidRPr="006C3C73">
        <w:rPr>
          <w:rFonts w:cs="Times New Roman"/>
        </w:rPr>
        <w:t xml:space="preserve">Step 4. </w:t>
      </w:r>
      <w:r w:rsidRPr="006C3C73">
        <w:t>This step represents the completion of the wellbore and has two parts:</w:t>
      </w:r>
    </w:p>
    <w:p w14:paraId="421482D9" w14:textId="77777777" w:rsidR="00962760" w:rsidRPr="006C3C73" w:rsidRDefault="00962760" w:rsidP="00FF2CA0">
      <w:pPr>
        <w:pStyle w:val="ListParagraph"/>
        <w:numPr>
          <w:ilvl w:val="0"/>
          <w:numId w:val="5"/>
        </w:numPr>
        <w:spacing w:after="200" w:line="240" w:lineRule="auto"/>
        <w:rPr>
          <w:rFonts w:cs="Times New Roman"/>
        </w:rPr>
      </w:pPr>
      <w:r w:rsidRPr="006C3C73">
        <w:rPr>
          <w:rFonts w:cs="Times New Roman"/>
        </w:rPr>
        <w:t xml:space="preserve">The cement slurry is pumped into the well. A hydrostatic pressure caused by the cement slurry is applied to the outer surface of the casing and the </w:t>
      </w:r>
      <w:r>
        <w:rPr>
          <w:rFonts w:cs="Times New Roman"/>
        </w:rPr>
        <w:t xml:space="preserve">borehole </w:t>
      </w:r>
      <w:r w:rsidRPr="006C3C73">
        <w:rPr>
          <w:rFonts w:cs="Times New Roman"/>
        </w:rPr>
        <w:t>while the inner casing surface has the fluid weight pressure.</w:t>
      </w:r>
    </w:p>
    <w:p w14:paraId="27ECA064" w14:textId="77777777" w:rsidR="00962760" w:rsidRPr="006C3C73" w:rsidRDefault="00962760" w:rsidP="00FF2CA0">
      <w:pPr>
        <w:pStyle w:val="ListParagraph"/>
        <w:numPr>
          <w:ilvl w:val="0"/>
          <w:numId w:val="5"/>
        </w:numPr>
        <w:spacing w:line="240" w:lineRule="auto"/>
        <w:contextualSpacing w:val="0"/>
        <w:rPr>
          <w:rFonts w:cs="Times New Roman"/>
        </w:rPr>
      </w:pPr>
      <w:r w:rsidRPr="006C3C73">
        <w:rPr>
          <w:rFonts w:cs="Times New Roman"/>
        </w:rPr>
        <w:t>Cement hydrates and hardens. The cement elements are added to the model with framework stress, pore pressure, and zero shrinkage assuming the cement is fully bonded to the rock form</w:t>
      </w:r>
      <w:r>
        <w:rPr>
          <w:rFonts w:cs="Times New Roman"/>
        </w:rPr>
        <w:t xml:space="preserve">ation and outer casing surface. </w:t>
      </w:r>
      <w:r w:rsidRPr="006C3C73">
        <w:rPr>
          <w:rFonts w:cs="Times New Roman"/>
        </w:rPr>
        <w:t>The hardened cement is inserted with zero deformation but with framework stress in all three principal directions equivale</w:t>
      </w:r>
      <w:r>
        <w:rPr>
          <w:rFonts w:cs="Times New Roman"/>
        </w:rPr>
        <w:t xml:space="preserve">nt to the hydrostatic pressure. </w:t>
      </w:r>
      <w:r w:rsidRPr="006C3C73">
        <w:rPr>
          <w:rFonts w:cs="Times New Roman"/>
        </w:rPr>
        <w:t>The fluid weight pressure is still applied to the inner surface of the casing.</w:t>
      </w:r>
    </w:p>
    <w:p w14:paraId="3BD1E2D6" w14:textId="77777777" w:rsidR="00962760" w:rsidRPr="006C3C73" w:rsidRDefault="00962760" w:rsidP="00962760">
      <w:pPr>
        <w:spacing w:line="240" w:lineRule="auto"/>
        <w:ind w:left="1440" w:hanging="720"/>
        <w:rPr>
          <w:rFonts w:cs="Times New Roman"/>
        </w:rPr>
      </w:pPr>
      <w:r w:rsidRPr="006C3C73">
        <w:rPr>
          <w:rFonts w:cs="Times New Roman"/>
        </w:rPr>
        <w:t>Step 5. The wellbore is producing. The fluid weight pressure is removed from the inner surface of the casing and replaced with the production pressure referenced as the “Internal Casing Production Pressure”.</w:t>
      </w:r>
    </w:p>
    <w:p w14:paraId="7DF802A8" w14:textId="77777777" w:rsidR="00962760" w:rsidRDefault="00962760" w:rsidP="00962760">
      <w:pPr>
        <w:ind w:firstLine="720"/>
        <w:rPr>
          <w:rFonts w:cs="Times New Roman"/>
        </w:rPr>
      </w:pPr>
    </w:p>
    <w:p w14:paraId="2E8ADBD9" w14:textId="2905786E" w:rsidR="00962760" w:rsidRDefault="00962760" w:rsidP="00962760">
      <w:pPr>
        <w:ind w:firstLine="720"/>
        <w:rPr>
          <w:rFonts w:cs="Times New Roman"/>
        </w:rPr>
      </w:pPr>
      <w:r w:rsidRPr="006C3C73">
        <w:rPr>
          <w:rFonts w:cs="Times New Roman"/>
        </w:rPr>
        <w:t>The in</w:t>
      </w:r>
      <w:r>
        <w:rPr>
          <w:rFonts w:cs="Times New Roman"/>
        </w:rPr>
        <w:t>terface between the casing and cement and between the cement and</w:t>
      </w:r>
      <w:r w:rsidRPr="006C3C73">
        <w:rPr>
          <w:rFonts w:cs="Times New Roman"/>
        </w:rPr>
        <w:t xml:space="preserve"> rock formation are assumed to have fully bo</w:t>
      </w:r>
      <w:r>
        <w:rPr>
          <w:rFonts w:cs="Times New Roman"/>
        </w:rPr>
        <w:t xml:space="preserve">nded interfaces in this model. </w:t>
      </w:r>
      <w:r w:rsidRPr="006C3C73">
        <w:rPr>
          <w:rFonts w:cs="Times New Roman"/>
        </w:rPr>
        <w:t>The stresses in the casing are calculated assuming it is a linear elastic material since steel does not have a pore pres</w:t>
      </w:r>
      <w:r>
        <w:rPr>
          <w:rFonts w:cs="Times New Roman"/>
        </w:rPr>
        <w:t xml:space="preserve">sure. </w:t>
      </w:r>
      <w:r w:rsidRPr="006C3C73">
        <w:rPr>
          <w:rFonts w:cs="Times New Roman"/>
        </w:rPr>
        <w:t xml:space="preserve">The stresses in the cement and rock formation are calculated assuming </w:t>
      </w:r>
      <w:r>
        <w:rPr>
          <w:rFonts w:cs="Times New Roman"/>
        </w:rPr>
        <w:t>poro</w:t>
      </w:r>
      <w:r w:rsidRPr="006C3C73">
        <w:rPr>
          <w:rFonts w:cs="Times New Roman"/>
        </w:rPr>
        <w:t>-elastic materials</w:t>
      </w:r>
      <w:r>
        <w:rPr>
          <w:rFonts w:cs="Times New Roman"/>
        </w:rPr>
        <w:t>. The cement and rock formation calculate the total stress in the materials within the model, and the effective stress is determined in the post</w:t>
      </w:r>
      <w:r w:rsidR="00205745">
        <w:rPr>
          <w:rFonts w:cs="Times New Roman"/>
        </w:rPr>
        <w:t>-</w:t>
      </w:r>
      <w:r>
        <w:rPr>
          <w:rFonts w:cs="Times New Roman"/>
        </w:rPr>
        <w:t>analysis.</w:t>
      </w:r>
    </w:p>
    <w:p w14:paraId="2020CE34" w14:textId="77777777" w:rsidR="00962760" w:rsidRPr="004554B2" w:rsidRDefault="00962760" w:rsidP="00962760">
      <w:pPr>
        <w:pStyle w:val="Heading2"/>
      </w:pPr>
      <w:bookmarkStart w:id="92" w:name="_Toc67566048"/>
      <w:r>
        <w:t>Staged Poro-Elastic FEA Fracture Model</w:t>
      </w:r>
      <w:bookmarkEnd w:id="92"/>
    </w:p>
    <w:p w14:paraId="2593677A" w14:textId="1C8F1AE3" w:rsidR="00962760" w:rsidRDefault="00962760" w:rsidP="00962760">
      <w:pPr>
        <w:ind w:firstLine="720"/>
      </w:pPr>
      <w:r>
        <w:t xml:space="preserve">The approach used to simulate the staged poro-elastic FEA fracture models is similar to the </w:t>
      </w:r>
      <w:r w:rsidR="00292729">
        <w:t xml:space="preserve">stress continuum </w:t>
      </w:r>
      <w:r>
        <w:t>meth</w:t>
      </w:r>
      <w:r w:rsidR="00292729">
        <w:t>od used in the previous section except the fracture model quantifies cement sheath debonding</w:t>
      </w:r>
      <w:r w:rsidR="006C133A">
        <w:t>.</w:t>
      </w:r>
      <w:r>
        <w:t xml:space="preserve"> The FEA</w:t>
      </w:r>
      <w:r w:rsidR="00292729">
        <w:t xml:space="preserve"> fracture</w:t>
      </w:r>
      <w:r>
        <w:t xml:space="preserve"> model was created and simulated using ANSYS™ 19.1. The model is a static structural 3D </w:t>
      </w:r>
      <w:r w:rsidR="00292729">
        <w:t>thermos-</w:t>
      </w:r>
      <w:r>
        <w:t xml:space="preserve">poro-elastic model that uses the traction separation law to model debonding of the casing/cement and cement/rock formation interfaces and includes Mohr-Coulomb shear failure and a tensile failure analysis on the cement stresses during simulations. The 3D model uses 25,552 CPT216 quadratic brick elements in which the element </w:t>
      </w:r>
      <w:r>
        <w:lastRenderedPageBreak/>
        <w:t xml:space="preserve">size in the interface zones is based on the Turon et al. (2006) approach which uses the element length determined by Hillerborg et al. (1976) and further divides the element length by three to ensure the element size is fine enough to capture the delamination in the cohesive zones. Further refinement of the mesh was conducted using a mesh sensitivity analysis. The maximum microannuli </w:t>
      </w:r>
      <w:r w:rsidRPr="009D6299">
        <w:t>gap width versus mesh density was analyzed to determine the optimal mesh density and is shown in Appendix H.</w:t>
      </w:r>
    </w:p>
    <w:p w14:paraId="22F56AD8" w14:textId="7E7FD68B" w:rsidR="00962760" w:rsidRDefault="00962760" w:rsidP="00962760">
      <w:pPr>
        <w:ind w:firstLine="720"/>
      </w:pPr>
      <w:r>
        <w:t xml:space="preserve">The </w:t>
      </w:r>
      <w:r w:rsidR="0037598F">
        <w:t>outer</w:t>
      </w:r>
      <w:r>
        <w:t xml:space="preserve"> and near borehole dimensions of the model are the same as the FEA stress</w:t>
      </w:r>
      <w:r w:rsidR="00292729">
        <w:t xml:space="preserve"> continuum</w:t>
      </w:r>
      <w:r>
        <w:t xml:space="preserve"> model. The differences between thi</w:t>
      </w:r>
      <w:r w:rsidR="00292729">
        <w:t xml:space="preserve">s model and the previous </w:t>
      </w:r>
      <w:r w:rsidR="00205745">
        <w:t xml:space="preserve">are </w:t>
      </w:r>
      <w:r w:rsidR="00292729">
        <w:t>that the fracture</w:t>
      </w:r>
      <w:r>
        <w:t xml:space="preserve"> model uses the traction separation law to quantify the gaps</w:t>
      </w:r>
      <w:r w:rsidR="00292729">
        <w:t xml:space="preserve"> and includes the effect of temperature</w:t>
      </w:r>
      <w:r>
        <w:t xml:space="preserve"> whereas the first model analyses</w:t>
      </w:r>
      <w:r w:rsidR="00292729">
        <w:t xml:space="preserve"> the stress continuum across the interfaces. Since the fracture model incorporates debonding, the model </w:t>
      </w:r>
      <w:r>
        <w:t xml:space="preserve">explicitly implements pore pressure in the elements whereas the </w:t>
      </w:r>
      <w:r w:rsidR="00292729">
        <w:t>stress continuum</w:t>
      </w:r>
      <w:r>
        <w:t xml:space="preserve"> model implemented them in the post</w:t>
      </w:r>
      <w:r w:rsidR="00205745">
        <w:t>-</w:t>
      </w:r>
      <w:r>
        <w:t xml:space="preserve">analysis. Implementing pore pressure in a homogeneous model is standard procedure in ANSYS™ with and without fracture capabilities. However, implementing pore pressure in a fracture analysis when one material is poro-elastic and the other is linear elastic (i.e. cement and casing) is not standard. Therefore, custom code was developed to define the pore pressure in the poro-elastic elements (and interfaces) while maintaining the correct stress structure for the linear elastic elements. Model screenshots and developed APDL code snippets used within the model are </w:t>
      </w:r>
      <w:r w:rsidRPr="009D6299">
        <w:t>included in Appendix E.</w:t>
      </w:r>
      <w:r>
        <w:t xml:space="preserve"> The load steps used in this model follow a similar trend to the FEA stress model previously. The differences between the stress model and the explicit poro-elastic model are underlined in the load steps below.</w:t>
      </w:r>
    </w:p>
    <w:p w14:paraId="3C10AACC" w14:textId="77777777" w:rsidR="00962760" w:rsidRPr="006C3C73" w:rsidRDefault="00962760" w:rsidP="00962760">
      <w:pPr>
        <w:spacing w:line="240" w:lineRule="auto"/>
        <w:ind w:left="1440" w:hanging="720"/>
        <w:rPr>
          <w:rFonts w:cs="Times New Roman"/>
        </w:rPr>
      </w:pPr>
      <w:r w:rsidRPr="006C3C73">
        <w:rPr>
          <w:rFonts w:cs="Times New Roman"/>
        </w:rPr>
        <w:t>Step 1. The model is loaded with horizontal (</w:t>
      </w:r>
      <m:oMath>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vertAlign w:val="subscript"/>
              </w:rPr>
              <m:t>H</m:t>
            </m:r>
          </m:sub>
        </m:sSub>
        <m:r>
          <w:rPr>
            <w:rFonts w:ascii="Cambria Math" w:eastAsiaTheme="minorEastAsia" w:hAnsi="Cambria Math" w:cs="Times New Roman"/>
          </w:rPr>
          <m:t xml:space="preserve"> &amp; </m:t>
        </m:r>
        <m:sSub>
          <m:sSubPr>
            <m:ctrlPr>
              <w:rPr>
                <w:rFonts w:ascii="Cambria Math" w:eastAsiaTheme="minorEastAsia" w:hAnsi="Cambria Math" w:cs="Times New Roman"/>
                <w:i/>
              </w:rPr>
            </m:ctrlPr>
          </m:sSubPr>
          <m:e>
            <m:r>
              <w:rPr>
                <w:rFonts w:ascii="Cambria Math" w:eastAsiaTheme="minorEastAsia" w:hAnsi="Cambria Math" w:cs="Times New Roman"/>
              </w:rPr>
              <m:t>σ</m:t>
            </m:r>
          </m:e>
          <m:sub>
            <m:r>
              <w:rPr>
                <w:rFonts w:ascii="Cambria Math" w:eastAsiaTheme="minorEastAsia" w:hAnsi="Cambria Math" w:cs="Times New Roman"/>
              </w:rPr>
              <m:t>h</m:t>
            </m:r>
          </m:sub>
        </m:sSub>
      </m:oMath>
      <w:r w:rsidRPr="006C3C73">
        <w:rPr>
          <w:rFonts w:cs="Times New Roman"/>
        </w:rPr>
        <w:t>) and vertical (</w:t>
      </w:r>
      <m:oMath>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vertAlign w:val="subscript"/>
              </w:rPr>
              <m:t>v</m:t>
            </m:r>
          </m:sub>
        </m:sSub>
      </m:oMath>
      <w:r w:rsidRPr="006C3C73">
        <w:rPr>
          <w:rFonts w:cs="Times New Roman"/>
        </w:rPr>
        <w:t>)</w:t>
      </w:r>
      <w:r>
        <w:rPr>
          <w:rFonts w:cs="Times New Roman"/>
        </w:rPr>
        <w:t xml:space="preserve"> </w:t>
      </w:r>
      <w:r w:rsidRPr="006C3C73">
        <w:rPr>
          <w:rFonts w:cs="Times New Roman"/>
        </w:rPr>
        <w:t xml:space="preserve">in-situ </w:t>
      </w:r>
      <w:r w:rsidRPr="004913CF">
        <w:rPr>
          <w:rFonts w:cs="Times New Roman"/>
          <w:u w:val="single"/>
        </w:rPr>
        <w:t>effective</w:t>
      </w:r>
      <w:r>
        <w:rPr>
          <w:rFonts w:cs="Times New Roman"/>
        </w:rPr>
        <w:t xml:space="preserve"> </w:t>
      </w:r>
      <w:r w:rsidRPr="006C3C73">
        <w:rPr>
          <w:rFonts w:cs="Times New Roman"/>
        </w:rPr>
        <w:t>stresses.</w:t>
      </w:r>
      <w:r>
        <w:rPr>
          <w:rFonts w:cs="Times New Roman"/>
        </w:rPr>
        <w:t xml:space="preserve"> </w:t>
      </w:r>
      <w:r w:rsidRPr="004913CF">
        <w:rPr>
          <w:rFonts w:cs="Times New Roman"/>
          <w:u w:val="single"/>
        </w:rPr>
        <w:t>The rock formation pore pressure</w:t>
      </w:r>
      <w:r>
        <w:rPr>
          <w:rFonts w:cs="Times New Roman"/>
          <w:u w:val="single"/>
        </w:rPr>
        <w:t xml:space="preserve"> and Biot coefficient (</w:t>
      </w:r>
      <m:oMath>
        <m:r>
          <w:rPr>
            <w:rFonts w:ascii="Cambria Math" w:hAnsi="Cambria Math" w:cs="Times New Roman"/>
            <w:u w:val="single"/>
          </w:rPr>
          <m:t>γ</m:t>
        </m:r>
      </m:oMath>
      <w:r>
        <w:rPr>
          <w:rFonts w:cs="Times New Roman"/>
          <w:u w:val="single"/>
        </w:rPr>
        <w:t>) are</w:t>
      </w:r>
      <w:r w:rsidRPr="004913CF">
        <w:rPr>
          <w:rFonts w:cs="Times New Roman"/>
          <w:u w:val="single"/>
        </w:rPr>
        <w:t xml:space="preserve"> added to the elements.</w:t>
      </w:r>
    </w:p>
    <w:p w14:paraId="66753524" w14:textId="77777777" w:rsidR="00962760" w:rsidRPr="006C3C73" w:rsidRDefault="00962760" w:rsidP="00962760">
      <w:pPr>
        <w:spacing w:line="240" w:lineRule="auto"/>
        <w:ind w:left="1440" w:hanging="720"/>
        <w:rPr>
          <w:rFonts w:cs="Times New Roman"/>
        </w:rPr>
      </w:pPr>
      <w:r w:rsidRPr="006C3C73">
        <w:rPr>
          <w:rFonts w:cs="Times New Roman"/>
        </w:rPr>
        <w:t>Step 2. The borehole is drilled, and a fluid weight is applied to the rock formation.</w:t>
      </w:r>
    </w:p>
    <w:p w14:paraId="39848889" w14:textId="77777777" w:rsidR="00962760" w:rsidRPr="006C3C73" w:rsidRDefault="00962760" w:rsidP="00962760">
      <w:pPr>
        <w:spacing w:line="240" w:lineRule="auto"/>
        <w:ind w:left="1440" w:hanging="720"/>
        <w:rPr>
          <w:rFonts w:cs="Times New Roman"/>
        </w:rPr>
      </w:pPr>
      <w:r w:rsidRPr="006C3C73">
        <w:rPr>
          <w:rFonts w:cs="Times New Roman"/>
        </w:rPr>
        <w:t xml:space="preserve">Step 3. </w:t>
      </w:r>
      <w:r w:rsidRPr="006C3C73">
        <w:t>The casing is added to the borehole with the fluid weight being applied to the inner and outer surfaces of the casing and the borehole.</w:t>
      </w:r>
      <w:r w:rsidRPr="006C3C73">
        <w:rPr>
          <w:rFonts w:cs="Times New Roman"/>
        </w:rPr>
        <w:t xml:space="preserve">  </w:t>
      </w:r>
    </w:p>
    <w:p w14:paraId="2C76BD2C" w14:textId="77777777" w:rsidR="00962760" w:rsidRPr="006C3C73" w:rsidRDefault="00962760" w:rsidP="00962760">
      <w:pPr>
        <w:spacing w:line="240" w:lineRule="auto"/>
        <w:ind w:left="1440" w:hanging="720"/>
        <w:rPr>
          <w:rFonts w:cs="Times New Roman"/>
        </w:rPr>
      </w:pPr>
      <w:r w:rsidRPr="006C3C73">
        <w:rPr>
          <w:rFonts w:cs="Times New Roman"/>
        </w:rPr>
        <w:lastRenderedPageBreak/>
        <w:t xml:space="preserve">Step 4. </w:t>
      </w:r>
      <w:r w:rsidRPr="006C3C73">
        <w:t>This step represents the completion of the wellbore and has two parts:</w:t>
      </w:r>
    </w:p>
    <w:p w14:paraId="62440CCF" w14:textId="77777777" w:rsidR="00962760" w:rsidRPr="006C3C73" w:rsidRDefault="00962760" w:rsidP="00FF2CA0">
      <w:pPr>
        <w:pStyle w:val="ListParagraph"/>
        <w:numPr>
          <w:ilvl w:val="0"/>
          <w:numId w:val="16"/>
        </w:numPr>
        <w:spacing w:after="200" w:line="240" w:lineRule="auto"/>
        <w:rPr>
          <w:rFonts w:cs="Times New Roman"/>
        </w:rPr>
      </w:pPr>
      <w:r w:rsidRPr="006C3C73">
        <w:rPr>
          <w:rFonts w:cs="Times New Roman"/>
        </w:rPr>
        <w:t xml:space="preserve">The cement slurry is pumped into the well. A hydrostatic pressure caused by the cement slurry is applied to the outer surface of the casing and the </w:t>
      </w:r>
      <w:r>
        <w:rPr>
          <w:rFonts w:cs="Times New Roman"/>
        </w:rPr>
        <w:t xml:space="preserve">borehole </w:t>
      </w:r>
      <w:r w:rsidRPr="006C3C73">
        <w:rPr>
          <w:rFonts w:cs="Times New Roman"/>
        </w:rPr>
        <w:t>while the inner casing surface has the fluid weight pressure.</w:t>
      </w:r>
    </w:p>
    <w:p w14:paraId="67AC5A82" w14:textId="77777777" w:rsidR="00962760" w:rsidRPr="006C3C73" w:rsidRDefault="00962760" w:rsidP="00FF2CA0">
      <w:pPr>
        <w:pStyle w:val="ListParagraph"/>
        <w:numPr>
          <w:ilvl w:val="0"/>
          <w:numId w:val="16"/>
        </w:numPr>
        <w:spacing w:line="240" w:lineRule="auto"/>
        <w:contextualSpacing w:val="0"/>
        <w:rPr>
          <w:rFonts w:cs="Times New Roman"/>
        </w:rPr>
      </w:pPr>
      <w:r w:rsidRPr="006C3C73">
        <w:rPr>
          <w:rFonts w:cs="Times New Roman"/>
        </w:rPr>
        <w:t>Cement hydrates and hardens. The cement elements are added to the model with framework</w:t>
      </w:r>
      <w:r>
        <w:rPr>
          <w:rFonts w:cs="Times New Roman"/>
        </w:rPr>
        <w:t xml:space="preserve"> </w:t>
      </w:r>
      <w:r w:rsidRPr="004913CF">
        <w:rPr>
          <w:rFonts w:cs="Times New Roman"/>
          <w:u w:val="single"/>
        </w:rPr>
        <w:t>effective</w:t>
      </w:r>
      <w:r w:rsidRPr="006C3C73">
        <w:rPr>
          <w:rFonts w:cs="Times New Roman"/>
        </w:rPr>
        <w:t xml:space="preserve"> stress, </w:t>
      </w:r>
      <w:r w:rsidRPr="0022418C">
        <w:rPr>
          <w:rFonts w:cs="Times New Roman"/>
          <w:u w:val="single"/>
        </w:rPr>
        <w:t>pore pressure within the elements</w:t>
      </w:r>
      <w:r w:rsidRPr="006C3C73">
        <w:rPr>
          <w:rFonts w:cs="Times New Roman"/>
        </w:rPr>
        <w:t>,</w:t>
      </w:r>
      <w:r>
        <w:rPr>
          <w:rFonts w:cs="Times New Roman"/>
        </w:rPr>
        <w:t xml:space="preserve"> </w:t>
      </w:r>
      <w:r w:rsidRPr="00D150AA">
        <w:rPr>
          <w:rFonts w:cs="Times New Roman"/>
          <w:u w:val="single"/>
        </w:rPr>
        <w:t>cement Biot coefficient</w:t>
      </w:r>
      <w:r>
        <w:rPr>
          <w:rFonts w:cs="Times New Roman"/>
        </w:rPr>
        <w:t xml:space="preserve">, </w:t>
      </w:r>
      <w:r w:rsidRPr="0022418C">
        <w:rPr>
          <w:rFonts w:cs="Times New Roman"/>
          <w:u w:val="single"/>
        </w:rPr>
        <w:t>pore pressure at the interfaces</w:t>
      </w:r>
      <w:r>
        <w:rPr>
          <w:rFonts w:cs="Times New Roman"/>
        </w:rPr>
        <w:t>,</w:t>
      </w:r>
      <w:r w:rsidRPr="006C3C73">
        <w:rPr>
          <w:rFonts w:cs="Times New Roman"/>
        </w:rPr>
        <w:t xml:space="preserve"> and zero shrinkage assuming the cement is fully bonded to the rock form</w:t>
      </w:r>
      <w:r>
        <w:rPr>
          <w:rFonts w:cs="Times New Roman"/>
        </w:rPr>
        <w:t xml:space="preserve">ation and outer casing surface. </w:t>
      </w:r>
      <w:r w:rsidRPr="006C3C73">
        <w:rPr>
          <w:rFonts w:cs="Times New Roman"/>
        </w:rPr>
        <w:t>The hardened cement is inserted with zero deformation but with framework</w:t>
      </w:r>
      <w:r>
        <w:rPr>
          <w:rFonts w:cs="Times New Roman"/>
        </w:rPr>
        <w:t xml:space="preserve"> </w:t>
      </w:r>
      <w:r w:rsidRPr="0022418C">
        <w:rPr>
          <w:rFonts w:cs="Times New Roman"/>
          <w:u w:val="single"/>
        </w:rPr>
        <w:t>effective</w:t>
      </w:r>
      <w:r w:rsidRPr="006C3C73">
        <w:rPr>
          <w:rFonts w:cs="Times New Roman"/>
        </w:rPr>
        <w:t xml:space="preserve"> stress in all three principal directions equivale</w:t>
      </w:r>
      <w:r>
        <w:rPr>
          <w:rFonts w:cs="Times New Roman"/>
        </w:rPr>
        <w:t xml:space="preserve">nt to the hydrostatic pressure </w:t>
      </w:r>
      <w:r w:rsidRPr="0022418C">
        <w:rPr>
          <w:rFonts w:cs="Times New Roman"/>
          <w:u w:val="single"/>
        </w:rPr>
        <w:t>minus the pore pressure</w:t>
      </w:r>
      <w:r>
        <w:rPr>
          <w:rFonts w:cs="Times New Roman"/>
        </w:rPr>
        <w:t xml:space="preserve">. </w:t>
      </w:r>
      <w:r w:rsidRPr="006C3C73">
        <w:rPr>
          <w:rFonts w:cs="Times New Roman"/>
        </w:rPr>
        <w:t>The fluid weight pressure is still applied to the inner surface of the casing.</w:t>
      </w:r>
    </w:p>
    <w:p w14:paraId="5A1909FD" w14:textId="6AAE9C52" w:rsidR="00962760" w:rsidRDefault="00962760" w:rsidP="00962760">
      <w:pPr>
        <w:spacing w:line="240" w:lineRule="auto"/>
        <w:ind w:left="1440" w:hanging="720"/>
        <w:rPr>
          <w:rFonts w:cs="Times New Roman"/>
        </w:rPr>
      </w:pPr>
      <w:r w:rsidRPr="006C3C73">
        <w:rPr>
          <w:rFonts w:cs="Times New Roman"/>
        </w:rPr>
        <w:t>Step 5. The wellbore is producing. The fluid weight pressure is removed from the inner surface of the casing and replaced with the production pressure referenced as the “Internal Casing Pressure”</w:t>
      </w:r>
      <w:r>
        <w:rPr>
          <w:rFonts w:cs="Times New Roman"/>
        </w:rPr>
        <w:t xml:space="preserve"> (ICP)</w:t>
      </w:r>
      <w:r w:rsidRPr="006C3C73">
        <w:rPr>
          <w:rFonts w:cs="Times New Roman"/>
        </w:rPr>
        <w:t>.</w:t>
      </w:r>
    </w:p>
    <w:p w14:paraId="47AFF46B" w14:textId="77777777" w:rsidR="000D0DE8" w:rsidRPr="006C3C73" w:rsidRDefault="000D0DE8" w:rsidP="00962760">
      <w:pPr>
        <w:spacing w:line="240" w:lineRule="auto"/>
        <w:ind w:left="1440" w:hanging="720"/>
        <w:rPr>
          <w:rFonts w:cs="Times New Roman"/>
        </w:rPr>
      </w:pPr>
    </w:p>
    <w:p w14:paraId="751BC7F4" w14:textId="77777777" w:rsidR="00962760" w:rsidRDefault="00962760" w:rsidP="00962760">
      <w:pPr>
        <w:pStyle w:val="Heading2"/>
      </w:pPr>
      <w:bookmarkStart w:id="93" w:name="_Toc67566049"/>
      <w:r>
        <w:t>Continuous Leakage Pathway Models</w:t>
      </w:r>
      <w:bookmarkEnd w:id="93"/>
    </w:p>
    <w:p w14:paraId="45D2DED7" w14:textId="5C2032F6" w:rsidR="00962760" w:rsidRDefault="00962760" w:rsidP="00962760">
      <w:pPr>
        <w:ind w:firstLine="720"/>
      </w:pPr>
      <w:r>
        <w:t xml:space="preserve">The model in the previous section quantifies the microannuli gap at the cement sheath interfaces, but it does not show if the fracture is </w:t>
      </w:r>
      <w:r w:rsidR="00205745">
        <w:t>can</w:t>
      </w:r>
      <w:r>
        <w:t xml:space="preserve"> propagate up the depth of the wellbore. To determine if the fracture propagates up to the top of cement depth, the wellbore is modeled as multiple thin slices explicitly coupled with fracture fluid </w:t>
      </w:r>
      <w:r w:rsidRPr="009D6299">
        <w:t>propagation (Figure 4.4). The</w:t>
      </w:r>
      <w:r>
        <w:t xml:space="preserve"> models replicate an iterative process such that the first model (located at TD) is performed first. Then the next segment is performed and so on. The </w:t>
      </w:r>
      <w:r w:rsidR="00FF47CB">
        <w:t xml:space="preserve">purpose </w:t>
      </w:r>
      <w:r>
        <w:t xml:space="preserve">of </w:t>
      </w:r>
      <w:r w:rsidR="00A5057E">
        <w:t xml:space="preserve">using </w:t>
      </w:r>
      <w:r>
        <w:t>discrete model segments is that the in-situ stress can be assumed to be constant for the thin section</w:t>
      </w:r>
      <w:r w:rsidR="00205745">
        <w:t xml:space="preserve"> for any given model</w:t>
      </w:r>
      <w:r>
        <w:t xml:space="preserve">. Therefore, the in-situ stresses can be used for the initial conditions. so that for any given model, constant in-situ stresses can be used for initial conditions. </w:t>
      </w:r>
    </w:p>
    <w:p w14:paraId="45BBBA0B" w14:textId="77777777" w:rsidR="00962760" w:rsidRDefault="00962760" w:rsidP="00BC23AD">
      <w:pPr>
        <w:pStyle w:val="NoSpacing"/>
      </w:pPr>
      <w:r>
        <w:rPr>
          <w:noProof/>
        </w:rPr>
        <w:lastRenderedPageBreak/>
        <w:drawing>
          <wp:inline distT="0" distB="0" distL="0" distR="0" wp14:anchorId="6A749C63" wp14:editId="1CF75838">
            <wp:extent cx="3657600" cy="2778760"/>
            <wp:effectExtent l="0" t="0" r="0" b="254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2.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657600" cy="2778760"/>
                    </a:xfrm>
                    <a:prstGeom prst="rect">
                      <a:avLst/>
                    </a:prstGeom>
                  </pic:spPr>
                </pic:pic>
              </a:graphicData>
            </a:graphic>
          </wp:inline>
        </w:drawing>
      </w:r>
    </w:p>
    <w:p w14:paraId="4DDD0CF7" w14:textId="61158D23" w:rsidR="00962760" w:rsidRDefault="00962760" w:rsidP="00BC23AD">
      <w:pPr>
        <w:pStyle w:val="Caption"/>
      </w:pPr>
      <w:bookmarkStart w:id="94" w:name="_Toc67566220"/>
      <w:r>
        <w:t xml:space="preserve">Figure </w:t>
      </w:r>
      <w:r w:rsidR="00077C0B">
        <w:fldChar w:fldCharType="begin"/>
      </w:r>
      <w:r w:rsidR="00077C0B">
        <w:instrText xml:space="preserve"> STYLEREF 1 \s </w:instrText>
      </w:r>
      <w:r w:rsidR="00077C0B">
        <w:fldChar w:fldCharType="separate"/>
      </w:r>
      <w:r w:rsidR="0006023A">
        <w:rPr>
          <w:noProof/>
        </w:rPr>
        <w:t>4</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4</w:t>
      </w:r>
      <w:r w:rsidR="00077C0B">
        <w:rPr>
          <w:noProof/>
        </w:rPr>
        <w:fldChar w:fldCharType="end"/>
      </w:r>
      <w:r>
        <w:t xml:space="preserve">: Illustration of the </w:t>
      </w:r>
      <w:r w:rsidR="00E75698">
        <w:t xml:space="preserve">segmented discrete </w:t>
      </w:r>
      <w:r>
        <w:t xml:space="preserve">method used to model the wellbore from the </w:t>
      </w:r>
      <w:r w:rsidR="00A26FC5">
        <w:t xml:space="preserve">simulation </w:t>
      </w:r>
      <w:r>
        <w:t>depth  to the top of cement depth (TOC).</w:t>
      </w:r>
      <w:bookmarkEnd w:id="94"/>
    </w:p>
    <w:p w14:paraId="344738D2" w14:textId="77777777" w:rsidR="00962760" w:rsidRDefault="00962760" w:rsidP="00962760">
      <w:pPr>
        <w:ind w:firstLine="720"/>
      </w:pPr>
      <w:r>
        <w:t xml:space="preserve">The load steps for this model are the same as previously except for one addition; an additional step is added to apply the gas migration pressure in the microannuli (step 6). </w:t>
      </w:r>
    </w:p>
    <w:p w14:paraId="2B5BA901" w14:textId="77777777" w:rsidR="00962760" w:rsidRPr="00FE4AA7" w:rsidRDefault="00962760" w:rsidP="00962760">
      <w:pPr>
        <w:spacing w:line="240" w:lineRule="auto"/>
        <w:ind w:left="1440" w:hanging="720"/>
        <w:rPr>
          <w:rFonts w:cs="Times New Roman"/>
        </w:rPr>
      </w:pPr>
      <w:r>
        <w:rPr>
          <w:rFonts w:cs="Times New Roman"/>
        </w:rPr>
        <w:t xml:space="preserve">Step 1. </w:t>
      </w:r>
      <w:r w:rsidRPr="00FE4AA7">
        <w:rPr>
          <w:rFonts w:cs="Times New Roman"/>
        </w:rPr>
        <w:t>The model is loaded with horizontal (</w:t>
      </w:r>
      <m:oMath>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vertAlign w:val="subscript"/>
              </w:rPr>
              <m:t>H</m:t>
            </m:r>
          </m:sub>
        </m:sSub>
        <m:r>
          <w:rPr>
            <w:rFonts w:ascii="Cambria Math" w:eastAsiaTheme="minorEastAsia" w:hAnsi="Cambria Math" w:cs="Times New Roman"/>
          </w:rPr>
          <m:t xml:space="preserve"> &amp; </m:t>
        </m:r>
        <m:sSub>
          <m:sSubPr>
            <m:ctrlPr>
              <w:rPr>
                <w:rFonts w:ascii="Cambria Math" w:eastAsiaTheme="minorEastAsia" w:hAnsi="Cambria Math" w:cs="Times New Roman"/>
                <w:i/>
              </w:rPr>
            </m:ctrlPr>
          </m:sSubPr>
          <m:e>
            <m:r>
              <w:rPr>
                <w:rFonts w:ascii="Cambria Math" w:eastAsiaTheme="minorEastAsia" w:hAnsi="Cambria Math" w:cs="Times New Roman"/>
              </w:rPr>
              <m:t>σ</m:t>
            </m:r>
          </m:e>
          <m:sub>
            <m:r>
              <w:rPr>
                <w:rFonts w:ascii="Cambria Math" w:eastAsiaTheme="minorEastAsia" w:hAnsi="Cambria Math" w:cs="Times New Roman"/>
              </w:rPr>
              <m:t>h</m:t>
            </m:r>
          </m:sub>
        </m:sSub>
      </m:oMath>
      <w:r w:rsidRPr="00FE4AA7">
        <w:rPr>
          <w:rFonts w:cs="Times New Roman"/>
        </w:rPr>
        <w:t>) and vertical (</w:t>
      </w:r>
      <m:oMath>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vertAlign w:val="subscript"/>
              </w:rPr>
              <m:t>v</m:t>
            </m:r>
          </m:sub>
        </m:sSub>
      </m:oMath>
      <w:r w:rsidRPr="00FE4AA7">
        <w:rPr>
          <w:rFonts w:cs="Times New Roman"/>
        </w:rPr>
        <w:t>) in-situ effective stresses. The rock formation pore pressure and Biot coefficient</w:t>
      </w:r>
      <w:r>
        <w:rPr>
          <w:rFonts w:cs="Times New Roman"/>
        </w:rPr>
        <w:t xml:space="preserve"> (</w:t>
      </w:r>
      <m:oMath>
        <m:r>
          <w:rPr>
            <w:rFonts w:ascii="Cambria Math" w:hAnsi="Cambria Math" w:cs="Times New Roman"/>
          </w:rPr>
          <m:t>γ</m:t>
        </m:r>
      </m:oMath>
      <w:r>
        <w:rPr>
          <w:rFonts w:cs="Times New Roman"/>
        </w:rPr>
        <w:t>)</w:t>
      </w:r>
      <w:r w:rsidRPr="00FE4AA7">
        <w:rPr>
          <w:rFonts w:cs="Times New Roman"/>
        </w:rPr>
        <w:t xml:space="preserve"> are added to the elements.</w:t>
      </w:r>
    </w:p>
    <w:p w14:paraId="766F6799" w14:textId="77777777" w:rsidR="00962760" w:rsidRPr="00FE4AA7" w:rsidRDefault="00962760" w:rsidP="00962760">
      <w:pPr>
        <w:spacing w:line="240" w:lineRule="auto"/>
        <w:ind w:left="1440" w:hanging="720"/>
        <w:rPr>
          <w:rFonts w:cs="Times New Roman"/>
        </w:rPr>
      </w:pPr>
      <w:r w:rsidRPr="00FE4AA7">
        <w:rPr>
          <w:rFonts w:cs="Times New Roman"/>
        </w:rPr>
        <w:t>Step 2. The borehole is drilled, and a fluid weight is applied to the rock formation.</w:t>
      </w:r>
    </w:p>
    <w:p w14:paraId="2AE6496D" w14:textId="77777777" w:rsidR="00962760" w:rsidRPr="00FE4AA7" w:rsidRDefault="00962760" w:rsidP="00962760">
      <w:pPr>
        <w:spacing w:line="240" w:lineRule="auto"/>
        <w:ind w:left="1440" w:hanging="720"/>
        <w:rPr>
          <w:rFonts w:cs="Times New Roman"/>
        </w:rPr>
      </w:pPr>
      <w:r w:rsidRPr="00FE4AA7">
        <w:rPr>
          <w:rFonts w:cs="Times New Roman"/>
        </w:rPr>
        <w:t xml:space="preserve">Step 3. </w:t>
      </w:r>
      <w:r w:rsidRPr="00FE4AA7">
        <w:t>The casing is added to the borehole with the fluid weight being applied to the inner and outer surfaces of the casing and the borehole.</w:t>
      </w:r>
      <w:r w:rsidRPr="00FE4AA7">
        <w:rPr>
          <w:rFonts w:cs="Times New Roman"/>
        </w:rPr>
        <w:t xml:space="preserve">  </w:t>
      </w:r>
    </w:p>
    <w:p w14:paraId="5F9BA35A" w14:textId="77777777" w:rsidR="00962760" w:rsidRPr="00FE4AA7" w:rsidRDefault="00962760" w:rsidP="00962760">
      <w:pPr>
        <w:spacing w:line="240" w:lineRule="auto"/>
        <w:ind w:left="1440" w:hanging="720"/>
        <w:rPr>
          <w:rFonts w:cs="Times New Roman"/>
        </w:rPr>
      </w:pPr>
      <w:r w:rsidRPr="00FE4AA7">
        <w:rPr>
          <w:rFonts w:cs="Times New Roman"/>
        </w:rPr>
        <w:t xml:space="preserve">Step 4. </w:t>
      </w:r>
      <w:r w:rsidRPr="00FE4AA7">
        <w:t>This step represents the completion of the wellbore and has two parts:</w:t>
      </w:r>
    </w:p>
    <w:p w14:paraId="70D69BD8" w14:textId="77777777" w:rsidR="00962760" w:rsidRPr="00FE4AA7" w:rsidRDefault="00962760" w:rsidP="00FF2CA0">
      <w:pPr>
        <w:pStyle w:val="ListParagraph"/>
        <w:numPr>
          <w:ilvl w:val="0"/>
          <w:numId w:val="17"/>
        </w:numPr>
        <w:spacing w:after="200" w:line="240" w:lineRule="auto"/>
        <w:rPr>
          <w:rFonts w:cs="Times New Roman"/>
        </w:rPr>
      </w:pPr>
      <w:r w:rsidRPr="00FE4AA7">
        <w:rPr>
          <w:rFonts w:cs="Times New Roman"/>
        </w:rPr>
        <w:t>The cement slurry is pumped into the well. A hydrostatic pressure caused by the cement slurry is applied to the outer surface of the casing and the borehole while the inner casing surface has the fluid weight pressure.</w:t>
      </w:r>
    </w:p>
    <w:p w14:paraId="742599BD" w14:textId="77777777" w:rsidR="00962760" w:rsidRPr="00FE4AA7" w:rsidRDefault="00962760" w:rsidP="00FF2CA0">
      <w:pPr>
        <w:pStyle w:val="ListParagraph"/>
        <w:numPr>
          <w:ilvl w:val="0"/>
          <w:numId w:val="17"/>
        </w:numPr>
        <w:spacing w:line="240" w:lineRule="auto"/>
        <w:contextualSpacing w:val="0"/>
        <w:rPr>
          <w:rFonts w:cs="Times New Roman"/>
        </w:rPr>
      </w:pPr>
      <w:r w:rsidRPr="00FE4AA7">
        <w:rPr>
          <w:rFonts w:cs="Times New Roman"/>
        </w:rPr>
        <w:t>Cement hydrates and hardens. The cement elements are added to the model with framework effective stress, pore pressure within the elements, cement Biot coefficient, pore pressure at the interfaces, and zero shrinkage assuming the cement is fully bonded to the rock formation and outer casing surface. The hardened cement is inserted with zero deformation but with framework effective stress in all three principal directions equivalent to the hydrostatic pressure minus the pore pressure. The fluid weight pressure is still applied to the inner surface of the casing.</w:t>
      </w:r>
    </w:p>
    <w:p w14:paraId="6187D3A1" w14:textId="77777777" w:rsidR="00962760" w:rsidRPr="00FE4AA7" w:rsidRDefault="00962760" w:rsidP="00962760">
      <w:pPr>
        <w:spacing w:line="240" w:lineRule="auto"/>
        <w:ind w:left="1440" w:hanging="720"/>
        <w:rPr>
          <w:rFonts w:cs="Times New Roman"/>
        </w:rPr>
      </w:pPr>
      <w:r w:rsidRPr="00FE4AA7">
        <w:rPr>
          <w:rFonts w:cs="Times New Roman"/>
        </w:rPr>
        <w:t>Step 5. The wellbore is producing. The fluid weight pressure is removed from the inner surface of the casing and replaced with the production pressure referenced as the “Internal Casing Pressure” (</w:t>
      </w:r>
      <m:oMath>
        <m:r>
          <w:rPr>
            <w:rFonts w:ascii="Cambria Math" w:hAnsi="Cambria Math" w:cs="Times New Roman"/>
          </w:rPr>
          <m:t>ICP</m:t>
        </m:r>
      </m:oMath>
      <w:r w:rsidRPr="00FE4AA7">
        <w:rPr>
          <w:rFonts w:cs="Times New Roman"/>
        </w:rPr>
        <w:t>).</w:t>
      </w:r>
    </w:p>
    <w:p w14:paraId="32CEBDF3" w14:textId="77777777" w:rsidR="00962760" w:rsidRDefault="00962760" w:rsidP="00962760">
      <w:pPr>
        <w:spacing w:line="240" w:lineRule="auto"/>
        <w:ind w:left="1440" w:hanging="720"/>
        <w:rPr>
          <w:rFonts w:cs="Times New Roman"/>
        </w:rPr>
      </w:pPr>
      <w:r>
        <w:rPr>
          <w:rFonts w:cs="Times New Roman"/>
        </w:rPr>
        <w:t>Step 6.  This step represents gas migration up the cement sheath to the top of cement (TOC).               This step is an iteration that applies the gas migration pressure on the walls of the microannuli until the width stabilizes.</w:t>
      </w:r>
    </w:p>
    <w:p w14:paraId="4059F3C9" w14:textId="77777777" w:rsidR="00962760" w:rsidRPr="0070681B" w:rsidRDefault="00962760" w:rsidP="00962760">
      <w:pPr>
        <w:spacing w:line="240" w:lineRule="auto"/>
        <w:ind w:left="1440" w:hanging="720"/>
        <w:rPr>
          <w:sz w:val="16"/>
          <w:szCs w:val="16"/>
        </w:rPr>
      </w:pPr>
      <w:r>
        <w:rPr>
          <w:rFonts w:cs="Times New Roman"/>
        </w:rPr>
        <w:lastRenderedPageBreak/>
        <w:t>Step 7.</w:t>
      </w:r>
      <w:r>
        <w:rPr>
          <w:rFonts w:cs="Times New Roman"/>
        </w:rPr>
        <w:tab/>
        <w:t>Steps 1-6 repeat for the next segmented part until the TOC depth is reached.</w:t>
      </w:r>
    </w:p>
    <w:p w14:paraId="55EA3E0F" w14:textId="77777777" w:rsidR="00962760" w:rsidRPr="00FE4AA7" w:rsidRDefault="00962760" w:rsidP="00962760">
      <w:pPr>
        <w:spacing w:line="240" w:lineRule="auto"/>
        <w:ind w:left="720"/>
        <w:rPr>
          <w:rFonts w:cs="Times New Roman"/>
        </w:rPr>
      </w:pPr>
    </w:p>
    <w:p w14:paraId="165BAFB3" w14:textId="28DCE8BC" w:rsidR="00962760" w:rsidRDefault="00962760" w:rsidP="00962760">
      <w:pPr>
        <w:ind w:firstLine="720"/>
      </w:pPr>
      <w:r>
        <w:t xml:space="preserve">Steps 1-6 are used to determine if a microannuli at the simulation depth can propagate up the depth of the wellbore providing a continuous leakage pathway. The </w:t>
      </w:r>
      <m:oMath>
        <m:r>
          <w:rPr>
            <w:rFonts w:ascii="Cambria Math" w:hAnsi="Cambria Math"/>
          </w:rPr>
          <m:t>ICP</m:t>
        </m:r>
      </m:oMath>
      <w:r>
        <w:t xml:space="preserve"> at the simulation depth is known, but how does the </w:t>
      </w:r>
      <m:oMath>
        <m:r>
          <w:rPr>
            <w:rFonts w:ascii="Cambria Math" w:hAnsi="Cambria Math"/>
          </w:rPr>
          <m:t>ICP</m:t>
        </m:r>
      </m:oMath>
      <w:r>
        <w:t xml:space="preserve"> vary with depth? Assuming that the </w:t>
      </w:r>
      <m:oMath>
        <m:r>
          <w:rPr>
            <w:rFonts w:ascii="Cambria Math" w:hAnsi="Cambria Math"/>
          </w:rPr>
          <m:t>ICP</m:t>
        </m:r>
      </m:oMath>
      <w:r>
        <w:t xml:space="preserve"> is from a gas producing well (from the well production data), the pressure </w:t>
      </w:r>
      <w:r w:rsidRPr="009D6299">
        <w:t>of the gas with respect to depth is determined by using the static single phase real gas equation shown in Equation 4.</w:t>
      </w:r>
      <w:r w:rsidR="002375FE" w:rsidRPr="009D6299">
        <w:t>38</w:t>
      </w:r>
      <w:r w:rsidRPr="009D6299">
        <w:t xml:space="preserve"> where </w:t>
      </w:r>
      <m:oMath>
        <m:sSub>
          <m:sSubPr>
            <m:ctrlPr>
              <w:rPr>
                <w:rFonts w:ascii="Cambria Math" w:hAnsi="Cambria Math"/>
                <w:i/>
              </w:rPr>
            </m:ctrlPr>
          </m:sSubPr>
          <m:e>
            <m:r>
              <w:rPr>
                <w:rFonts w:ascii="Cambria Math" w:hAnsi="Cambria Math"/>
              </w:rPr>
              <m:t>P</m:t>
            </m:r>
          </m:e>
          <m:sub>
            <m:r>
              <w:rPr>
                <w:rFonts w:ascii="Cambria Math" w:hAnsi="Cambria Math"/>
              </w:rPr>
              <m:t>1</m:t>
            </m:r>
          </m:sub>
        </m:sSub>
      </m:oMath>
      <w:r w:rsidRPr="009D6299">
        <w:rPr>
          <w:rFonts w:eastAsiaTheme="minorEastAsia"/>
        </w:rPr>
        <w:t xml:space="preserve"> is the pressure at the top of the segment (</w:t>
      </w:r>
      <m:oMath>
        <m:r>
          <w:rPr>
            <w:rFonts w:ascii="Cambria Math" w:eastAsiaTheme="minorEastAsia" w:hAnsi="Cambria Math"/>
          </w:rPr>
          <m:t>KPa</m:t>
        </m:r>
      </m:oMath>
      <w:r w:rsidRPr="009D6299">
        <w:rPr>
          <w:rFonts w:eastAsiaTheme="minorEastAsia"/>
        </w:rPr>
        <w:t xml:space="preserve">), </w:t>
      </w:r>
      <m:oMath>
        <m:sSub>
          <m:sSubPr>
            <m:ctrlPr>
              <w:rPr>
                <w:rFonts w:ascii="Cambria Math" w:hAnsi="Cambria Math"/>
                <w:i/>
              </w:rPr>
            </m:ctrlPr>
          </m:sSubPr>
          <m:e>
            <m:r>
              <w:rPr>
                <w:rFonts w:ascii="Cambria Math" w:hAnsi="Cambria Math"/>
              </w:rPr>
              <m:t>P</m:t>
            </m:r>
          </m:e>
          <m:sub>
            <m:r>
              <w:rPr>
                <w:rFonts w:ascii="Cambria Math" w:hAnsi="Cambria Math"/>
              </w:rPr>
              <m:t>2</m:t>
            </m:r>
          </m:sub>
        </m:sSub>
      </m:oMath>
      <w:r w:rsidRPr="009D6299">
        <w:rPr>
          <w:rFonts w:eastAsiaTheme="minorEastAsia"/>
        </w:rPr>
        <w:t xml:space="preserve"> is the pressure at the bottom of the segment</w:t>
      </w:r>
      <w:r>
        <w:rPr>
          <w:rFonts w:eastAsiaTheme="minorEastAsia"/>
        </w:rPr>
        <w:t xml:space="preserve"> (</w:t>
      </w:r>
      <m:oMath>
        <m:r>
          <w:rPr>
            <w:rFonts w:ascii="Cambria Math" w:eastAsiaTheme="minorEastAsia" w:hAnsi="Cambria Math"/>
          </w:rPr>
          <m:t>KPa</m:t>
        </m:r>
      </m:oMath>
      <w:r>
        <w:rPr>
          <w:rFonts w:eastAsiaTheme="minorEastAsia"/>
        </w:rPr>
        <w:t xml:space="preserve">), </w:t>
      </w:r>
      <m:oMath>
        <m:sSub>
          <m:sSubPr>
            <m:ctrlPr>
              <w:rPr>
                <w:rFonts w:ascii="Cambria Math" w:hAnsi="Cambria Math"/>
                <w:i/>
              </w:rPr>
            </m:ctrlPr>
          </m:sSubPr>
          <m:e>
            <m:r>
              <w:rPr>
                <w:rFonts w:ascii="Cambria Math" w:hAnsi="Cambria Math"/>
              </w:rPr>
              <m:t>γ</m:t>
            </m:r>
          </m:e>
          <m:sub>
            <m:r>
              <w:rPr>
                <w:rFonts w:ascii="Cambria Math" w:hAnsi="Cambria Math"/>
              </w:rPr>
              <m:t>gas</m:t>
            </m:r>
          </m:sub>
        </m:sSub>
      </m:oMath>
      <w:r>
        <w:rPr>
          <w:rFonts w:eastAsiaTheme="minorEastAsia"/>
        </w:rPr>
        <w:t xml:space="preserve"> is the specific gravity of the gas (assuming methane for a pure gas), </w:t>
      </w:r>
      <m:oMath>
        <m:r>
          <w:rPr>
            <w:rFonts w:ascii="Cambria Math" w:hAnsi="Cambria Math"/>
          </w:rPr>
          <m:t>L</m:t>
        </m:r>
      </m:oMath>
      <w:r>
        <w:rPr>
          <w:rFonts w:eastAsiaTheme="minorEastAsia"/>
        </w:rPr>
        <w:t xml:space="preserve"> is the length between the top and bottom segments (</w:t>
      </w:r>
      <m:oMath>
        <m:r>
          <w:rPr>
            <w:rFonts w:ascii="Cambria Math" w:eastAsiaTheme="minorEastAsia" w:hAnsi="Cambria Math"/>
          </w:rPr>
          <m:t>m</m:t>
        </m:r>
      </m:oMath>
      <w:r>
        <w:rPr>
          <w:rFonts w:eastAsiaTheme="minorEastAsia"/>
        </w:rPr>
        <w:t xml:space="preserve">), </w:t>
      </w:r>
      <m:oMath>
        <m:acc>
          <m:accPr>
            <m:chr m:val="̅"/>
            <m:ctrlPr>
              <w:rPr>
                <w:rFonts w:ascii="Cambria Math" w:hAnsi="Cambria Math"/>
                <w:i/>
              </w:rPr>
            </m:ctrlPr>
          </m:accPr>
          <m:e>
            <m:r>
              <w:rPr>
                <w:rFonts w:ascii="Cambria Math" w:hAnsi="Cambria Math"/>
              </w:rPr>
              <m:t>z</m:t>
            </m:r>
          </m:e>
        </m:acc>
      </m:oMath>
      <w:r>
        <w:rPr>
          <w:rFonts w:eastAsiaTheme="minorEastAsia"/>
        </w:rPr>
        <w:t xml:space="preserve"> is the average compressibility of the gas for the segment, </w:t>
      </w:r>
      <m:oMath>
        <m:acc>
          <m:accPr>
            <m:chr m:val="̅"/>
            <m:ctrlPr>
              <w:rPr>
                <w:rFonts w:ascii="Cambria Math" w:hAnsi="Cambria Math"/>
                <w:i/>
              </w:rPr>
            </m:ctrlPr>
          </m:accPr>
          <m:e>
            <m:r>
              <w:rPr>
                <w:rFonts w:ascii="Cambria Math" w:hAnsi="Cambria Math"/>
              </w:rPr>
              <m:t>T</m:t>
            </m:r>
          </m:e>
        </m:acc>
      </m:oMath>
      <w:r>
        <w:rPr>
          <w:rFonts w:eastAsiaTheme="minorEastAsia"/>
        </w:rPr>
        <w:t xml:space="preserve"> is the average temperature  of the segment (</w:t>
      </w:r>
      <m:oMath>
        <m:r>
          <w:rPr>
            <w:rFonts w:ascii="Cambria Math" w:eastAsiaTheme="minorEastAsia" w:hAnsi="Cambria Math"/>
          </w:rPr>
          <m:t>K</m:t>
        </m:r>
      </m:oMath>
      <w:r>
        <w:rPr>
          <w:rFonts w:eastAsiaTheme="minorEastAsia"/>
        </w:rPr>
        <w:t xml:space="preserve">), and </w:t>
      </w:r>
      <m:oMath>
        <m:r>
          <w:rPr>
            <w:rFonts w:ascii="Cambria Math" w:hAnsi="Cambria Math"/>
          </w:rPr>
          <m:t>θ</m:t>
        </m:r>
      </m:oMath>
      <w:r>
        <w:rPr>
          <w:rFonts w:eastAsiaTheme="minorEastAsia"/>
        </w:rPr>
        <w:t xml:space="preserve"> is the angle from horizontal (</w:t>
      </w:r>
      <m:oMath>
        <m:r>
          <w:rPr>
            <w:rFonts w:ascii="Cambria Math" w:eastAsiaTheme="minorEastAsia" w:hAnsi="Cambria Math"/>
          </w:rPr>
          <m:t>°</m:t>
        </m:r>
      </m:oMath>
      <w:r>
        <w:rPr>
          <w:rFonts w:eastAsiaTheme="minorEastAsia"/>
        </w:rPr>
        <w:t>) [which is 90° for a vertical well].</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2760" w14:paraId="68105DEB" w14:textId="77777777" w:rsidTr="00962760">
        <w:trPr>
          <w:trHeight w:val="576"/>
        </w:trPr>
        <w:tc>
          <w:tcPr>
            <w:tcW w:w="720" w:type="dxa"/>
            <w:vAlign w:val="center"/>
          </w:tcPr>
          <w:p w14:paraId="56702F3B" w14:textId="77777777" w:rsidR="00962760" w:rsidRDefault="00962760" w:rsidP="00962760">
            <w:pPr>
              <w:spacing w:line="240" w:lineRule="auto"/>
              <w:jc w:val="center"/>
            </w:pPr>
          </w:p>
        </w:tc>
        <w:tc>
          <w:tcPr>
            <w:tcW w:w="7920" w:type="dxa"/>
            <w:vAlign w:val="center"/>
          </w:tcPr>
          <w:p w14:paraId="28D0D608" w14:textId="77777777" w:rsidR="00962760" w:rsidRPr="003E4C6A" w:rsidRDefault="00077C0B" w:rsidP="00962760">
            <w:pPr>
              <w:spacing w:line="240" w:lineRule="auto"/>
              <w:jc w:val="center"/>
            </w:pPr>
            <m:oMathPara>
              <m:oMath>
                <m:sSubSup>
                  <m:sSubSupPr>
                    <m:ctrlPr>
                      <w:rPr>
                        <w:rFonts w:ascii="Cambria Math" w:hAnsi="Cambria Math"/>
                        <w:i/>
                      </w:rPr>
                    </m:ctrlPr>
                  </m:sSubSupPr>
                  <m:e>
                    <m:r>
                      <w:rPr>
                        <w:rFonts w:ascii="Cambria Math" w:hAnsi="Cambria Math"/>
                      </w:rPr>
                      <m:t>P</m:t>
                    </m:r>
                  </m:e>
                  <m:sub>
                    <m:r>
                      <w:rPr>
                        <w:rFonts w:ascii="Cambria Math" w:hAnsi="Cambria Math"/>
                      </w:rPr>
                      <m:t>1</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P</m:t>
                    </m:r>
                  </m:e>
                  <m:sub>
                    <m:r>
                      <w:rPr>
                        <w:rFonts w:ascii="Cambria Math" w:hAnsi="Cambria Math"/>
                      </w:rPr>
                      <m:t>2</m:t>
                    </m:r>
                  </m:sub>
                  <m:sup>
                    <m:r>
                      <w:rPr>
                        <w:rFonts w:ascii="Cambria Math" w:hAnsi="Cambria Math"/>
                      </w:rPr>
                      <m:t>2</m:t>
                    </m:r>
                  </m:sup>
                </m:sSubSup>
                <m:r>
                  <w:rPr>
                    <w:rFonts w:ascii="Cambria Math" w:hAnsi="Cambria Math"/>
                  </w:rPr>
                  <m:t>∙</m:t>
                </m:r>
                <m:func>
                  <m:funcPr>
                    <m:ctrlPr>
                      <w:rPr>
                        <w:rFonts w:ascii="Cambria Math" w:hAnsi="Cambria Math"/>
                        <w:i/>
                      </w:rPr>
                    </m:ctrlPr>
                  </m:funcPr>
                  <m:fName>
                    <m:r>
                      <m:rPr>
                        <m:sty m:val="p"/>
                      </m:rPr>
                      <w:rPr>
                        <w:rFonts w:ascii="Cambria Math" w:hAnsi="Cambria Math"/>
                      </w:rPr>
                      <m:t>exp</m:t>
                    </m:r>
                  </m:fName>
                  <m:e>
                    <m:r>
                      <w:rPr>
                        <w:rFonts w:ascii="Cambria Math" w:hAnsi="Cambria Math"/>
                      </w:rPr>
                      <m:t>(0.06835</m:t>
                    </m:r>
                    <m:f>
                      <m:fPr>
                        <m:ctrlPr>
                          <w:rPr>
                            <w:rFonts w:ascii="Cambria Math" w:hAnsi="Cambria Math"/>
                            <w:i/>
                          </w:rPr>
                        </m:ctrlPr>
                      </m:fPr>
                      <m:num>
                        <m:sSub>
                          <m:sSubPr>
                            <m:ctrlPr>
                              <w:rPr>
                                <w:rFonts w:ascii="Cambria Math" w:hAnsi="Cambria Math"/>
                                <w:i/>
                              </w:rPr>
                            </m:ctrlPr>
                          </m:sSubPr>
                          <m:e>
                            <m:r>
                              <w:rPr>
                                <w:rFonts w:ascii="Cambria Math" w:hAnsi="Cambria Math"/>
                              </w:rPr>
                              <m:t>γ</m:t>
                            </m:r>
                          </m:e>
                          <m:sub>
                            <m:r>
                              <w:rPr>
                                <w:rFonts w:ascii="Cambria Math" w:hAnsi="Cambria Math"/>
                              </w:rPr>
                              <m:t>gas</m:t>
                            </m:r>
                          </m:sub>
                        </m:sSub>
                        <m:r>
                          <w:rPr>
                            <w:rFonts w:ascii="Cambria Math" w:hAnsi="Cambria Math"/>
                          </w:rPr>
                          <m:t>L</m:t>
                        </m:r>
                      </m:num>
                      <m:den>
                        <m:acc>
                          <m:accPr>
                            <m:chr m:val="̅"/>
                            <m:ctrlPr>
                              <w:rPr>
                                <w:rFonts w:ascii="Cambria Math" w:hAnsi="Cambria Math"/>
                                <w:i/>
                              </w:rPr>
                            </m:ctrlPr>
                          </m:accPr>
                          <m:e>
                            <m:r>
                              <w:rPr>
                                <w:rFonts w:ascii="Cambria Math" w:hAnsi="Cambria Math"/>
                              </w:rPr>
                              <m:t>z</m:t>
                            </m:r>
                          </m:e>
                        </m:acc>
                        <m:r>
                          <w:rPr>
                            <w:rFonts w:ascii="Cambria Math" w:hAnsi="Cambria Math"/>
                          </w:rPr>
                          <m:t> </m:t>
                        </m:r>
                        <m:acc>
                          <m:accPr>
                            <m:chr m:val="̅"/>
                            <m:ctrlPr>
                              <w:rPr>
                                <w:rFonts w:ascii="Cambria Math" w:hAnsi="Cambria Math"/>
                                <w:i/>
                              </w:rPr>
                            </m:ctrlPr>
                          </m:accPr>
                          <m:e>
                            <m:r>
                              <w:rPr>
                                <w:rFonts w:ascii="Cambria Math" w:hAnsi="Cambria Math"/>
                              </w:rPr>
                              <m:t>T</m:t>
                            </m:r>
                          </m:e>
                        </m:acc>
                      </m:den>
                    </m:f>
                  </m:e>
                </m:func>
                <m:func>
                  <m:funcPr>
                    <m:ctrlPr>
                      <w:rPr>
                        <w:rFonts w:ascii="Cambria Math" w:hAnsi="Cambria Math"/>
                        <w:i/>
                      </w:rPr>
                    </m:ctrlPr>
                  </m:funcPr>
                  <m:fName>
                    <m:r>
                      <m:rPr>
                        <m:sty m:val="p"/>
                      </m:rPr>
                      <w:rPr>
                        <w:rFonts w:ascii="Cambria Math" w:hAnsi="Cambria Math"/>
                      </w:rPr>
                      <m:t>sin</m:t>
                    </m:r>
                  </m:fName>
                  <m:e>
                    <m:r>
                      <w:rPr>
                        <w:rFonts w:ascii="Cambria Math" w:hAnsi="Cambria Math"/>
                      </w:rPr>
                      <m:t>θ</m:t>
                    </m:r>
                  </m:e>
                </m:func>
                <m:r>
                  <w:rPr>
                    <w:rFonts w:ascii="Cambria Math" w:hAnsi="Cambria Math"/>
                  </w:rPr>
                  <m:t>)</m:t>
                </m:r>
              </m:oMath>
            </m:oMathPara>
          </w:p>
        </w:tc>
        <w:tc>
          <w:tcPr>
            <w:tcW w:w="720" w:type="dxa"/>
            <w:vAlign w:val="bottom"/>
          </w:tcPr>
          <w:p w14:paraId="6EAFC473" w14:textId="34928C20" w:rsidR="00962760" w:rsidRPr="00470CB5" w:rsidRDefault="00077C0B" w:rsidP="00BC23AD">
            <w:pPr>
              <w:pStyle w:val="Caption"/>
              <w:rPr>
                <w:i/>
              </w:rPr>
            </w:pPr>
            <w:r>
              <w:fldChar w:fldCharType="begin"/>
            </w:r>
            <w:r>
              <w:instrText xml:space="preserve"> STYLEREF 1 \s </w:instrText>
            </w:r>
            <w:r>
              <w:fldChar w:fldCharType="separate"/>
            </w:r>
            <w:r w:rsidR="0006023A">
              <w:rPr>
                <w:noProof/>
              </w:rPr>
              <w:t>4</w:t>
            </w:r>
            <w:r>
              <w:rPr>
                <w:noProof/>
              </w:rPr>
              <w:fldChar w:fldCharType="end"/>
            </w:r>
            <w:r w:rsidR="00962760">
              <w:t>.</w:t>
            </w:r>
            <w:r>
              <w:fldChar w:fldCharType="begin"/>
            </w:r>
            <w:r>
              <w:instrText xml:space="preserve"> SEQ Equation \* ARABIC \s 1 </w:instrText>
            </w:r>
            <w:r>
              <w:fldChar w:fldCharType="separate"/>
            </w:r>
            <w:r w:rsidR="0006023A">
              <w:rPr>
                <w:noProof/>
              </w:rPr>
              <w:t>38</w:t>
            </w:r>
            <w:r>
              <w:rPr>
                <w:noProof/>
              </w:rPr>
              <w:fldChar w:fldCharType="end"/>
            </w:r>
          </w:p>
        </w:tc>
      </w:tr>
    </w:tbl>
    <w:p w14:paraId="56F0012C" w14:textId="77777777" w:rsidR="00962760" w:rsidRDefault="00962760" w:rsidP="00962760">
      <w:pPr>
        <w:ind w:firstLine="720"/>
      </w:pPr>
    </w:p>
    <w:p w14:paraId="5069D80A" w14:textId="2A6E2479" w:rsidR="00962760" w:rsidRDefault="00962760" w:rsidP="00962760">
      <w:pPr>
        <w:ind w:firstLine="720"/>
      </w:pPr>
      <w:r>
        <w:t xml:space="preserve">Equation </w:t>
      </w:r>
      <w:r w:rsidR="00A26FC5">
        <w:t>4.38</w:t>
      </w:r>
      <w:r>
        <w:t xml:space="preserve"> is </w:t>
      </w:r>
      <w:r w:rsidRPr="009D6299">
        <w:t xml:space="preserve">broken up into the wellbore segments such that the </w:t>
      </w:r>
      <m:oMath>
        <m:r>
          <w:rPr>
            <w:rFonts w:ascii="Cambria Math" w:hAnsi="Cambria Math"/>
          </w:rPr>
          <m:t>ICP</m:t>
        </m:r>
      </m:oMath>
      <w:r w:rsidRPr="009D6299">
        <w:t xml:space="preserve"> is calculated every 1 m from the </w:t>
      </w:r>
      <w:r w:rsidR="00D657EE">
        <w:t xml:space="preserve">simulation depth </w:t>
      </w:r>
      <w:r w:rsidRPr="009D6299">
        <w:t>to the TOC. Equation 4.</w:t>
      </w:r>
      <w:r w:rsidR="002375FE" w:rsidRPr="009D6299">
        <w:t>38</w:t>
      </w:r>
      <w:r w:rsidRPr="009D6299">
        <w:t xml:space="preserve"> is used to calculate the pressure 1 m above the </w:t>
      </w:r>
      <w:r w:rsidR="00D657EE">
        <w:t xml:space="preserve">simulation depth </w:t>
      </w:r>
      <w:r w:rsidRPr="009D6299">
        <w:t>and so on. Since compressibility of the gas (</w:t>
      </w:r>
      <m:oMath>
        <m:r>
          <w:rPr>
            <w:rFonts w:ascii="Cambria Math" w:hAnsi="Cambria Math"/>
          </w:rPr>
          <m:t>z</m:t>
        </m:r>
      </m:oMath>
      <w:r w:rsidRPr="009D6299">
        <w:t xml:space="preserve">) should be taken into account, the compressibility of methane is calculated given the depths and assuming a constant temperature from the </w:t>
      </w:r>
      <w:r w:rsidR="00D657EE">
        <w:t xml:space="preserve">simulation depth </w:t>
      </w:r>
      <w:r w:rsidRPr="009D6299">
        <w:t>to TOC. The compressibility is calculated using Equation 4.</w:t>
      </w:r>
      <w:r w:rsidR="002375FE" w:rsidRPr="009D6299">
        <w:t>39</w:t>
      </w:r>
      <w:r w:rsidRPr="009D6299">
        <w:t xml:space="preserve"> which</w:t>
      </w:r>
      <w:r>
        <w:t xml:space="preserve"> uses the relationship between the pressure and temperature of the system with respect to the critical pressure (</w:t>
      </w:r>
      <m:oMath>
        <m:sSub>
          <m:sSubPr>
            <m:ctrlPr>
              <w:rPr>
                <w:rFonts w:ascii="Cambria Math" w:hAnsi="Cambria Math"/>
                <w:i/>
              </w:rPr>
            </m:ctrlPr>
          </m:sSubPr>
          <m:e>
            <m:r>
              <w:rPr>
                <w:rFonts w:ascii="Cambria Math" w:hAnsi="Cambria Math"/>
              </w:rPr>
              <m:t>P</m:t>
            </m:r>
          </m:e>
          <m:sub>
            <m:r>
              <w:rPr>
                <w:rFonts w:ascii="Cambria Math" w:hAnsi="Cambria Math"/>
              </w:rPr>
              <m:t>c</m:t>
            </m:r>
          </m:sub>
        </m:sSub>
      </m:oMath>
      <w:r>
        <w:t>) and temperature (</w:t>
      </w:r>
      <m:oMath>
        <m:sSub>
          <m:sSubPr>
            <m:ctrlPr>
              <w:rPr>
                <w:rFonts w:ascii="Cambria Math" w:hAnsi="Cambria Math"/>
                <w:i/>
              </w:rPr>
            </m:ctrlPr>
          </m:sSubPr>
          <m:e>
            <m:r>
              <w:rPr>
                <w:rFonts w:ascii="Cambria Math" w:hAnsi="Cambria Math"/>
              </w:rPr>
              <m:t>T</m:t>
            </m:r>
          </m:e>
          <m:sub>
            <m:r>
              <w:rPr>
                <w:rFonts w:ascii="Cambria Math" w:hAnsi="Cambria Math"/>
              </w:rPr>
              <m:t>c</m:t>
            </m:r>
          </m:sub>
        </m:sSub>
      </m:oMath>
      <w:r>
        <w:t>) of the gas</w:t>
      </w:r>
      <w:r>
        <w:rPr>
          <w:rStyle w:val="FootnoteReference"/>
        </w:rPr>
        <w:footnoteReference w:id="4"/>
      </w:r>
      <w:r>
        <w:t xml:space="preserve"> (Kumar 2004). </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2760" w14:paraId="1414885A" w14:textId="77777777" w:rsidTr="00962760">
        <w:trPr>
          <w:trHeight w:val="720"/>
        </w:trPr>
        <w:tc>
          <w:tcPr>
            <w:tcW w:w="720" w:type="dxa"/>
            <w:vAlign w:val="center"/>
          </w:tcPr>
          <w:p w14:paraId="0791D66C" w14:textId="77777777" w:rsidR="00962760" w:rsidRDefault="00962760" w:rsidP="00962760">
            <w:pPr>
              <w:spacing w:line="240" w:lineRule="auto"/>
              <w:jc w:val="center"/>
            </w:pPr>
          </w:p>
        </w:tc>
        <w:tc>
          <w:tcPr>
            <w:tcW w:w="7920" w:type="dxa"/>
            <w:vAlign w:val="center"/>
          </w:tcPr>
          <w:p w14:paraId="00DB9819" w14:textId="77777777" w:rsidR="00962760" w:rsidRPr="003E4C6A" w:rsidRDefault="00962760" w:rsidP="00962760">
            <w:pPr>
              <w:spacing w:line="240" w:lineRule="auto"/>
              <w:jc w:val="center"/>
            </w:pPr>
            <m:oMathPara>
              <m:oMath>
                <m:r>
                  <w:rPr>
                    <w:rFonts w:ascii="Cambria Math" w:hAnsi="Cambria Math"/>
                  </w:rPr>
                  <m:t>z=A+B</m:t>
                </m:r>
                <m:sSub>
                  <m:sSubPr>
                    <m:ctrlPr>
                      <w:rPr>
                        <w:rFonts w:ascii="Cambria Math" w:hAnsi="Cambria Math"/>
                        <w:i/>
                      </w:rPr>
                    </m:ctrlPr>
                  </m:sSubPr>
                  <m:e>
                    <m:r>
                      <w:rPr>
                        <w:rFonts w:ascii="Cambria Math" w:hAnsi="Cambria Math"/>
                      </w:rPr>
                      <m:t>P</m:t>
                    </m:r>
                  </m:e>
                  <m:sub>
                    <m:sSub>
                      <m:sSubPr>
                        <m:ctrlPr>
                          <w:rPr>
                            <w:rFonts w:ascii="Cambria Math" w:hAnsi="Cambria Math"/>
                            <w:i/>
                          </w:rPr>
                        </m:ctrlPr>
                      </m:sSubPr>
                      <m:e>
                        <m:r>
                          <w:rPr>
                            <w:rFonts w:ascii="Cambria Math" w:hAnsi="Cambria Math"/>
                          </w:rPr>
                          <m:t>P</m:t>
                        </m:r>
                      </m:e>
                      <m:sub>
                        <m:r>
                          <w:rPr>
                            <w:rFonts w:ascii="Cambria Math" w:hAnsi="Cambria Math"/>
                          </w:rPr>
                          <m:t>r</m:t>
                        </m:r>
                      </m:sub>
                    </m:sSub>
                  </m:sub>
                </m:sSub>
                <m:r>
                  <w:rPr>
                    <w:rFonts w:ascii="Cambria Math" w:hAnsi="Cambria Math"/>
                  </w:rPr>
                  <m:t>+</m:t>
                </m:r>
                <m:d>
                  <m:dPr>
                    <m:ctrlPr>
                      <w:rPr>
                        <w:rFonts w:ascii="Cambria Math" w:hAnsi="Cambria Math"/>
                        <w:i/>
                      </w:rPr>
                    </m:ctrlPr>
                  </m:dPr>
                  <m:e>
                    <m:r>
                      <w:rPr>
                        <w:rFonts w:ascii="Cambria Math" w:hAnsi="Cambria Math"/>
                      </w:rPr>
                      <m:t>1-A</m:t>
                    </m:r>
                  </m:e>
                </m:d>
                <m:func>
                  <m:funcPr>
                    <m:ctrlPr>
                      <w:rPr>
                        <w:rFonts w:ascii="Cambria Math" w:hAnsi="Cambria Math"/>
                        <w:i/>
                      </w:rPr>
                    </m:ctrlPr>
                  </m:funcPr>
                  <m:fName>
                    <m:r>
                      <m:rPr>
                        <m:sty m:val="p"/>
                      </m:rPr>
                      <w:rPr>
                        <w:rFonts w:ascii="Cambria Math" w:hAnsi="Cambria Math"/>
                      </w:rPr>
                      <m:t>exp</m:t>
                    </m:r>
                  </m:fName>
                  <m:e>
                    <m:d>
                      <m:dPr>
                        <m:ctrlPr>
                          <w:rPr>
                            <w:rFonts w:ascii="Cambria Math" w:hAnsi="Cambria Math"/>
                            <w:i/>
                          </w:rPr>
                        </m:ctrlPr>
                      </m:dPr>
                      <m:e>
                        <m:r>
                          <w:rPr>
                            <w:rFonts w:ascii="Cambria Math" w:hAnsi="Cambria Math"/>
                          </w:rPr>
                          <m:t>-C</m:t>
                        </m:r>
                      </m:e>
                    </m:d>
                  </m:e>
                </m:func>
                <m:r>
                  <w:rPr>
                    <w:rFonts w:ascii="Cambria Math" w:hAnsi="Cambria Math"/>
                  </w:rPr>
                  <m:t>-D</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P</m:t>
                                </m:r>
                              </m:e>
                              <m:sub>
                                <m:sSub>
                                  <m:sSubPr>
                                    <m:ctrlPr>
                                      <w:rPr>
                                        <w:rFonts w:ascii="Cambria Math" w:hAnsi="Cambria Math"/>
                                        <w:i/>
                                      </w:rPr>
                                    </m:ctrlPr>
                                  </m:sSubPr>
                                  <m:e>
                                    <m:r>
                                      <w:rPr>
                                        <w:rFonts w:ascii="Cambria Math" w:hAnsi="Cambria Math"/>
                                      </w:rPr>
                                      <m:t>P</m:t>
                                    </m:r>
                                  </m:e>
                                  <m:sub>
                                    <m:r>
                                      <w:rPr>
                                        <w:rFonts w:ascii="Cambria Math" w:hAnsi="Cambria Math"/>
                                      </w:rPr>
                                      <m:t>r</m:t>
                                    </m:r>
                                  </m:sub>
                                </m:sSub>
                              </m:sub>
                            </m:sSub>
                          </m:num>
                          <m:den>
                            <m:r>
                              <w:rPr>
                                <w:rFonts w:ascii="Cambria Math" w:hAnsi="Cambria Math"/>
                              </w:rPr>
                              <m:t>10</m:t>
                            </m:r>
                          </m:den>
                        </m:f>
                      </m:e>
                    </m:d>
                  </m:e>
                  <m:sup>
                    <m:r>
                      <w:rPr>
                        <w:rFonts w:ascii="Cambria Math" w:hAnsi="Cambria Math"/>
                      </w:rPr>
                      <m:t>4</m:t>
                    </m:r>
                  </m:sup>
                </m:sSup>
              </m:oMath>
            </m:oMathPara>
          </w:p>
        </w:tc>
        <w:tc>
          <w:tcPr>
            <w:tcW w:w="720" w:type="dxa"/>
            <w:vAlign w:val="bottom"/>
          </w:tcPr>
          <w:p w14:paraId="0366A6AA" w14:textId="54210177" w:rsidR="00962760" w:rsidRPr="00470CB5" w:rsidRDefault="00077C0B" w:rsidP="00BC23AD">
            <w:pPr>
              <w:pStyle w:val="Caption"/>
              <w:rPr>
                <w:i/>
              </w:rPr>
            </w:pPr>
            <w:r>
              <w:fldChar w:fldCharType="begin"/>
            </w:r>
            <w:r>
              <w:instrText xml:space="preserve"> STYLEREF 1 \s </w:instrText>
            </w:r>
            <w:r>
              <w:fldChar w:fldCharType="separate"/>
            </w:r>
            <w:r w:rsidR="0006023A">
              <w:rPr>
                <w:noProof/>
              </w:rPr>
              <w:t>4</w:t>
            </w:r>
            <w:r>
              <w:rPr>
                <w:noProof/>
              </w:rPr>
              <w:fldChar w:fldCharType="end"/>
            </w:r>
            <w:r w:rsidR="00962760">
              <w:t>.</w:t>
            </w:r>
            <w:r>
              <w:fldChar w:fldCharType="begin"/>
            </w:r>
            <w:r>
              <w:instrText xml:space="preserve"> SEQ Equation \* ARABIC \s 1 </w:instrText>
            </w:r>
            <w:r>
              <w:fldChar w:fldCharType="separate"/>
            </w:r>
            <w:r w:rsidR="0006023A">
              <w:rPr>
                <w:noProof/>
              </w:rPr>
              <w:t>39</w:t>
            </w:r>
            <w:r>
              <w:rPr>
                <w:noProof/>
              </w:rPr>
              <w:fldChar w:fldCharType="end"/>
            </w:r>
          </w:p>
        </w:tc>
      </w:tr>
      <w:tr w:rsidR="00962760" w14:paraId="3695B763" w14:textId="77777777" w:rsidTr="00962760">
        <w:trPr>
          <w:trHeight w:val="720"/>
        </w:trPr>
        <w:tc>
          <w:tcPr>
            <w:tcW w:w="720" w:type="dxa"/>
            <w:vAlign w:val="center"/>
          </w:tcPr>
          <w:p w14:paraId="3A840C03" w14:textId="77777777" w:rsidR="00962760" w:rsidRDefault="00962760" w:rsidP="00962760">
            <w:pPr>
              <w:spacing w:line="240" w:lineRule="auto"/>
              <w:jc w:val="center"/>
            </w:pPr>
          </w:p>
        </w:tc>
        <w:tc>
          <w:tcPr>
            <w:tcW w:w="7920" w:type="dxa"/>
            <w:vAlign w:val="center"/>
          </w:tcPr>
          <w:p w14:paraId="76CD9CF0" w14:textId="77777777" w:rsidR="00962760" w:rsidRPr="003E4C6A" w:rsidRDefault="00962760" w:rsidP="00962760">
            <w:pPr>
              <w:spacing w:line="240" w:lineRule="auto"/>
              <w:jc w:val="center"/>
            </w:pPr>
            <m:oMathPara>
              <m:oMath>
                <m:r>
                  <w:rPr>
                    <w:rFonts w:ascii="Cambria Math" w:hAnsi="Cambria Math"/>
                  </w:rPr>
                  <m:t>A= -0.101-0.36</m:t>
                </m:r>
                <m:sSub>
                  <m:sSubPr>
                    <m:ctrlPr>
                      <w:rPr>
                        <w:rFonts w:ascii="Cambria Math" w:hAnsi="Cambria Math"/>
                        <w:i/>
                      </w:rPr>
                    </m:ctrlPr>
                  </m:sSubPr>
                  <m:e>
                    <m:r>
                      <w:rPr>
                        <w:rFonts w:ascii="Cambria Math" w:hAnsi="Cambria Math"/>
                      </w:rPr>
                      <m:t>T</m:t>
                    </m:r>
                  </m:e>
                  <m:sub>
                    <m:sSub>
                      <m:sSubPr>
                        <m:ctrlPr>
                          <w:rPr>
                            <w:rFonts w:ascii="Cambria Math" w:hAnsi="Cambria Math"/>
                            <w:i/>
                          </w:rPr>
                        </m:ctrlPr>
                      </m:sSubPr>
                      <m:e>
                        <m:r>
                          <w:rPr>
                            <w:rFonts w:ascii="Cambria Math" w:hAnsi="Cambria Math"/>
                          </w:rPr>
                          <m:t>P</m:t>
                        </m:r>
                      </m:e>
                      <m:sub>
                        <m:r>
                          <w:rPr>
                            <w:rFonts w:ascii="Cambria Math" w:hAnsi="Cambria Math"/>
                          </w:rPr>
                          <m:t>r</m:t>
                        </m:r>
                      </m:sub>
                    </m:sSub>
                  </m:sub>
                </m:sSub>
                <m:r>
                  <w:rPr>
                    <w:rFonts w:ascii="Cambria Math" w:eastAsiaTheme="minorEastAsia" w:hAnsi="Cambria Math"/>
                  </w:rPr>
                  <m:t>+1.3868</m:t>
                </m:r>
                <m:rad>
                  <m:radPr>
                    <m:degHide m:val="1"/>
                    <m:ctrlPr>
                      <w:rPr>
                        <w:rFonts w:ascii="Cambria Math" w:eastAsiaTheme="minorEastAsia" w:hAnsi="Cambria Math"/>
                        <w:i/>
                      </w:rPr>
                    </m:ctrlPr>
                  </m:radPr>
                  <m:deg/>
                  <m:e>
                    <m:sSub>
                      <m:sSubPr>
                        <m:ctrlPr>
                          <w:rPr>
                            <w:rFonts w:ascii="Cambria Math" w:eastAsiaTheme="minorEastAsia" w:hAnsi="Cambria Math"/>
                            <w:i/>
                          </w:rPr>
                        </m:ctrlPr>
                      </m:sSubPr>
                      <m:e>
                        <m:r>
                          <w:rPr>
                            <w:rFonts w:ascii="Cambria Math" w:eastAsiaTheme="minorEastAsia" w:hAnsi="Cambria Math"/>
                          </w:rPr>
                          <m:t>T</m:t>
                        </m:r>
                      </m:e>
                      <m:sub>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r</m:t>
                            </m:r>
                          </m:sub>
                        </m:sSub>
                      </m:sub>
                    </m:sSub>
                    <m:r>
                      <w:rPr>
                        <w:rFonts w:ascii="Cambria Math" w:eastAsiaTheme="minorEastAsia" w:hAnsi="Cambria Math"/>
                      </w:rPr>
                      <m:t>-0.919</m:t>
                    </m:r>
                  </m:e>
                </m:rad>
                <m:r>
                  <w:rPr>
                    <w:rFonts w:ascii="Cambria Math" w:eastAsiaTheme="minorEastAsia" w:hAnsi="Cambria Math"/>
                  </w:rPr>
                  <m:t xml:space="preserve"> </m:t>
                </m:r>
              </m:oMath>
            </m:oMathPara>
          </w:p>
        </w:tc>
        <w:tc>
          <w:tcPr>
            <w:tcW w:w="720" w:type="dxa"/>
            <w:vAlign w:val="bottom"/>
          </w:tcPr>
          <w:p w14:paraId="490A98D3" w14:textId="3D5F3F56" w:rsidR="00962760" w:rsidRPr="00470CB5" w:rsidRDefault="00077C0B" w:rsidP="00BC23AD">
            <w:pPr>
              <w:pStyle w:val="Caption"/>
              <w:rPr>
                <w:i/>
              </w:rPr>
            </w:pPr>
            <w:r>
              <w:fldChar w:fldCharType="begin"/>
            </w:r>
            <w:r>
              <w:instrText xml:space="preserve"> STYLEREF 1 \s </w:instrText>
            </w:r>
            <w:r>
              <w:fldChar w:fldCharType="separate"/>
            </w:r>
            <w:r w:rsidR="0006023A">
              <w:rPr>
                <w:noProof/>
              </w:rPr>
              <w:t>4</w:t>
            </w:r>
            <w:r>
              <w:rPr>
                <w:noProof/>
              </w:rPr>
              <w:fldChar w:fldCharType="end"/>
            </w:r>
            <w:r w:rsidR="00962760">
              <w:t>.</w:t>
            </w:r>
            <w:r>
              <w:fldChar w:fldCharType="begin"/>
            </w:r>
            <w:r>
              <w:instrText xml:space="preserve"> SEQ Equation \* ARABIC \s 1 </w:instrText>
            </w:r>
            <w:r>
              <w:fldChar w:fldCharType="separate"/>
            </w:r>
            <w:r w:rsidR="0006023A">
              <w:rPr>
                <w:noProof/>
              </w:rPr>
              <w:t>40</w:t>
            </w:r>
            <w:r>
              <w:rPr>
                <w:noProof/>
              </w:rPr>
              <w:fldChar w:fldCharType="end"/>
            </w:r>
          </w:p>
        </w:tc>
      </w:tr>
    </w:tbl>
    <w:p w14:paraId="28A9178D" w14:textId="77777777" w:rsidR="00962760" w:rsidRDefault="00962760" w:rsidP="00962760">
      <w:pPr>
        <w:ind w:firstLine="720"/>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2760" w14:paraId="4BF0ED0C" w14:textId="77777777" w:rsidTr="00962760">
        <w:trPr>
          <w:trHeight w:val="720"/>
        </w:trPr>
        <w:tc>
          <w:tcPr>
            <w:tcW w:w="720" w:type="dxa"/>
            <w:vAlign w:val="center"/>
          </w:tcPr>
          <w:p w14:paraId="79F933BE" w14:textId="77777777" w:rsidR="00962760" w:rsidRDefault="00962760" w:rsidP="00962760">
            <w:pPr>
              <w:spacing w:line="240" w:lineRule="auto"/>
              <w:jc w:val="center"/>
            </w:pPr>
          </w:p>
        </w:tc>
        <w:tc>
          <w:tcPr>
            <w:tcW w:w="7920" w:type="dxa"/>
            <w:vAlign w:val="center"/>
          </w:tcPr>
          <w:p w14:paraId="6842F0B7" w14:textId="77777777" w:rsidR="00962760" w:rsidRPr="003E4C6A" w:rsidRDefault="00962760" w:rsidP="00962760">
            <w:pPr>
              <w:spacing w:line="240" w:lineRule="auto"/>
              <w:jc w:val="center"/>
            </w:pPr>
            <m:oMathPara>
              <m:oMath>
                <m:r>
                  <w:rPr>
                    <w:rFonts w:ascii="Cambria Math" w:hAnsi="Cambria Math"/>
                  </w:rPr>
                  <m:t>B=0.021+</m:t>
                </m:r>
                <m:f>
                  <m:fPr>
                    <m:ctrlPr>
                      <w:rPr>
                        <w:rFonts w:ascii="Cambria Math" w:hAnsi="Cambria Math"/>
                        <w:i/>
                      </w:rPr>
                    </m:ctrlPr>
                  </m:fPr>
                  <m:num>
                    <m:r>
                      <w:rPr>
                        <w:rFonts w:ascii="Cambria Math" w:hAnsi="Cambria Math"/>
                      </w:rPr>
                      <m:t>0.04275</m:t>
                    </m:r>
                  </m:num>
                  <m:den>
                    <m:sSub>
                      <m:sSubPr>
                        <m:ctrlPr>
                          <w:rPr>
                            <w:rFonts w:ascii="Cambria Math" w:hAnsi="Cambria Math"/>
                            <w:i/>
                          </w:rPr>
                        </m:ctrlPr>
                      </m:sSubPr>
                      <m:e>
                        <m:r>
                          <w:rPr>
                            <w:rFonts w:ascii="Cambria Math" w:hAnsi="Cambria Math"/>
                          </w:rPr>
                          <m:t>T</m:t>
                        </m:r>
                      </m:e>
                      <m:sub>
                        <m:sSub>
                          <m:sSubPr>
                            <m:ctrlPr>
                              <w:rPr>
                                <w:rFonts w:ascii="Cambria Math" w:hAnsi="Cambria Math"/>
                                <w:i/>
                              </w:rPr>
                            </m:ctrlPr>
                          </m:sSubPr>
                          <m:e>
                            <m:r>
                              <w:rPr>
                                <w:rFonts w:ascii="Cambria Math" w:hAnsi="Cambria Math"/>
                              </w:rPr>
                              <m:t>P</m:t>
                            </m:r>
                          </m:e>
                          <m:sub>
                            <m:r>
                              <w:rPr>
                                <w:rFonts w:ascii="Cambria Math" w:hAnsi="Cambria Math"/>
                              </w:rPr>
                              <m:t>r</m:t>
                            </m:r>
                          </m:sub>
                        </m:sSub>
                      </m:sub>
                    </m:sSub>
                    <m:r>
                      <w:rPr>
                        <w:rFonts w:ascii="Cambria Math" w:hAnsi="Cambria Math"/>
                      </w:rPr>
                      <m:t>-0.65</m:t>
                    </m:r>
                  </m:den>
                </m:f>
                <m:r>
                  <w:rPr>
                    <w:rFonts w:ascii="Cambria Math" w:hAnsi="Cambria Math"/>
                  </w:rPr>
                  <m:t xml:space="preserve"> </m:t>
                </m:r>
              </m:oMath>
            </m:oMathPara>
          </w:p>
        </w:tc>
        <w:tc>
          <w:tcPr>
            <w:tcW w:w="720" w:type="dxa"/>
            <w:vAlign w:val="bottom"/>
          </w:tcPr>
          <w:p w14:paraId="6B197D83" w14:textId="4A6A65F1" w:rsidR="00962760" w:rsidRPr="00470CB5" w:rsidRDefault="00077C0B" w:rsidP="00BC23AD">
            <w:pPr>
              <w:pStyle w:val="Caption"/>
              <w:rPr>
                <w:i/>
              </w:rPr>
            </w:pPr>
            <w:r>
              <w:fldChar w:fldCharType="begin"/>
            </w:r>
            <w:r>
              <w:instrText xml:space="preserve"> STYLEREF 1 \s </w:instrText>
            </w:r>
            <w:r>
              <w:fldChar w:fldCharType="separate"/>
            </w:r>
            <w:r w:rsidR="0006023A">
              <w:rPr>
                <w:noProof/>
              </w:rPr>
              <w:t>4</w:t>
            </w:r>
            <w:r>
              <w:rPr>
                <w:noProof/>
              </w:rPr>
              <w:fldChar w:fldCharType="end"/>
            </w:r>
            <w:r w:rsidR="00962760">
              <w:t>.</w:t>
            </w:r>
            <w:r>
              <w:fldChar w:fldCharType="begin"/>
            </w:r>
            <w:r>
              <w:instrText xml:space="preserve"> SEQ Equation \* ARABIC \s 1 </w:instrText>
            </w:r>
            <w:r>
              <w:fldChar w:fldCharType="separate"/>
            </w:r>
            <w:r w:rsidR="0006023A">
              <w:rPr>
                <w:noProof/>
              </w:rPr>
              <w:t>41</w:t>
            </w:r>
            <w:r>
              <w:rPr>
                <w:noProof/>
              </w:rPr>
              <w:fldChar w:fldCharType="end"/>
            </w:r>
          </w:p>
        </w:tc>
      </w:tr>
    </w:tbl>
    <w:p w14:paraId="74C2B2E8" w14:textId="77777777" w:rsidR="00962760" w:rsidRDefault="00962760" w:rsidP="00962760">
      <w:pPr>
        <w:ind w:firstLine="720"/>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2760" w14:paraId="33A5A779" w14:textId="77777777" w:rsidTr="00962760">
        <w:trPr>
          <w:trHeight w:val="720"/>
        </w:trPr>
        <w:tc>
          <w:tcPr>
            <w:tcW w:w="720" w:type="dxa"/>
            <w:vAlign w:val="center"/>
          </w:tcPr>
          <w:p w14:paraId="6C566E68" w14:textId="77777777" w:rsidR="00962760" w:rsidRDefault="00962760" w:rsidP="00962760">
            <w:pPr>
              <w:spacing w:line="240" w:lineRule="auto"/>
              <w:jc w:val="center"/>
            </w:pPr>
          </w:p>
        </w:tc>
        <w:tc>
          <w:tcPr>
            <w:tcW w:w="7920" w:type="dxa"/>
            <w:vAlign w:val="center"/>
          </w:tcPr>
          <w:p w14:paraId="4AD67CFF" w14:textId="77777777" w:rsidR="00962760" w:rsidRPr="003E4C6A" w:rsidRDefault="00962760" w:rsidP="00962760">
            <w:pPr>
              <w:spacing w:line="240" w:lineRule="auto"/>
              <w:jc w:val="center"/>
            </w:pPr>
            <m:oMathPara>
              <m:oMath>
                <m:r>
                  <w:rPr>
                    <w:rFonts w:ascii="Cambria Math" w:hAnsi="Cambria Math"/>
                  </w:rPr>
                  <m:t>C=</m:t>
                </m:r>
                <m:sSub>
                  <m:sSubPr>
                    <m:ctrlPr>
                      <w:rPr>
                        <w:rFonts w:ascii="Cambria Math" w:hAnsi="Cambria Math"/>
                        <w:i/>
                      </w:rPr>
                    </m:ctrlPr>
                  </m:sSubPr>
                  <m:e>
                    <m:r>
                      <w:rPr>
                        <w:rFonts w:ascii="Cambria Math" w:hAnsi="Cambria Math"/>
                      </w:rPr>
                      <m:t>P</m:t>
                    </m:r>
                  </m:e>
                  <m:sub>
                    <m:sSub>
                      <m:sSubPr>
                        <m:ctrlPr>
                          <w:rPr>
                            <w:rFonts w:ascii="Cambria Math" w:hAnsi="Cambria Math"/>
                            <w:i/>
                          </w:rPr>
                        </m:ctrlPr>
                      </m:sSubPr>
                      <m:e>
                        <m:r>
                          <w:rPr>
                            <w:rFonts w:ascii="Cambria Math" w:hAnsi="Cambria Math"/>
                          </w:rPr>
                          <m:t>P</m:t>
                        </m:r>
                      </m:e>
                      <m:sub>
                        <m:r>
                          <w:rPr>
                            <w:rFonts w:ascii="Cambria Math" w:hAnsi="Cambria Math"/>
                          </w:rPr>
                          <m:t>r</m:t>
                        </m:r>
                      </m:sub>
                    </m:sSub>
                  </m:sub>
                </m:sSub>
                <m:d>
                  <m:dPr>
                    <m:ctrlPr>
                      <w:rPr>
                        <w:rFonts w:ascii="Cambria Math" w:hAnsi="Cambria Math"/>
                        <w:i/>
                      </w:rPr>
                    </m:ctrlPr>
                  </m:dPr>
                  <m:e>
                    <m:r>
                      <w:rPr>
                        <w:rFonts w:ascii="Cambria Math" w:hAnsi="Cambria Math"/>
                      </w:rPr>
                      <m:t>E+F</m:t>
                    </m:r>
                    <m:sSub>
                      <m:sSubPr>
                        <m:ctrlPr>
                          <w:rPr>
                            <w:rFonts w:ascii="Cambria Math" w:hAnsi="Cambria Math"/>
                            <w:i/>
                          </w:rPr>
                        </m:ctrlPr>
                      </m:sSubPr>
                      <m:e>
                        <m:r>
                          <w:rPr>
                            <w:rFonts w:ascii="Cambria Math" w:hAnsi="Cambria Math"/>
                          </w:rPr>
                          <m:t>P</m:t>
                        </m:r>
                      </m:e>
                      <m:sub>
                        <m:sSub>
                          <m:sSubPr>
                            <m:ctrlPr>
                              <w:rPr>
                                <w:rFonts w:ascii="Cambria Math" w:hAnsi="Cambria Math"/>
                                <w:i/>
                              </w:rPr>
                            </m:ctrlPr>
                          </m:sSubPr>
                          <m:e>
                            <m:r>
                              <w:rPr>
                                <w:rFonts w:ascii="Cambria Math" w:hAnsi="Cambria Math"/>
                              </w:rPr>
                              <m:t>P</m:t>
                            </m:r>
                          </m:e>
                          <m:sub>
                            <m:r>
                              <w:rPr>
                                <w:rFonts w:ascii="Cambria Math" w:hAnsi="Cambria Math"/>
                              </w:rPr>
                              <m:t>r</m:t>
                            </m:r>
                          </m:sub>
                        </m:sSub>
                      </m:sub>
                    </m:sSub>
                    <m:r>
                      <w:rPr>
                        <w:rFonts w:ascii="Cambria Math" w:hAnsi="Cambria Math"/>
                      </w:rPr>
                      <m:t>+G</m:t>
                    </m:r>
                    <m:sSubSup>
                      <m:sSubSupPr>
                        <m:ctrlPr>
                          <w:rPr>
                            <w:rFonts w:ascii="Cambria Math" w:hAnsi="Cambria Math"/>
                            <w:i/>
                          </w:rPr>
                        </m:ctrlPr>
                      </m:sSubSupPr>
                      <m:e>
                        <m:r>
                          <w:rPr>
                            <w:rFonts w:ascii="Cambria Math" w:hAnsi="Cambria Math"/>
                          </w:rPr>
                          <m:t>P</m:t>
                        </m:r>
                      </m:e>
                      <m:sub>
                        <m:sSub>
                          <m:sSubPr>
                            <m:ctrlPr>
                              <w:rPr>
                                <w:rFonts w:ascii="Cambria Math" w:hAnsi="Cambria Math"/>
                                <w:i/>
                              </w:rPr>
                            </m:ctrlPr>
                          </m:sSubPr>
                          <m:e>
                            <m:r>
                              <w:rPr>
                                <w:rFonts w:ascii="Cambria Math" w:hAnsi="Cambria Math"/>
                              </w:rPr>
                              <m:t>P</m:t>
                            </m:r>
                          </m:e>
                          <m:sub>
                            <m:r>
                              <w:rPr>
                                <w:rFonts w:ascii="Cambria Math" w:hAnsi="Cambria Math"/>
                              </w:rPr>
                              <m:t>r</m:t>
                            </m:r>
                          </m:sub>
                        </m:sSub>
                      </m:sub>
                      <m:sup>
                        <m:r>
                          <w:rPr>
                            <w:rFonts w:ascii="Cambria Math" w:hAnsi="Cambria Math"/>
                          </w:rPr>
                          <m:t>4</m:t>
                        </m:r>
                      </m:sup>
                    </m:sSubSup>
                  </m:e>
                </m:d>
              </m:oMath>
            </m:oMathPara>
          </w:p>
        </w:tc>
        <w:tc>
          <w:tcPr>
            <w:tcW w:w="720" w:type="dxa"/>
            <w:vAlign w:val="bottom"/>
          </w:tcPr>
          <w:p w14:paraId="21862E29" w14:textId="12794688" w:rsidR="00962760" w:rsidRPr="00470CB5" w:rsidRDefault="00077C0B" w:rsidP="00BC23AD">
            <w:pPr>
              <w:pStyle w:val="Caption"/>
              <w:rPr>
                <w:i/>
              </w:rPr>
            </w:pPr>
            <w:r>
              <w:fldChar w:fldCharType="begin"/>
            </w:r>
            <w:r>
              <w:instrText xml:space="preserve"> STYLEREF 1 \s </w:instrText>
            </w:r>
            <w:r>
              <w:fldChar w:fldCharType="separate"/>
            </w:r>
            <w:r w:rsidR="0006023A">
              <w:rPr>
                <w:noProof/>
              </w:rPr>
              <w:t>4</w:t>
            </w:r>
            <w:r>
              <w:rPr>
                <w:noProof/>
              </w:rPr>
              <w:fldChar w:fldCharType="end"/>
            </w:r>
            <w:r w:rsidR="00962760">
              <w:t>.</w:t>
            </w:r>
            <w:r>
              <w:fldChar w:fldCharType="begin"/>
            </w:r>
            <w:r>
              <w:instrText xml:space="preserve"> SEQ Equation \* ARABIC \s 1 </w:instrText>
            </w:r>
            <w:r>
              <w:fldChar w:fldCharType="separate"/>
            </w:r>
            <w:r w:rsidR="0006023A">
              <w:rPr>
                <w:noProof/>
              </w:rPr>
              <w:t>42</w:t>
            </w:r>
            <w:r>
              <w:rPr>
                <w:noProof/>
              </w:rPr>
              <w:fldChar w:fldCharType="end"/>
            </w:r>
          </w:p>
        </w:tc>
      </w:tr>
    </w:tbl>
    <w:p w14:paraId="751698DB" w14:textId="77777777" w:rsidR="00962760" w:rsidRDefault="00962760" w:rsidP="00962760">
      <w:pPr>
        <w:ind w:firstLine="720"/>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2760" w14:paraId="6394F47B" w14:textId="77777777" w:rsidTr="00962760">
        <w:trPr>
          <w:trHeight w:val="720"/>
        </w:trPr>
        <w:tc>
          <w:tcPr>
            <w:tcW w:w="720" w:type="dxa"/>
            <w:vAlign w:val="center"/>
          </w:tcPr>
          <w:p w14:paraId="7EF309D5" w14:textId="77777777" w:rsidR="00962760" w:rsidRDefault="00962760" w:rsidP="00962760">
            <w:pPr>
              <w:spacing w:line="240" w:lineRule="auto"/>
              <w:jc w:val="center"/>
            </w:pPr>
          </w:p>
        </w:tc>
        <w:tc>
          <w:tcPr>
            <w:tcW w:w="7920" w:type="dxa"/>
            <w:vAlign w:val="center"/>
          </w:tcPr>
          <w:p w14:paraId="4CCD2F62" w14:textId="77777777" w:rsidR="00962760" w:rsidRPr="003E4C6A" w:rsidRDefault="00962760" w:rsidP="00962760">
            <w:pPr>
              <w:spacing w:line="240" w:lineRule="auto"/>
              <w:jc w:val="center"/>
            </w:pPr>
            <m:oMathPara>
              <m:oMath>
                <m:r>
                  <w:rPr>
                    <w:rFonts w:ascii="Cambria Math" w:hAnsi="Cambria Math"/>
                  </w:rPr>
                  <m:t>D=0.122</m:t>
                </m:r>
                <m:func>
                  <m:funcPr>
                    <m:ctrlPr>
                      <w:rPr>
                        <w:rFonts w:ascii="Cambria Math" w:hAnsi="Cambria Math"/>
                        <w:i/>
                      </w:rPr>
                    </m:ctrlPr>
                  </m:funcPr>
                  <m:fName>
                    <m:r>
                      <m:rPr>
                        <m:sty m:val="p"/>
                      </m:rPr>
                      <w:rPr>
                        <w:rFonts w:ascii="Cambria Math" w:hAnsi="Cambria Math"/>
                      </w:rPr>
                      <m:t>exp</m:t>
                    </m:r>
                  </m:fName>
                  <m:e>
                    <m:d>
                      <m:dPr>
                        <m:ctrlPr>
                          <w:rPr>
                            <w:rFonts w:ascii="Cambria Math" w:hAnsi="Cambria Math"/>
                            <w:i/>
                          </w:rPr>
                        </m:ctrlPr>
                      </m:dPr>
                      <m:e>
                        <m:r>
                          <w:rPr>
                            <w:rFonts w:ascii="Cambria Math" w:hAnsi="Cambria Math"/>
                          </w:rPr>
                          <m:t>-11.3</m:t>
                        </m:r>
                        <m:d>
                          <m:dPr>
                            <m:ctrlPr>
                              <w:rPr>
                                <w:rFonts w:ascii="Cambria Math" w:hAnsi="Cambria Math"/>
                                <w:i/>
                              </w:rPr>
                            </m:ctrlPr>
                          </m:dPr>
                          <m:e>
                            <m:sSub>
                              <m:sSubPr>
                                <m:ctrlPr>
                                  <w:rPr>
                                    <w:rFonts w:ascii="Cambria Math" w:hAnsi="Cambria Math"/>
                                    <w:i/>
                                  </w:rPr>
                                </m:ctrlPr>
                              </m:sSubPr>
                              <m:e>
                                <m:r>
                                  <w:rPr>
                                    <w:rFonts w:ascii="Cambria Math" w:hAnsi="Cambria Math"/>
                                  </w:rPr>
                                  <m:t>T</m:t>
                                </m:r>
                              </m:e>
                              <m:sub>
                                <m:sSub>
                                  <m:sSubPr>
                                    <m:ctrlPr>
                                      <w:rPr>
                                        <w:rFonts w:ascii="Cambria Math" w:hAnsi="Cambria Math"/>
                                        <w:i/>
                                      </w:rPr>
                                    </m:ctrlPr>
                                  </m:sSubPr>
                                  <m:e>
                                    <m:r>
                                      <w:rPr>
                                        <w:rFonts w:ascii="Cambria Math" w:hAnsi="Cambria Math"/>
                                      </w:rPr>
                                      <m:t>P</m:t>
                                    </m:r>
                                  </m:e>
                                  <m:sub>
                                    <m:r>
                                      <w:rPr>
                                        <w:rFonts w:ascii="Cambria Math" w:hAnsi="Cambria Math"/>
                                      </w:rPr>
                                      <m:t>r</m:t>
                                    </m:r>
                                  </m:sub>
                                </m:sSub>
                              </m:sub>
                            </m:sSub>
                            <m:r>
                              <w:rPr>
                                <w:rFonts w:ascii="Cambria Math" w:hAnsi="Cambria Math"/>
                              </w:rPr>
                              <m:t>-1</m:t>
                            </m:r>
                          </m:e>
                        </m:d>
                      </m:e>
                    </m:d>
                  </m:e>
                </m:func>
                <m:r>
                  <w:rPr>
                    <w:rFonts w:ascii="Cambria Math" w:hAnsi="Cambria Math"/>
                  </w:rPr>
                  <m:t xml:space="preserve"> </m:t>
                </m:r>
              </m:oMath>
            </m:oMathPara>
          </w:p>
        </w:tc>
        <w:tc>
          <w:tcPr>
            <w:tcW w:w="720" w:type="dxa"/>
            <w:vAlign w:val="bottom"/>
          </w:tcPr>
          <w:p w14:paraId="769F97F1" w14:textId="2E9B00BF" w:rsidR="00962760" w:rsidRPr="00470CB5" w:rsidRDefault="00077C0B" w:rsidP="00BC23AD">
            <w:pPr>
              <w:pStyle w:val="Caption"/>
              <w:rPr>
                <w:i/>
              </w:rPr>
            </w:pPr>
            <w:r>
              <w:fldChar w:fldCharType="begin"/>
            </w:r>
            <w:r>
              <w:instrText xml:space="preserve"> STYLEREF 1 \s </w:instrText>
            </w:r>
            <w:r>
              <w:fldChar w:fldCharType="separate"/>
            </w:r>
            <w:r w:rsidR="0006023A">
              <w:rPr>
                <w:noProof/>
              </w:rPr>
              <w:t>4</w:t>
            </w:r>
            <w:r>
              <w:rPr>
                <w:noProof/>
              </w:rPr>
              <w:fldChar w:fldCharType="end"/>
            </w:r>
            <w:r w:rsidR="00962760">
              <w:t>.</w:t>
            </w:r>
            <w:r>
              <w:fldChar w:fldCharType="begin"/>
            </w:r>
            <w:r>
              <w:instrText xml:space="preserve"> SEQ Equation \* ARABIC \s 1 </w:instrText>
            </w:r>
            <w:r>
              <w:fldChar w:fldCharType="separate"/>
            </w:r>
            <w:r w:rsidR="0006023A">
              <w:rPr>
                <w:noProof/>
              </w:rPr>
              <w:t>43</w:t>
            </w:r>
            <w:r>
              <w:rPr>
                <w:noProof/>
              </w:rPr>
              <w:fldChar w:fldCharType="end"/>
            </w:r>
          </w:p>
        </w:tc>
      </w:tr>
    </w:tbl>
    <w:p w14:paraId="6473FD4E" w14:textId="77777777" w:rsidR="00962760" w:rsidRDefault="00962760" w:rsidP="00962760">
      <w:pPr>
        <w:ind w:firstLine="720"/>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2760" w14:paraId="779EC4C0" w14:textId="77777777" w:rsidTr="00962760">
        <w:trPr>
          <w:trHeight w:val="720"/>
        </w:trPr>
        <w:tc>
          <w:tcPr>
            <w:tcW w:w="720" w:type="dxa"/>
            <w:vAlign w:val="center"/>
          </w:tcPr>
          <w:p w14:paraId="50C98562" w14:textId="77777777" w:rsidR="00962760" w:rsidRDefault="00962760" w:rsidP="00962760">
            <w:pPr>
              <w:spacing w:line="240" w:lineRule="auto"/>
              <w:jc w:val="center"/>
            </w:pPr>
          </w:p>
        </w:tc>
        <w:tc>
          <w:tcPr>
            <w:tcW w:w="7920" w:type="dxa"/>
            <w:vAlign w:val="center"/>
          </w:tcPr>
          <w:p w14:paraId="5E0ED798" w14:textId="77777777" w:rsidR="00962760" w:rsidRPr="003E4C6A" w:rsidRDefault="00962760" w:rsidP="00962760">
            <w:pPr>
              <w:spacing w:line="240" w:lineRule="auto"/>
              <w:jc w:val="center"/>
            </w:pPr>
            <m:oMathPara>
              <m:oMath>
                <m:r>
                  <w:rPr>
                    <w:rFonts w:ascii="Cambria Math" w:hAnsi="Cambria Math"/>
                  </w:rPr>
                  <m:t>E=0.6222-0.224</m:t>
                </m:r>
                <m:sSub>
                  <m:sSubPr>
                    <m:ctrlPr>
                      <w:rPr>
                        <w:rFonts w:ascii="Cambria Math" w:hAnsi="Cambria Math"/>
                        <w:i/>
                      </w:rPr>
                    </m:ctrlPr>
                  </m:sSubPr>
                  <m:e>
                    <m:r>
                      <w:rPr>
                        <w:rFonts w:ascii="Cambria Math" w:hAnsi="Cambria Math"/>
                      </w:rPr>
                      <m:t>T</m:t>
                    </m:r>
                  </m:e>
                  <m:sub>
                    <m:sSub>
                      <m:sSubPr>
                        <m:ctrlPr>
                          <w:rPr>
                            <w:rFonts w:ascii="Cambria Math" w:hAnsi="Cambria Math"/>
                            <w:i/>
                          </w:rPr>
                        </m:ctrlPr>
                      </m:sSubPr>
                      <m:e>
                        <m:r>
                          <w:rPr>
                            <w:rFonts w:ascii="Cambria Math" w:hAnsi="Cambria Math"/>
                          </w:rPr>
                          <m:t>P</m:t>
                        </m:r>
                      </m:e>
                      <m:sub>
                        <m:r>
                          <w:rPr>
                            <w:rFonts w:ascii="Cambria Math" w:hAnsi="Cambria Math"/>
                          </w:rPr>
                          <m:t>r</m:t>
                        </m:r>
                      </m:sub>
                    </m:sSub>
                  </m:sub>
                </m:sSub>
                <m:r>
                  <w:rPr>
                    <w:rFonts w:ascii="Cambria Math" w:hAnsi="Cambria Math"/>
                  </w:rPr>
                  <m:t xml:space="preserve"> </m:t>
                </m:r>
              </m:oMath>
            </m:oMathPara>
          </w:p>
        </w:tc>
        <w:tc>
          <w:tcPr>
            <w:tcW w:w="720" w:type="dxa"/>
            <w:vAlign w:val="bottom"/>
          </w:tcPr>
          <w:p w14:paraId="7A71B7A2" w14:textId="16B6CD66" w:rsidR="00962760" w:rsidRPr="00470CB5" w:rsidRDefault="00077C0B" w:rsidP="00BC23AD">
            <w:pPr>
              <w:pStyle w:val="Caption"/>
              <w:rPr>
                <w:i/>
              </w:rPr>
            </w:pPr>
            <w:r>
              <w:fldChar w:fldCharType="begin"/>
            </w:r>
            <w:r>
              <w:instrText xml:space="preserve"> STYLEREF 1 \s </w:instrText>
            </w:r>
            <w:r>
              <w:fldChar w:fldCharType="separate"/>
            </w:r>
            <w:r w:rsidR="0006023A">
              <w:rPr>
                <w:noProof/>
              </w:rPr>
              <w:t>4</w:t>
            </w:r>
            <w:r>
              <w:rPr>
                <w:noProof/>
              </w:rPr>
              <w:fldChar w:fldCharType="end"/>
            </w:r>
            <w:r w:rsidR="00962760">
              <w:t>.</w:t>
            </w:r>
            <w:r>
              <w:fldChar w:fldCharType="begin"/>
            </w:r>
            <w:r>
              <w:instrText xml:space="preserve"> SEQ Equation \* ARABIC \s 1 </w:instrText>
            </w:r>
            <w:r>
              <w:fldChar w:fldCharType="separate"/>
            </w:r>
            <w:r w:rsidR="0006023A">
              <w:rPr>
                <w:noProof/>
              </w:rPr>
              <w:t>44</w:t>
            </w:r>
            <w:r>
              <w:rPr>
                <w:noProof/>
              </w:rPr>
              <w:fldChar w:fldCharType="end"/>
            </w:r>
          </w:p>
        </w:tc>
      </w:tr>
    </w:tbl>
    <w:p w14:paraId="20EEE02E" w14:textId="77777777" w:rsidR="00962760" w:rsidRDefault="00962760" w:rsidP="00962760">
      <w:pPr>
        <w:ind w:firstLine="720"/>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2760" w14:paraId="5DAA742B" w14:textId="77777777" w:rsidTr="00962760">
        <w:trPr>
          <w:trHeight w:val="720"/>
        </w:trPr>
        <w:tc>
          <w:tcPr>
            <w:tcW w:w="720" w:type="dxa"/>
            <w:vAlign w:val="center"/>
          </w:tcPr>
          <w:p w14:paraId="071B03E1" w14:textId="77777777" w:rsidR="00962760" w:rsidRDefault="00962760" w:rsidP="00962760">
            <w:pPr>
              <w:spacing w:line="240" w:lineRule="auto"/>
              <w:jc w:val="center"/>
            </w:pPr>
          </w:p>
        </w:tc>
        <w:tc>
          <w:tcPr>
            <w:tcW w:w="7920" w:type="dxa"/>
            <w:vAlign w:val="center"/>
          </w:tcPr>
          <w:p w14:paraId="327086F0" w14:textId="77777777" w:rsidR="00962760" w:rsidRPr="003E4C6A" w:rsidRDefault="00962760" w:rsidP="00962760">
            <w:pPr>
              <w:spacing w:line="240" w:lineRule="auto"/>
              <w:jc w:val="center"/>
            </w:pPr>
            <m:oMathPara>
              <m:oMath>
                <m:r>
                  <w:rPr>
                    <w:rFonts w:ascii="Cambria Math" w:hAnsi="Cambria Math"/>
                  </w:rPr>
                  <m:t>F=</m:t>
                </m:r>
                <m:f>
                  <m:fPr>
                    <m:ctrlPr>
                      <w:rPr>
                        <w:rFonts w:ascii="Cambria Math" w:hAnsi="Cambria Math"/>
                        <w:i/>
                      </w:rPr>
                    </m:ctrlPr>
                  </m:fPr>
                  <m:num>
                    <m:r>
                      <w:rPr>
                        <w:rFonts w:ascii="Cambria Math" w:hAnsi="Cambria Math"/>
                      </w:rPr>
                      <m:t>0.0657</m:t>
                    </m:r>
                  </m:num>
                  <m:den>
                    <m:sSub>
                      <m:sSubPr>
                        <m:ctrlPr>
                          <w:rPr>
                            <w:rFonts w:ascii="Cambria Math" w:hAnsi="Cambria Math"/>
                            <w:i/>
                          </w:rPr>
                        </m:ctrlPr>
                      </m:sSubPr>
                      <m:e>
                        <m:r>
                          <w:rPr>
                            <w:rFonts w:ascii="Cambria Math" w:hAnsi="Cambria Math"/>
                          </w:rPr>
                          <m:t>T</m:t>
                        </m:r>
                      </m:e>
                      <m:sub>
                        <m:sSub>
                          <m:sSubPr>
                            <m:ctrlPr>
                              <w:rPr>
                                <w:rFonts w:ascii="Cambria Math" w:hAnsi="Cambria Math"/>
                                <w:i/>
                              </w:rPr>
                            </m:ctrlPr>
                          </m:sSubPr>
                          <m:e>
                            <m:r>
                              <w:rPr>
                                <w:rFonts w:ascii="Cambria Math" w:hAnsi="Cambria Math"/>
                              </w:rPr>
                              <m:t>P</m:t>
                            </m:r>
                          </m:e>
                          <m:sub>
                            <m:r>
                              <w:rPr>
                                <w:rFonts w:ascii="Cambria Math" w:hAnsi="Cambria Math"/>
                              </w:rPr>
                              <m:t>r</m:t>
                            </m:r>
                          </m:sub>
                        </m:sSub>
                      </m:sub>
                    </m:sSub>
                    <m:r>
                      <w:rPr>
                        <w:rFonts w:ascii="Cambria Math" w:hAnsi="Cambria Math"/>
                      </w:rPr>
                      <m:t>-0.85</m:t>
                    </m:r>
                  </m:den>
                </m:f>
                <m:r>
                  <w:rPr>
                    <w:rFonts w:ascii="Cambria Math" w:hAnsi="Cambria Math"/>
                  </w:rPr>
                  <m:t>-0.037</m:t>
                </m:r>
              </m:oMath>
            </m:oMathPara>
          </w:p>
        </w:tc>
        <w:tc>
          <w:tcPr>
            <w:tcW w:w="720" w:type="dxa"/>
            <w:vAlign w:val="bottom"/>
          </w:tcPr>
          <w:p w14:paraId="21F56182" w14:textId="2E0CC3BC" w:rsidR="00962760" w:rsidRPr="00470CB5" w:rsidRDefault="00077C0B" w:rsidP="00BC23AD">
            <w:pPr>
              <w:pStyle w:val="Caption"/>
              <w:rPr>
                <w:i/>
              </w:rPr>
            </w:pPr>
            <w:r>
              <w:fldChar w:fldCharType="begin"/>
            </w:r>
            <w:r>
              <w:instrText xml:space="preserve"> STYLEREF 1 \s </w:instrText>
            </w:r>
            <w:r>
              <w:fldChar w:fldCharType="separate"/>
            </w:r>
            <w:r w:rsidR="0006023A">
              <w:rPr>
                <w:noProof/>
              </w:rPr>
              <w:t>4</w:t>
            </w:r>
            <w:r>
              <w:rPr>
                <w:noProof/>
              </w:rPr>
              <w:fldChar w:fldCharType="end"/>
            </w:r>
            <w:r w:rsidR="00962760">
              <w:t>.</w:t>
            </w:r>
            <w:r>
              <w:fldChar w:fldCharType="begin"/>
            </w:r>
            <w:r>
              <w:instrText xml:space="preserve"> SEQ Equation \* ARABIC \s 1 </w:instrText>
            </w:r>
            <w:r>
              <w:fldChar w:fldCharType="separate"/>
            </w:r>
            <w:r w:rsidR="0006023A">
              <w:rPr>
                <w:noProof/>
              </w:rPr>
              <w:t>45</w:t>
            </w:r>
            <w:r>
              <w:rPr>
                <w:noProof/>
              </w:rPr>
              <w:fldChar w:fldCharType="end"/>
            </w:r>
          </w:p>
        </w:tc>
      </w:tr>
    </w:tbl>
    <w:p w14:paraId="6F377B72" w14:textId="77777777" w:rsidR="00962760" w:rsidRDefault="00962760" w:rsidP="00962760">
      <w:pPr>
        <w:ind w:firstLine="720"/>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2760" w14:paraId="75423700" w14:textId="77777777" w:rsidTr="00962760">
        <w:trPr>
          <w:trHeight w:val="720"/>
        </w:trPr>
        <w:tc>
          <w:tcPr>
            <w:tcW w:w="720" w:type="dxa"/>
            <w:vAlign w:val="center"/>
          </w:tcPr>
          <w:p w14:paraId="3E87BED9" w14:textId="77777777" w:rsidR="00962760" w:rsidRDefault="00962760" w:rsidP="00962760">
            <w:pPr>
              <w:spacing w:line="240" w:lineRule="auto"/>
              <w:jc w:val="center"/>
            </w:pPr>
          </w:p>
        </w:tc>
        <w:tc>
          <w:tcPr>
            <w:tcW w:w="7920" w:type="dxa"/>
            <w:vAlign w:val="center"/>
          </w:tcPr>
          <w:p w14:paraId="78B15D2D" w14:textId="77777777" w:rsidR="00962760" w:rsidRPr="003E4C6A" w:rsidRDefault="00962760" w:rsidP="00962760">
            <w:pPr>
              <w:spacing w:line="240" w:lineRule="auto"/>
              <w:jc w:val="center"/>
            </w:pPr>
            <m:oMathPara>
              <m:oMath>
                <m:r>
                  <w:rPr>
                    <w:rFonts w:ascii="Cambria Math" w:hAnsi="Cambria Math"/>
                  </w:rPr>
                  <m:t>G=0.32</m:t>
                </m:r>
                <m:func>
                  <m:funcPr>
                    <m:ctrlPr>
                      <w:rPr>
                        <w:rFonts w:ascii="Cambria Math" w:hAnsi="Cambria Math"/>
                      </w:rPr>
                    </m:ctrlPr>
                  </m:funcPr>
                  <m:fName>
                    <m:r>
                      <m:rPr>
                        <m:sty m:val="p"/>
                      </m:rPr>
                      <w:rPr>
                        <w:rFonts w:ascii="Cambria Math" w:hAnsi="Cambria Math"/>
                      </w:rPr>
                      <m:t>exp</m:t>
                    </m:r>
                  </m:fName>
                  <m:e>
                    <m:d>
                      <m:dPr>
                        <m:ctrlPr>
                          <w:rPr>
                            <w:rFonts w:ascii="Cambria Math" w:hAnsi="Cambria Math"/>
                            <w:i/>
                          </w:rPr>
                        </m:ctrlPr>
                      </m:dPr>
                      <m:e>
                        <m:r>
                          <w:rPr>
                            <w:rFonts w:ascii="Cambria Math" w:hAnsi="Cambria Math"/>
                          </w:rPr>
                          <m:t>-19.53</m:t>
                        </m:r>
                        <m:d>
                          <m:dPr>
                            <m:ctrlPr>
                              <w:rPr>
                                <w:rFonts w:ascii="Cambria Math" w:hAnsi="Cambria Math"/>
                                <w:i/>
                              </w:rPr>
                            </m:ctrlPr>
                          </m:dPr>
                          <m:e>
                            <m:sSub>
                              <m:sSubPr>
                                <m:ctrlPr>
                                  <w:rPr>
                                    <w:rFonts w:ascii="Cambria Math" w:hAnsi="Cambria Math"/>
                                    <w:i/>
                                  </w:rPr>
                                </m:ctrlPr>
                              </m:sSubPr>
                              <m:e>
                                <m:r>
                                  <w:rPr>
                                    <w:rFonts w:ascii="Cambria Math" w:hAnsi="Cambria Math"/>
                                  </w:rPr>
                                  <m:t>T</m:t>
                                </m:r>
                              </m:e>
                              <m:sub>
                                <m:sSub>
                                  <m:sSubPr>
                                    <m:ctrlPr>
                                      <w:rPr>
                                        <w:rFonts w:ascii="Cambria Math" w:hAnsi="Cambria Math"/>
                                        <w:i/>
                                      </w:rPr>
                                    </m:ctrlPr>
                                  </m:sSubPr>
                                  <m:e>
                                    <m:r>
                                      <w:rPr>
                                        <w:rFonts w:ascii="Cambria Math" w:hAnsi="Cambria Math"/>
                                      </w:rPr>
                                      <m:t>P</m:t>
                                    </m:r>
                                  </m:e>
                                  <m:sub>
                                    <m:r>
                                      <w:rPr>
                                        <w:rFonts w:ascii="Cambria Math" w:hAnsi="Cambria Math"/>
                                      </w:rPr>
                                      <m:t>r</m:t>
                                    </m:r>
                                  </m:sub>
                                </m:sSub>
                              </m:sub>
                            </m:sSub>
                            <m:r>
                              <w:rPr>
                                <w:rFonts w:ascii="Cambria Math" w:hAnsi="Cambria Math"/>
                              </w:rPr>
                              <m:t>-1</m:t>
                            </m:r>
                          </m:e>
                        </m:d>
                      </m:e>
                    </m:d>
                  </m:e>
                </m:func>
              </m:oMath>
            </m:oMathPara>
          </w:p>
        </w:tc>
        <w:tc>
          <w:tcPr>
            <w:tcW w:w="720" w:type="dxa"/>
            <w:vAlign w:val="bottom"/>
          </w:tcPr>
          <w:p w14:paraId="47507917" w14:textId="0996E2C3" w:rsidR="00962760" w:rsidRPr="00470CB5" w:rsidRDefault="00077C0B" w:rsidP="00BC23AD">
            <w:pPr>
              <w:pStyle w:val="Caption"/>
              <w:rPr>
                <w:i/>
              </w:rPr>
            </w:pPr>
            <w:r>
              <w:fldChar w:fldCharType="begin"/>
            </w:r>
            <w:r>
              <w:instrText xml:space="preserve"> STYLEREF 1 \s </w:instrText>
            </w:r>
            <w:r>
              <w:fldChar w:fldCharType="separate"/>
            </w:r>
            <w:r w:rsidR="0006023A">
              <w:rPr>
                <w:noProof/>
              </w:rPr>
              <w:t>4</w:t>
            </w:r>
            <w:r>
              <w:rPr>
                <w:noProof/>
              </w:rPr>
              <w:fldChar w:fldCharType="end"/>
            </w:r>
            <w:r w:rsidR="00962760">
              <w:t>.</w:t>
            </w:r>
            <w:r>
              <w:fldChar w:fldCharType="begin"/>
            </w:r>
            <w:r>
              <w:instrText xml:space="preserve"> SEQ Equation \* ARABIC \s 1 </w:instrText>
            </w:r>
            <w:r>
              <w:fldChar w:fldCharType="separate"/>
            </w:r>
            <w:r w:rsidR="0006023A">
              <w:rPr>
                <w:noProof/>
              </w:rPr>
              <w:t>46</w:t>
            </w:r>
            <w:r>
              <w:rPr>
                <w:noProof/>
              </w:rPr>
              <w:fldChar w:fldCharType="end"/>
            </w:r>
          </w:p>
        </w:tc>
      </w:tr>
    </w:tbl>
    <w:p w14:paraId="0844FE6E" w14:textId="77777777" w:rsidR="00962760" w:rsidRDefault="00962760" w:rsidP="00962760">
      <w:pPr>
        <w:ind w:firstLine="720"/>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2760" w14:paraId="25D41D6D" w14:textId="77777777" w:rsidTr="00962760">
        <w:trPr>
          <w:trHeight w:val="720"/>
        </w:trPr>
        <w:tc>
          <w:tcPr>
            <w:tcW w:w="720" w:type="dxa"/>
            <w:vAlign w:val="center"/>
          </w:tcPr>
          <w:p w14:paraId="59E16626" w14:textId="77777777" w:rsidR="00962760" w:rsidRDefault="00962760" w:rsidP="00962760">
            <w:pPr>
              <w:spacing w:line="240" w:lineRule="auto"/>
              <w:jc w:val="center"/>
            </w:pPr>
          </w:p>
        </w:tc>
        <w:tc>
          <w:tcPr>
            <w:tcW w:w="7920" w:type="dxa"/>
            <w:vAlign w:val="center"/>
          </w:tcPr>
          <w:p w14:paraId="3718B5BE" w14:textId="77777777" w:rsidR="00962760" w:rsidRPr="003E4C6A" w:rsidRDefault="00077C0B" w:rsidP="00962760">
            <w:pPr>
              <w:spacing w:line="240" w:lineRule="auto"/>
              <w:jc w:val="center"/>
            </w:pPr>
            <m:oMathPara>
              <m:oMath>
                <m:sSub>
                  <m:sSubPr>
                    <m:ctrlPr>
                      <w:rPr>
                        <w:rFonts w:ascii="Cambria Math" w:hAnsi="Cambria Math"/>
                        <w:i/>
                      </w:rPr>
                    </m:ctrlPr>
                  </m:sSubPr>
                  <m:e>
                    <m:r>
                      <w:rPr>
                        <w:rFonts w:ascii="Cambria Math" w:hAnsi="Cambria Math"/>
                      </w:rPr>
                      <m:t>T</m:t>
                    </m:r>
                  </m:e>
                  <m:sub>
                    <m:sSub>
                      <m:sSubPr>
                        <m:ctrlPr>
                          <w:rPr>
                            <w:rFonts w:ascii="Cambria Math" w:hAnsi="Cambria Math"/>
                            <w:i/>
                          </w:rPr>
                        </m:ctrlPr>
                      </m:sSubPr>
                      <m:e>
                        <m:r>
                          <w:rPr>
                            <w:rFonts w:ascii="Cambria Math" w:hAnsi="Cambria Math"/>
                          </w:rPr>
                          <m:t>P</m:t>
                        </m:r>
                      </m:e>
                      <m:sub>
                        <m:r>
                          <w:rPr>
                            <w:rFonts w:ascii="Cambria Math" w:hAnsi="Cambria Math"/>
                          </w:rPr>
                          <m:t>r</m:t>
                        </m:r>
                      </m:sub>
                    </m:sSub>
                  </m:sub>
                </m:sSub>
                <m:r>
                  <w:rPr>
                    <w:rFonts w:ascii="Cambria Math" w:hAnsi="Cambria Math"/>
                  </w:rPr>
                  <m:t>=</m:t>
                </m:r>
                <m:f>
                  <m:fPr>
                    <m:ctrlPr>
                      <w:rPr>
                        <w:rFonts w:ascii="Cambria Math" w:hAnsi="Cambria Math"/>
                        <w:i/>
                      </w:rPr>
                    </m:ctrlPr>
                  </m:fPr>
                  <m:num>
                    <m:r>
                      <w:rPr>
                        <w:rFonts w:ascii="Cambria Math" w:hAnsi="Cambria Math"/>
                      </w:rPr>
                      <m:t>T</m:t>
                    </m:r>
                  </m:num>
                  <m:den>
                    <m:sSub>
                      <m:sSubPr>
                        <m:ctrlPr>
                          <w:rPr>
                            <w:rFonts w:ascii="Cambria Math" w:hAnsi="Cambria Math"/>
                            <w:i/>
                          </w:rPr>
                        </m:ctrlPr>
                      </m:sSubPr>
                      <m:e>
                        <m:r>
                          <w:rPr>
                            <w:rFonts w:ascii="Cambria Math" w:hAnsi="Cambria Math"/>
                          </w:rPr>
                          <m:t>T</m:t>
                        </m:r>
                      </m:e>
                      <m:sub>
                        <m:r>
                          <w:rPr>
                            <w:rFonts w:ascii="Cambria Math" w:hAnsi="Cambria Math"/>
                          </w:rPr>
                          <m:t>c</m:t>
                        </m:r>
                      </m:sub>
                    </m:sSub>
                  </m:den>
                </m:f>
              </m:oMath>
            </m:oMathPara>
          </w:p>
        </w:tc>
        <w:tc>
          <w:tcPr>
            <w:tcW w:w="720" w:type="dxa"/>
            <w:vAlign w:val="bottom"/>
          </w:tcPr>
          <w:p w14:paraId="4A01101E" w14:textId="089A4489" w:rsidR="00962760" w:rsidRPr="00470CB5" w:rsidRDefault="00077C0B" w:rsidP="00BC23AD">
            <w:pPr>
              <w:pStyle w:val="Caption"/>
              <w:rPr>
                <w:i/>
              </w:rPr>
            </w:pPr>
            <w:r>
              <w:fldChar w:fldCharType="begin"/>
            </w:r>
            <w:r>
              <w:instrText xml:space="preserve"> STYLEREF 1 \s </w:instrText>
            </w:r>
            <w:r>
              <w:fldChar w:fldCharType="separate"/>
            </w:r>
            <w:r w:rsidR="0006023A">
              <w:rPr>
                <w:noProof/>
              </w:rPr>
              <w:t>4</w:t>
            </w:r>
            <w:r>
              <w:rPr>
                <w:noProof/>
              </w:rPr>
              <w:fldChar w:fldCharType="end"/>
            </w:r>
            <w:r w:rsidR="00962760">
              <w:t>.</w:t>
            </w:r>
            <w:r>
              <w:fldChar w:fldCharType="begin"/>
            </w:r>
            <w:r>
              <w:instrText xml:space="preserve"> SEQ Equation \* ARABIC \s 1 </w:instrText>
            </w:r>
            <w:r>
              <w:fldChar w:fldCharType="separate"/>
            </w:r>
            <w:r w:rsidR="0006023A">
              <w:rPr>
                <w:noProof/>
              </w:rPr>
              <w:t>47</w:t>
            </w:r>
            <w:r>
              <w:rPr>
                <w:noProof/>
              </w:rPr>
              <w:fldChar w:fldCharType="end"/>
            </w:r>
          </w:p>
        </w:tc>
      </w:tr>
    </w:tbl>
    <w:p w14:paraId="55799FDC" w14:textId="77777777" w:rsidR="00962760" w:rsidRDefault="00962760" w:rsidP="00962760">
      <w:pPr>
        <w:ind w:firstLine="720"/>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962760" w14:paraId="29D5011B" w14:textId="77777777" w:rsidTr="00962760">
        <w:trPr>
          <w:trHeight w:val="720"/>
        </w:trPr>
        <w:tc>
          <w:tcPr>
            <w:tcW w:w="720" w:type="dxa"/>
            <w:vAlign w:val="center"/>
          </w:tcPr>
          <w:p w14:paraId="35F69CC7" w14:textId="77777777" w:rsidR="00962760" w:rsidRDefault="00962760" w:rsidP="00962760">
            <w:pPr>
              <w:spacing w:line="240" w:lineRule="auto"/>
              <w:jc w:val="center"/>
            </w:pPr>
          </w:p>
        </w:tc>
        <w:tc>
          <w:tcPr>
            <w:tcW w:w="7920" w:type="dxa"/>
            <w:vAlign w:val="center"/>
          </w:tcPr>
          <w:p w14:paraId="50E960AC" w14:textId="77777777" w:rsidR="00962760" w:rsidRPr="003E4C6A" w:rsidRDefault="00077C0B" w:rsidP="00962760">
            <w:pPr>
              <w:spacing w:line="240" w:lineRule="auto"/>
              <w:jc w:val="center"/>
            </w:pPr>
            <m:oMathPara>
              <m:oMath>
                <m:sSub>
                  <m:sSubPr>
                    <m:ctrlPr>
                      <w:rPr>
                        <w:rFonts w:ascii="Cambria Math" w:hAnsi="Cambria Math"/>
                        <w:i/>
                      </w:rPr>
                    </m:ctrlPr>
                  </m:sSubPr>
                  <m:e>
                    <m:r>
                      <w:rPr>
                        <w:rFonts w:ascii="Cambria Math" w:hAnsi="Cambria Math"/>
                      </w:rPr>
                      <m:t>P</m:t>
                    </m:r>
                  </m:e>
                  <m:sub>
                    <m:sSub>
                      <m:sSubPr>
                        <m:ctrlPr>
                          <w:rPr>
                            <w:rFonts w:ascii="Cambria Math" w:hAnsi="Cambria Math"/>
                            <w:i/>
                          </w:rPr>
                        </m:ctrlPr>
                      </m:sSubPr>
                      <m:e>
                        <m:r>
                          <w:rPr>
                            <w:rFonts w:ascii="Cambria Math" w:hAnsi="Cambria Math"/>
                          </w:rPr>
                          <m:t>P</m:t>
                        </m:r>
                      </m:e>
                      <m:sub>
                        <m:r>
                          <w:rPr>
                            <w:rFonts w:ascii="Cambria Math" w:hAnsi="Cambria Math"/>
                          </w:rPr>
                          <m:t>r</m:t>
                        </m:r>
                      </m:sub>
                    </m:sSub>
                  </m:sub>
                </m:sSub>
                <m:r>
                  <w:rPr>
                    <w:rFonts w:ascii="Cambria Math" w:hAnsi="Cambria Math"/>
                  </w:rPr>
                  <m:t>=</m:t>
                </m:r>
                <m:f>
                  <m:fPr>
                    <m:ctrlPr>
                      <w:rPr>
                        <w:rFonts w:ascii="Cambria Math" w:hAnsi="Cambria Math"/>
                        <w:i/>
                      </w:rPr>
                    </m:ctrlPr>
                  </m:fPr>
                  <m:num>
                    <m:r>
                      <w:rPr>
                        <w:rFonts w:ascii="Cambria Math" w:hAnsi="Cambria Math"/>
                      </w:rPr>
                      <m:t>P</m:t>
                    </m:r>
                  </m:num>
                  <m:den>
                    <m:sSub>
                      <m:sSubPr>
                        <m:ctrlPr>
                          <w:rPr>
                            <w:rFonts w:ascii="Cambria Math" w:hAnsi="Cambria Math"/>
                            <w:i/>
                          </w:rPr>
                        </m:ctrlPr>
                      </m:sSubPr>
                      <m:e>
                        <m:r>
                          <w:rPr>
                            <w:rFonts w:ascii="Cambria Math" w:hAnsi="Cambria Math"/>
                          </w:rPr>
                          <m:t>P</m:t>
                        </m:r>
                      </m:e>
                      <m:sub>
                        <m:r>
                          <w:rPr>
                            <w:rFonts w:ascii="Cambria Math" w:hAnsi="Cambria Math"/>
                          </w:rPr>
                          <m:t>c</m:t>
                        </m:r>
                      </m:sub>
                    </m:sSub>
                  </m:den>
                </m:f>
              </m:oMath>
            </m:oMathPara>
          </w:p>
        </w:tc>
        <w:tc>
          <w:tcPr>
            <w:tcW w:w="720" w:type="dxa"/>
            <w:vAlign w:val="bottom"/>
          </w:tcPr>
          <w:p w14:paraId="242E9348" w14:textId="1F449F8C" w:rsidR="00962760" w:rsidRPr="00470CB5" w:rsidRDefault="00077C0B" w:rsidP="00BC23AD">
            <w:pPr>
              <w:pStyle w:val="Caption"/>
              <w:rPr>
                <w:i/>
              </w:rPr>
            </w:pPr>
            <w:r>
              <w:fldChar w:fldCharType="begin"/>
            </w:r>
            <w:r>
              <w:instrText xml:space="preserve"> STYLEREF 1 \s </w:instrText>
            </w:r>
            <w:r>
              <w:fldChar w:fldCharType="separate"/>
            </w:r>
            <w:r w:rsidR="0006023A">
              <w:rPr>
                <w:noProof/>
              </w:rPr>
              <w:t>4</w:t>
            </w:r>
            <w:r>
              <w:rPr>
                <w:noProof/>
              </w:rPr>
              <w:fldChar w:fldCharType="end"/>
            </w:r>
            <w:r w:rsidR="00962760">
              <w:t>.</w:t>
            </w:r>
            <w:r>
              <w:fldChar w:fldCharType="begin"/>
            </w:r>
            <w:r>
              <w:instrText xml:space="preserve"> SEQ Equation \* ARABIC \s 1 </w:instrText>
            </w:r>
            <w:r>
              <w:fldChar w:fldCharType="separate"/>
            </w:r>
            <w:r w:rsidR="0006023A">
              <w:rPr>
                <w:noProof/>
              </w:rPr>
              <w:t>48</w:t>
            </w:r>
            <w:r>
              <w:rPr>
                <w:noProof/>
              </w:rPr>
              <w:fldChar w:fldCharType="end"/>
            </w:r>
          </w:p>
        </w:tc>
      </w:tr>
    </w:tbl>
    <w:p w14:paraId="6B983B61" w14:textId="77777777" w:rsidR="00962760" w:rsidRDefault="00962760" w:rsidP="00962760">
      <w:pPr>
        <w:ind w:firstLine="720"/>
      </w:pPr>
    </w:p>
    <w:p w14:paraId="4A2AD885" w14:textId="183B796E" w:rsidR="00962760" w:rsidRDefault="00962760" w:rsidP="00962760">
      <w:pPr>
        <w:ind w:firstLine="720"/>
      </w:pPr>
      <w:r w:rsidRPr="009D6299">
        <w:t>Equation 4.</w:t>
      </w:r>
      <w:r w:rsidR="002375FE" w:rsidRPr="009D6299">
        <w:t>39</w:t>
      </w:r>
      <w:r w:rsidRPr="009D6299">
        <w:t xml:space="preserve"> was shown to be within 1.4% compared to the Peng-Robinson equation of state with pressures and</w:t>
      </w:r>
      <w:r>
        <w:t xml:space="preserve"> temperatures used within the case study well. The Peng-Robinson equation of state could not be used explicitly in the FEA fracture model since solving for </w:t>
      </w:r>
      <w:r w:rsidRPr="009D6299">
        <w:lastRenderedPageBreak/>
        <w:t>compressibility requires solving for third order roots which could lead to complex numbers. The verification of Equation 4.</w:t>
      </w:r>
      <w:r w:rsidR="002375FE" w:rsidRPr="009D6299">
        <w:t>39</w:t>
      </w:r>
      <w:r w:rsidRPr="009D6299">
        <w:t xml:space="preserve"> is shown in Appendix F.</w:t>
      </w:r>
    </w:p>
    <w:p w14:paraId="68C14FE3" w14:textId="74ED1BBC" w:rsidR="00962760" w:rsidRDefault="00962760" w:rsidP="00962760">
      <w:pPr>
        <w:ind w:firstLine="720"/>
      </w:pPr>
      <w:r>
        <w:t xml:space="preserve">For the migration of the gas pressure from the </w:t>
      </w:r>
      <w:r w:rsidR="00D657EE">
        <w:t xml:space="preserve">simulation depth </w:t>
      </w:r>
      <w:r>
        <w:t xml:space="preserve">up the well, the same method of calculating a real gas pressure with respect to depth is used as was for the </w:t>
      </w:r>
      <m:oMath>
        <m:r>
          <w:rPr>
            <w:rFonts w:ascii="Cambria Math" w:hAnsi="Cambria Math"/>
          </w:rPr>
          <m:t>ICP</m:t>
        </m:r>
      </m:oMath>
      <w:r>
        <w:t xml:space="preserve">. The model does not take leak-off of the gas migration pressure into the cement sheath into </w:t>
      </w:r>
      <w:r w:rsidR="002A233C">
        <w:t>consideration</w:t>
      </w:r>
      <w:r w:rsidR="009D6299">
        <w:t xml:space="preserve"> due to the low permeability of wellbore cement</w:t>
      </w:r>
      <w:r>
        <w:t xml:space="preserve">. </w:t>
      </w:r>
    </w:p>
    <w:p w14:paraId="5C4703A0" w14:textId="77777777" w:rsidR="007D58FF" w:rsidRDefault="007D58FF" w:rsidP="007D58FF">
      <w:pPr>
        <w:pStyle w:val="Heading2"/>
      </w:pPr>
      <w:bookmarkStart w:id="95" w:name="_Toc67566050"/>
      <w:r>
        <w:t>Numerical Experiments Performed</w:t>
      </w:r>
      <w:bookmarkEnd w:id="95"/>
    </w:p>
    <w:p w14:paraId="2B62E81E" w14:textId="77777777" w:rsidR="007D58FF" w:rsidRDefault="007D58FF" w:rsidP="003E1B51">
      <w:pPr>
        <w:pStyle w:val="Heading3"/>
      </w:pPr>
      <w:bookmarkStart w:id="96" w:name="_Toc67566051"/>
      <w:r>
        <w:t>Verification of Models</w:t>
      </w:r>
      <w:bookmarkEnd w:id="96"/>
    </w:p>
    <w:p w14:paraId="65586A9F" w14:textId="054E67EC" w:rsidR="00EC4221" w:rsidRDefault="007D58FF" w:rsidP="00EA72E2">
      <w:pPr>
        <w:ind w:firstLine="720"/>
      </w:pPr>
      <w:r w:rsidRPr="00EC4221">
        <w:t>To verify the</w:t>
      </w:r>
      <w:r w:rsidR="00EA72E2" w:rsidRPr="00EC4221">
        <w:t xml:space="preserve"> </w:t>
      </w:r>
      <w:r w:rsidRPr="00EC4221">
        <w:t>numerical approach</w:t>
      </w:r>
      <w:r w:rsidR="00EC4221" w:rsidRPr="00EC4221">
        <w:t>es</w:t>
      </w:r>
      <w:r w:rsidR="00EA72E2" w:rsidRPr="00EC4221">
        <w:t>,</w:t>
      </w:r>
      <w:r w:rsidRPr="00EC4221">
        <w:t xml:space="preserve"> the following verification scheme was conducted. First </w:t>
      </w:r>
      <w:r w:rsidR="00EC4221" w:rsidRPr="00EC4221">
        <w:t xml:space="preserve">the verification of the developed gas flow equations were compared to nitrogen gas flow cement sealing experimental data performed by Corina et al. (2019). The staged poro-elastic FEA model is verified using thick-walled cylinder equations and the Kirsch solution described in Section 2.1.9. The methodology of using the traction separation law with an explicitly coupled fluid flow FEA model replicating cased wellbore </w:t>
      </w:r>
      <w:r w:rsidR="002E471F">
        <w:t>P</w:t>
      </w:r>
      <w:r w:rsidR="00C35669">
        <w:t>&amp;</w:t>
      </w:r>
      <w:r w:rsidR="002E471F">
        <w:t>A</w:t>
      </w:r>
      <w:r w:rsidR="00C35669">
        <w:t xml:space="preserve"> </w:t>
      </w:r>
      <w:r w:rsidR="00EC4221" w:rsidRPr="00EC4221">
        <w:t xml:space="preserve">is verified with the experimental data from Aas et al. (2016). </w:t>
      </w:r>
    </w:p>
    <w:p w14:paraId="24BBE34C" w14:textId="0CF1755B" w:rsidR="00EC4221" w:rsidRPr="00EC4221" w:rsidRDefault="00EC4221" w:rsidP="007A58B4">
      <w:pPr>
        <w:pStyle w:val="Heading4"/>
      </w:pPr>
      <w:r w:rsidRPr="00EC4221">
        <w:t>Fluid Flow Models versus Cemented Wellbore Experiments</w:t>
      </w:r>
    </w:p>
    <w:p w14:paraId="30CCABF7" w14:textId="23ABE5F4" w:rsidR="007D58FF" w:rsidRDefault="00C85873" w:rsidP="00EA72E2">
      <w:pPr>
        <w:ind w:firstLine="720"/>
      </w:pPr>
      <w:r w:rsidRPr="00256F37">
        <w:t>Verification of the gas flow equation</w:t>
      </w:r>
      <w:r w:rsidR="009E6EC7">
        <w:t>s is</w:t>
      </w:r>
      <w:r w:rsidRPr="00256F37">
        <w:t xml:space="preserve"> performed by analyzing experimental </w:t>
      </w:r>
      <w:r w:rsidR="00985556">
        <w:t>values</w:t>
      </w:r>
      <w:r w:rsidR="009E6EC7">
        <w:t xml:space="preserve"> </w:t>
      </w:r>
      <w:r w:rsidR="00E42A37">
        <w:t>of pressure differential (</w:t>
      </w:r>
      <m:oMath>
        <m:r>
          <w:rPr>
            <w:rFonts w:ascii="Cambria Math" w:hAnsi="Cambria Math"/>
          </w:rPr>
          <m:t>ΔP</m:t>
        </m:r>
      </m:oMath>
      <w:r w:rsidR="00E42A37" w:rsidRPr="00C35669">
        <w:t>) and</w:t>
      </w:r>
      <w:r w:rsidR="009E6EC7" w:rsidRPr="00C35669">
        <w:t xml:space="preserve"> corresponding</w:t>
      </w:r>
      <w:r w:rsidR="00E42A37" w:rsidRPr="00C35669">
        <w:t xml:space="preserve"> flow rate</w:t>
      </w:r>
      <w:r w:rsidR="009E6EC7" w:rsidRPr="00C35669">
        <w:t>s</w:t>
      </w:r>
      <w:r w:rsidR="00E42A37" w:rsidRPr="00C35669">
        <w:t xml:space="preserve"> (</w:t>
      </w:r>
      <m:oMath>
        <m:r>
          <w:rPr>
            <w:rFonts w:ascii="Cambria Math" w:hAnsi="Cambria Math"/>
          </w:rPr>
          <m:t>Q</m:t>
        </m:r>
      </m:oMath>
      <w:r w:rsidR="00E42A37" w:rsidRPr="00C35669">
        <w:t xml:space="preserve">) </w:t>
      </w:r>
      <w:r w:rsidR="009E6EC7" w:rsidRPr="00C35669">
        <w:t xml:space="preserve">of nitrogen gas through </w:t>
      </w:r>
      <w:r w:rsidR="009654F1" w:rsidRPr="00C35669">
        <w:t>cement microannuli from Corina et al. (2019)</w:t>
      </w:r>
      <w:r w:rsidR="009E6EC7" w:rsidRPr="00C35669">
        <w:t xml:space="preserve"> (</w:t>
      </w:r>
      <w:r w:rsidR="00256F37" w:rsidRPr="00C35669">
        <w:t>Figure 2.14</w:t>
      </w:r>
      <w:r w:rsidR="009E6EC7" w:rsidRPr="00C35669">
        <w:t>)</w:t>
      </w:r>
      <w:r w:rsidRPr="00C35669">
        <w:t xml:space="preserve"> </w:t>
      </w:r>
      <w:r w:rsidR="00E42A37" w:rsidRPr="00C35669">
        <w:t>The authors’ analysis of their experimental data</w:t>
      </w:r>
      <w:r w:rsidR="00985556" w:rsidRPr="00C35669">
        <w:t xml:space="preserve"> (Corina et al. 2020)</w:t>
      </w:r>
      <w:r w:rsidR="00E42A37" w:rsidRPr="00C35669">
        <w:t xml:space="preserve"> is shown in Figure 2.16 and Figure 2.17. The</w:t>
      </w:r>
      <w:r w:rsidR="00E42A37">
        <w:t xml:space="preserve"> deve</w:t>
      </w:r>
      <w:r w:rsidR="00985556">
        <w:t>loped gas flow equations (ideal:</w:t>
      </w:r>
      <w:r w:rsidR="00E42A37">
        <w:t xml:space="preserve"> Equation 4.17</w:t>
      </w:r>
      <w:r w:rsidR="00985556">
        <w:t>, and real: Equation 4.33) are re-arranged to solve for microannuli (</w:t>
      </w:r>
      <m:oMath>
        <m:r>
          <w:rPr>
            <w:rFonts w:ascii="Cambria Math" w:hAnsi="Cambria Math"/>
          </w:rPr>
          <m:t>w</m:t>
        </m:r>
      </m:oMath>
      <w:r w:rsidR="00985556">
        <w:rPr>
          <w:rFonts w:eastAsiaTheme="minorEastAsia"/>
        </w:rPr>
        <w:t xml:space="preserve">) </w:t>
      </w:r>
      <w:r w:rsidR="009654F1">
        <w:rPr>
          <w:rFonts w:eastAsiaTheme="minorEastAsia"/>
        </w:rPr>
        <w:t>and compared to</w:t>
      </w:r>
      <w:r w:rsidR="00985556">
        <w:rPr>
          <w:rFonts w:eastAsiaTheme="minorEastAsia"/>
        </w:rPr>
        <w:t xml:space="preserve"> Corina et al.</w:t>
      </w:r>
      <w:r w:rsidR="009654F1">
        <w:rPr>
          <w:rFonts w:eastAsiaTheme="minorEastAsia"/>
        </w:rPr>
        <w:t>’s</w:t>
      </w:r>
      <w:r w:rsidR="00985556">
        <w:rPr>
          <w:rFonts w:eastAsiaTheme="minorEastAsia"/>
        </w:rPr>
        <w:t xml:space="preserve"> (2020)</w:t>
      </w:r>
      <w:r w:rsidR="009654F1">
        <w:rPr>
          <w:rFonts w:eastAsiaTheme="minorEastAsia"/>
        </w:rPr>
        <w:t xml:space="preserve"> predicted values.</w:t>
      </w:r>
      <w:r>
        <w:t xml:space="preserve"> </w:t>
      </w:r>
    </w:p>
    <w:p w14:paraId="36EDE2B8" w14:textId="0C074E10" w:rsidR="007D58FF" w:rsidRPr="00EC4221" w:rsidRDefault="007D58FF" w:rsidP="007A58B4">
      <w:pPr>
        <w:pStyle w:val="Heading4"/>
      </w:pPr>
      <w:r w:rsidRPr="00EC4221">
        <w:lastRenderedPageBreak/>
        <w:t>FEA</w:t>
      </w:r>
      <w:r w:rsidR="004E2F3B">
        <w:t xml:space="preserve"> </w:t>
      </w:r>
      <w:r w:rsidRPr="00EC4221">
        <w:t>Near Wellbore Stress Distribution versus Kirsch Analytical Solution</w:t>
      </w:r>
    </w:p>
    <w:p w14:paraId="5F1F8B54" w14:textId="4965143E" w:rsidR="007D58FF" w:rsidRDefault="008A0DF0" w:rsidP="007D58FF">
      <w:pPr>
        <w:ind w:firstLine="720"/>
      </w:pPr>
      <w:r>
        <w:t>The near wellbore stress distribution of the staged FEA stress continuum model is compared to</w:t>
      </w:r>
      <w:r w:rsidR="00F876B1">
        <w:t xml:space="preserve"> the analytical solution consisting of</w:t>
      </w:r>
      <w:r>
        <w:t xml:space="preserve"> the</w:t>
      </w:r>
      <w:r w:rsidR="009654F1">
        <w:t xml:space="preserve"> thick-walled cylinder equation</w:t>
      </w:r>
      <w:r w:rsidR="00F876B1">
        <w:t xml:space="preserve"> and the Kirsch solution described </w:t>
      </w:r>
      <w:r w:rsidR="00F876B1" w:rsidRPr="00C35669">
        <w:t xml:space="preserve">in Section 2.9. </w:t>
      </w:r>
      <w:r w:rsidRPr="00C35669">
        <w:t>The parameters of the model are from the medium well in the Eugene Island OPD.</w:t>
      </w:r>
    </w:p>
    <w:p w14:paraId="5830F13A" w14:textId="77777777" w:rsidR="007D58FF" w:rsidRPr="00EC4221" w:rsidRDefault="007D58FF" w:rsidP="007A58B4">
      <w:pPr>
        <w:pStyle w:val="Heading4"/>
      </w:pPr>
      <w:r w:rsidRPr="00EC4221">
        <w:t>FEA Fluid Rheology Model versus Cemented Wellbore Experiments</w:t>
      </w:r>
    </w:p>
    <w:p w14:paraId="0E011DFA" w14:textId="22EEDED5" w:rsidR="007D58FF" w:rsidRDefault="007D58FF" w:rsidP="00EA72E2">
      <w:pPr>
        <w:ind w:firstLine="720"/>
      </w:pPr>
      <w:r>
        <w:t xml:space="preserve">A </w:t>
      </w:r>
      <w:r w:rsidR="0037598F">
        <w:t>one-</w:t>
      </w:r>
      <w:r>
        <w:t xml:space="preserve">way </w:t>
      </w:r>
      <w:r w:rsidR="0037598F">
        <w:t xml:space="preserve">explicit </w:t>
      </w:r>
      <w:r>
        <w:t>coupled FEA</w:t>
      </w:r>
      <w:r w:rsidR="00A643AC">
        <w:t xml:space="preserve"> fracture</w:t>
      </w:r>
      <w:r>
        <w:t xml:space="preserve"> model replicating cased wellbore plug and abandonment was developed and verified with experimental data regarding flowpath size in cement sheaths</w:t>
      </w:r>
      <w:r w:rsidR="00A643AC">
        <w:t>. The purpose of this simulation is</w:t>
      </w:r>
      <w:r>
        <w:t xml:space="preserve"> to determine if FEA models can accurately predict cement sheath microannuli in cemented wellbores. </w:t>
      </w:r>
      <w:r w:rsidR="00F876B1">
        <w:t>Two length of cemented annuli were modeled, each with conventional and expanding cement to replicate the Aas et al. (2016) experiments.</w:t>
      </w:r>
    </w:p>
    <w:p w14:paraId="5BE7ADE6" w14:textId="5CB3FC11" w:rsidR="007D58FF" w:rsidRDefault="007D58FF" w:rsidP="007D58FF">
      <w:pPr>
        <w:ind w:firstLine="720"/>
      </w:pPr>
      <w:r w:rsidRPr="007424D8">
        <w:t xml:space="preserve">The </w:t>
      </w:r>
      <w:r w:rsidR="00EA72E2">
        <w:t xml:space="preserve">FEA </w:t>
      </w:r>
      <w:r w:rsidRPr="007424D8">
        <w:t xml:space="preserve">model was created and simulated using ANSYS™ 19.1. </w:t>
      </w:r>
      <w:r w:rsidR="00D579AC">
        <w:t xml:space="preserve">The model is a 2D linear elastic model that utilizes a two-dimensional mesh composed of </w:t>
      </w:r>
      <w:r w:rsidRPr="007424D8">
        <w:t xml:space="preserve">4,774 </w:t>
      </w:r>
      <w:r w:rsidR="00D579AC">
        <w:t xml:space="preserve">PLANE183 quadratic rectangular </w:t>
      </w:r>
      <w:r w:rsidRPr="007424D8">
        <w:t>elements.</w:t>
      </w:r>
      <w:r>
        <w:t xml:space="preserve"> Since the cement between the tubing and casing does not have access to free water, the pore pressure within the cement is equal to the cavitation pressure</w:t>
      </w:r>
      <w:r w:rsidR="00D579AC">
        <w:t xml:space="preserve"> which is rounded down to be </w:t>
      </w:r>
      <w:r>
        <w:t>zero</w:t>
      </w:r>
      <w:r>
        <w:rPr>
          <w:rStyle w:val="FootnoteReference"/>
        </w:rPr>
        <w:footnoteReference w:id="5"/>
      </w:r>
      <w:r>
        <w:t>.</w:t>
      </w:r>
      <w:r w:rsidRPr="007424D8">
        <w:t xml:space="preserve"> The interface between the cement sheath and casing uses a softening traction-separation law to replicate debonding while the geometry is supported using cylindrical supports. Surface pressures are applied to the geometry of the inner diameter of the casing and outer diameter of the cement sheath to replicate the fluid pressure. The pressure is applied at this location since the injected </w:t>
      </w:r>
      <w:r w:rsidRPr="00C35669">
        <w:t xml:space="preserve">fluid will exert a pressure between the cement and casing wall due to the location of </w:t>
      </w:r>
      <w:r w:rsidRPr="00C35669">
        <w:lastRenderedPageBreak/>
        <w:t>the injection ports.</w:t>
      </w:r>
      <w:r w:rsidR="00D579AC" w:rsidRPr="00C35669">
        <w:t xml:space="preserve"> Figure 4.5 shows</w:t>
      </w:r>
      <w:r w:rsidR="00D579AC">
        <w:t xml:space="preserve"> the finite element gridded mesh for the concentric and eccentric test cases with the location of the surface pressure.</w:t>
      </w:r>
    </w:p>
    <w:p w14:paraId="62EA5B0D" w14:textId="77777777" w:rsidR="00D579AC" w:rsidRDefault="00D579AC" w:rsidP="00BC23AD">
      <w:pPr>
        <w:pStyle w:val="NoSpacing"/>
      </w:pPr>
      <w:r>
        <w:rPr>
          <w:noProof/>
        </w:rPr>
        <w:drawing>
          <wp:inline distT="0" distB="0" distL="0" distR="0" wp14:anchorId="35D2B6CC" wp14:editId="6FBB7677">
            <wp:extent cx="4572000" cy="2942453"/>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572000" cy="2942453"/>
                    </a:xfrm>
                    <a:prstGeom prst="rect">
                      <a:avLst/>
                    </a:prstGeom>
                    <a:noFill/>
                  </pic:spPr>
                </pic:pic>
              </a:graphicData>
            </a:graphic>
          </wp:inline>
        </w:drawing>
      </w:r>
    </w:p>
    <w:p w14:paraId="53B3DA83" w14:textId="4EAD71D2" w:rsidR="00D579AC" w:rsidRDefault="00D579AC" w:rsidP="00BC23AD">
      <w:pPr>
        <w:pStyle w:val="Caption"/>
      </w:pPr>
      <w:bookmarkStart w:id="97" w:name="_Toc67566221"/>
      <w:r>
        <w:t xml:space="preserve">Figure </w:t>
      </w:r>
      <w:r w:rsidR="00077C0B">
        <w:fldChar w:fldCharType="begin"/>
      </w:r>
      <w:r w:rsidR="00077C0B">
        <w:instrText xml:space="preserve"> STYLEREF 1 \s </w:instrText>
      </w:r>
      <w:r w:rsidR="00077C0B">
        <w:fldChar w:fldCharType="separate"/>
      </w:r>
      <w:r w:rsidR="0006023A">
        <w:rPr>
          <w:noProof/>
        </w:rPr>
        <w:t>4</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5</w:t>
      </w:r>
      <w:r w:rsidR="00077C0B">
        <w:rPr>
          <w:noProof/>
        </w:rPr>
        <w:fldChar w:fldCharType="end"/>
      </w:r>
      <w:r>
        <w:t xml:space="preserve">: </w:t>
      </w:r>
      <w:r w:rsidRPr="00961D98">
        <w:t>Finite element gridded eccentric tubing configuration</w:t>
      </w:r>
      <w:r>
        <w:t xml:space="preserve"> (left) and concentric tubing configuration (right)</w:t>
      </w:r>
      <w:r w:rsidRPr="00961D98">
        <w:t xml:space="preserve"> showing the casing (gray), cement sheath with initial pressure location (blue), tubing (green), and cement plug (brown).</w:t>
      </w:r>
      <w:bookmarkEnd w:id="97"/>
    </w:p>
    <w:p w14:paraId="62074597" w14:textId="075E6C82" w:rsidR="007D58FF" w:rsidRDefault="007D58FF" w:rsidP="007D58FF">
      <w:pPr>
        <w:ind w:firstLine="720"/>
      </w:pPr>
      <w:r w:rsidRPr="00C01B12">
        <w:t xml:space="preserve">The dimensions and mechanical properties used in the FEA model are </w:t>
      </w:r>
      <w:r w:rsidRPr="00C35669">
        <w:t>shown in Table 4.</w:t>
      </w:r>
      <w:r w:rsidR="00F876B1" w:rsidRPr="00C35669">
        <w:t>2</w:t>
      </w:r>
      <w:r w:rsidRPr="00C35669">
        <w:t>. The softening traction-separation law values are from Wang and Taleghani (2014).</w:t>
      </w:r>
      <w:r w:rsidRPr="00C01B12">
        <w:t xml:space="preserve"> The mechanical properties of class G cement with respect to curing time were taken from </w:t>
      </w:r>
      <w:r w:rsidRPr="007A2C68">
        <w:t>Teodoriu et al. (2012).</w:t>
      </w:r>
      <w:r w:rsidRPr="00C01B12">
        <w:t xml:space="preserve"> </w:t>
      </w:r>
      <w:r>
        <w:t>T</w:t>
      </w:r>
      <w:r w:rsidRPr="00C01B12">
        <w:t>he tem</w:t>
      </w:r>
      <w:r>
        <w:t>perature of the ex</w:t>
      </w:r>
      <w:r w:rsidR="00F876B1">
        <w:t>periments was in steady state</w:t>
      </w:r>
      <w:r w:rsidR="00E73DA5">
        <w:t>,</w:t>
      </w:r>
      <w:r w:rsidR="00F876B1">
        <w:t xml:space="preserve"> t</w:t>
      </w:r>
      <w:r>
        <w:t>herefore,</w:t>
      </w:r>
      <w:r w:rsidRPr="00C01B12">
        <w:t xml:space="preserve"> the FEA models did not </w:t>
      </w:r>
      <w:r w:rsidRPr="00C35669">
        <w:t>include temperature. The temperature dependent properties of the injection fluid were included as shown in Table 4.</w:t>
      </w:r>
      <w:r w:rsidR="00F876B1" w:rsidRPr="00C35669">
        <w:t>2</w:t>
      </w:r>
      <w:r w:rsidRPr="00C35669">
        <w:t>.</w:t>
      </w:r>
      <w:r>
        <w:t xml:space="preserve"> </w:t>
      </w:r>
    </w:p>
    <w:p w14:paraId="119A2A82" w14:textId="77777777" w:rsidR="002375FE" w:rsidRDefault="002375FE">
      <w:pPr>
        <w:spacing w:after="160" w:line="259" w:lineRule="auto"/>
        <w:jc w:val="left"/>
        <w:rPr>
          <w:b/>
          <w:iCs/>
          <w:color w:val="000000" w:themeColor="text1"/>
          <w:sz w:val="20"/>
          <w:szCs w:val="18"/>
        </w:rPr>
      </w:pPr>
      <w:r>
        <w:br w:type="page"/>
      </w:r>
    </w:p>
    <w:p w14:paraId="7FC73F8B" w14:textId="65919C3F" w:rsidR="007D58FF" w:rsidRDefault="007D58FF" w:rsidP="00BC23AD">
      <w:pPr>
        <w:pStyle w:val="Caption"/>
      </w:pPr>
      <w:bookmarkStart w:id="98" w:name="_Toc67566090"/>
      <w:r>
        <w:lastRenderedPageBreak/>
        <w:t xml:space="preserve">Table </w:t>
      </w:r>
      <w:r w:rsidR="00077C0B">
        <w:fldChar w:fldCharType="begin"/>
      </w:r>
      <w:r w:rsidR="00077C0B">
        <w:instrText xml:space="preserve"> STYLEREF 1 \s </w:instrText>
      </w:r>
      <w:r w:rsidR="00077C0B">
        <w:fldChar w:fldCharType="separate"/>
      </w:r>
      <w:r w:rsidR="0006023A">
        <w:rPr>
          <w:noProof/>
        </w:rPr>
        <w:t>4</w:t>
      </w:r>
      <w:r w:rsidR="00077C0B">
        <w:rPr>
          <w:noProof/>
        </w:rPr>
        <w:fldChar w:fldCharType="end"/>
      </w:r>
      <w:r w:rsidR="00DD1F74">
        <w:t>.</w:t>
      </w:r>
      <w:r w:rsidR="00077C0B">
        <w:fldChar w:fldCharType="begin"/>
      </w:r>
      <w:r w:rsidR="00077C0B">
        <w:instrText xml:space="preserve"> SEQ Table \* ARABIC \s 1 </w:instrText>
      </w:r>
      <w:r w:rsidR="00077C0B">
        <w:fldChar w:fldCharType="separate"/>
      </w:r>
      <w:r w:rsidR="0006023A">
        <w:rPr>
          <w:noProof/>
        </w:rPr>
        <w:t>2</w:t>
      </w:r>
      <w:r w:rsidR="00077C0B">
        <w:rPr>
          <w:noProof/>
        </w:rPr>
        <w:fldChar w:fldCharType="end"/>
      </w:r>
      <w:r>
        <w:t xml:space="preserve">: </w:t>
      </w:r>
      <w:r w:rsidRPr="007A2C68">
        <w:t>Dimensions and mechanical properties used in the FEA model</w:t>
      </w:r>
      <w:r>
        <w:t>.</w:t>
      </w:r>
      <w:bookmarkEnd w:id="98"/>
    </w:p>
    <w:tbl>
      <w:tblPr>
        <w:tblStyle w:val="TableGrid"/>
        <w:tblW w:w="460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2"/>
        <w:gridCol w:w="1296"/>
      </w:tblGrid>
      <w:tr w:rsidR="007D58FF" w:rsidRPr="007A2C68" w14:paraId="24287E8F" w14:textId="77777777" w:rsidTr="00524B66">
        <w:trPr>
          <w:cantSplit/>
          <w:trHeight w:val="20"/>
          <w:jc w:val="center"/>
        </w:trPr>
        <w:tc>
          <w:tcPr>
            <w:tcW w:w="3312" w:type="dxa"/>
            <w:tcBorders>
              <w:bottom w:val="single" w:sz="4" w:space="0" w:color="auto"/>
            </w:tcBorders>
            <w:vAlign w:val="center"/>
            <w:hideMark/>
          </w:tcPr>
          <w:p w14:paraId="19DDB42E" w14:textId="77777777" w:rsidR="007D58FF" w:rsidRPr="007A2C68" w:rsidRDefault="007D58FF" w:rsidP="00893161">
            <w:pPr>
              <w:pStyle w:val="Paragraph"/>
              <w:spacing w:after="0"/>
              <w:jc w:val="center"/>
            </w:pPr>
            <w:r w:rsidRPr="007A2C68">
              <w:t>Parameter</w:t>
            </w:r>
          </w:p>
        </w:tc>
        <w:tc>
          <w:tcPr>
            <w:tcW w:w="1296" w:type="dxa"/>
            <w:tcBorders>
              <w:bottom w:val="single" w:sz="4" w:space="0" w:color="auto"/>
            </w:tcBorders>
            <w:noWrap/>
            <w:hideMark/>
          </w:tcPr>
          <w:p w14:paraId="695605C6" w14:textId="77777777" w:rsidR="007D58FF" w:rsidRPr="007A2C68" w:rsidRDefault="007D58FF" w:rsidP="00893161">
            <w:pPr>
              <w:pStyle w:val="Paragraph"/>
              <w:spacing w:after="0"/>
              <w:jc w:val="center"/>
            </w:pPr>
          </w:p>
        </w:tc>
      </w:tr>
      <w:tr w:rsidR="007D58FF" w:rsidRPr="007A2C68" w14:paraId="266A311E" w14:textId="77777777" w:rsidTr="00524B66">
        <w:trPr>
          <w:cantSplit/>
          <w:trHeight w:val="20"/>
          <w:jc w:val="center"/>
        </w:trPr>
        <w:tc>
          <w:tcPr>
            <w:tcW w:w="3312" w:type="dxa"/>
            <w:tcBorders>
              <w:right w:val="single" w:sz="4" w:space="0" w:color="auto"/>
            </w:tcBorders>
            <w:noWrap/>
            <w:vAlign w:val="center"/>
            <w:hideMark/>
          </w:tcPr>
          <w:p w14:paraId="408BF091" w14:textId="77777777" w:rsidR="007D58FF" w:rsidRPr="007A2C68" w:rsidRDefault="007D58FF" w:rsidP="00893161">
            <w:pPr>
              <w:pStyle w:val="Paragraph"/>
              <w:spacing w:after="0"/>
            </w:pPr>
            <w:r w:rsidRPr="007A2C68">
              <w:t>Casing OD (mm)</w:t>
            </w:r>
          </w:p>
        </w:tc>
        <w:tc>
          <w:tcPr>
            <w:tcW w:w="1296" w:type="dxa"/>
            <w:tcBorders>
              <w:left w:val="single" w:sz="4" w:space="0" w:color="auto"/>
            </w:tcBorders>
            <w:noWrap/>
            <w:vAlign w:val="center"/>
          </w:tcPr>
          <w:p w14:paraId="5398C27E" w14:textId="77777777" w:rsidR="007D58FF" w:rsidRPr="007A2C68" w:rsidRDefault="007D58FF" w:rsidP="00893161">
            <w:pPr>
              <w:pStyle w:val="Paragraph"/>
              <w:spacing w:after="0"/>
              <w:jc w:val="center"/>
            </w:pPr>
            <w:r w:rsidRPr="007A2C68">
              <w:t>244.48</w:t>
            </w:r>
          </w:p>
        </w:tc>
      </w:tr>
      <w:tr w:rsidR="007D58FF" w:rsidRPr="007A2C68" w14:paraId="56A72380" w14:textId="77777777" w:rsidTr="00524B66">
        <w:trPr>
          <w:cantSplit/>
          <w:trHeight w:val="20"/>
          <w:jc w:val="center"/>
        </w:trPr>
        <w:tc>
          <w:tcPr>
            <w:tcW w:w="3312" w:type="dxa"/>
            <w:tcBorders>
              <w:right w:val="single" w:sz="4" w:space="0" w:color="auto"/>
            </w:tcBorders>
            <w:noWrap/>
            <w:vAlign w:val="center"/>
            <w:hideMark/>
          </w:tcPr>
          <w:p w14:paraId="52EB2177" w14:textId="77777777" w:rsidR="007D58FF" w:rsidRPr="007A2C68" w:rsidRDefault="007D58FF" w:rsidP="00893161">
            <w:pPr>
              <w:pStyle w:val="Paragraph"/>
              <w:spacing w:after="0"/>
            </w:pPr>
            <w:r w:rsidRPr="007A2C68">
              <w:t>Casing ID (mm)</w:t>
            </w:r>
          </w:p>
        </w:tc>
        <w:tc>
          <w:tcPr>
            <w:tcW w:w="1296" w:type="dxa"/>
            <w:tcBorders>
              <w:left w:val="single" w:sz="4" w:space="0" w:color="auto"/>
            </w:tcBorders>
            <w:noWrap/>
            <w:vAlign w:val="center"/>
          </w:tcPr>
          <w:p w14:paraId="216FBCB5" w14:textId="77777777" w:rsidR="007D58FF" w:rsidRPr="007A2C68" w:rsidRDefault="007D58FF" w:rsidP="00893161">
            <w:pPr>
              <w:pStyle w:val="Paragraph"/>
              <w:spacing w:after="0"/>
              <w:jc w:val="center"/>
            </w:pPr>
            <w:r w:rsidRPr="007A2C68">
              <w:t>216.80</w:t>
            </w:r>
          </w:p>
        </w:tc>
      </w:tr>
      <w:tr w:rsidR="007D58FF" w:rsidRPr="007A2C68" w14:paraId="5575CB4F" w14:textId="77777777" w:rsidTr="00524B66">
        <w:trPr>
          <w:cantSplit/>
          <w:trHeight w:val="20"/>
          <w:jc w:val="center"/>
        </w:trPr>
        <w:tc>
          <w:tcPr>
            <w:tcW w:w="3312" w:type="dxa"/>
            <w:tcBorders>
              <w:right w:val="single" w:sz="4" w:space="0" w:color="auto"/>
            </w:tcBorders>
            <w:noWrap/>
            <w:vAlign w:val="center"/>
          </w:tcPr>
          <w:p w14:paraId="6509C4BB" w14:textId="77777777" w:rsidR="007D58FF" w:rsidRPr="007A2C68" w:rsidRDefault="007D58FF" w:rsidP="00893161">
            <w:pPr>
              <w:pStyle w:val="Paragraph"/>
              <w:spacing w:after="0"/>
            </w:pPr>
            <w:r w:rsidRPr="007A2C68">
              <w:t>Tubing OD (mm)</w:t>
            </w:r>
          </w:p>
        </w:tc>
        <w:tc>
          <w:tcPr>
            <w:tcW w:w="1296" w:type="dxa"/>
            <w:tcBorders>
              <w:left w:val="single" w:sz="4" w:space="0" w:color="auto"/>
            </w:tcBorders>
            <w:noWrap/>
            <w:vAlign w:val="center"/>
          </w:tcPr>
          <w:p w14:paraId="42CD34F7" w14:textId="77777777" w:rsidR="007D58FF" w:rsidRPr="007A2C68" w:rsidRDefault="007D58FF" w:rsidP="00893161">
            <w:pPr>
              <w:pStyle w:val="Paragraph"/>
              <w:spacing w:after="0"/>
              <w:jc w:val="center"/>
            </w:pPr>
            <w:r w:rsidRPr="007A2C68">
              <w:t>177.80</w:t>
            </w:r>
          </w:p>
        </w:tc>
      </w:tr>
      <w:tr w:rsidR="007D58FF" w:rsidRPr="007A2C68" w14:paraId="10CACDD1" w14:textId="77777777" w:rsidTr="00524B66">
        <w:trPr>
          <w:cantSplit/>
          <w:trHeight w:val="20"/>
          <w:jc w:val="center"/>
        </w:trPr>
        <w:tc>
          <w:tcPr>
            <w:tcW w:w="3312" w:type="dxa"/>
            <w:tcBorders>
              <w:right w:val="single" w:sz="4" w:space="0" w:color="auto"/>
            </w:tcBorders>
            <w:noWrap/>
            <w:vAlign w:val="center"/>
          </w:tcPr>
          <w:p w14:paraId="23057EE7" w14:textId="77777777" w:rsidR="007D58FF" w:rsidRPr="007A2C68" w:rsidRDefault="007D58FF" w:rsidP="00893161">
            <w:pPr>
              <w:pStyle w:val="Paragraph"/>
              <w:spacing w:after="0"/>
            </w:pPr>
            <w:r w:rsidRPr="007A2C68">
              <w:t>Tubing ID (mm)</w:t>
            </w:r>
          </w:p>
        </w:tc>
        <w:tc>
          <w:tcPr>
            <w:tcW w:w="1296" w:type="dxa"/>
            <w:tcBorders>
              <w:left w:val="single" w:sz="4" w:space="0" w:color="auto"/>
            </w:tcBorders>
            <w:noWrap/>
            <w:vAlign w:val="center"/>
          </w:tcPr>
          <w:p w14:paraId="24E2184B" w14:textId="77777777" w:rsidR="007D58FF" w:rsidRPr="007A2C68" w:rsidRDefault="007D58FF" w:rsidP="00893161">
            <w:pPr>
              <w:pStyle w:val="Paragraph"/>
              <w:spacing w:after="0"/>
              <w:jc w:val="center"/>
            </w:pPr>
            <w:r w:rsidRPr="007A2C68">
              <w:t>154.80</w:t>
            </w:r>
          </w:p>
        </w:tc>
      </w:tr>
      <w:tr w:rsidR="007D58FF" w:rsidRPr="007A2C68" w14:paraId="1AFD2396" w14:textId="77777777" w:rsidTr="00524B66">
        <w:trPr>
          <w:cantSplit/>
          <w:trHeight w:val="20"/>
          <w:jc w:val="center"/>
        </w:trPr>
        <w:tc>
          <w:tcPr>
            <w:tcW w:w="3312" w:type="dxa"/>
            <w:tcBorders>
              <w:right w:val="single" w:sz="4" w:space="0" w:color="auto"/>
            </w:tcBorders>
            <w:noWrap/>
            <w:vAlign w:val="center"/>
          </w:tcPr>
          <w:p w14:paraId="4F4672DD" w14:textId="77777777" w:rsidR="007D58FF" w:rsidRPr="007A2C68" w:rsidRDefault="007D58FF" w:rsidP="00893161">
            <w:pPr>
              <w:pStyle w:val="Paragraph"/>
              <w:spacing w:after="0"/>
            </w:pPr>
            <w:r w:rsidRPr="007A2C68">
              <w:t>Cement Shrinkage</w:t>
            </w:r>
          </w:p>
        </w:tc>
        <w:tc>
          <w:tcPr>
            <w:tcW w:w="1296" w:type="dxa"/>
            <w:tcBorders>
              <w:left w:val="single" w:sz="4" w:space="0" w:color="auto"/>
            </w:tcBorders>
            <w:noWrap/>
            <w:vAlign w:val="center"/>
          </w:tcPr>
          <w:p w14:paraId="5CB15B01" w14:textId="77777777" w:rsidR="007D58FF" w:rsidRPr="007A2C68" w:rsidRDefault="007D58FF" w:rsidP="00893161">
            <w:pPr>
              <w:pStyle w:val="Paragraph"/>
              <w:spacing w:after="0"/>
              <w:jc w:val="center"/>
            </w:pPr>
            <w:r w:rsidRPr="007A2C68">
              <w:t>1%</w:t>
            </w:r>
          </w:p>
        </w:tc>
      </w:tr>
      <w:tr w:rsidR="007D58FF" w:rsidRPr="007A2C68" w14:paraId="09F05ED9" w14:textId="77777777" w:rsidTr="00524B66">
        <w:trPr>
          <w:cantSplit/>
          <w:trHeight w:val="20"/>
          <w:jc w:val="center"/>
        </w:trPr>
        <w:tc>
          <w:tcPr>
            <w:tcW w:w="3312" w:type="dxa"/>
            <w:tcBorders>
              <w:right w:val="single" w:sz="4" w:space="0" w:color="auto"/>
            </w:tcBorders>
            <w:noWrap/>
            <w:vAlign w:val="center"/>
            <w:hideMark/>
          </w:tcPr>
          <w:p w14:paraId="7C4AEC62" w14:textId="77777777" w:rsidR="007D58FF" w:rsidRPr="007A2C68" w:rsidRDefault="007D58FF" w:rsidP="00893161">
            <w:pPr>
              <w:pStyle w:val="Paragraph"/>
              <w:spacing w:after="0"/>
            </w:pPr>
            <m:oMath>
              <m:r>
                <w:rPr>
                  <w:rFonts w:ascii="Cambria Math" w:hAnsi="Cambria Math"/>
                </w:rPr>
                <m:t>v</m:t>
              </m:r>
            </m:oMath>
            <w:r w:rsidRPr="007A2C68">
              <w:t xml:space="preserve"> Steel</w:t>
            </w:r>
          </w:p>
        </w:tc>
        <w:tc>
          <w:tcPr>
            <w:tcW w:w="1296" w:type="dxa"/>
            <w:tcBorders>
              <w:left w:val="single" w:sz="4" w:space="0" w:color="auto"/>
            </w:tcBorders>
            <w:noWrap/>
            <w:vAlign w:val="center"/>
            <w:hideMark/>
          </w:tcPr>
          <w:p w14:paraId="615B62F6" w14:textId="77777777" w:rsidR="007D58FF" w:rsidRPr="007A2C68" w:rsidRDefault="007D58FF" w:rsidP="00893161">
            <w:pPr>
              <w:pStyle w:val="Paragraph"/>
              <w:spacing w:after="0"/>
              <w:jc w:val="center"/>
            </w:pPr>
            <w:r w:rsidRPr="007A2C68">
              <w:t>0.30</w:t>
            </w:r>
          </w:p>
        </w:tc>
      </w:tr>
      <w:tr w:rsidR="007D58FF" w:rsidRPr="007A2C68" w14:paraId="0A403E8B" w14:textId="77777777" w:rsidTr="00524B66">
        <w:trPr>
          <w:cantSplit/>
          <w:trHeight w:val="20"/>
          <w:jc w:val="center"/>
        </w:trPr>
        <w:tc>
          <w:tcPr>
            <w:tcW w:w="3312" w:type="dxa"/>
            <w:tcBorders>
              <w:right w:val="single" w:sz="4" w:space="0" w:color="auto"/>
            </w:tcBorders>
            <w:noWrap/>
            <w:vAlign w:val="center"/>
            <w:hideMark/>
          </w:tcPr>
          <w:p w14:paraId="65735863" w14:textId="77777777" w:rsidR="007D58FF" w:rsidRPr="007A2C68" w:rsidRDefault="007D58FF" w:rsidP="00893161">
            <w:pPr>
              <w:pStyle w:val="Paragraph"/>
              <w:spacing w:after="0"/>
            </w:pPr>
            <m:oMath>
              <m:r>
                <w:rPr>
                  <w:rFonts w:ascii="Cambria Math" w:hAnsi="Cambria Math"/>
                </w:rPr>
                <m:t>E</m:t>
              </m:r>
            </m:oMath>
            <w:r w:rsidRPr="007A2C68">
              <w:t xml:space="preserve"> Steel (GPa)</w:t>
            </w:r>
          </w:p>
        </w:tc>
        <w:tc>
          <w:tcPr>
            <w:tcW w:w="1296" w:type="dxa"/>
            <w:tcBorders>
              <w:left w:val="single" w:sz="4" w:space="0" w:color="auto"/>
            </w:tcBorders>
            <w:noWrap/>
            <w:vAlign w:val="center"/>
            <w:hideMark/>
          </w:tcPr>
          <w:p w14:paraId="1512B897" w14:textId="77777777" w:rsidR="007D58FF" w:rsidRPr="007A2C68" w:rsidRDefault="007D58FF" w:rsidP="00893161">
            <w:pPr>
              <w:pStyle w:val="Paragraph"/>
              <w:spacing w:after="0"/>
              <w:jc w:val="center"/>
            </w:pPr>
            <w:r>
              <w:t>200.</w:t>
            </w:r>
            <w:r w:rsidRPr="007A2C68">
              <w:t>0</w:t>
            </w:r>
          </w:p>
        </w:tc>
      </w:tr>
      <w:tr w:rsidR="007D58FF" w:rsidRPr="007A2C68" w14:paraId="538FA288" w14:textId="77777777" w:rsidTr="00524B66">
        <w:trPr>
          <w:cantSplit/>
          <w:trHeight w:val="20"/>
          <w:jc w:val="center"/>
        </w:trPr>
        <w:tc>
          <w:tcPr>
            <w:tcW w:w="3312" w:type="dxa"/>
            <w:tcBorders>
              <w:right w:val="single" w:sz="4" w:space="0" w:color="auto"/>
            </w:tcBorders>
            <w:noWrap/>
            <w:vAlign w:val="center"/>
            <w:hideMark/>
          </w:tcPr>
          <w:p w14:paraId="5DAC0B20" w14:textId="77777777" w:rsidR="007D58FF" w:rsidRPr="007A2C68" w:rsidRDefault="007D58FF" w:rsidP="00893161">
            <w:pPr>
              <w:pStyle w:val="Paragraph"/>
              <w:spacing w:after="0"/>
            </w:pPr>
            <w:r w:rsidRPr="007A2C68">
              <w:rPr>
                <w:i/>
              </w:rPr>
              <w:t>v</w:t>
            </w:r>
            <w:r w:rsidRPr="007A2C68">
              <w:t xml:space="preserve"> Conventional Cement</w:t>
            </w:r>
          </w:p>
        </w:tc>
        <w:tc>
          <w:tcPr>
            <w:tcW w:w="1296" w:type="dxa"/>
            <w:tcBorders>
              <w:left w:val="single" w:sz="4" w:space="0" w:color="auto"/>
            </w:tcBorders>
            <w:noWrap/>
            <w:vAlign w:val="center"/>
            <w:hideMark/>
          </w:tcPr>
          <w:p w14:paraId="2C33A00B" w14:textId="77777777" w:rsidR="007D58FF" w:rsidRPr="007A2C68" w:rsidRDefault="007D58FF" w:rsidP="00893161">
            <w:pPr>
              <w:pStyle w:val="Paragraph"/>
              <w:spacing w:after="0"/>
              <w:jc w:val="center"/>
            </w:pPr>
            <w:r w:rsidRPr="007A2C68">
              <w:t>0.18</w:t>
            </w:r>
          </w:p>
        </w:tc>
      </w:tr>
      <w:tr w:rsidR="007D58FF" w:rsidRPr="007A2C68" w14:paraId="68F7D214" w14:textId="77777777" w:rsidTr="00524B66">
        <w:trPr>
          <w:cantSplit/>
          <w:trHeight w:val="20"/>
          <w:jc w:val="center"/>
        </w:trPr>
        <w:tc>
          <w:tcPr>
            <w:tcW w:w="3312" w:type="dxa"/>
            <w:tcBorders>
              <w:right w:val="single" w:sz="4" w:space="0" w:color="auto"/>
            </w:tcBorders>
            <w:noWrap/>
            <w:vAlign w:val="center"/>
            <w:hideMark/>
          </w:tcPr>
          <w:p w14:paraId="485B21C2" w14:textId="77777777" w:rsidR="007D58FF" w:rsidRPr="007A2C68" w:rsidRDefault="007D58FF" w:rsidP="00893161">
            <w:pPr>
              <w:pStyle w:val="Paragraph"/>
              <w:spacing w:after="0"/>
            </w:pPr>
            <m:oMath>
              <m:r>
                <w:rPr>
                  <w:rFonts w:ascii="Cambria Math" w:hAnsi="Cambria Math"/>
                </w:rPr>
                <m:t>E</m:t>
              </m:r>
            </m:oMath>
            <w:r w:rsidRPr="007A2C68">
              <w:t xml:space="preserve"> Conventional Cement (GPa)</w:t>
            </w:r>
          </w:p>
        </w:tc>
        <w:tc>
          <w:tcPr>
            <w:tcW w:w="1296" w:type="dxa"/>
            <w:tcBorders>
              <w:left w:val="single" w:sz="4" w:space="0" w:color="auto"/>
            </w:tcBorders>
            <w:noWrap/>
            <w:vAlign w:val="center"/>
            <w:hideMark/>
          </w:tcPr>
          <w:p w14:paraId="6B2AEDF5" w14:textId="77777777" w:rsidR="007D58FF" w:rsidRPr="007A2C68" w:rsidRDefault="007D58FF" w:rsidP="00893161">
            <w:pPr>
              <w:pStyle w:val="Paragraph"/>
              <w:spacing w:after="0"/>
              <w:jc w:val="center"/>
            </w:pPr>
            <w:r w:rsidRPr="007A2C68">
              <w:t>9.81</w:t>
            </w:r>
          </w:p>
        </w:tc>
      </w:tr>
      <w:tr w:rsidR="007D58FF" w:rsidRPr="007A2C68" w14:paraId="67D089B4" w14:textId="77777777" w:rsidTr="00524B66">
        <w:trPr>
          <w:cantSplit/>
          <w:trHeight w:val="20"/>
          <w:jc w:val="center"/>
        </w:trPr>
        <w:tc>
          <w:tcPr>
            <w:tcW w:w="3312" w:type="dxa"/>
            <w:tcBorders>
              <w:right w:val="single" w:sz="4" w:space="0" w:color="auto"/>
            </w:tcBorders>
            <w:noWrap/>
            <w:vAlign w:val="center"/>
          </w:tcPr>
          <w:p w14:paraId="06432FB2" w14:textId="77777777" w:rsidR="007D58FF" w:rsidRPr="007A2C68" w:rsidRDefault="007D58FF" w:rsidP="00893161">
            <w:pPr>
              <w:pStyle w:val="Paragraph"/>
              <w:spacing w:after="0"/>
            </w:pPr>
            <w:r w:rsidRPr="007A2C68">
              <w:rPr>
                <w:i/>
              </w:rPr>
              <w:t>v</w:t>
            </w:r>
            <w:r w:rsidRPr="007A2C68">
              <w:t xml:space="preserve"> Expanding Cement</w:t>
            </w:r>
          </w:p>
        </w:tc>
        <w:tc>
          <w:tcPr>
            <w:tcW w:w="1296" w:type="dxa"/>
            <w:tcBorders>
              <w:left w:val="single" w:sz="4" w:space="0" w:color="auto"/>
            </w:tcBorders>
            <w:noWrap/>
            <w:vAlign w:val="center"/>
          </w:tcPr>
          <w:p w14:paraId="5A897EC1" w14:textId="77777777" w:rsidR="007D58FF" w:rsidRPr="007A2C68" w:rsidRDefault="007D58FF" w:rsidP="00893161">
            <w:pPr>
              <w:pStyle w:val="Paragraph"/>
              <w:spacing w:after="0"/>
              <w:jc w:val="center"/>
            </w:pPr>
            <w:r w:rsidRPr="007A2C68">
              <w:t>0.18</w:t>
            </w:r>
          </w:p>
        </w:tc>
      </w:tr>
      <w:tr w:rsidR="007D58FF" w:rsidRPr="007A2C68" w14:paraId="31C13149" w14:textId="77777777" w:rsidTr="00524B66">
        <w:trPr>
          <w:cantSplit/>
          <w:trHeight w:val="20"/>
          <w:jc w:val="center"/>
        </w:trPr>
        <w:tc>
          <w:tcPr>
            <w:tcW w:w="3312" w:type="dxa"/>
            <w:tcBorders>
              <w:right w:val="single" w:sz="4" w:space="0" w:color="auto"/>
            </w:tcBorders>
            <w:noWrap/>
            <w:vAlign w:val="center"/>
          </w:tcPr>
          <w:p w14:paraId="463FA531" w14:textId="77777777" w:rsidR="007D58FF" w:rsidRPr="007A2C68" w:rsidRDefault="007D58FF" w:rsidP="00893161">
            <w:pPr>
              <w:pStyle w:val="Paragraph"/>
              <w:spacing w:after="0"/>
            </w:pPr>
            <m:oMath>
              <m:r>
                <w:rPr>
                  <w:rFonts w:ascii="Cambria Math" w:hAnsi="Cambria Math"/>
                </w:rPr>
                <m:t>E</m:t>
              </m:r>
            </m:oMath>
            <w:r w:rsidRPr="007A2C68">
              <w:t xml:space="preserve"> Expanding Cement (GPa)</w:t>
            </w:r>
          </w:p>
        </w:tc>
        <w:tc>
          <w:tcPr>
            <w:tcW w:w="1296" w:type="dxa"/>
            <w:tcBorders>
              <w:left w:val="single" w:sz="4" w:space="0" w:color="auto"/>
            </w:tcBorders>
            <w:noWrap/>
            <w:vAlign w:val="center"/>
          </w:tcPr>
          <w:p w14:paraId="12B12ABC" w14:textId="77777777" w:rsidR="007D58FF" w:rsidRPr="007A2C68" w:rsidRDefault="007D58FF" w:rsidP="00893161">
            <w:pPr>
              <w:pStyle w:val="Paragraph"/>
              <w:spacing w:after="0"/>
              <w:jc w:val="center"/>
            </w:pPr>
            <w:r w:rsidRPr="007A2C68">
              <w:t>17.60</w:t>
            </w:r>
          </w:p>
        </w:tc>
      </w:tr>
      <w:tr w:rsidR="007D58FF" w:rsidRPr="007A2C68" w14:paraId="7A3C6E70" w14:textId="77777777" w:rsidTr="00524B66">
        <w:trPr>
          <w:cantSplit/>
          <w:trHeight w:val="20"/>
          <w:jc w:val="center"/>
        </w:trPr>
        <w:tc>
          <w:tcPr>
            <w:tcW w:w="3312" w:type="dxa"/>
            <w:tcBorders>
              <w:right w:val="single" w:sz="4" w:space="0" w:color="auto"/>
            </w:tcBorders>
            <w:noWrap/>
            <w:vAlign w:val="center"/>
            <w:hideMark/>
          </w:tcPr>
          <w:p w14:paraId="5B8C7FD4" w14:textId="77777777" w:rsidR="007D58FF" w:rsidRPr="007A2C68" w:rsidRDefault="00077C0B" w:rsidP="00893161">
            <w:pPr>
              <w:pStyle w:val="Paragraph"/>
              <w:spacing w:after="0"/>
            </w:pPr>
            <m:oMath>
              <m:sSup>
                <m:sSupPr>
                  <m:ctrlPr>
                    <w:rPr>
                      <w:rFonts w:ascii="Cambria Math" w:hAnsi="Cambria Math"/>
                      <w:i/>
                    </w:rPr>
                  </m:ctrlPr>
                </m:sSupPr>
                <m:e>
                  <m:r>
                    <w:rPr>
                      <w:rFonts w:ascii="Cambria Math" w:hAnsi="Cambria Math"/>
                    </w:rPr>
                    <m:t>τ</m:t>
                  </m:r>
                </m:e>
                <m:sup>
                  <m:r>
                    <w:rPr>
                      <w:rFonts w:ascii="Cambria Math" w:hAnsi="Cambria Math"/>
                    </w:rPr>
                    <m:t>o</m:t>
                  </m:r>
                </m:sup>
              </m:sSup>
            </m:oMath>
            <w:r w:rsidR="007D58FF" w:rsidRPr="007A2C68">
              <w:t xml:space="preserve"> (MPa)</w:t>
            </w:r>
          </w:p>
        </w:tc>
        <w:tc>
          <w:tcPr>
            <w:tcW w:w="1296" w:type="dxa"/>
            <w:tcBorders>
              <w:left w:val="single" w:sz="4" w:space="0" w:color="auto"/>
            </w:tcBorders>
            <w:noWrap/>
            <w:vAlign w:val="center"/>
            <w:hideMark/>
          </w:tcPr>
          <w:p w14:paraId="3810DEB4" w14:textId="77777777" w:rsidR="007D58FF" w:rsidRPr="007A2C68" w:rsidRDefault="007D58FF" w:rsidP="00893161">
            <w:pPr>
              <w:pStyle w:val="Paragraph"/>
              <w:spacing w:after="0"/>
              <w:jc w:val="center"/>
            </w:pPr>
            <w:r w:rsidRPr="007A2C68">
              <w:t>0.50</w:t>
            </w:r>
          </w:p>
        </w:tc>
      </w:tr>
      <w:tr w:rsidR="007D58FF" w:rsidRPr="007A2C68" w14:paraId="4CCB545F" w14:textId="77777777" w:rsidTr="00524B66">
        <w:trPr>
          <w:cantSplit/>
          <w:trHeight w:val="20"/>
          <w:jc w:val="center"/>
        </w:trPr>
        <w:tc>
          <w:tcPr>
            <w:tcW w:w="3312" w:type="dxa"/>
            <w:tcBorders>
              <w:right w:val="single" w:sz="4" w:space="0" w:color="auto"/>
            </w:tcBorders>
            <w:noWrap/>
            <w:vAlign w:val="center"/>
            <w:hideMark/>
          </w:tcPr>
          <w:p w14:paraId="7B65B0BA" w14:textId="77777777" w:rsidR="007D58FF" w:rsidRPr="007A2C68" w:rsidRDefault="00077C0B" w:rsidP="00893161">
            <w:pPr>
              <w:pStyle w:val="Paragraph"/>
              <w:spacing w:after="0"/>
            </w:pPr>
            <m:oMath>
              <m:sSub>
                <m:sSubPr>
                  <m:ctrlPr>
                    <w:rPr>
                      <w:rFonts w:ascii="Cambria Math" w:hAnsi="Cambria Math"/>
                      <w:i/>
                    </w:rPr>
                  </m:ctrlPr>
                </m:sSubPr>
                <m:e>
                  <m:r>
                    <w:rPr>
                      <w:rFonts w:ascii="Cambria Math" w:hAnsi="Cambria Math"/>
                    </w:rPr>
                    <m:t>G</m:t>
                  </m:r>
                </m:e>
                <m:sub>
                  <m:r>
                    <w:rPr>
                      <w:rFonts w:ascii="Cambria Math" w:hAnsi="Cambria Math"/>
                    </w:rPr>
                    <m:t>C</m:t>
                  </m:r>
                </m:sub>
              </m:sSub>
            </m:oMath>
            <w:r w:rsidR="007D58FF" w:rsidRPr="007A2C68">
              <w:t xml:space="preserve"> (J/m</w:t>
            </w:r>
            <w:r w:rsidR="007D58FF" w:rsidRPr="007A2C68">
              <w:rPr>
                <w:vertAlign w:val="superscript"/>
              </w:rPr>
              <w:t>2</w:t>
            </w:r>
            <w:r w:rsidR="007D58FF" w:rsidRPr="007A2C68">
              <w:t>)</w:t>
            </w:r>
          </w:p>
        </w:tc>
        <w:tc>
          <w:tcPr>
            <w:tcW w:w="1296" w:type="dxa"/>
            <w:tcBorders>
              <w:left w:val="single" w:sz="4" w:space="0" w:color="auto"/>
            </w:tcBorders>
            <w:noWrap/>
            <w:vAlign w:val="center"/>
            <w:hideMark/>
          </w:tcPr>
          <w:p w14:paraId="0739BB19" w14:textId="77777777" w:rsidR="007D58FF" w:rsidRPr="007A2C68" w:rsidRDefault="007D58FF" w:rsidP="00893161">
            <w:pPr>
              <w:pStyle w:val="Paragraph"/>
              <w:spacing w:after="0"/>
              <w:jc w:val="center"/>
            </w:pPr>
            <w:r>
              <w:t>100.</w:t>
            </w:r>
            <w:r w:rsidRPr="007A2C68">
              <w:t>0</w:t>
            </w:r>
          </w:p>
        </w:tc>
      </w:tr>
      <w:tr w:rsidR="007D58FF" w:rsidRPr="007A2C68" w14:paraId="12C3B7B6" w14:textId="77777777" w:rsidTr="00524B66">
        <w:trPr>
          <w:cantSplit/>
          <w:trHeight w:val="20"/>
          <w:jc w:val="center"/>
        </w:trPr>
        <w:tc>
          <w:tcPr>
            <w:tcW w:w="3312" w:type="dxa"/>
            <w:tcBorders>
              <w:right w:val="single" w:sz="4" w:space="0" w:color="auto"/>
            </w:tcBorders>
            <w:noWrap/>
            <w:vAlign w:val="center"/>
          </w:tcPr>
          <w:p w14:paraId="2F709362" w14:textId="77777777" w:rsidR="007D58FF" w:rsidRPr="007A2C68" w:rsidRDefault="007D58FF" w:rsidP="00893161">
            <w:pPr>
              <w:pStyle w:val="Paragraph"/>
              <w:spacing w:after="0"/>
            </w:pPr>
            <w:r w:rsidRPr="007A2C68">
              <w:t>ρ at 95°C (kg/m</w:t>
            </w:r>
            <w:r w:rsidRPr="007A2C68">
              <w:rPr>
                <w:vertAlign w:val="superscript"/>
              </w:rPr>
              <w:t>3</w:t>
            </w:r>
            <w:r w:rsidRPr="007A2C68">
              <w:t>)</w:t>
            </w:r>
          </w:p>
        </w:tc>
        <w:tc>
          <w:tcPr>
            <w:tcW w:w="1296" w:type="dxa"/>
            <w:tcBorders>
              <w:left w:val="single" w:sz="4" w:space="0" w:color="auto"/>
            </w:tcBorders>
            <w:noWrap/>
            <w:vAlign w:val="center"/>
          </w:tcPr>
          <w:p w14:paraId="0CD2EC66" w14:textId="77777777" w:rsidR="007D58FF" w:rsidRPr="007A2C68" w:rsidRDefault="007D58FF" w:rsidP="00893161">
            <w:pPr>
              <w:pStyle w:val="Paragraph"/>
              <w:spacing w:after="0"/>
              <w:jc w:val="center"/>
            </w:pPr>
            <w:r w:rsidRPr="007A2C68">
              <w:t>961.9</w:t>
            </w:r>
          </w:p>
        </w:tc>
      </w:tr>
      <w:tr w:rsidR="007D58FF" w:rsidRPr="007A2C68" w14:paraId="6FFAA42C" w14:textId="77777777" w:rsidTr="00524B66">
        <w:trPr>
          <w:cantSplit/>
          <w:trHeight w:val="20"/>
          <w:jc w:val="center"/>
        </w:trPr>
        <w:tc>
          <w:tcPr>
            <w:tcW w:w="3312" w:type="dxa"/>
            <w:tcBorders>
              <w:right w:val="single" w:sz="4" w:space="0" w:color="auto"/>
            </w:tcBorders>
            <w:noWrap/>
            <w:vAlign w:val="center"/>
          </w:tcPr>
          <w:p w14:paraId="796B6C7F" w14:textId="77777777" w:rsidR="007D58FF" w:rsidRPr="007A2C68" w:rsidRDefault="007D58FF" w:rsidP="00893161">
            <w:pPr>
              <w:pStyle w:val="Paragraph"/>
              <w:spacing w:after="0"/>
            </w:pPr>
            <w:r w:rsidRPr="007A2C68">
              <w:t>ρ at 25°C (kg/m</w:t>
            </w:r>
            <w:r w:rsidRPr="007A2C68">
              <w:rPr>
                <w:vertAlign w:val="superscript"/>
              </w:rPr>
              <w:t>3</w:t>
            </w:r>
            <w:r w:rsidRPr="007A2C68">
              <w:t>)</w:t>
            </w:r>
          </w:p>
        </w:tc>
        <w:tc>
          <w:tcPr>
            <w:tcW w:w="1296" w:type="dxa"/>
            <w:tcBorders>
              <w:left w:val="single" w:sz="4" w:space="0" w:color="auto"/>
            </w:tcBorders>
            <w:noWrap/>
            <w:vAlign w:val="center"/>
          </w:tcPr>
          <w:p w14:paraId="292E4ADC" w14:textId="77777777" w:rsidR="007D58FF" w:rsidRPr="007A2C68" w:rsidRDefault="007D58FF" w:rsidP="00893161">
            <w:pPr>
              <w:pStyle w:val="Paragraph"/>
              <w:spacing w:after="0"/>
              <w:jc w:val="center"/>
            </w:pPr>
            <w:r w:rsidRPr="007A2C68">
              <w:t>997.0</w:t>
            </w:r>
          </w:p>
        </w:tc>
      </w:tr>
      <w:tr w:rsidR="007D58FF" w:rsidRPr="007A2C68" w14:paraId="0240AC0E" w14:textId="77777777" w:rsidTr="00524B66">
        <w:trPr>
          <w:cantSplit/>
          <w:trHeight w:val="20"/>
          <w:jc w:val="center"/>
        </w:trPr>
        <w:tc>
          <w:tcPr>
            <w:tcW w:w="3312" w:type="dxa"/>
            <w:tcBorders>
              <w:right w:val="single" w:sz="4" w:space="0" w:color="auto"/>
            </w:tcBorders>
            <w:noWrap/>
            <w:vAlign w:val="center"/>
          </w:tcPr>
          <w:p w14:paraId="7D792C68" w14:textId="77777777" w:rsidR="007D58FF" w:rsidRPr="007A2C68" w:rsidRDefault="007D58FF" w:rsidP="00893161">
            <w:pPr>
              <w:pStyle w:val="Paragraph"/>
              <w:spacing w:after="0"/>
            </w:pPr>
            <m:oMath>
              <m:r>
                <w:rPr>
                  <w:rFonts w:ascii="Cambria Math" w:hAnsi="Cambria Math"/>
                </w:rPr>
                <m:t>υ</m:t>
              </m:r>
            </m:oMath>
            <w:r w:rsidRPr="007A2C68">
              <w:t xml:space="preserve"> at 95 °C (</w:t>
            </w:r>
            <w:r>
              <w:t>Pa</w:t>
            </w:r>
            <w:r w:rsidRPr="007A2C68">
              <w:t>∙s)</w:t>
            </w:r>
          </w:p>
        </w:tc>
        <w:tc>
          <w:tcPr>
            <w:tcW w:w="1296" w:type="dxa"/>
            <w:tcBorders>
              <w:left w:val="single" w:sz="4" w:space="0" w:color="auto"/>
            </w:tcBorders>
            <w:noWrap/>
            <w:vAlign w:val="center"/>
          </w:tcPr>
          <w:p w14:paraId="2CA99EDF" w14:textId="77777777" w:rsidR="007D58FF" w:rsidRPr="007A2C68" w:rsidRDefault="007D58FF" w:rsidP="00893161">
            <w:pPr>
              <w:pStyle w:val="Paragraph"/>
              <w:spacing w:after="0"/>
              <w:jc w:val="center"/>
            </w:pPr>
            <w:r w:rsidRPr="007A2C68">
              <w:t>2.96E-4</w:t>
            </w:r>
          </w:p>
        </w:tc>
      </w:tr>
      <w:tr w:rsidR="007D58FF" w:rsidRPr="007A2C68" w14:paraId="255DFC19" w14:textId="77777777" w:rsidTr="00524B66">
        <w:trPr>
          <w:cantSplit/>
          <w:trHeight w:val="20"/>
          <w:jc w:val="center"/>
        </w:trPr>
        <w:tc>
          <w:tcPr>
            <w:tcW w:w="3312" w:type="dxa"/>
            <w:tcBorders>
              <w:right w:val="single" w:sz="4" w:space="0" w:color="auto"/>
            </w:tcBorders>
            <w:noWrap/>
            <w:vAlign w:val="center"/>
          </w:tcPr>
          <w:p w14:paraId="06153CCD" w14:textId="77777777" w:rsidR="007D58FF" w:rsidRPr="007A2C68" w:rsidRDefault="007D58FF" w:rsidP="00893161">
            <w:pPr>
              <w:pStyle w:val="Paragraph"/>
              <w:spacing w:after="0"/>
            </w:pPr>
            <m:oMath>
              <m:r>
                <w:rPr>
                  <w:rFonts w:ascii="Cambria Math" w:hAnsi="Cambria Math"/>
                </w:rPr>
                <m:t>υ</m:t>
              </m:r>
            </m:oMath>
            <w:r w:rsidRPr="007A2C68">
              <w:t xml:space="preserve"> at 25 °C (</w:t>
            </w:r>
            <w:r>
              <w:t>Pa</w:t>
            </w:r>
            <w:r w:rsidRPr="007A2C68">
              <w:t>∙s)</w:t>
            </w:r>
          </w:p>
        </w:tc>
        <w:tc>
          <w:tcPr>
            <w:tcW w:w="1296" w:type="dxa"/>
            <w:tcBorders>
              <w:left w:val="single" w:sz="4" w:space="0" w:color="auto"/>
            </w:tcBorders>
            <w:noWrap/>
            <w:vAlign w:val="center"/>
          </w:tcPr>
          <w:p w14:paraId="77CA424A" w14:textId="77777777" w:rsidR="007D58FF" w:rsidRPr="007A2C68" w:rsidRDefault="007D58FF" w:rsidP="00893161">
            <w:pPr>
              <w:pStyle w:val="Paragraph"/>
              <w:spacing w:after="0"/>
              <w:jc w:val="center"/>
            </w:pPr>
            <w:r w:rsidRPr="007A2C68">
              <w:t>8.89E-4</w:t>
            </w:r>
          </w:p>
        </w:tc>
      </w:tr>
    </w:tbl>
    <w:p w14:paraId="219D12F1" w14:textId="77777777" w:rsidR="007D58FF" w:rsidRDefault="007D58FF" w:rsidP="007D58FF"/>
    <w:p w14:paraId="077DB9F2" w14:textId="0024C287" w:rsidR="007D58FF" w:rsidRPr="00C35669" w:rsidRDefault="00962760" w:rsidP="007D58FF">
      <w:pPr>
        <w:ind w:firstLine="720"/>
      </w:pPr>
      <w:r>
        <w:t xml:space="preserve">To </w:t>
      </w:r>
      <w:r w:rsidR="007D58FF">
        <w:t xml:space="preserve">compensate for cement shrinkage in the models, a uniform 1% volumetric shrinkage is assumed for the two test lengths. To determine a uniform 1% </w:t>
      </w:r>
      <w:r w:rsidR="007D58FF" w:rsidRPr="00C35669">
        <w:t xml:space="preserve">volumetric shrinkage, Equation </w:t>
      </w:r>
      <w:r w:rsidR="00166C79" w:rsidRPr="00C35669">
        <w:t>4.</w:t>
      </w:r>
      <w:r w:rsidR="002375FE" w:rsidRPr="00C35669">
        <w:t>49</w:t>
      </w:r>
      <w:r w:rsidR="007D58FF" w:rsidRPr="00C35669">
        <w:t xml:space="preserve"> is used in which </w:t>
      </w:r>
      <m:oMath>
        <m:sSub>
          <m:sSubPr>
            <m:ctrlPr>
              <w:rPr>
                <w:rFonts w:ascii="Cambria Math" w:hAnsi="Cambria Math"/>
                <w:i/>
              </w:rPr>
            </m:ctrlPr>
          </m:sSubPr>
          <m:e>
            <m:r>
              <w:rPr>
                <w:rFonts w:ascii="Cambria Math" w:hAnsi="Cambria Math"/>
              </w:rPr>
              <m:t>V</m:t>
            </m:r>
          </m:e>
          <m:sub>
            <m:r>
              <w:rPr>
                <w:rFonts w:ascii="Cambria Math" w:hAnsi="Cambria Math"/>
              </w:rPr>
              <m:t>shrinkage</m:t>
            </m:r>
          </m:sub>
        </m:sSub>
      </m:oMath>
      <w:r w:rsidR="007D58FF" w:rsidRPr="00C35669">
        <w:rPr>
          <w:rFonts w:eastAsiaTheme="minorEastAsia"/>
        </w:rPr>
        <w:t xml:space="preserve"> is the volume of the cement after shrinkage, and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original</m:t>
            </m:r>
          </m:sub>
        </m:sSub>
      </m:oMath>
      <w:r w:rsidR="007D58FF" w:rsidRPr="00C35669">
        <w:rPr>
          <w:rFonts w:eastAsiaTheme="minorEastAsia"/>
        </w:rPr>
        <w:t xml:space="preserve"> is the volume of the cement before shrinkage</w:t>
      </w:r>
      <w:r w:rsidR="007D58FF" w:rsidRPr="00C35669">
        <w:t>.</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7D58FF" w:rsidRPr="00C35669" w14:paraId="1AD9C9E4" w14:textId="77777777" w:rsidTr="00893161">
        <w:trPr>
          <w:trHeight w:val="576"/>
        </w:trPr>
        <w:tc>
          <w:tcPr>
            <w:tcW w:w="720" w:type="dxa"/>
            <w:vAlign w:val="center"/>
          </w:tcPr>
          <w:p w14:paraId="7D533E38" w14:textId="756B3763" w:rsidR="007D58FF" w:rsidRPr="00C35669" w:rsidRDefault="007D58FF" w:rsidP="00893161">
            <w:pPr>
              <w:spacing w:line="240" w:lineRule="auto"/>
              <w:jc w:val="center"/>
            </w:pPr>
          </w:p>
        </w:tc>
        <w:tc>
          <w:tcPr>
            <w:tcW w:w="7920" w:type="dxa"/>
            <w:vAlign w:val="center"/>
          </w:tcPr>
          <w:p w14:paraId="7D86EB38" w14:textId="245D7462" w:rsidR="007D58FF" w:rsidRPr="00C35669" w:rsidRDefault="00077C0B" w:rsidP="00467029">
            <w:pPr>
              <w:spacing w:line="240" w:lineRule="auto"/>
              <w:jc w:val="center"/>
            </w:pPr>
            <m:oMathPara>
              <m:oMath>
                <m:sSub>
                  <m:sSubPr>
                    <m:ctrlPr>
                      <w:rPr>
                        <w:rFonts w:ascii="Cambria Math" w:hAnsi="Cambria Math"/>
                        <w:i/>
                      </w:rPr>
                    </m:ctrlPr>
                  </m:sSubPr>
                  <m:e>
                    <m:r>
                      <w:rPr>
                        <w:rFonts w:ascii="Cambria Math" w:hAnsi="Cambria Math"/>
                      </w:rPr>
                      <m:t>%</m:t>
                    </m:r>
                  </m:e>
                  <m:sub>
                    <m:r>
                      <w:rPr>
                        <w:rFonts w:ascii="Cambria Math" w:hAnsi="Cambria Math"/>
                      </w:rPr>
                      <m:t>shrinkage</m:t>
                    </m:r>
                  </m:sub>
                </m:sSub>
                <m:r>
                  <w:rPr>
                    <w:rFonts w:ascii="Cambria Math" w:hAnsi="Cambria Math"/>
                  </w:rPr>
                  <m:t>=</m:t>
                </m:r>
                <m:d>
                  <m:dPr>
                    <m:ctrlPr>
                      <w:rPr>
                        <w:rFonts w:ascii="Cambria Math" w:hAnsi="Cambria Math"/>
                        <w:i/>
                      </w:rPr>
                    </m:ctrlPr>
                  </m:dPr>
                  <m:e>
                    <m:r>
                      <w:rPr>
                        <w:rFonts w:ascii="Cambria Math" w:hAnsi="Cambria Math"/>
                      </w:rPr>
                      <m:t>1-</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shrinkage</m:t>
                            </m:r>
                          </m:sub>
                        </m:sSub>
                      </m:num>
                      <m:den>
                        <m:sSub>
                          <m:sSubPr>
                            <m:ctrlPr>
                              <w:rPr>
                                <w:rFonts w:ascii="Cambria Math" w:hAnsi="Cambria Math"/>
                                <w:i/>
                              </w:rPr>
                            </m:ctrlPr>
                          </m:sSubPr>
                          <m:e>
                            <m:r>
                              <w:rPr>
                                <w:rFonts w:ascii="Cambria Math" w:hAnsi="Cambria Math"/>
                              </w:rPr>
                              <m:t>V</m:t>
                            </m:r>
                          </m:e>
                          <m:sub>
                            <m:r>
                              <w:rPr>
                                <w:rFonts w:ascii="Cambria Math" w:hAnsi="Cambria Math"/>
                              </w:rPr>
                              <m:t>original</m:t>
                            </m:r>
                          </m:sub>
                        </m:sSub>
                      </m:den>
                    </m:f>
                  </m:e>
                </m:d>
                <m:r>
                  <w:rPr>
                    <w:rFonts w:ascii="Cambria Math" w:hAnsi="Cambria Math"/>
                  </w:rPr>
                  <m:t>×100%</m:t>
                </m:r>
              </m:oMath>
            </m:oMathPara>
          </w:p>
        </w:tc>
        <w:tc>
          <w:tcPr>
            <w:tcW w:w="720" w:type="dxa"/>
            <w:vAlign w:val="bottom"/>
          </w:tcPr>
          <w:p w14:paraId="3BFAAD5E" w14:textId="0F5B193C" w:rsidR="007D58FF" w:rsidRPr="00C35669" w:rsidRDefault="00077C0B" w:rsidP="00BC23AD">
            <w:pPr>
              <w:pStyle w:val="Caption"/>
              <w:rPr>
                <w:i/>
              </w:rPr>
            </w:pPr>
            <w:r>
              <w:fldChar w:fldCharType="begin"/>
            </w:r>
            <w:r>
              <w:instrText xml:space="preserve"> STYLEREF 1 \s </w:instrText>
            </w:r>
            <w:r>
              <w:fldChar w:fldCharType="separate"/>
            </w:r>
            <w:r w:rsidR="0006023A">
              <w:rPr>
                <w:noProof/>
              </w:rPr>
              <w:t>4</w:t>
            </w:r>
            <w:r>
              <w:rPr>
                <w:noProof/>
              </w:rPr>
              <w:fldChar w:fldCharType="end"/>
            </w:r>
            <w:r w:rsidR="007D58FF" w:rsidRPr="00C35669">
              <w:t>.</w:t>
            </w:r>
            <w:r>
              <w:fldChar w:fldCharType="begin"/>
            </w:r>
            <w:r>
              <w:instrText xml:space="preserve"> SEQ Equation \* ARABIC \s 1 </w:instrText>
            </w:r>
            <w:r>
              <w:fldChar w:fldCharType="separate"/>
            </w:r>
            <w:r w:rsidR="0006023A">
              <w:rPr>
                <w:noProof/>
              </w:rPr>
              <w:t>49</w:t>
            </w:r>
            <w:r>
              <w:rPr>
                <w:noProof/>
              </w:rPr>
              <w:fldChar w:fldCharType="end"/>
            </w:r>
          </w:p>
        </w:tc>
      </w:tr>
    </w:tbl>
    <w:p w14:paraId="3022E208" w14:textId="77777777" w:rsidR="007D58FF" w:rsidRPr="00C35669" w:rsidRDefault="007D58FF" w:rsidP="007D58FF">
      <w:pPr>
        <w:ind w:firstLine="720"/>
      </w:pPr>
      <w:r w:rsidRPr="00C35669">
        <w:t xml:space="preserve"> </w:t>
      </w:r>
    </w:p>
    <w:p w14:paraId="45461B35" w14:textId="50BFB4AD" w:rsidR="007D58FF" w:rsidRDefault="007D58FF" w:rsidP="007D58FF">
      <w:pPr>
        <w:ind w:firstLine="720"/>
      </w:pPr>
      <w:r w:rsidRPr="00C35669">
        <w:t xml:space="preserve">The volume of the cement depends on the geometry of the cement (i.e. plug or sheath). The shrinkage of a cement </w:t>
      </w:r>
      <w:r w:rsidR="00166C79" w:rsidRPr="00C35669">
        <w:t xml:space="preserve">sheath </w:t>
      </w:r>
      <w:r w:rsidRPr="00C35669">
        <w:t xml:space="preserve">is shown in Equation </w:t>
      </w:r>
      <w:r w:rsidR="00166C79" w:rsidRPr="00C35669">
        <w:t>4.5</w:t>
      </w:r>
      <w:r w:rsidR="002375FE" w:rsidRPr="00C35669">
        <w:t>0</w:t>
      </w:r>
      <w:r w:rsidRPr="00C35669">
        <w:t xml:space="preserve">  where </w:t>
      </w:r>
      <m:oMath>
        <m:r>
          <w:rPr>
            <w:rFonts w:ascii="Cambria Math" w:hAnsi="Cambria Math"/>
          </w:rPr>
          <m:t>L</m:t>
        </m:r>
      </m:oMath>
      <w:r w:rsidRPr="00C35669">
        <w:t xml:space="preserve"> is th</w:t>
      </w:r>
      <w:r w:rsidR="00166C79" w:rsidRPr="00C35669">
        <w:t>e axial length of the cement,</w:t>
      </w:r>
      <w:r w:rsidRPr="00C35669">
        <w:t xml:space="preserve"> </w:t>
      </w:r>
      <m:oMath>
        <m:r>
          <w:rPr>
            <w:rFonts w:ascii="Cambria Math" w:hAnsi="Cambria Math"/>
          </w:rPr>
          <m:t>OD</m:t>
        </m:r>
      </m:oMath>
      <w:r w:rsidRPr="00C35669">
        <w:t xml:space="preserve"> is the outer diameter of the cement sheath</w:t>
      </w:r>
      <w:r w:rsidR="00166C79" w:rsidRPr="00C35669">
        <w:t xml:space="preserve">, and </w:t>
      </w:r>
      <m:oMath>
        <m:r>
          <w:rPr>
            <w:rFonts w:ascii="Cambria Math" w:hAnsi="Cambria Math"/>
          </w:rPr>
          <m:t>ID</m:t>
        </m:r>
      </m:oMath>
      <w:r w:rsidR="00166C79">
        <w:t xml:space="preserve"> is the inner diameter of the cement sheath</w:t>
      </w:r>
      <w:r>
        <w:t>.</w:t>
      </w:r>
      <w:r w:rsidR="00467029">
        <w:t xml:space="preserve">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original</m:t>
            </m:r>
          </m:sub>
        </m:sSub>
      </m:oMath>
      <w:r w:rsidR="00467029">
        <w:rPr>
          <w:rFonts w:eastAsiaTheme="minorEastAsia"/>
        </w:rPr>
        <w:t xml:space="preserve"> is </w:t>
      </w:r>
      <w:r w:rsidR="009B76A8">
        <w:rPr>
          <w:rFonts w:eastAsiaTheme="minorEastAsia"/>
        </w:rPr>
        <w:t xml:space="preserve">calculated using </w:t>
      </w:r>
      <m:oMath>
        <m:r>
          <w:rPr>
            <w:rFonts w:ascii="Cambria Math" w:hAnsi="Cambria Math"/>
          </w:rPr>
          <m:t>OD</m:t>
        </m:r>
      </m:oMath>
      <w:r w:rsidR="009B76A8">
        <w:t xml:space="preserve"> = 0.2168 m, </w:t>
      </w:r>
      <m:oMath>
        <m:r>
          <w:rPr>
            <w:rFonts w:ascii="Cambria Math" w:hAnsi="Cambria Math"/>
          </w:rPr>
          <m:t>ID</m:t>
        </m:r>
      </m:oMath>
      <w:r w:rsidR="009B76A8">
        <w:t xml:space="preserve"> = 0.1778 m, and </w:t>
      </w:r>
      <m:oMath>
        <m:r>
          <w:rPr>
            <w:rFonts w:ascii="Cambria Math" w:hAnsi="Cambria Math"/>
          </w:rPr>
          <m:t>L</m:t>
        </m:r>
      </m:oMath>
      <w:r w:rsidR="009B76A8">
        <w:t xml:space="preserve"> = 6.0 m.</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7D58FF" w14:paraId="0ACF3ACF" w14:textId="77777777" w:rsidTr="00893161">
        <w:trPr>
          <w:trHeight w:val="576"/>
        </w:trPr>
        <w:tc>
          <w:tcPr>
            <w:tcW w:w="720" w:type="dxa"/>
            <w:vAlign w:val="center"/>
          </w:tcPr>
          <w:p w14:paraId="2D8E92FA" w14:textId="5FA295EF" w:rsidR="007D58FF" w:rsidRDefault="007D58FF" w:rsidP="00893161">
            <w:pPr>
              <w:spacing w:line="240" w:lineRule="auto"/>
              <w:jc w:val="center"/>
            </w:pPr>
          </w:p>
        </w:tc>
        <w:tc>
          <w:tcPr>
            <w:tcW w:w="7920" w:type="dxa"/>
            <w:vAlign w:val="center"/>
          </w:tcPr>
          <w:p w14:paraId="51A948AD" w14:textId="3A63D96F" w:rsidR="007D58FF" w:rsidRPr="003E4C6A" w:rsidRDefault="00077C0B" w:rsidP="00467029">
            <w:pPr>
              <w:spacing w:line="240" w:lineRule="auto"/>
              <w:jc w:val="center"/>
            </w:pPr>
            <m:oMathPara>
              <m:oMath>
                <m:sSub>
                  <m:sSubPr>
                    <m:ctrlPr>
                      <w:rPr>
                        <w:rFonts w:ascii="Cambria Math" w:hAnsi="Cambria Math"/>
                        <w:i/>
                      </w:rPr>
                    </m:ctrlPr>
                  </m:sSubPr>
                  <m:e>
                    <m:r>
                      <w:rPr>
                        <w:rFonts w:ascii="Cambria Math" w:hAnsi="Cambria Math"/>
                      </w:rPr>
                      <m:t>%</m:t>
                    </m:r>
                  </m:e>
                  <m:sub>
                    <m:r>
                      <w:rPr>
                        <w:rFonts w:ascii="Cambria Math" w:hAnsi="Cambria Math"/>
                      </w:rPr>
                      <m:t>shrinkage</m:t>
                    </m:r>
                  </m:sub>
                </m:sSub>
                <m:r>
                  <w:rPr>
                    <w:rFonts w:ascii="Cambria Math" w:hAnsi="Cambria Math"/>
                  </w:rPr>
                  <m:t>=</m:t>
                </m:r>
                <m:d>
                  <m:dPr>
                    <m:ctrlPr>
                      <w:rPr>
                        <w:rFonts w:ascii="Cambria Math" w:hAnsi="Cambria Math"/>
                        <w:i/>
                      </w:rPr>
                    </m:ctrlPr>
                  </m:dPr>
                  <m:e>
                    <m:r>
                      <w:rPr>
                        <w:rFonts w:ascii="Cambria Math" w:hAnsi="Cambria Math"/>
                      </w:rPr>
                      <m:t>1-</m:t>
                    </m:r>
                    <m:d>
                      <m:dPr>
                        <m:ctrlPr>
                          <w:rPr>
                            <w:rFonts w:ascii="Cambria Math" w:hAnsi="Cambria Math"/>
                            <w:i/>
                          </w:rPr>
                        </m:ctrlPr>
                      </m:dPr>
                      <m:e>
                        <m:f>
                          <m:fPr>
                            <m:ctrlPr>
                              <w:rPr>
                                <w:rFonts w:ascii="Cambria Math" w:hAnsi="Cambria Math"/>
                                <w:i/>
                              </w:rPr>
                            </m:ctrlPr>
                          </m:fPr>
                          <m:num>
                            <m:f>
                              <m:fPr>
                                <m:ctrlPr>
                                  <w:rPr>
                                    <w:rFonts w:ascii="Cambria Math" w:hAnsi="Cambria Math"/>
                                    <w:i/>
                                  </w:rPr>
                                </m:ctrlPr>
                              </m:fPr>
                              <m:num>
                                <m:r>
                                  <w:rPr>
                                    <w:rFonts w:ascii="Cambria Math" w:hAnsi="Cambria Math"/>
                                  </w:rPr>
                                  <m:t>πL</m:t>
                                </m:r>
                              </m:num>
                              <m:den>
                                <m:r>
                                  <w:rPr>
                                    <w:rFonts w:ascii="Cambria Math" w:hAnsi="Cambria Math"/>
                                  </w:rPr>
                                  <m:t>4</m:t>
                                </m:r>
                              </m:den>
                            </m:f>
                            <m:d>
                              <m:dPr>
                                <m:ctrlPr>
                                  <w:rPr>
                                    <w:rFonts w:ascii="Cambria Math" w:hAnsi="Cambria Math"/>
                                    <w:i/>
                                  </w:rPr>
                                </m:ctrlPr>
                              </m:dPr>
                              <m:e>
                                <m:r>
                                  <w:rPr>
                                    <w:rFonts w:ascii="Cambria Math" w:hAnsi="Cambria Math"/>
                                  </w:rPr>
                                  <m:t>O</m:t>
                                </m:r>
                                <m:sSup>
                                  <m:sSupPr>
                                    <m:ctrlPr>
                                      <w:rPr>
                                        <w:rFonts w:ascii="Cambria Math" w:hAnsi="Cambria Math"/>
                                        <w:i/>
                                      </w:rPr>
                                    </m:ctrlPr>
                                  </m:sSupPr>
                                  <m:e>
                                    <m:r>
                                      <w:rPr>
                                        <w:rFonts w:ascii="Cambria Math" w:hAnsi="Cambria Math"/>
                                      </w:rPr>
                                      <m:t>D</m:t>
                                    </m:r>
                                  </m:e>
                                  <m:sup>
                                    <m:r>
                                      <w:rPr>
                                        <w:rFonts w:ascii="Cambria Math" w:hAnsi="Cambria Math"/>
                                      </w:rPr>
                                      <m:t>2</m:t>
                                    </m:r>
                                  </m:sup>
                                </m:sSup>
                                <m:r>
                                  <w:rPr>
                                    <w:rFonts w:ascii="Cambria Math" w:hAnsi="Cambria Math"/>
                                  </w:rPr>
                                  <m:t>-I</m:t>
                                </m:r>
                                <m:sSup>
                                  <m:sSupPr>
                                    <m:ctrlPr>
                                      <w:rPr>
                                        <w:rFonts w:ascii="Cambria Math" w:hAnsi="Cambria Math"/>
                                        <w:i/>
                                      </w:rPr>
                                    </m:ctrlPr>
                                  </m:sSupPr>
                                  <m:e>
                                    <m:r>
                                      <w:rPr>
                                        <w:rFonts w:ascii="Cambria Math" w:hAnsi="Cambria Math"/>
                                      </w:rPr>
                                      <m:t>D</m:t>
                                    </m:r>
                                  </m:e>
                                  <m:sup>
                                    <m:r>
                                      <w:rPr>
                                        <w:rFonts w:ascii="Cambria Math" w:hAnsi="Cambria Math"/>
                                      </w:rPr>
                                      <m:t>2</m:t>
                                    </m:r>
                                  </m:sup>
                                </m:sSup>
                              </m:e>
                            </m:d>
                            <m:r>
                              <w:rPr>
                                <w:rFonts w:ascii="Cambria Math" w:hAnsi="Cambria Math"/>
                              </w:rPr>
                              <m:t xml:space="preserve"> </m:t>
                            </m:r>
                          </m:num>
                          <m:den>
                            <m:sSub>
                              <m:sSubPr>
                                <m:ctrlPr>
                                  <w:rPr>
                                    <w:rFonts w:ascii="Cambria Math" w:hAnsi="Cambria Math"/>
                                    <w:i/>
                                  </w:rPr>
                                </m:ctrlPr>
                              </m:sSubPr>
                              <m:e>
                                <m:r>
                                  <w:rPr>
                                    <w:rFonts w:ascii="Cambria Math" w:hAnsi="Cambria Math"/>
                                  </w:rPr>
                                  <m:t>V</m:t>
                                </m:r>
                              </m:e>
                              <m:sub>
                                <m:r>
                                  <w:rPr>
                                    <w:rFonts w:ascii="Cambria Math" w:hAnsi="Cambria Math"/>
                                  </w:rPr>
                                  <m:t>original</m:t>
                                </m:r>
                              </m:sub>
                            </m:sSub>
                          </m:den>
                        </m:f>
                      </m:e>
                    </m:d>
                    <m:r>
                      <w:rPr>
                        <w:rFonts w:ascii="Cambria Math" w:hAnsi="Cambria Math"/>
                      </w:rPr>
                      <m:t xml:space="preserve"> </m:t>
                    </m:r>
                  </m:e>
                </m:d>
                <m:r>
                  <w:rPr>
                    <w:rFonts w:ascii="Cambria Math" w:hAnsi="Cambria Math"/>
                  </w:rPr>
                  <m:t>×100%</m:t>
                </m:r>
              </m:oMath>
            </m:oMathPara>
          </w:p>
        </w:tc>
        <w:tc>
          <w:tcPr>
            <w:tcW w:w="720" w:type="dxa"/>
            <w:vAlign w:val="bottom"/>
          </w:tcPr>
          <w:p w14:paraId="6655F61A" w14:textId="72345D37" w:rsidR="007D58FF" w:rsidRPr="00470CB5" w:rsidRDefault="00077C0B" w:rsidP="00BC23AD">
            <w:pPr>
              <w:pStyle w:val="Caption"/>
              <w:rPr>
                <w:i/>
              </w:rPr>
            </w:pPr>
            <w:r>
              <w:fldChar w:fldCharType="begin"/>
            </w:r>
            <w:r>
              <w:instrText xml:space="preserve"> STYLEREF 1 \s </w:instrText>
            </w:r>
            <w:r>
              <w:fldChar w:fldCharType="separate"/>
            </w:r>
            <w:r w:rsidR="0006023A">
              <w:rPr>
                <w:noProof/>
              </w:rPr>
              <w:t>4</w:t>
            </w:r>
            <w:r>
              <w:rPr>
                <w:noProof/>
              </w:rPr>
              <w:fldChar w:fldCharType="end"/>
            </w:r>
            <w:r w:rsidR="007D58FF">
              <w:t>.</w:t>
            </w:r>
            <w:r>
              <w:fldChar w:fldCharType="begin"/>
            </w:r>
            <w:r>
              <w:instrText xml:space="preserve"> SEQ Equation \* ARABIC \s 1 </w:instrText>
            </w:r>
            <w:r>
              <w:fldChar w:fldCharType="separate"/>
            </w:r>
            <w:r w:rsidR="0006023A">
              <w:rPr>
                <w:noProof/>
              </w:rPr>
              <w:t>50</w:t>
            </w:r>
            <w:r>
              <w:rPr>
                <w:noProof/>
              </w:rPr>
              <w:fldChar w:fldCharType="end"/>
            </w:r>
          </w:p>
        </w:tc>
      </w:tr>
    </w:tbl>
    <w:p w14:paraId="39E7691D" w14:textId="73DD64A5" w:rsidR="007D58FF" w:rsidRPr="00C35669" w:rsidRDefault="007D58FF" w:rsidP="00524B66">
      <w:r>
        <w:lastRenderedPageBreak/>
        <w:tab/>
        <w:t>The microannuli width</w:t>
      </w:r>
      <w:r w:rsidR="00467029">
        <w:t xml:space="preserve"> (</w:t>
      </w:r>
      <m:oMath>
        <m:r>
          <w:rPr>
            <w:rFonts w:ascii="Cambria Math" w:hAnsi="Cambria Math"/>
          </w:rPr>
          <m:t>w</m:t>
        </m:r>
      </m:oMath>
      <w:r w:rsidR="00467029">
        <w:rPr>
          <w:rFonts w:eastAsiaTheme="minorEastAsia"/>
        </w:rPr>
        <w:t>)</w:t>
      </w:r>
      <w:r w:rsidR="00467029">
        <w:t xml:space="preserve"> between the casing and cement sheath</w:t>
      </w:r>
      <w:r>
        <w:t xml:space="preserve"> is </w:t>
      </w:r>
      <w:r w:rsidR="00467029">
        <w:t xml:space="preserve">determined </w:t>
      </w:r>
      <w:r>
        <w:t xml:space="preserve">by taking the difference between the original outer </w:t>
      </w:r>
      <w:r w:rsidRPr="00C35669">
        <w:t>diameter of the cement sheath (</w:t>
      </w:r>
      <m:oMath>
        <m:r>
          <w:rPr>
            <w:rFonts w:ascii="Cambria Math" w:hAnsi="Cambria Math"/>
          </w:rPr>
          <m:t>O</m:t>
        </m:r>
        <m:sSub>
          <m:sSubPr>
            <m:ctrlPr>
              <w:rPr>
                <w:rFonts w:ascii="Cambria Math" w:hAnsi="Cambria Math"/>
                <w:i/>
              </w:rPr>
            </m:ctrlPr>
          </m:sSubPr>
          <m:e>
            <m:r>
              <w:rPr>
                <w:rFonts w:ascii="Cambria Math" w:hAnsi="Cambria Math"/>
              </w:rPr>
              <m:t>D</m:t>
            </m:r>
          </m:e>
          <m:sub>
            <m:r>
              <w:rPr>
                <w:rFonts w:ascii="Cambria Math" w:hAnsi="Cambria Math"/>
              </w:rPr>
              <m:t>pre</m:t>
            </m:r>
          </m:sub>
        </m:sSub>
      </m:oMath>
      <w:r w:rsidRPr="00C35669">
        <w:t>) and the outer diameter of the shrinkage induced cement sheath (</w:t>
      </w:r>
      <m:oMath>
        <m:r>
          <w:rPr>
            <w:rFonts w:ascii="Cambria Math" w:hAnsi="Cambria Math"/>
          </w:rPr>
          <m:t>O</m:t>
        </m:r>
        <m:sSub>
          <m:sSubPr>
            <m:ctrlPr>
              <w:rPr>
                <w:rFonts w:ascii="Cambria Math" w:hAnsi="Cambria Math"/>
                <w:i/>
              </w:rPr>
            </m:ctrlPr>
          </m:sSubPr>
          <m:e>
            <m:r>
              <w:rPr>
                <w:rFonts w:ascii="Cambria Math" w:hAnsi="Cambria Math"/>
              </w:rPr>
              <m:t>D</m:t>
            </m:r>
          </m:e>
          <m:sub>
            <m:r>
              <w:rPr>
                <w:rFonts w:ascii="Cambria Math" w:hAnsi="Cambria Math"/>
              </w:rPr>
              <m:t>post</m:t>
            </m:r>
          </m:sub>
        </m:sSub>
      </m:oMath>
      <w:r w:rsidRPr="00C35669">
        <w:t>)</w:t>
      </w:r>
      <w:r w:rsidR="00467029" w:rsidRPr="00C35669">
        <w:t xml:space="preserve"> as shown in Equation 4.5</w:t>
      </w:r>
      <w:r w:rsidR="002375FE" w:rsidRPr="00C35669">
        <w:t>1</w:t>
      </w:r>
      <w:r w:rsidRPr="00C35669">
        <w:t>.</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7D58FF" w:rsidRPr="00C35669" w14:paraId="52B7D11A" w14:textId="77777777" w:rsidTr="00893161">
        <w:trPr>
          <w:trHeight w:val="576"/>
        </w:trPr>
        <w:tc>
          <w:tcPr>
            <w:tcW w:w="720" w:type="dxa"/>
            <w:vAlign w:val="center"/>
          </w:tcPr>
          <w:p w14:paraId="7DB845EA" w14:textId="46D03183" w:rsidR="007D58FF" w:rsidRPr="00C35669" w:rsidRDefault="007D58FF" w:rsidP="00893161">
            <w:pPr>
              <w:spacing w:line="240" w:lineRule="auto"/>
              <w:jc w:val="center"/>
            </w:pPr>
          </w:p>
        </w:tc>
        <w:tc>
          <w:tcPr>
            <w:tcW w:w="7920" w:type="dxa"/>
            <w:vAlign w:val="center"/>
          </w:tcPr>
          <w:p w14:paraId="215F0DAF" w14:textId="77777777" w:rsidR="007D58FF" w:rsidRPr="00C35669" w:rsidRDefault="007D58FF" w:rsidP="00893161">
            <w:pPr>
              <w:spacing w:line="240" w:lineRule="auto"/>
              <w:jc w:val="center"/>
            </w:pPr>
            <m:oMathPara>
              <m:oMath>
                <m:r>
                  <w:rPr>
                    <w:rFonts w:ascii="Cambria Math" w:hAnsi="Cambria Math"/>
                  </w:rPr>
                  <m:t>w=</m:t>
                </m:r>
                <m:f>
                  <m:fPr>
                    <m:ctrlPr>
                      <w:rPr>
                        <w:rFonts w:ascii="Cambria Math" w:hAnsi="Cambria Math"/>
                        <w:i/>
                      </w:rPr>
                    </m:ctrlPr>
                  </m:fPr>
                  <m:num>
                    <m:d>
                      <m:dPr>
                        <m:ctrlPr>
                          <w:rPr>
                            <w:rFonts w:ascii="Cambria Math" w:hAnsi="Cambria Math"/>
                            <w:i/>
                          </w:rPr>
                        </m:ctrlPr>
                      </m:dPr>
                      <m:e>
                        <m:r>
                          <w:rPr>
                            <w:rFonts w:ascii="Cambria Math" w:hAnsi="Cambria Math"/>
                          </w:rPr>
                          <m:t>O</m:t>
                        </m:r>
                        <m:sSub>
                          <m:sSubPr>
                            <m:ctrlPr>
                              <w:rPr>
                                <w:rFonts w:ascii="Cambria Math" w:hAnsi="Cambria Math"/>
                                <w:i/>
                              </w:rPr>
                            </m:ctrlPr>
                          </m:sSubPr>
                          <m:e>
                            <m:r>
                              <w:rPr>
                                <w:rFonts w:ascii="Cambria Math" w:hAnsi="Cambria Math"/>
                              </w:rPr>
                              <m:t>D</m:t>
                            </m:r>
                          </m:e>
                          <m:sub>
                            <m:r>
                              <w:rPr>
                                <w:rFonts w:ascii="Cambria Math" w:hAnsi="Cambria Math"/>
                              </w:rPr>
                              <m:t>pre</m:t>
                            </m:r>
                          </m:sub>
                        </m:sSub>
                        <m:r>
                          <w:rPr>
                            <w:rFonts w:ascii="Cambria Math" w:hAnsi="Cambria Math"/>
                          </w:rPr>
                          <m:t>-O</m:t>
                        </m:r>
                        <m:sSub>
                          <m:sSubPr>
                            <m:ctrlPr>
                              <w:rPr>
                                <w:rFonts w:ascii="Cambria Math" w:hAnsi="Cambria Math"/>
                                <w:i/>
                              </w:rPr>
                            </m:ctrlPr>
                          </m:sSubPr>
                          <m:e>
                            <m:r>
                              <w:rPr>
                                <w:rFonts w:ascii="Cambria Math" w:hAnsi="Cambria Math"/>
                              </w:rPr>
                              <m:t>D</m:t>
                            </m:r>
                          </m:e>
                          <m:sub>
                            <m:r>
                              <w:rPr>
                                <w:rFonts w:ascii="Cambria Math" w:hAnsi="Cambria Math"/>
                              </w:rPr>
                              <m:t>post</m:t>
                            </m:r>
                          </m:sub>
                        </m:sSub>
                        <m:r>
                          <w:rPr>
                            <w:rFonts w:ascii="Cambria Math" w:hAnsi="Cambria Math"/>
                          </w:rPr>
                          <m:t xml:space="preserve"> </m:t>
                        </m:r>
                      </m:e>
                    </m:d>
                  </m:num>
                  <m:den>
                    <m:r>
                      <w:rPr>
                        <w:rFonts w:ascii="Cambria Math" w:hAnsi="Cambria Math"/>
                      </w:rPr>
                      <m:t>2</m:t>
                    </m:r>
                  </m:den>
                </m:f>
              </m:oMath>
            </m:oMathPara>
          </w:p>
        </w:tc>
        <w:tc>
          <w:tcPr>
            <w:tcW w:w="720" w:type="dxa"/>
            <w:vAlign w:val="bottom"/>
          </w:tcPr>
          <w:p w14:paraId="569CA6CC" w14:textId="485DA299" w:rsidR="007D58FF" w:rsidRPr="00C35669" w:rsidRDefault="00077C0B" w:rsidP="00BC23AD">
            <w:pPr>
              <w:pStyle w:val="Caption"/>
              <w:rPr>
                <w:i/>
              </w:rPr>
            </w:pPr>
            <w:r>
              <w:fldChar w:fldCharType="begin"/>
            </w:r>
            <w:r>
              <w:instrText xml:space="preserve"> STYLEREF 1 \s </w:instrText>
            </w:r>
            <w:r>
              <w:fldChar w:fldCharType="separate"/>
            </w:r>
            <w:r w:rsidR="0006023A">
              <w:rPr>
                <w:noProof/>
              </w:rPr>
              <w:t>4</w:t>
            </w:r>
            <w:r>
              <w:rPr>
                <w:noProof/>
              </w:rPr>
              <w:fldChar w:fldCharType="end"/>
            </w:r>
            <w:r w:rsidR="007D58FF" w:rsidRPr="00C35669">
              <w:t>.</w:t>
            </w:r>
            <w:r>
              <w:fldChar w:fldCharType="begin"/>
            </w:r>
            <w:r>
              <w:instrText xml:space="preserve"> SEQ Equation \* ARABIC \s 1 </w:instrText>
            </w:r>
            <w:r>
              <w:fldChar w:fldCharType="separate"/>
            </w:r>
            <w:r w:rsidR="0006023A">
              <w:rPr>
                <w:noProof/>
              </w:rPr>
              <w:t>51</w:t>
            </w:r>
            <w:r>
              <w:rPr>
                <w:noProof/>
              </w:rPr>
              <w:fldChar w:fldCharType="end"/>
            </w:r>
          </w:p>
        </w:tc>
      </w:tr>
    </w:tbl>
    <w:p w14:paraId="70DDA8FC" w14:textId="77777777" w:rsidR="007D58FF" w:rsidRPr="00C35669" w:rsidRDefault="007D58FF" w:rsidP="007D58FF"/>
    <w:p w14:paraId="2971B065" w14:textId="51CF766C" w:rsidR="00962760" w:rsidRPr="00C35669" w:rsidRDefault="00962760" w:rsidP="00962760">
      <w:pPr>
        <w:ind w:firstLine="720"/>
      </w:pPr>
      <w:r w:rsidRPr="00C35669">
        <w:t>Since determining the outer diameter of the shrinkage induced ceme</w:t>
      </w:r>
      <w:r w:rsidR="00C93FC0" w:rsidRPr="00C35669">
        <w:t xml:space="preserve">nt is not easily accessible, an iteration was performed in which </w:t>
      </w:r>
      <w:r w:rsidRPr="00C35669">
        <w:t xml:space="preserve">the percent change from </w:t>
      </w:r>
      <m:oMath>
        <m:sSub>
          <m:sSubPr>
            <m:ctrlPr>
              <w:rPr>
                <w:rFonts w:ascii="Cambria Math" w:hAnsi="Cambria Math"/>
                <w:i/>
              </w:rPr>
            </m:ctrlPr>
          </m:sSubPr>
          <m:e>
            <m:r>
              <w:rPr>
                <w:rFonts w:ascii="Cambria Math" w:hAnsi="Cambria Math"/>
              </w:rPr>
              <m:t>V</m:t>
            </m:r>
          </m:e>
          <m:sub>
            <m:r>
              <w:rPr>
                <w:rFonts w:ascii="Cambria Math" w:hAnsi="Cambria Math"/>
              </w:rPr>
              <m:t>post</m:t>
            </m:r>
          </m:sub>
        </m:sSub>
      </m:oMath>
      <w:r w:rsidRPr="00C35669">
        <w:rPr>
          <w:rFonts w:eastAsiaTheme="minorEastAsia"/>
        </w:rPr>
        <w:t xml:space="preserve"> to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pre</m:t>
            </m:r>
          </m:sub>
        </m:sSub>
      </m:oMath>
      <w:r w:rsidR="00C93FC0" w:rsidRPr="00C35669">
        <w:rPr>
          <w:rFonts w:eastAsiaTheme="minorEastAsia"/>
        </w:rPr>
        <w:t xml:space="preserve"> was kept</w:t>
      </w:r>
      <w:r w:rsidRPr="00C35669">
        <w:rPr>
          <w:rFonts w:eastAsiaTheme="minorEastAsia"/>
        </w:rPr>
        <w:t xml:space="preserve"> the same while varying the cement</w:t>
      </w:r>
      <w:r w:rsidR="00C93FC0" w:rsidRPr="00C35669">
        <w:rPr>
          <w:rFonts w:eastAsiaTheme="minorEastAsia"/>
        </w:rPr>
        <w:t xml:space="preserve"> dimensions (</w:t>
      </w:r>
      <m:oMath>
        <m:r>
          <w:rPr>
            <w:rFonts w:ascii="Cambria Math" w:eastAsiaTheme="minorEastAsia" w:hAnsi="Cambria Math"/>
          </w:rPr>
          <m:t>OD</m:t>
        </m:r>
      </m:oMath>
      <w:r w:rsidRPr="00C35669">
        <w:rPr>
          <w:rFonts w:eastAsiaTheme="minorEastAsia"/>
        </w:rPr>
        <w:t xml:space="preserve">, </w:t>
      </w:r>
      <m:oMath>
        <m:r>
          <w:rPr>
            <w:rFonts w:ascii="Cambria Math" w:eastAsiaTheme="minorEastAsia" w:hAnsi="Cambria Math"/>
          </w:rPr>
          <m:t>ID</m:t>
        </m:r>
      </m:oMath>
      <w:r w:rsidRPr="00C35669">
        <w:rPr>
          <w:rFonts w:eastAsiaTheme="minorEastAsia"/>
        </w:rPr>
        <w:t xml:space="preserve">, and </w:t>
      </w:r>
      <m:oMath>
        <m:r>
          <w:rPr>
            <w:rFonts w:ascii="Cambria Math" w:eastAsiaTheme="minorEastAsia" w:hAnsi="Cambria Math"/>
          </w:rPr>
          <m:t>L</m:t>
        </m:r>
      </m:oMath>
      <w:r w:rsidR="00C93FC0" w:rsidRPr="00C35669">
        <w:rPr>
          <w:rFonts w:eastAsiaTheme="minorEastAsia"/>
        </w:rPr>
        <w:t>)</w:t>
      </w:r>
      <w:r w:rsidRPr="00C35669">
        <w:rPr>
          <w:rFonts w:eastAsiaTheme="minorEastAsia"/>
        </w:rPr>
        <w:t xml:space="preserve">. </w:t>
      </w:r>
      <w:r w:rsidRPr="00C35669">
        <w:t xml:space="preserve">This calculation resulted in a microannuli gap width of 101.2 μm and is applied as an initial microannuli gap width between the cement sheath and the casing. </w:t>
      </w:r>
    </w:p>
    <w:p w14:paraId="142D97DA" w14:textId="7FE7F3A1" w:rsidR="007D58FF" w:rsidRDefault="007D58FF" w:rsidP="007D58FF">
      <w:pPr>
        <w:ind w:firstLine="720"/>
      </w:pPr>
      <w:r w:rsidRPr="00C35669">
        <w:t xml:space="preserve">To calculate the fluid pressure drop from the estimated microannuli gap, frictional pressure loss </w:t>
      </w:r>
      <m:oMath>
        <m:r>
          <w:rPr>
            <w:rFonts w:ascii="Cambria Math" w:hAnsi="Cambria Math"/>
          </w:rPr>
          <m:t>(d</m:t>
        </m:r>
        <m:sSub>
          <m:sSubPr>
            <m:ctrlPr>
              <w:rPr>
                <w:rFonts w:ascii="Cambria Math" w:hAnsi="Cambria Math"/>
                <w:i/>
              </w:rPr>
            </m:ctrlPr>
          </m:sSubPr>
          <m:e>
            <m:r>
              <w:rPr>
                <w:rFonts w:ascii="Cambria Math" w:hAnsi="Cambria Math"/>
              </w:rPr>
              <m:t>p</m:t>
            </m:r>
          </m:e>
          <m:sub>
            <m:r>
              <w:rPr>
                <w:rFonts w:ascii="Cambria Math" w:hAnsi="Cambria Math"/>
              </w:rPr>
              <m:t>f</m:t>
            </m:r>
          </m:sub>
        </m:sSub>
        <m:r>
          <w:rPr>
            <w:rFonts w:ascii="Cambria Math" w:hAnsi="Cambria Math"/>
          </w:rPr>
          <m:t>)</m:t>
        </m:r>
      </m:oMath>
      <w:r w:rsidRPr="00C35669">
        <w:t xml:space="preserve"> per unit length </w:t>
      </w:r>
      <m:oMath>
        <m:d>
          <m:dPr>
            <m:ctrlPr>
              <w:rPr>
                <w:rFonts w:ascii="Cambria Math" w:hAnsi="Cambria Math"/>
                <w:i/>
              </w:rPr>
            </m:ctrlPr>
          </m:dPr>
          <m:e>
            <m:r>
              <w:rPr>
                <w:rFonts w:ascii="Cambria Math" w:hAnsi="Cambria Math"/>
              </w:rPr>
              <m:t>ds</m:t>
            </m:r>
          </m:e>
        </m:d>
      </m:oMath>
      <w:r w:rsidRPr="00C35669">
        <w:t xml:space="preserve"> is calculated with Equation</w:t>
      </w:r>
      <w:r w:rsidR="00DF16AF" w:rsidRPr="00C35669">
        <w:t xml:space="preserve"> 4.5</w:t>
      </w:r>
      <w:r w:rsidR="002375FE" w:rsidRPr="00C35669">
        <w:t>2</w:t>
      </w:r>
      <w:r w:rsidRPr="00C35669">
        <w:t xml:space="preserve"> since</w:t>
      </w:r>
      <w:r w:rsidRPr="007A2C68">
        <w:t xml:space="preserve"> the microannuli gap created in the FEA models replicates annular flow with a Newtonian fluid.</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7D58FF" w14:paraId="7868D1D6" w14:textId="77777777" w:rsidTr="00893161">
        <w:trPr>
          <w:trHeight w:val="576"/>
        </w:trPr>
        <w:tc>
          <w:tcPr>
            <w:tcW w:w="720" w:type="dxa"/>
            <w:vAlign w:val="center"/>
          </w:tcPr>
          <w:p w14:paraId="34273BD8" w14:textId="59964201" w:rsidR="007D58FF" w:rsidRDefault="007D58FF" w:rsidP="00893161">
            <w:pPr>
              <w:spacing w:line="240" w:lineRule="auto"/>
              <w:jc w:val="center"/>
            </w:pPr>
          </w:p>
        </w:tc>
        <w:tc>
          <w:tcPr>
            <w:tcW w:w="7920" w:type="dxa"/>
            <w:vAlign w:val="center"/>
          </w:tcPr>
          <w:p w14:paraId="602FA967" w14:textId="77777777" w:rsidR="007D58FF" w:rsidRPr="003E4C6A" w:rsidRDefault="00077C0B" w:rsidP="00893161">
            <w:pPr>
              <w:spacing w:line="240" w:lineRule="auto"/>
              <w:jc w:val="center"/>
            </w:pPr>
            <m:oMathPara>
              <m:oMath>
                <m:f>
                  <m:fPr>
                    <m:ctrlPr>
                      <w:rPr>
                        <w:rFonts w:ascii="Cambria Math" w:hAnsi="Cambria Math"/>
                        <w:i/>
                      </w:rPr>
                    </m:ctrlPr>
                  </m:fPr>
                  <m:num>
                    <m:sSub>
                      <m:sSubPr>
                        <m:ctrlPr>
                          <w:rPr>
                            <w:rFonts w:ascii="Cambria Math" w:hAnsi="Cambria Math"/>
                            <w:i/>
                          </w:rPr>
                        </m:ctrlPr>
                      </m:sSubPr>
                      <m:e>
                        <m:r>
                          <w:rPr>
                            <w:rFonts w:ascii="Cambria Math" w:hAnsi="Cambria Math"/>
                          </w:rPr>
                          <m:t>dp</m:t>
                        </m:r>
                      </m:e>
                      <m:sub>
                        <m:r>
                          <w:rPr>
                            <w:rFonts w:ascii="Cambria Math" w:hAnsi="Cambria Math"/>
                          </w:rPr>
                          <m:t>f</m:t>
                        </m:r>
                      </m:sub>
                    </m:sSub>
                  </m:num>
                  <m:den>
                    <m:r>
                      <w:rPr>
                        <w:rFonts w:ascii="Cambria Math" w:hAnsi="Cambria Math"/>
                      </w:rPr>
                      <m:t>ds</m:t>
                    </m:r>
                  </m:den>
                </m:f>
                <m:r>
                  <w:rPr>
                    <w:rFonts w:ascii="Cambria Math" w:hAnsi="Cambria Math"/>
                  </w:rPr>
                  <m:t>=</m:t>
                </m:r>
                <m:f>
                  <m:fPr>
                    <m:ctrlPr>
                      <w:rPr>
                        <w:rFonts w:ascii="Cambria Math" w:hAnsi="Cambria Math"/>
                        <w:i/>
                      </w:rPr>
                    </m:ctrlPr>
                  </m:fPr>
                  <m:num>
                    <m:r>
                      <w:rPr>
                        <w:rFonts w:ascii="Cambria Math" w:hAnsi="Cambria Math"/>
                      </w:rPr>
                      <m:t>2fρ</m:t>
                    </m:r>
                    <m:sSup>
                      <m:sSupPr>
                        <m:ctrlPr>
                          <w:rPr>
                            <w:rFonts w:ascii="Cambria Math" w:hAnsi="Cambria Math"/>
                            <w:i/>
                          </w:rPr>
                        </m:ctrlPr>
                      </m:sSupPr>
                      <m:e>
                        <m:r>
                          <w:rPr>
                            <w:rFonts w:ascii="Cambria Math" w:hAnsi="Cambria Math"/>
                          </w:rPr>
                          <m:t>v</m:t>
                        </m:r>
                      </m:e>
                      <m:sup>
                        <m:r>
                          <w:rPr>
                            <w:rFonts w:ascii="Cambria Math" w:hAnsi="Cambria Math"/>
                          </w:rPr>
                          <m:t>2</m:t>
                        </m:r>
                      </m:sup>
                    </m:sSup>
                  </m:num>
                  <m:den>
                    <m:sSub>
                      <m:sSubPr>
                        <m:ctrlPr>
                          <w:rPr>
                            <w:rFonts w:ascii="Cambria Math" w:hAnsi="Cambria Math"/>
                            <w:i/>
                          </w:rPr>
                        </m:ctrlPr>
                      </m:sSubPr>
                      <m:e>
                        <m:r>
                          <w:rPr>
                            <w:rFonts w:ascii="Cambria Math" w:hAnsi="Cambria Math"/>
                          </w:rPr>
                          <m:t>d</m:t>
                        </m:r>
                      </m:e>
                      <m:sub>
                        <m:r>
                          <w:rPr>
                            <w:rFonts w:ascii="Cambria Math" w:hAnsi="Cambria Math"/>
                          </w:rPr>
                          <m:t>w</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p</m:t>
                        </m:r>
                      </m:sub>
                    </m:sSub>
                  </m:den>
                </m:f>
              </m:oMath>
            </m:oMathPara>
          </w:p>
        </w:tc>
        <w:tc>
          <w:tcPr>
            <w:tcW w:w="720" w:type="dxa"/>
            <w:vAlign w:val="bottom"/>
          </w:tcPr>
          <w:p w14:paraId="1F82CFC1" w14:textId="5E621560" w:rsidR="007D58FF" w:rsidRPr="00470CB5" w:rsidRDefault="00077C0B" w:rsidP="00BC23AD">
            <w:pPr>
              <w:pStyle w:val="Caption"/>
              <w:rPr>
                <w:i/>
              </w:rPr>
            </w:pPr>
            <w:r>
              <w:fldChar w:fldCharType="begin"/>
            </w:r>
            <w:r>
              <w:instrText xml:space="preserve"> STYLEREF 1 \s </w:instrText>
            </w:r>
            <w:r>
              <w:fldChar w:fldCharType="separate"/>
            </w:r>
            <w:r w:rsidR="0006023A">
              <w:rPr>
                <w:noProof/>
              </w:rPr>
              <w:t>4</w:t>
            </w:r>
            <w:r>
              <w:rPr>
                <w:noProof/>
              </w:rPr>
              <w:fldChar w:fldCharType="end"/>
            </w:r>
            <w:r w:rsidR="007D58FF">
              <w:t>.</w:t>
            </w:r>
            <w:r>
              <w:fldChar w:fldCharType="begin"/>
            </w:r>
            <w:r>
              <w:instrText xml:space="preserve"> SEQ Equation \* ARABIC \s 1 </w:instrText>
            </w:r>
            <w:r>
              <w:fldChar w:fldCharType="separate"/>
            </w:r>
            <w:r w:rsidR="0006023A">
              <w:rPr>
                <w:noProof/>
              </w:rPr>
              <w:t>52</w:t>
            </w:r>
            <w:r>
              <w:rPr>
                <w:noProof/>
              </w:rPr>
              <w:fldChar w:fldCharType="end"/>
            </w:r>
          </w:p>
        </w:tc>
      </w:tr>
    </w:tbl>
    <w:p w14:paraId="6846FDD2" w14:textId="77777777" w:rsidR="007D58FF" w:rsidRDefault="007D58FF" w:rsidP="007D58FF">
      <w:pPr>
        <w:ind w:firstLine="720"/>
      </w:pPr>
    </w:p>
    <w:p w14:paraId="06843D88" w14:textId="5908FED9" w:rsidR="007D58FF" w:rsidRDefault="007D58FF" w:rsidP="007D58FF">
      <m:oMath>
        <m:r>
          <w:rPr>
            <w:rFonts w:ascii="Cambria Math" w:hAnsi="Cambria Math"/>
          </w:rPr>
          <m:t>f</m:t>
        </m:r>
      </m:oMath>
      <w:r w:rsidRPr="007A2C68">
        <w:t xml:space="preserve">, </w:t>
      </w:r>
      <m:oMath>
        <m:r>
          <w:rPr>
            <w:rFonts w:ascii="Cambria Math" w:hAnsi="Cambria Math"/>
          </w:rPr>
          <m:t>ρ</m:t>
        </m:r>
      </m:oMath>
      <w:r w:rsidRPr="007A2C68">
        <w:t xml:space="preserve">, </w:t>
      </w:r>
      <m:oMath>
        <m:r>
          <w:rPr>
            <w:rFonts w:ascii="Cambria Math" w:hAnsi="Cambria Math"/>
          </w:rPr>
          <m:t>ν</m:t>
        </m:r>
      </m:oMath>
      <w:r w:rsidRPr="007A2C68">
        <w:t xml:space="preserve">, </w:t>
      </w:r>
      <m:oMath>
        <m:sSub>
          <m:sSubPr>
            <m:ctrlPr>
              <w:rPr>
                <w:rFonts w:ascii="Cambria Math" w:hAnsi="Cambria Math"/>
                <w:i/>
              </w:rPr>
            </m:ctrlPr>
          </m:sSubPr>
          <m:e>
            <m:r>
              <w:rPr>
                <w:rFonts w:ascii="Cambria Math" w:hAnsi="Cambria Math"/>
              </w:rPr>
              <m:t>d</m:t>
            </m:r>
          </m:e>
          <m:sub>
            <m:r>
              <w:rPr>
                <w:rFonts w:ascii="Cambria Math" w:hAnsi="Cambria Math"/>
              </w:rPr>
              <m:t>w</m:t>
            </m:r>
          </m:sub>
        </m:sSub>
      </m:oMath>
      <w:r w:rsidRPr="007A2C68">
        <w:t xml:space="preserve">, and </w:t>
      </w:r>
      <m:oMath>
        <m:sSub>
          <m:sSubPr>
            <m:ctrlPr>
              <w:rPr>
                <w:rFonts w:ascii="Cambria Math" w:hAnsi="Cambria Math"/>
                <w:i/>
              </w:rPr>
            </m:ctrlPr>
          </m:sSubPr>
          <m:e>
            <m:r>
              <w:rPr>
                <w:rFonts w:ascii="Cambria Math" w:hAnsi="Cambria Math"/>
              </w:rPr>
              <m:t>d</m:t>
            </m:r>
          </m:e>
          <m:sub>
            <m:r>
              <w:rPr>
                <w:rFonts w:ascii="Cambria Math" w:hAnsi="Cambria Math"/>
              </w:rPr>
              <m:t>p</m:t>
            </m:r>
          </m:sub>
        </m:sSub>
      </m:oMath>
      <w:r w:rsidRPr="007A2C68">
        <w:t xml:space="preserve"> represent the Fanning friction factor, density, viscosity, casing inner diameter, and </w:t>
      </w:r>
      <w:r w:rsidRPr="00C35669">
        <w:t>cement sheath outer diameter, respectively. The difference between the casing inner diameter and the cement sheath outer diameter is the microannuli gap determined from the FEA models</w:t>
      </w:r>
      <w:r w:rsidR="00DF16AF" w:rsidRPr="00C35669">
        <w:t xml:space="preserve"> (Equation 4.5</w:t>
      </w:r>
      <w:r w:rsidR="002375FE" w:rsidRPr="00C35669">
        <w:t>1</w:t>
      </w:r>
      <w:r w:rsidR="00DF16AF" w:rsidRPr="00C35669">
        <w:t>)</w:t>
      </w:r>
      <w:r w:rsidRPr="00C35669">
        <w:t xml:space="preserve">. Characteristically, flow in the cemented annulus has a relatively low Reynold’s number (given in Equation </w:t>
      </w:r>
      <w:r w:rsidR="00DF16AF" w:rsidRPr="00C35669">
        <w:t>4.5</w:t>
      </w:r>
      <w:r w:rsidR="002375FE" w:rsidRPr="00C35669">
        <w:t>3</w:t>
      </w:r>
      <w:r w:rsidRPr="00C35669">
        <w:t xml:space="preserve">) and is laminar. The Fanning friction factor, given in Equation </w:t>
      </w:r>
      <w:r w:rsidR="00DF16AF" w:rsidRPr="00C35669">
        <w:t>4.5</w:t>
      </w:r>
      <w:r w:rsidR="002375FE" w:rsidRPr="00C35669">
        <w:t>4</w:t>
      </w:r>
      <w:r w:rsidRPr="00C35669">
        <w:t>, describes laminar frictional losses.</w:t>
      </w:r>
      <w:r w:rsidR="00EA4346" w:rsidRPr="00C35669">
        <w:t xml:space="preserve"> A more detailed description of the Fanning friction factor is discussed in Appendix L.</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7D58FF" w14:paraId="06CDC773" w14:textId="77777777" w:rsidTr="00893161">
        <w:trPr>
          <w:trHeight w:val="576"/>
        </w:trPr>
        <w:tc>
          <w:tcPr>
            <w:tcW w:w="720" w:type="dxa"/>
            <w:vAlign w:val="center"/>
          </w:tcPr>
          <w:p w14:paraId="1A392E86" w14:textId="786C2860" w:rsidR="007D58FF" w:rsidRDefault="007D58FF" w:rsidP="00893161">
            <w:pPr>
              <w:spacing w:line="240" w:lineRule="auto"/>
              <w:jc w:val="center"/>
            </w:pPr>
          </w:p>
        </w:tc>
        <w:tc>
          <w:tcPr>
            <w:tcW w:w="7920" w:type="dxa"/>
            <w:vAlign w:val="center"/>
          </w:tcPr>
          <w:p w14:paraId="1EBA934A" w14:textId="77777777" w:rsidR="007D58FF" w:rsidRPr="003E4C6A" w:rsidRDefault="00077C0B" w:rsidP="00893161">
            <w:pPr>
              <w:spacing w:line="240" w:lineRule="auto"/>
              <w:jc w:val="center"/>
            </w:pPr>
            <m:oMathPara>
              <m:oMath>
                <m:sSub>
                  <m:sSubPr>
                    <m:ctrlPr>
                      <w:rPr>
                        <w:rFonts w:ascii="Cambria Math" w:hAnsi="Cambria Math"/>
                        <w:i/>
                      </w:rPr>
                    </m:ctrlPr>
                  </m:sSubPr>
                  <m:e>
                    <m:r>
                      <w:rPr>
                        <w:rFonts w:ascii="Cambria Math" w:hAnsi="Cambria Math"/>
                      </w:rPr>
                      <m:t>N</m:t>
                    </m:r>
                  </m:e>
                  <m:sub>
                    <m:r>
                      <w:rPr>
                        <w:rFonts w:ascii="Cambria Math" w:hAnsi="Cambria Math"/>
                      </w:rPr>
                      <m:t>Re</m:t>
                    </m:r>
                  </m:sub>
                </m:sSub>
                <m:r>
                  <w:rPr>
                    <w:rFonts w:ascii="Cambria Math" w:hAnsi="Cambria Math"/>
                  </w:rPr>
                  <m:t>=</m:t>
                </m:r>
                <m:f>
                  <m:fPr>
                    <m:ctrlPr>
                      <w:rPr>
                        <w:rFonts w:ascii="Cambria Math" w:hAnsi="Cambria Math"/>
                        <w:i/>
                      </w:rPr>
                    </m:ctrlPr>
                  </m:fPr>
                  <m:num>
                    <m:r>
                      <w:rPr>
                        <w:rFonts w:ascii="Cambria Math" w:hAnsi="Cambria Math"/>
                      </w:rPr>
                      <m:t>Dρv</m:t>
                    </m:r>
                  </m:num>
                  <m:den>
                    <m:r>
                      <w:rPr>
                        <w:rFonts w:ascii="Cambria Math" w:hAnsi="Cambria Math"/>
                      </w:rPr>
                      <m:t>μ</m:t>
                    </m:r>
                  </m:den>
                </m:f>
              </m:oMath>
            </m:oMathPara>
          </w:p>
        </w:tc>
        <w:tc>
          <w:tcPr>
            <w:tcW w:w="720" w:type="dxa"/>
            <w:vAlign w:val="bottom"/>
          </w:tcPr>
          <w:p w14:paraId="76B131BB" w14:textId="0D2D9C46" w:rsidR="007D58FF" w:rsidRPr="00470CB5" w:rsidRDefault="00077C0B" w:rsidP="00BC23AD">
            <w:pPr>
              <w:pStyle w:val="Caption"/>
              <w:rPr>
                <w:i/>
              </w:rPr>
            </w:pPr>
            <w:r>
              <w:fldChar w:fldCharType="begin"/>
            </w:r>
            <w:r>
              <w:instrText xml:space="preserve"> STYLEREF 1 \s </w:instrText>
            </w:r>
            <w:r>
              <w:fldChar w:fldCharType="separate"/>
            </w:r>
            <w:r w:rsidR="0006023A">
              <w:rPr>
                <w:noProof/>
              </w:rPr>
              <w:t>4</w:t>
            </w:r>
            <w:r>
              <w:rPr>
                <w:noProof/>
              </w:rPr>
              <w:fldChar w:fldCharType="end"/>
            </w:r>
            <w:r w:rsidR="007D58FF">
              <w:t>.</w:t>
            </w:r>
            <w:r>
              <w:fldChar w:fldCharType="begin"/>
            </w:r>
            <w:r>
              <w:instrText xml:space="preserve"> SEQ Equation \* ARABIC \s 1 </w:instrText>
            </w:r>
            <w:r>
              <w:fldChar w:fldCharType="separate"/>
            </w:r>
            <w:r w:rsidR="0006023A">
              <w:rPr>
                <w:noProof/>
              </w:rPr>
              <w:t>53</w:t>
            </w:r>
            <w:r>
              <w:rPr>
                <w:noProof/>
              </w:rPr>
              <w:fldChar w:fldCharType="end"/>
            </w:r>
          </w:p>
        </w:tc>
      </w:tr>
    </w:tbl>
    <w:p w14:paraId="1F694BA4" w14:textId="77777777" w:rsidR="007D58FF" w:rsidRDefault="007D58FF" w:rsidP="007D58FF"/>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7D58FF" w14:paraId="1E103260" w14:textId="77777777" w:rsidTr="00893161">
        <w:trPr>
          <w:trHeight w:val="576"/>
        </w:trPr>
        <w:tc>
          <w:tcPr>
            <w:tcW w:w="720" w:type="dxa"/>
            <w:vAlign w:val="center"/>
          </w:tcPr>
          <w:p w14:paraId="25878349" w14:textId="67593DD9" w:rsidR="007D58FF" w:rsidRDefault="007D58FF" w:rsidP="00893161">
            <w:pPr>
              <w:spacing w:line="240" w:lineRule="auto"/>
              <w:jc w:val="center"/>
            </w:pPr>
          </w:p>
        </w:tc>
        <w:tc>
          <w:tcPr>
            <w:tcW w:w="7920" w:type="dxa"/>
            <w:vAlign w:val="center"/>
          </w:tcPr>
          <w:p w14:paraId="5AC43D8B" w14:textId="77777777" w:rsidR="007D58FF" w:rsidRPr="003E4C6A" w:rsidRDefault="007D58FF" w:rsidP="00893161">
            <w:pPr>
              <w:spacing w:line="240" w:lineRule="auto"/>
              <w:jc w:val="center"/>
            </w:pPr>
            <m:oMathPara>
              <m:oMath>
                <m:r>
                  <w:rPr>
                    <w:rFonts w:ascii="Cambria Math" w:hAnsi="Cambria Math"/>
                  </w:rPr>
                  <m:t>f=</m:t>
                </m:r>
                <m:f>
                  <m:fPr>
                    <m:ctrlPr>
                      <w:rPr>
                        <w:rFonts w:ascii="Cambria Math" w:hAnsi="Cambria Math"/>
                        <w:i/>
                      </w:rPr>
                    </m:ctrlPr>
                  </m:fPr>
                  <m:num>
                    <m:r>
                      <w:rPr>
                        <w:rFonts w:ascii="Cambria Math" w:hAnsi="Cambria Math"/>
                      </w:rPr>
                      <m:t>16</m:t>
                    </m:r>
                  </m:num>
                  <m:den>
                    <m:sSub>
                      <m:sSubPr>
                        <m:ctrlPr>
                          <w:rPr>
                            <w:rFonts w:ascii="Cambria Math" w:hAnsi="Cambria Math"/>
                            <w:i/>
                          </w:rPr>
                        </m:ctrlPr>
                      </m:sSubPr>
                      <m:e>
                        <m:r>
                          <w:rPr>
                            <w:rFonts w:ascii="Cambria Math" w:hAnsi="Cambria Math"/>
                          </w:rPr>
                          <m:t>N</m:t>
                        </m:r>
                      </m:e>
                      <m:sub>
                        <m:r>
                          <w:rPr>
                            <w:rFonts w:ascii="Cambria Math" w:hAnsi="Cambria Math"/>
                          </w:rPr>
                          <m:t>Re</m:t>
                        </m:r>
                      </m:sub>
                    </m:sSub>
                  </m:den>
                </m:f>
              </m:oMath>
            </m:oMathPara>
          </w:p>
        </w:tc>
        <w:tc>
          <w:tcPr>
            <w:tcW w:w="720" w:type="dxa"/>
            <w:vAlign w:val="bottom"/>
          </w:tcPr>
          <w:p w14:paraId="3579D5EA" w14:textId="10237279" w:rsidR="007D58FF" w:rsidRPr="00470CB5" w:rsidRDefault="00077C0B" w:rsidP="00BC23AD">
            <w:pPr>
              <w:pStyle w:val="Caption"/>
              <w:rPr>
                <w:i/>
              </w:rPr>
            </w:pPr>
            <w:r>
              <w:fldChar w:fldCharType="begin"/>
            </w:r>
            <w:r>
              <w:instrText xml:space="preserve"> STYLEREF 1 \s </w:instrText>
            </w:r>
            <w:r>
              <w:fldChar w:fldCharType="separate"/>
            </w:r>
            <w:r w:rsidR="0006023A">
              <w:rPr>
                <w:noProof/>
              </w:rPr>
              <w:t>4</w:t>
            </w:r>
            <w:r>
              <w:rPr>
                <w:noProof/>
              </w:rPr>
              <w:fldChar w:fldCharType="end"/>
            </w:r>
            <w:r w:rsidR="007D58FF">
              <w:t>.</w:t>
            </w:r>
            <w:r>
              <w:fldChar w:fldCharType="begin"/>
            </w:r>
            <w:r>
              <w:instrText xml:space="preserve"> SEQ Equation \* ARABIC \s 1 </w:instrText>
            </w:r>
            <w:r>
              <w:fldChar w:fldCharType="separate"/>
            </w:r>
            <w:r w:rsidR="0006023A">
              <w:rPr>
                <w:noProof/>
              </w:rPr>
              <w:t>54</w:t>
            </w:r>
            <w:r>
              <w:rPr>
                <w:noProof/>
              </w:rPr>
              <w:fldChar w:fldCharType="end"/>
            </w:r>
          </w:p>
        </w:tc>
      </w:tr>
    </w:tbl>
    <w:p w14:paraId="6E694179" w14:textId="77777777" w:rsidR="007D58FF" w:rsidRDefault="007D58FF" w:rsidP="007D58FF"/>
    <w:p w14:paraId="5701AC6D" w14:textId="6DF1675F" w:rsidR="007D58FF" w:rsidRDefault="007D58FF" w:rsidP="007D58FF">
      <w:pPr>
        <w:ind w:firstLine="720"/>
      </w:pPr>
      <w:r w:rsidRPr="00C35669">
        <w:t xml:space="preserve">To calculate the total pressure loss, the tubing was discretized into segments. For each segment, Equation </w:t>
      </w:r>
      <w:r w:rsidR="00DF16AF" w:rsidRPr="00C35669">
        <w:t>4.5</w:t>
      </w:r>
      <w:r w:rsidR="002375FE" w:rsidRPr="00C35669">
        <w:t>2</w:t>
      </w:r>
      <w:r w:rsidRPr="00C35669">
        <w:t xml:space="preserve"> was iterated until the microannuli gap and pressure drop converged. A sensitivity analysis was performed to determine the optimal</w:t>
      </w:r>
      <w:r w:rsidR="00DF0A66" w:rsidRPr="00C35669">
        <w:t xml:space="preserve"> number of segments to achieve accurate pressure drops. Figure 4.6 shows that</w:t>
      </w:r>
      <w:r w:rsidR="00DF0A66">
        <w:t xml:space="preserve"> breaking the total length into 1,000 segments results in accurate representation of the pressure drops.</w:t>
      </w:r>
    </w:p>
    <w:p w14:paraId="4619DE07" w14:textId="77777777" w:rsidR="00DF0A66" w:rsidRDefault="00DF0A66" w:rsidP="00BC23AD">
      <w:pPr>
        <w:pStyle w:val="NoSpacing"/>
      </w:pPr>
      <w:r>
        <w:rPr>
          <w:noProof/>
        </w:rPr>
        <w:drawing>
          <wp:inline distT="0" distB="0" distL="0" distR="0" wp14:anchorId="20BC5BF2" wp14:editId="761FEAFC">
            <wp:extent cx="4572635" cy="2743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4AF7E78A" w14:textId="538A03D9" w:rsidR="00DF0A66" w:rsidRDefault="00DF0A66" w:rsidP="00BC23AD">
      <w:pPr>
        <w:pStyle w:val="Caption"/>
      </w:pPr>
      <w:bookmarkStart w:id="99" w:name="_Toc67566222"/>
      <w:r>
        <w:t xml:space="preserve">Figure </w:t>
      </w:r>
      <w:r w:rsidR="00077C0B">
        <w:fldChar w:fldCharType="begin"/>
      </w:r>
      <w:r w:rsidR="00077C0B">
        <w:instrText xml:space="preserve"> STYLEREF 1 \s </w:instrText>
      </w:r>
      <w:r w:rsidR="00077C0B">
        <w:fldChar w:fldCharType="separate"/>
      </w:r>
      <w:r w:rsidR="0006023A">
        <w:rPr>
          <w:noProof/>
        </w:rPr>
        <w:t>4</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6</w:t>
      </w:r>
      <w:r w:rsidR="00077C0B">
        <w:rPr>
          <w:noProof/>
        </w:rPr>
        <w:fldChar w:fldCharType="end"/>
      </w:r>
      <w:r>
        <w:t>: Sensitivity analysis showing the pressure drop (</w:t>
      </w:r>
      <m:oMath>
        <m:r>
          <m:rPr>
            <m:sty m:val="b"/>
          </m:rPr>
          <w:rPr>
            <w:rFonts w:ascii="Cambria Math" w:hAnsi="Cambria Math"/>
          </w:rPr>
          <m:t>Δ</m:t>
        </m:r>
        <m:r>
          <m:rPr>
            <m:sty m:val="bi"/>
          </m:rPr>
          <w:rPr>
            <w:rFonts w:ascii="Cambria Math" w:hAnsi="Cambria Math"/>
          </w:rPr>
          <m:t>P</m:t>
        </m:r>
      </m:oMath>
      <w:r>
        <w:t>) versus number of segments relationship used for the explicitly coupled FEA model with the frictional pressure equation (4.54).</w:t>
      </w:r>
      <w:r w:rsidR="00E75698">
        <w:t xml:space="preserve"> 1,000 segments was determined to be sufficient for both casing lengths.</w:t>
      </w:r>
      <w:bookmarkEnd w:id="99"/>
    </w:p>
    <w:p w14:paraId="327E6A9A" w14:textId="1F0EDDCD" w:rsidR="00180C7B" w:rsidRDefault="00A643AC" w:rsidP="007D58FF">
      <w:pPr>
        <w:ind w:firstLine="720"/>
      </w:pPr>
      <w:r>
        <w:t xml:space="preserve">The relationship between the microannuli gap </w:t>
      </w:r>
      <w:r w:rsidRPr="00C35669">
        <w:t>versus pressure was performed for both conventional and expanding cements with concentric and eccentric configurations. The corresponding pressure versus microannuli curves are shown in Figures 4.7-4.10.</w:t>
      </w:r>
    </w:p>
    <w:p w14:paraId="59002B3E" w14:textId="77777777" w:rsidR="00A643AC" w:rsidRDefault="00A643AC" w:rsidP="00BC23AD">
      <w:pPr>
        <w:pStyle w:val="NoSpacing"/>
      </w:pPr>
      <w:r>
        <w:rPr>
          <w:noProof/>
        </w:rPr>
        <w:lastRenderedPageBreak/>
        <w:drawing>
          <wp:inline distT="0" distB="0" distL="0" distR="0" wp14:anchorId="2144A1F2" wp14:editId="610591FC">
            <wp:extent cx="4572000" cy="3570485"/>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3">
                      <a:extLst>
                        <a:ext uri="{28A0092B-C50C-407E-A947-70E740481C1C}">
                          <a14:useLocalDpi xmlns:a14="http://schemas.microsoft.com/office/drawing/2010/main" val="0"/>
                        </a:ext>
                      </a:extLst>
                    </a:blip>
                    <a:srcRect b="3860"/>
                    <a:stretch/>
                  </pic:blipFill>
                  <pic:spPr bwMode="auto">
                    <a:xfrm>
                      <a:off x="0" y="0"/>
                      <a:ext cx="4572000" cy="3570485"/>
                    </a:xfrm>
                    <a:prstGeom prst="rect">
                      <a:avLst/>
                    </a:prstGeom>
                    <a:noFill/>
                    <a:ln>
                      <a:noFill/>
                    </a:ln>
                    <a:extLst>
                      <a:ext uri="{53640926-AAD7-44D8-BBD7-CCE9431645EC}">
                        <a14:shadowObscured xmlns:a14="http://schemas.microsoft.com/office/drawing/2010/main"/>
                      </a:ext>
                    </a:extLst>
                  </pic:spPr>
                </pic:pic>
              </a:graphicData>
            </a:graphic>
          </wp:inline>
        </w:drawing>
      </w:r>
    </w:p>
    <w:p w14:paraId="7687C04A" w14:textId="1AE5CB11" w:rsidR="00A643AC" w:rsidRDefault="00A643AC" w:rsidP="00BC23AD">
      <w:pPr>
        <w:pStyle w:val="Caption"/>
      </w:pPr>
      <w:bookmarkStart w:id="100" w:name="_Toc67566223"/>
      <w:r>
        <w:t xml:space="preserve">Figure </w:t>
      </w:r>
      <w:r w:rsidR="00077C0B">
        <w:fldChar w:fldCharType="begin"/>
      </w:r>
      <w:r w:rsidR="00077C0B">
        <w:instrText xml:space="preserve"> STYLEREF 1 \s </w:instrText>
      </w:r>
      <w:r w:rsidR="00077C0B">
        <w:fldChar w:fldCharType="separate"/>
      </w:r>
      <w:r w:rsidR="0006023A">
        <w:rPr>
          <w:noProof/>
        </w:rPr>
        <w:t>4</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7</w:t>
      </w:r>
      <w:r w:rsidR="00077C0B">
        <w:rPr>
          <w:noProof/>
        </w:rPr>
        <w:fldChar w:fldCharType="end"/>
      </w:r>
      <w:r>
        <w:t>: Maximum and minimum initial pressure versus microannuli gap with corresponding average linear correlation for conventional cement with eccentric configuration. Note that for no pressure applied to system, there is not a microannuli gap.</w:t>
      </w:r>
      <w:bookmarkEnd w:id="100"/>
    </w:p>
    <w:p w14:paraId="41D9D4F7" w14:textId="77777777" w:rsidR="00C93FC0" w:rsidRPr="00C93FC0" w:rsidRDefault="00C93FC0" w:rsidP="00C93FC0"/>
    <w:p w14:paraId="0BC4A474" w14:textId="77777777" w:rsidR="00A643AC" w:rsidRDefault="00A643AC" w:rsidP="00BC23AD">
      <w:pPr>
        <w:pStyle w:val="NoSpacing"/>
      </w:pPr>
      <w:r>
        <w:rPr>
          <w:noProof/>
        </w:rPr>
        <w:lastRenderedPageBreak/>
        <w:drawing>
          <wp:inline distT="0" distB="0" distL="0" distR="0" wp14:anchorId="2DBE5EEB" wp14:editId="7B4C2633">
            <wp:extent cx="4572000" cy="3554582"/>
            <wp:effectExtent l="0" t="0" r="0" b="825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4">
                      <a:extLst>
                        <a:ext uri="{28A0092B-C50C-407E-A947-70E740481C1C}">
                          <a14:useLocalDpi xmlns:a14="http://schemas.microsoft.com/office/drawing/2010/main" val="0"/>
                        </a:ext>
                      </a:extLst>
                    </a:blip>
                    <a:srcRect b="4288"/>
                    <a:stretch/>
                  </pic:blipFill>
                  <pic:spPr bwMode="auto">
                    <a:xfrm>
                      <a:off x="0" y="0"/>
                      <a:ext cx="4572000" cy="3554582"/>
                    </a:xfrm>
                    <a:prstGeom prst="rect">
                      <a:avLst/>
                    </a:prstGeom>
                    <a:noFill/>
                    <a:ln>
                      <a:noFill/>
                    </a:ln>
                    <a:extLst>
                      <a:ext uri="{53640926-AAD7-44D8-BBD7-CCE9431645EC}">
                        <a14:shadowObscured xmlns:a14="http://schemas.microsoft.com/office/drawing/2010/main"/>
                      </a:ext>
                    </a:extLst>
                  </pic:spPr>
                </pic:pic>
              </a:graphicData>
            </a:graphic>
          </wp:inline>
        </w:drawing>
      </w:r>
    </w:p>
    <w:p w14:paraId="11E5BBFA" w14:textId="544D7E8B" w:rsidR="00A643AC" w:rsidRDefault="00A643AC" w:rsidP="00BC23AD">
      <w:pPr>
        <w:pStyle w:val="Caption"/>
      </w:pPr>
      <w:bookmarkStart w:id="101" w:name="_Toc67566224"/>
      <w:r>
        <w:t xml:space="preserve">Figure </w:t>
      </w:r>
      <w:r w:rsidR="00077C0B">
        <w:fldChar w:fldCharType="begin"/>
      </w:r>
      <w:r w:rsidR="00077C0B">
        <w:instrText xml:space="preserve"> STYLEREF 1 \s </w:instrText>
      </w:r>
      <w:r w:rsidR="00077C0B">
        <w:fldChar w:fldCharType="separate"/>
      </w:r>
      <w:r w:rsidR="0006023A">
        <w:rPr>
          <w:noProof/>
        </w:rPr>
        <w:t>4</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8</w:t>
      </w:r>
      <w:r w:rsidR="00077C0B">
        <w:rPr>
          <w:noProof/>
        </w:rPr>
        <w:fldChar w:fldCharType="end"/>
      </w:r>
      <w:r>
        <w:t>: Maximum and minimum initial pressure versus microannuli gap with corresponding average linear correlation for conventional cement with concentric configuration.</w:t>
      </w:r>
      <w:bookmarkEnd w:id="101"/>
      <w:r>
        <w:t xml:space="preserve"> </w:t>
      </w:r>
    </w:p>
    <w:p w14:paraId="35692463" w14:textId="77777777" w:rsidR="00A643AC" w:rsidRDefault="00A643AC" w:rsidP="00BC23AD">
      <w:pPr>
        <w:pStyle w:val="NoSpacing"/>
      </w:pPr>
      <w:r>
        <w:rPr>
          <w:noProof/>
        </w:rPr>
        <w:drawing>
          <wp:inline distT="0" distB="0" distL="0" distR="0" wp14:anchorId="336261A6" wp14:editId="6048DF2A">
            <wp:extent cx="4572000" cy="3562507"/>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55">
                      <a:extLst>
                        <a:ext uri="{28A0092B-C50C-407E-A947-70E740481C1C}">
                          <a14:useLocalDpi xmlns:a14="http://schemas.microsoft.com/office/drawing/2010/main" val="0"/>
                        </a:ext>
                      </a:extLst>
                    </a:blip>
                    <a:srcRect b="4074"/>
                    <a:stretch/>
                  </pic:blipFill>
                  <pic:spPr bwMode="auto">
                    <a:xfrm>
                      <a:off x="0" y="0"/>
                      <a:ext cx="4572000" cy="3562507"/>
                    </a:xfrm>
                    <a:prstGeom prst="rect">
                      <a:avLst/>
                    </a:prstGeom>
                    <a:noFill/>
                    <a:ln>
                      <a:noFill/>
                    </a:ln>
                    <a:extLst>
                      <a:ext uri="{53640926-AAD7-44D8-BBD7-CCE9431645EC}">
                        <a14:shadowObscured xmlns:a14="http://schemas.microsoft.com/office/drawing/2010/main"/>
                      </a:ext>
                    </a:extLst>
                  </pic:spPr>
                </pic:pic>
              </a:graphicData>
            </a:graphic>
          </wp:inline>
        </w:drawing>
      </w:r>
    </w:p>
    <w:p w14:paraId="1DA5B725" w14:textId="0102478C" w:rsidR="00A643AC" w:rsidRDefault="00A643AC" w:rsidP="00BC23AD">
      <w:pPr>
        <w:pStyle w:val="Caption"/>
      </w:pPr>
      <w:bookmarkStart w:id="102" w:name="_Toc67566225"/>
      <w:r>
        <w:t xml:space="preserve">Figure </w:t>
      </w:r>
      <w:r w:rsidR="00077C0B">
        <w:fldChar w:fldCharType="begin"/>
      </w:r>
      <w:r w:rsidR="00077C0B">
        <w:instrText xml:space="preserve"> STYLEREF 1 \s </w:instrText>
      </w:r>
      <w:r w:rsidR="00077C0B">
        <w:fldChar w:fldCharType="separate"/>
      </w:r>
      <w:r w:rsidR="0006023A">
        <w:rPr>
          <w:noProof/>
        </w:rPr>
        <w:t>4</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9</w:t>
      </w:r>
      <w:r w:rsidR="00077C0B">
        <w:rPr>
          <w:noProof/>
        </w:rPr>
        <w:fldChar w:fldCharType="end"/>
      </w:r>
      <w:r>
        <w:t>: Maximum and minimum initial pressure versus microannuli gap with corresponding average linear correlation for expanding cement with eccentric configuration.</w:t>
      </w:r>
      <w:bookmarkEnd w:id="102"/>
    </w:p>
    <w:p w14:paraId="796FBD5C" w14:textId="77777777" w:rsidR="00A643AC" w:rsidRDefault="00A643AC" w:rsidP="00BC23AD">
      <w:pPr>
        <w:pStyle w:val="NoSpacing"/>
      </w:pPr>
      <w:r>
        <w:rPr>
          <w:noProof/>
        </w:rPr>
        <w:lastRenderedPageBreak/>
        <w:drawing>
          <wp:inline distT="0" distB="0" distL="0" distR="0" wp14:anchorId="66A6417F" wp14:editId="132B8CEA">
            <wp:extent cx="4571527" cy="3554233"/>
            <wp:effectExtent l="0" t="0" r="635" b="825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6">
                      <a:extLst>
                        <a:ext uri="{28A0092B-C50C-407E-A947-70E740481C1C}">
                          <a14:useLocalDpi xmlns:a14="http://schemas.microsoft.com/office/drawing/2010/main" val="0"/>
                        </a:ext>
                      </a:extLst>
                    </a:blip>
                    <a:srcRect b="4272"/>
                    <a:stretch/>
                  </pic:blipFill>
                  <pic:spPr bwMode="auto">
                    <a:xfrm>
                      <a:off x="0" y="0"/>
                      <a:ext cx="4572000" cy="3554601"/>
                    </a:xfrm>
                    <a:prstGeom prst="rect">
                      <a:avLst/>
                    </a:prstGeom>
                    <a:noFill/>
                    <a:ln>
                      <a:noFill/>
                    </a:ln>
                    <a:extLst>
                      <a:ext uri="{53640926-AAD7-44D8-BBD7-CCE9431645EC}">
                        <a14:shadowObscured xmlns:a14="http://schemas.microsoft.com/office/drawing/2010/main"/>
                      </a:ext>
                    </a:extLst>
                  </pic:spPr>
                </pic:pic>
              </a:graphicData>
            </a:graphic>
          </wp:inline>
        </w:drawing>
      </w:r>
    </w:p>
    <w:p w14:paraId="4EC07818" w14:textId="7D261826" w:rsidR="00A643AC" w:rsidRDefault="00A643AC" w:rsidP="00BC23AD">
      <w:pPr>
        <w:pStyle w:val="Caption"/>
      </w:pPr>
      <w:bookmarkStart w:id="103" w:name="_Toc67566226"/>
      <w:r>
        <w:t xml:space="preserve">Figure </w:t>
      </w:r>
      <w:r w:rsidR="00077C0B">
        <w:fldChar w:fldCharType="begin"/>
      </w:r>
      <w:r w:rsidR="00077C0B">
        <w:instrText xml:space="preserve"> STYLEREF 1 \s </w:instrText>
      </w:r>
      <w:r w:rsidR="00077C0B">
        <w:fldChar w:fldCharType="separate"/>
      </w:r>
      <w:r w:rsidR="0006023A">
        <w:rPr>
          <w:noProof/>
        </w:rPr>
        <w:t>4</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10</w:t>
      </w:r>
      <w:r w:rsidR="00077C0B">
        <w:rPr>
          <w:noProof/>
        </w:rPr>
        <w:fldChar w:fldCharType="end"/>
      </w:r>
      <w:r>
        <w:t>: Maximum and minimum initial pressure versus microannuli gap with corresponding average linear correlation for expanding cement with concentric configuration.</w:t>
      </w:r>
      <w:bookmarkEnd w:id="103"/>
    </w:p>
    <w:p w14:paraId="48CC0C5B" w14:textId="5027FD72" w:rsidR="00A643AC" w:rsidRDefault="00A643AC" w:rsidP="00A643AC">
      <w:pPr>
        <w:ind w:firstLine="720"/>
      </w:pPr>
      <w:r w:rsidRPr="003A4913">
        <w:t>The correlations</w:t>
      </w:r>
      <w:r>
        <w:t xml:space="preserve"> for pressure versus microannuli </w:t>
      </w:r>
      <w:r w:rsidRPr="003A4913">
        <w:t>for</w:t>
      </w:r>
      <w:r>
        <w:t xml:space="preserve"> the expanding cement with concentric geometry, expanding cement with eccentric geometry, conventional cement with concentric geometry, and conventional cement with eccentric geometry are </w:t>
      </w:r>
      <w:r w:rsidRPr="00C35669">
        <w:t>shown in Table 4.3. As mentioned</w:t>
      </w:r>
      <w:r w:rsidRPr="003A4913">
        <w:t xml:space="preserve"> previously, cement shrinkage is added on to the calculations for the microannuli gap. Since expanding cement does not have an initial microannuli gap, the intercept of the linear correlation is 0. Shrinkage is not</w:t>
      </w:r>
      <w:r>
        <w:t xml:space="preserve"> </w:t>
      </w:r>
      <w:r w:rsidRPr="003A4913">
        <w:t>included in the FEA models for the conventional cement</w:t>
      </w:r>
      <w:r>
        <w:t>, so t</w:t>
      </w:r>
      <w:r w:rsidRPr="003A4913">
        <w:t>he 1% volumetric shrinkage calculated previously (101.2 μm) is added to the y-intercept</w:t>
      </w:r>
      <w:r>
        <w:t xml:space="preserve"> for the conventional cement.</w:t>
      </w:r>
    </w:p>
    <w:p w14:paraId="5702DE84" w14:textId="25BFE421" w:rsidR="00A643AC" w:rsidRDefault="00A643AC" w:rsidP="00BC23AD">
      <w:pPr>
        <w:pStyle w:val="Caption"/>
      </w:pPr>
      <w:bookmarkStart w:id="104" w:name="_Toc67566091"/>
      <w:r>
        <w:t xml:space="preserve">Table </w:t>
      </w:r>
      <w:r w:rsidR="00077C0B">
        <w:fldChar w:fldCharType="begin"/>
      </w:r>
      <w:r w:rsidR="00077C0B">
        <w:instrText xml:space="preserve"> STYLEREF 1 \s </w:instrText>
      </w:r>
      <w:r w:rsidR="00077C0B">
        <w:fldChar w:fldCharType="separate"/>
      </w:r>
      <w:r w:rsidR="0006023A">
        <w:rPr>
          <w:noProof/>
        </w:rPr>
        <w:t>4</w:t>
      </w:r>
      <w:r w:rsidR="00077C0B">
        <w:rPr>
          <w:noProof/>
        </w:rPr>
        <w:fldChar w:fldCharType="end"/>
      </w:r>
      <w:r w:rsidR="00DD1F74">
        <w:t>.</w:t>
      </w:r>
      <w:r w:rsidR="00077C0B">
        <w:fldChar w:fldCharType="begin"/>
      </w:r>
      <w:r w:rsidR="00077C0B">
        <w:instrText xml:space="preserve"> SEQ Table \* ARABIC \s 1 </w:instrText>
      </w:r>
      <w:r w:rsidR="00077C0B">
        <w:fldChar w:fldCharType="separate"/>
      </w:r>
      <w:r w:rsidR="0006023A">
        <w:rPr>
          <w:noProof/>
        </w:rPr>
        <w:t>3</w:t>
      </w:r>
      <w:r w:rsidR="00077C0B">
        <w:rPr>
          <w:noProof/>
        </w:rPr>
        <w:fldChar w:fldCharType="end"/>
      </w:r>
      <w:r>
        <w:t>: Linear correlations for the initial pressure versus the microannuli gap for the test cement types with respect to their eccentricity. Note the intercept is the shrinkage induced gap.</w:t>
      </w:r>
      <w:bookmarkEnd w:id="104"/>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9"/>
        <w:gridCol w:w="1510"/>
        <w:gridCol w:w="1402"/>
        <w:gridCol w:w="1307"/>
      </w:tblGrid>
      <w:tr w:rsidR="00A643AC" w:rsidRPr="003A4913" w14:paraId="0A9143EC" w14:textId="77777777" w:rsidTr="009650AF">
        <w:trPr>
          <w:trHeight w:val="245"/>
          <w:jc w:val="center"/>
        </w:trPr>
        <w:tc>
          <w:tcPr>
            <w:tcW w:w="1269" w:type="dxa"/>
            <w:tcBorders>
              <w:bottom w:val="single" w:sz="4" w:space="0" w:color="auto"/>
            </w:tcBorders>
            <w:vAlign w:val="center"/>
          </w:tcPr>
          <w:p w14:paraId="241F5787" w14:textId="77777777" w:rsidR="00A643AC" w:rsidRPr="003A4913" w:rsidRDefault="00A643AC" w:rsidP="009650AF">
            <w:pPr>
              <w:spacing w:line="240" w:lineRule="auto"/>
            </w:pPr>
          </w:p>
        </w:tc>
        <w:tc>
          <w:tcPr>
            <w:tcW w:w="1510" w:type="dxa"/>
            <w:tcBorders>
              <w:bottom w:val="single" w:sz="4" w:space="0" w:color="auto"/>
            </w:tcBorders>
            <w:vAlign w:val="center"/>
          </w:tcPr>
          <w:p w14:paraId="616DAD42" w14:textId="77777777" w:rsidR="00A643AC" w:rsidRPr="003A4913" w:rsidRDefault="00A643AC" w:rsidP="009650AF">
            <w:pPr>
              <w:spacing w:line="240" w:lineRule="auto"/>
            </w:pPr>
            <w:r w:rsidRPr="003A4913">
              <w:t>Cement Type</w:t>
            </w:r>
          </w:p>
        </w:tc>
        <w:tc>
          <w:tcPr>
            <w:tcW w:w="1402" w:type="dxa"/>
            <w:tcBorders>
              <w:bottom w:val="single" w:sz="4" w:space="0" w:color="auto"/>
            </w:tcBorders>
            <w:vAlign w:val="center"/>
          </w:tcPr>
          <w:p w14:paraId="479CA74D" w14:textId="77777777" w:rsidR="00A643AC" w:rsidRPr="003A4913" w:rsidRDefault="00A643AC" w:rsidP="009650AF">
            <w:pPr>
              <w:spacing w:line="240" w:lineRule="auto"/>
            </w:pPr>
            <w:r w:rsidRPr="003A4913">
              <w:t>Slope</w:t>
            </w:r>
          </w:p>
        </w:tc>
        <w:tc>
          <w:tcPr>
            <w:tcW w:w="1307" w:type="dxa"/>
            <w:tcBorders>
              <w:bottom w:val="single" w:sz="4" w:space="0" w:color="auto"/>
            </w:tcBorders>
            <w:vAlign w:val="center"/>
          </w:tcPr>
          <w:p w14:paraId="5FCB0525" w14:textId="77777777" w:rsidR="00A643AC" w:rsidRPr="003A4913" w:rsidRDefault="00A643AC" w:rsidP="009650AF">
            <w:pPr>
              <w:spacing w:line="240" w:lineRule="auto"/>
            </w:pPr>
            <w:r w:rsidRPr="003A4913">
              <w:t>Intercept</w:t>
            </w:r>
          </w:p>
        </w:tc>
      </w:tr>
      <w:tr w:rsidR="00A643AC" w:rsidRPr="003A4913" w14:paraId="72BE1EED" w14:textId="77777777" w:rsidTr="009650AF">
        <w:trPr>
          <w:trHeight w:val="245"/>
          <w:jc w:val="center"/>
        </w:trPr>
        <w:tc>
          <w:tcPr>
            <w:tcW w:w="1269" w:type="dxa"/>
            <w:vAlign w:val="center"/>
          </w:tcPr>
          <w:p w14:paraId="01E7624B" w14:textId="77777777" w:rsidR="00A643AC" w:rsidRPr="003A4913" w:rsidRDefault="00A643AC" w:rsidP="009650AF">
            <w:pPr>
              <w:spacing w:line="240" w:lineRule="auto"/>
            </w:pPr>
            <w:r w:rsidRPr="003A4913">
              <w:t>Concentric</w:t>
            </w:r>
          </w:p>
        </w:tc>
        <w:tc>
          <w:tcPr>
            <w:tcW w:w="1510" w:type="dxa"/>
            <w:vAlign w:val="center"/>
          </w:tcPr>
          <w:p w14:paraId="24B29B82" w14:textId="77777777" w:rsidR="00A643AC" w:rsidRPr="003A4913" w:rsidRDefault="00A643AC" w:rsidP="009650AF">
            <w:pPr>
              <w:spacing w:line="240" w:lineRule="auto"/>
            </w:pPr>
            <w:r w:rsidRPr="003A4913">
              <w:t>Expanding</w:t>
            </w:r>
          </w:p>
        </w:tc>
        <w:tc>
          <w:tcPr>
            <w:tcW w:w="1402" w:type="dxa"/>
            <w:vAlign w:val="center"/>
          </w:tcPr>
          <w:p w14:paraId="73048FE9" w14:textId="77777777" w:rsidR="00A643AC" w:rsidRPr="003A4913" w:rsidRDefault="00A643AC" w:rsidP="009650AF">
            <w:pPr>
              <w:spacing w:line="240" w:lineRule="auto"/>
            </w:pPr>
            <w:r w:rsidRPr="003A4913">
              <w:t>7.2415</w:t>
            </w:r>
          </w:p>
        </w:tc>
        <w:tc>
          <w:tcPr>
            <w:tcW w:w="1307" w:type="dxa"/>
            <w:vAlign w:val="center"/>
          </w:tcPr>
          <w:p w14:paraId="1111CBA4" w14:textId="77777777" w:rsidR="00A643AC" w:rsidRPr="003A4913" w:rsidRDefault="00A643AC" w:rsidP="009650AF">
            <w:pPr>
              <w:spacing w:line="240" w:lineRule="auto"/>
            </w:pPr>
            <w:r w:rsidRPr="003A4913">
              <w:t>0</w:t>
            </w:r>
          </w:p>
        </w:tc>
      </w:tr>
      <w:tr w:rsidR="00A643AC" w:rsidRPr="003A4913" w14:paraId="3DE759BF" w14:textId="77777777" w:rsidTr="009650AF">
        <w:trPr>
          <w:trHeight w:val="245"/>
          <w:jc w:val="center"/>
        </w:trPr>
        <w:tc>
          <w:tcPr>
            <w:tcW w:w="1269" w:type="dxa"/>
            <w:vAlign w:val="center"/>
          </w:tcPr>
          <w:p w14:paraId="02B56DD3" w14:textId="77777777" w:rsidR="00A643AC" w:rsidRPr="003A4913" w:rsidRDefault="00A643AC" w:rsidP="009650AF">
            <w:pPr>
              <w:spacing w:line="240" w:lineRule="auto"/>
            </w:pPr>
            <w:r w:rsidRPr="003A4913">
              <w:t>Eccentric</w:t>
            </w:r>
          </w:p>
        </w:tc>
        <w:tc>
          <w:tcPr>
            <w:tcW w:w="1510" w:type="dxa"/>
            <w:vAlign w:val="center"/>
          </w:tcPr>
          <w:p w14:paraId="0542F7B8" w14:textId="77777777" w:rsidR="00A643AC" w:rsidRPr="003A4913" w:rsidRDefault="00A643AC" w:rsidP="009650AF">
            <w:pPr>
              <w:spacing w:line="240" w:lineRule="auto"/>
            </w:pPr>
            <w:r w:rsidRPr="003A4913">
              <w:t>Expanding</w:t>
            </w:r>
          </w:p>
        </w:tc>
        <w:tc>
          <w:tcPr>
            <w:tcW w:w="1402" w:type="dxa"/>
            <w:vAlign w:val="center"/>
          </w:tcPr>
          <w:p w14:paraId="75260CEF" w14:textId="77777777" w:rsidR="00A643AC" w:rsidRPr="003A4913" w:rsidRDefault="00A643AC" w:rsidP="009650AF">
            <w:pPr>
              <w:spacing w:line="240" w:lineRule="auto"/>
            </w:pPr>
            <w:r w:rsidRPr="003A4913">
              <w:t>7.3038</w:t>
            </w:r>
          </w:p>
        </w:tc>
        <w:tc>
          <w:tcPr>
            <w:tcW w:w="1307" w:type="dxa"/>
            <w:vAlign w:val="center"/>
          </w:tcPr>
          <w:p w14:paraId="4FCB1B69" w14:textId="77777777" w:rsidR="00A643AC" w:rsidRPr="003A4913" w:rsidRDefault="00A643AC" w:rsidP="009650AF">
            <w:pPr>
              <w:spacing w:line="240" w:lineRule="auto"/>
            </w:pPr>
            <w:r w:rsidRPr="003A4913">
              <w:t>0</w:t>
            </w:r>
          </w:p>
        </w:tc>
      </w:tr>
      <w:tr w:rsidR="00A643AC" w:rsidRPr="003A4913" w14:paraId="3C63982C" w14:textId="77777777" w:rsidTr="009650AF">
        <w:trPr>
          <w:trHeight w:val="245"/>
          <w:jc w:val="center"/>
        </w:trPr>
        <w:tc>
          <w:tcPr>
            <w:tcW w:w="1269" w:type="dxa"/>
            <w:vAlign w:val="center"/>
          </w:tcPr>
          <w:p w14:paraId="6F6ABC9D" w14:textId="77777777" w:rsidR="00A643AC" w:rsidRPr="003A4913" w:rsidRDefault="00A643AC" w:rsidP="009650AF">
            <w:pPr>
              <w:spacing w:line="240" w:lineRule="auto"/>
            </w:pPr>
            <w:r w:rsidRPr="003A4913">
              <w:t>Concentric</w:t>
            </w:r>
          </w:p>
        </w:tc>
        <w:tc>
          <w:tcPr>
            <w:tcW w:w="1510" w:type="dxa"/>
            <w:vAlign w:val="center"/>
          </w:tcPr>
          <w:p w14:paraId="6CD2D722" w14:textId="77777777" w:rsidR="00A643AC" w:rsidRPr="003A4913" w:rsidRDefault="00A643AC" w:rsidP="009650AF">
            <w:pPr>
              <w:spacing w:line="240" w:lineRule="auto"/>
            </w:pPr>
            <w:r w:rsidRPr="003A4913">
              <w:t>Conventional</w:t>
            </w:r>
          </w:p>
        </w:tc>
        <w:tc>
          <w:tcPr>
            <w:tcW w:w="1402" w:type="dxa"/>
            <w:vAlign w:val="center"/>
          </w:tcPr>
          <w:p w14:paraId="6F94162E" w14:textId="77777777" w:rsidR="00A643AC" w:rsidRPr="003A4913" w:rsidRDefault="00A643AC" w:rsidP="009650AF">
            <w:pPr>
              <w:spacing w:line="240" w:lineRule="auto"/>
            </w:pPr>
            <w:r w:rsidRPr="003A4913">
              <w:t>8.6372</w:t>
            </w:r>
          </w:p>
        </w:tc>
        <w:tc>
          <w:tcPr>
            <w:tcW w:w="1307" w:type="dxa"/>
            <w:vAlign w:val="center"/>
          </w:tcPr>
          <w:p w14:paraId="1F23D308" w14:textId="77777777" w:rsidR="00A643AC" w:rsidRPr="003A4913" w:rsidRDefault="00A643AC" w:rsidP="009650AF">
            <w:pPr>
              <w:spacing w:line="240" w:lineRule="auto"/>
            </w:pPr>
            <w:r w:rsidRPr="003A4913">
              <w:t>101.2</w:t>
            </w:r>
          </w:p>
        </w:tc>
      </w:tr>
      <w:tr w:rsidR="00A643AC" w:rsidRPr="003A4913" w14:paraId="157B7343" w14:textId="77777777" w:rsidTr="009650AF">
        <w:trPr>
          <w:trHeight w:val="245"/>
          <w:jc w:val="center"/>
        </w:trPr>
        <w:tc>
          <w:tcPr>
            <w:tcW w:w="1269" w:type="dxa"/>
            <w:vAlign w:val="center"/>
          </w:tcPr>
          <w:p w14:paraId="53D1A7A6" w14:textId="77777777" w:rsidR="00A643AC" w:rsidRPr="003A4913" w:rsidRDefault="00A643AC" w:rsidP="009650AF">
            <w:pPr>
              <w:spacing w:line="240" w:lineRule="auto"/>
            </w:pPr>
            <w:r w:rsidRPr="003A4913">
              <w:t>Eccentric</w:t>
            </w:r>
          </w:p>
        </w:tc>
        <w:tc>
          <w:tcPr>
            <w:tcW w:w="1510" w:type="dxa"/>
            <w:vAlign w:val="center"/>
          </w:tcPr>
          <w:p w14:paraId="2D197913" w14:textId="77777777" w:rsidR="00A643AC" w:rsidRPr="003A4913" w:rsidRDefault="00A643AC" w:rsidP="009650AF">
            <w:pPr>
              <w:spacing w:line="240" w:lineRule="auto"/>
            </w:pPr>
            <w:r w:rsidRPr="003A4913">
              <w:t>Conventional</w:t>
            </w:r>
          </w:p>
        </w:tc>
        <w:tc>
          <w:tcPr>
            <w:tcW w:w="1402" w:type="dxa"/>
            <w:vAlign w:val="center"/>
          </w:tcPr>
          <w:p w14:paraId="4546ABB6" w14:textId="77777777" w:rsidR="00A643AC" w:rsidRPr="003A4913" w:rsidRDefault="00A643AC" w:rsidP="009650AF">
            <w:pPr>
              <w:spacing w:line="240" w:lineRule="auto"/>
            </w:pPr>
            <w:r w:rsidRPr="003A4913">
              <w:t>8.6392</w:t>
            </w:r>
          </w:p>
        </w:tc>
        <w:tc>
          <w:tcPr>
            <w:tcW w:w="1307" w:type="dxa"/>
            <w:vAlign w:val="center"/>
          </w:tcPr>
          <w:p w14:paraId="43364ED7" w14:textId="77777777" w:rsidR="00A643AC" w:rsidRPr="003A4913" w:rsidRDefault="00A643AC" w:rsidP="009650AF">
            <w:pPr>
              <w:spacing w:line="240" w:lineRule="auto"/>
            </w:pPr>
            <w:r w:rsidRPr="003A4913">
              <w:t>101.2</w:t>
            </w:r>
          </w:p>
        </w:tc>
      </w:tr>
    </w:tbl>
    <w:p w14:paraId="185FCFED" w14:textId="4B46ED21" w:rsidR="00A643AC" w:rsidRDefault="00A643AC" w:rsidP="00A643AC">
      <w:pPr>
        <w:ind w:firstLine="720"/>
      </w:pPr>
      <w:r w:rsidRPr="00C35669">
        <w:lastRenderedPageBreak/>
        <w:t>From Table 4.3, the difference between the slope of the concentric and eccentric geometries is less than 1% for</w:t>
      </w:r>
      <w:r>
        <w:t xml:space="preserve"> both the expanding and conventional cement indicating that cement geometry has little effect on the pressure induced microannuli. As a result</w:t>
      </w:r>
      <w:r w:rsidR="00BA6CD3">
        <w:t>, the eccentric geometry is used for the pressure drop analysis</w:t>
      </w:r>
      <w:r>
        <w:t>.</w:t>
      </w:r>
    </w:p>
    <w:p w14:paraId="2C2B6046" w14:textId="77777777" w:rsidR="007D58FF" w:rsidRDefault="007D58FF" w:rsidP="003E1B51">
      <w:pPr>
        <w:pStyle w:val="Heading3"/>
      </w:pPr>
      <w:bookmarkStart w:id="105" w:name="_Toc67566052"/>
      <w:r>
        <w:t>GoM Parametric Study</w:t>
      </w:r>
      <w:bookmarkEnd w:id="105"/>
    </w:p>
    <w:p w14:paraId="5955F05D" w14:textId="4335D50E" w:rsidR="007D58FF" w:rsidRDefault="007D58FF" w:rsidP="00DF0A66">
      <w:pPr>
        <w:ind w:firstLine="720"/>
      </w:pPr>
      <w:r>
        <w:t>The GoM parametric study</w:t>
      </w:r>
      <w:r w:rsidR="00590B95">
        <w:t xml:space="preserve"> serves two purposes: the first is to identify and rank the contributing factors of stress development for three GoM wells</w:t>
      </w:r>
      <w:r w:rsidR="00D61D7B">
        <w:t xml:space="preserve">, in the Eugene Island OPD, </w:t>
      </w:r>
      <w:r w:rsidR="00590B95">
        <w:t xml:space="preserve">at different depths. The second purpose is to compare the two staged FEA models to show the effect of including fracture criteria. The two models are the staged poro-elastic FEA stress continuum model and the staged poro-elastic FEA fracture model. The main difference between the models, other than including fracture criteria, is how pore pressure in the rock formation and cement sheath is applied. </w:t>
      </w:r>
      <w:r w:rsidR="00D61D7B">
        <w:t xml:space="preserve">The fracture model applies pore pressure explicitly within the </w:t>
      </w:r>
      <w:r w:rsidR="00D61D7B" w:rsidRPr="00C35669">
        <w:t xml:space="preserve">elements (resulting in effective stress initial conditions) whereas the pore pressure is applied in the post analysis in the stress continuum model. </w:t>
      </w:r>
      <w:r w:rsidR="00DF0A66" w:rsidRPr="00C35669">
        <w:t xml:space="preserve">The input parameters used for the three </w:t>
      </w:r>
      <w:r w:rsidR="00D61D7B" w:rsidRPr="00C35669">
        <w:t xml:space="preserve">GoM wells </w:t>
      </w:r>
      <w:r w:rsidR="00DF0A66" w:rsidRPr="00C35669">
        <w:t>are listed in Table 4.</w:t>
      </w:r>
      <w:r w:rsidR="00C93FC0" w:rsidRPr="00C35669">
        <w:t>4</w:t>
      </w:r>
      <w:r w:rsidR="00DF0A66">
        <w:t xml:space="preserve"> </w:t>
      </w:r>
      <w:r w:rsidR="00DF0A66" w:rsidRPr="00EC7EFC">
        <w:t xml:space="preserve">including the source of the values.  </w:t>
      </w:r>
    </w:p>
    <w:p w14:paraId="033B55BA" w14:textId="63105067" w:rsidR="00C93FC0" w:rsidRDefault="00C93FC0" w:rsidP="00DF0A66">
      <w:pPr>
        <w:ind w:firstLine="720"/>
      </w:pPr>
    </w:p>
    <w:p w14:paraId="03E965B3" w14:textId="20B6B78E" w:rsidR="00C93FC0" w:rsidRDefault="00C93FC0" w:rsidP="00DF0A66">
      <w:pPr>
        <w:ind w:firstLine="720"/>
      </w:pPr>
    </w:p>
    <w:p w14:paraId="1CAC9336" w14:textId="73F92DA9" w:rsidR="00C93FC0" w:rsidRDefault="00C93FC0" w:rsidP="00DF0A66">
      <w:pPr>
        <w:ind w:firstLine="720"/>
      </w:pPr>
    </w:p>
    <w:p w14:paraId="3959B1D8" w14:textId="77777777" w:rsidR="00C93FC0" w:rsidRPr="006C3C73" w:rsidRDefault="00C93FC0" w:rsidP="00DF0A66">
      <w:pPr>
        <w:ind w:firstLine="720"/>
      </w:pPr>
    </w:p>
    <w:p w14:paraId="180C5B52" w14:textId="77777777" w:rsidR="00C93FC0" w:rsidRDefault="00C93FC0">
      <w:pPr>
        <w:spacing w:after="160" w:line="259" w:lineRule="auto"/>
        <w:jc w:val="left"/>
        <w:rPr>
          <w:b/>
          <w:iCs/>
          <w:color w:val="000000" w:themeColor="text1"/>
          <w:sz w:val="20"/>
          <w:szCs w:val="18"/>
        </w:rPr>
      </w:pPr>
      <w:r>
        <w:br w:type="page"/>
      </w:r>
    </w:p>
    <w:p w14:paraId="5C76319B" w14:textId="6FC5A215" w:rsidR="007D58FF" w:rsidRDefault="007D58FF" w:rsidP="00BC23AD">
      <w:pPr>
        <w:pStyle w:val="Caption"/>
      </w:pPr>
      <w:bookmarkStart w:id="106" w:name="_Toc67566092"/>
      <w:r>
        <w:lastRenderedPageBreak/>
        <w:t xml:space="preserve">Table </w:t>
      </w:r>
      <w:r w:rsidR="00077C0B">
        <w:fldChar w:fldCharType="begin"/>
      </w:r>
      <w:r w:rsidR="00077C0B">
        <w:instrText xml:space="preserve"> STYLEREF 1 \s </w:instrText>
      </w:r>
      <w:r w:rsidR="00077C0B">
        <w:fldChar w:fldCharType="separate"/>
      </w:r>
      <w:r w:rsidR="0006023A">
        <w:rPr>
          <w:noProof/>
        </w:rPr>
        <w:t>4</w:t>
      </w:r>
      <w:r w:rsidR="00077C0B">
        <w:rPr>
          <w:noProof/>
        </w:rPr>
        <w:fldChar w:fldCharType="end"/>
      </w:r>
      <w:r w:rsidR="00DD1F74">
        <w:t>.</w:t>
      </w:r>
      <w:r w:rsidR="00077C0B">
        <w:fldChar w:fldCharType="begin"/>
      </w:r>
      <w:r w:rsidR="00077C0B">
        <w:instrText xml:space="preserve"> SEQ Tab</w:instrText>
      </w:r>
      <w:r w:rsidR="00077C0B">
        <w:instrText xml:space="preserve">le \* ARABIC \s 1 </w:instrText>
      </w:r>
      <w:r w:rsidR="00077C0B">
        <w:fldChar w:fldCharType="separate"/>
      </w:r>
      <w:r w:rsidR="0006023A">
        <w:rPr>
          <w:noProof/>
        </w:rPr>
        <w:t>4</w:t>
      </w:r>
      <w:r w:rsidR="00077C0B">
        <w:rPr>
          <w:noProof/>
        </w:rPr>
        <w:fldChar w:fldCharType="end"/>
      </w:r>
      <w:r>
        <w:t xml:space="preserve">: </w:t>
      </w:r>
      <w:r w:rsidRPr="00EC7EFC">
        <w:t>Base case</w:t>
      </w:r>
      <w:r>
        <w:t xml:space="preserve"> input</w:t>
      </w:r>
      <w:r w:rsidRPr="00EC7EFC">
        <w:t xml:space="preserve"> parameters for the three wells in the Eugene Island OPD and</w:t>
      </w:r>
      <w:r>
        <w:t xml:space="preserve"> the source of their values.</w:t>
      </w:r>
      <w:bookmarkEnd w:id="106"/>
    </w:p>
    <w:tbl>
      <w:tblPr>
        <w:tblStyle w:val="TableGrid"/>
        <w:tblW w:w="86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3"/>
        <w:gridCol w:w="2448"/>
        <w:gridCol w:w="1296"/>
        <w:gridCol w:w="1296"/>
        <w:gridCol w:w="1296"/>
        <w:gridCol w:w="656"/>
        <w:gridCol w:w="75"/>
      </w:tblGrid>
      <w:tr w:rsidR="007D58FF" w:rsidRPr="00965529" w14:paraId="3B0FA2A4" w14:textId="77777777" w:rsidTr="00893161">
        <w:trPr>
          <w:gridAfter w:val="1"/>
          <w:wAfter w:w="75" w:type="dxa"/>
          <w:trHeight w:val="20"/>
          <w:jc w:val="center"/>
        </w:trPr>
        <w:tc>
          <w:tcPr>
            <w:tcW w:w="1573" w:type="dxa"/>
            <w:tcBorders>
              <w:bottom w:val="single" w:sz="4" w:space="0" w:color="auto"/>
              <w:right w:val="single" w:sz="4" w:space="0" w:color="auto"/>
            </w:tcBorders>
          </w:tcPr>
          <w:p w14:paraId="3D59E006" w14:textId="77777777" w:rsidR="007D58FF" w:rsidRPr="00965529" w:rsidRDefault="007D58FF" w:rsidP="00893161">
            <w:pPr>
              <w:pStyle w:val="Paragraph"/>
              <w:spacing w:after="0"/>
              <w:jc w:val="center"/>
              <w:rPr>
                <w:sz w:val="22"/>
                <w:szCs w:val="22"/>
              </w:rPr>
            </w:pPr>
          </w:p>
        </w:tc>
        <w:tc>
          <w:tcPr>
            <w:tcW w:w="2448" w:type="dxa"/>
            <w:tcBorders>
              <w:left w:val="single" w:sz="4" w:space="0" w:color="auto"/>
              <w:bottom w:val="single" w:sz="4" w:space="0" w:color="auto"/>
              <w:right w:val="single" w:sz="4" w:space="0" w:color="auto"/>
            </w:tcBorders>
            <w:vAlign w:val="center"/>
            <w:hideMark/>
          </w:tcPr>
          <w:p w14:paraId="3BF4226B" w14:textId="77777777" w:rsidR="007D58FF" w:rsidRPr="00965529" w:rsidRDefault="007D58FF" w:rsidP="00893161">
            <w:pPr>
              <w:pStyle w:val="Paragraph"/>
              <w:spacing w:after="0"/>
              <w:jc w:val="center"/>
              <w:rPr>
                <w:sz w:val="22"/>
                <w:szCs w:val="22"/>
              </w:rPr>
            </w:pPr>
            <w:r w:rsidRPr="00965529">
              <w:rPr>
                <w:sz w:val="22"/>
                <w:szCs w:val="22"/>
              </w:rPr>
              <w:t>Parameter</w:t>
            </w:r>
          </w:p>
        </w:tc>
        <w:tc>
          <w:tcPr>
            <w:tcW w:w="1296" w:type="dxa"/>
            <w:tcBorders>
              <w:left w:val="single" w:sz="4" w:space="0" w:color="auto"/>
              <w:bottom w:val="single" w:sz="4" w:space="0" w:color="auto"/>
              <w:right w:val="single" w:sz="4" w:space="0" w:color="auto"/>
            </w:tcBorders>
          </w:tcPr>
          <w:p w14:paraId="1FD92D5A" w14:textId="77777777" w:rsidR="007D58FF" w:rsidRPr="00965529" w:rsidRDefault="007D58FF" w:rsidP="00893161">
            <w:pPr>
              <w:pStyle w:val="Paragraph"/>
              <w:spacing w:after="0"/>
              <w:jc w:val="center"/>
              <w:rPr>
                <w:sz w:val="22"/>
                <w:szCs w:val="22"/>
              </w:rPr>
            </w:pPr>
            <w:r>
              <w:rPr>
                <w:sz w:val="22"/>
                <w:szCs w:val="22"/>
              </w:rPr>
              <w:t>Shallow</w:t>
            </w:r>
          </w:p>
        </w:tc>
        <w:tc>
          <w:tcPr>
            <w:tcW w:w="1296" w:type="dxa"/>
            <w:tcBorders>
              <w:left w:val="single" w:sz="4" w:space="0" w:color="auto"/>
              <w:bottom w:val="single" w:sz="4" w:space="0" w:color="auto"/>
              <w:right w:val="single" w:sz="4" w:space="0" w:color="auto"/>
            </w:tcBorders>
          </w:tcPr>
          <w:p w14:paraId="69AD9E4C" w14:textId="77777777" w:rsidR="007D58FF" w:rsidRPr="00965529" w:rsidRDefault="007D58FF" w:rsidP="00893161">
            <w:pPr>
              <w:pStyle w:val="Paragraph"/>
              <w:spacing w:after="0"/>
              <w:jc w:val="center"/>
              <w:rPr>
                <w:sz w:val="22"/>
                <w:szCs w:val="22"/>
              </w:rPr>
            </w:pPr>
            <w:r>
              <w:rPr>
                <w:sz w:val="22"/>
                <w:szCs w:val="22"/>
              </w:rPr>
              <w:t>Medium</w:t>
            </w:r>
          </w:p>
        </w:tc>
        <w:tc>
          <w:tcPr>
            <w:tcW w:w="1296" w:type="dxa"/>
            <w:tcBorders>
              <w:left w:val="single" w:sz="4" w:space="0" w:color="auto"/>
              <w:bottom w:val="single" w:sz="4" w:space="0" w:color="auto"/>
              <w:right w:val="single" w:sz="4" w:space="0" w:color="auto"/>
            </w:tcBorders>
            <w:noWrap/>
            <w:vAlign w:val="center"/>
            <w:hideMark/>
          </w:tcPr>
          <w:p w14:paraId="449ECA30" w14:textId="77777777" w:rsidR="007D58FF" w:rsidRPr="00965529" w:rsidRDefault="007D58FF" w:rsidP="00893161">
            <w:pPr>
              <w:pStyle w:val="Paragraph"/>
              <w:spacing w:after="0"/>
              <w:jc w:val="center"/>
              <w:rPr>
                <w:sz w:val="22"/>
                <w:szCs w:val="22"/>
              </w:rPr>
            </w:pPr>
            <w:r>
              <w:rPr>
                <w:sz w:val="22"/>
                <w:szCs w:val="22"/>
              </w:rPr>
              <w:t>Deep</w:t>
            </w:r>
          </w:p>
        </w:tc>
        <w:tc>
          <w:tcPr>
            <w:tcW w:w="656" w:type="dxa"/>
            <w:tcBorders>
              <w:left w:val="single" w:sz="4" w:space="0" w:color="auto"/>
              <w:bottom w:val="single" w:sz="4" w:space="0" w:color="auto"/>
            </w:tcBorders>
            <w:noWrap/>
            <w:vAlign w:val="center"/>
            <w:hideMark/>
          </w:tcPr>
          <w:p w14:paraId="1ABF6197" w14:textId="77777777" w:rsidR="007D58FF" w:rsidRPr="00965529" w:rsidRDefault="007D58FF" w:rsidP="00893161">
            <w:pPr>
              <w:pStyle w:val="Paragraph"/>
              <w:spacing w:after="0"/>
              <w:jc w:val="center"/>
              <w:rPr>
                <w:sz w:val="22"/>
                <w:szCs w:val="22"/>
              </w:rPr>
            </w:pPr>
          </w:p>
        </w:tc>
      </w:tr>
      <w:tr w:rsidR="007D58FF" w:rsidRPr="00EB1994" w14:paraId="02B55D9F" w14:textId="77777777" w:rsidTr="00893161">
        <w:trPr>
          <w:gridAfter w:val="1"/>
          <w:wAfter w:w="75" w:type="dxa"/>
          <w:trHeight w:val="20"/>
          <w:jc w:val="center"/>
        </w:trPr>
        <w:tc>
          <w:tcPr>
            <w:tcW w:w="1573" w:type="dxa"/>
            <w:tcBorders>
              <w:top w:val="single" w:sz="4" w:space="0" w:color="auto"/>
              <w:right w:val="single" w:sz="4" w:space="0" w:color="auto"/>
            </w:tcBorders>
          </w:tcPr>
          <w:p w14:paraId="61DF3DAD" w14:textId="77777777" w:rsidR="007D58FF" w:rsidRPr="00965529" w:rsidRDefault="007D58FF" w:rsidP="00893161">
            <w:pPr>
              <w:pStyle w:val="Paragraph"/>
              <w:spacing w:after="0"/>
              <w:rPr>
                <w:sz w:val="22"/>
                <w:szCs w:val="22"/>
              </w:rPr>
            </w:pPr>
          </w:p>
        </w:tc>
        <w:tc>
          <w:tcPr>
            <w:tcW w:w="2448" w:type="dxa"/>
            <w:tcBorders>
              <w:top w:val="single" w:sz="4" w:space="0" w:color="auto"/>
              <w:left w:val="single" w:sz="4" w:space="0" w:color="auto"/>
              <w:right w:val="single" w:sz="4" w:space="0" w:color="auto"/>
            </w:tcBorders>
            <w:vAlign w:val="center"/>
            <w:hideMark/>
          </w:tcPr>
          <w:p w14:paraId="4C4DF65B" w14:textId="77777777" w:rsidR="007D58FF" w:rsidRPr="00965529" w:rsidRDefault="007D58FF" w:rsidP="00893161">
            <w:pPr>
              <w:pStyle w:val="Paragraph"/>
              <w:spacing w:after="0"/>
              <w:rPr>
                <w:sz w:val="22"/>
                <w:szCs w:val="22"/>
              </w:rPr>
            </w:pPr>
            <m:oMath>
              <m:r>
                <w:rPr>
                  <w:rFonts w:ascii="Cambria Math" w:hAnsi="Cambria Math"/>
                  <w:sz w:val="22"/>
                  <w:szCs w:val="22"/>
                </w:rPr>
                <m:t>TVD</m:t>
              </m:r>
            </m:oMath>
            <w:r w:rsidRPr="00965529">
              <w:rPr>
                <w:sz w:val="22"/>
                <w:szCs w:val="22"/>
              </w:rPr>
              <w:t xml:space="preserve"> (m)</w:t>
            </w:r>
          </w:p>
        </w:tc>
        <w:tc>
          <w:tcPr>
            <w:tcW w:w="1296" w:type="dxa"/>
            <w:tcBorders>
              <w:top w:val="single" w:sz="4" w:space="0" w:color="auto"/>
              <w:left w:val="single" w:sz="4" w:space="0" w:color="auto"/>
              <w:right w:val="single" w:sz="4" w:space="0" w:color="auto"/>
            </w:tcBorders>
          </w:tcPr>
          <w:p w14:paraId="65F0D919" w14:textId="77777777" w:rsidR="007D58FF" w:rsidRPr="00965529" w:rsidRDefault="007D58FF" w:rsidP="00893161">
            <w:pPr>
              <w:pStyle w:val="Paragraph"/>
              <w:spacing w:after="0"/>
              <w:jc w:val="center"/>
              <w:rPr>
                <w:sz w:val="22"/>
                <w:szCs w:val="22"/>
              </w:rPr>
            </w:pPr>
            <w:r>
              <w:rPr>
                <w:sz w:val="22"/>
                <w:szCs w:val="22"/>
              </w:rPr>
              <w:t>797</w:t>
            </w:r>
          </w:p>
        </w:tc>
        <w:tc>
          <w:tcPr>
            <w:tcW w:w="1296" w:type="dxa"/>
            <w:tcBorders>
              <w:top w:val="single" w:sz="4" w:space="0" w:color="auto"/>
              <w:left w:val="single" w:sz="4" w:space="0" w:color="auto"/>
              <w:right w:val="single" w:sz="4" w:space="0" w:color="auto"/>
            </w:tcBorders>
          </w:tcPr>
          <w:p w14:paraId="63C57E54" w14:textId="77777777" w:rsidR="007D58FF" w:rsidRPr="00965529" w:rsidRDefault="007D58FF" w:rsidP="00893161">
            <w:pPr>
              <w:pStyle w:val="Paragraph"/>
              <w:spacing w:after="0"/>
              <w:jc w:val="center"/>
              <w:rPr>
                <w:sz w:val="22"/>
                <w:szCs w:val="22"/>
              </w:rPr>
            </w:pPr>
            <w:r>
              <w:rPr>
                <w:sz w:val="22"/>
                <w:szCs w:val="22"/>
              </w:rPr>
              <w:t>3,014</w:t>
            </w:r>
          </w:p>
        </w:tc>
        <w:tc>
          <w:tcPr>
            <w:tcW w:w="1296" w:type="dxa"/>
            <w:tcBorders>
              <w:top w:val="single" w:sz="4" w:space="0" w:color="auto"/>
              <w:left w:val="single" w:sz="4" w:space="0" w:color="auto"/>
              <w:right w:val="single" w:sz="4" w:space="0" w:color="auto"/>
            </w:tcBorders>
            <w:noWrap/>
            <w:vAlign w:val="center"/>
          </w:tcPr>
          <w:p w14:paraId="2A8C4C16" w14:textId="77777777" w:rsidR="007D58FF" w:rsidRPr="00965529" w:rsidRDefault="007D58FF" w:rsidP="00893161">
            <w:pPr>
              <w:pStyle w:val="Paragraph"/>
              <w:spacing w:after="0"/>
              <w:jc w:val="center"/>
              <w:rPr>
                <w:sz w:val="22"/>
                <w:szCs w:val="22"/>
              </w:rPr>
            </w:pPr>
            <w:r>
              <w:rPr>
                <w:sz w:val="22"/>
                <w:szCs w:val="22"/>
              </w:rPr>
              <w:t>6,028</w:t>
            </w:r>
          </w:p>
        </w:tc>
        <w:tc>
          <w:tcPr>
            <w:tcW w:w="656" w:type="dxa"/>
            <w:tcBorders>
              <w:top w:val="single" w:sz="4" w:space="0" w:color="auto"/>
              <w:left w:val="single" w:sz="4" w:space="0" w:color="auto"/>
            </w:tcBorders>
            <w:noWrap/>
            <w:vAlign w:val="center"/>
          </w:tcPr>
          <w:p w14:paraId="634FAD39" w14:textId="77777777" w:rsidR="007D58FF" w:rsidRPr="00610B0A" w:rsidRDefault="007D58FF" w:rsidP="00893161">
            <w:pPr>
              <w:pStyle w:val="Paragraph"/>
              <w:spacing w:after="0"/>
              <w:jc w:val="center"/>
              <w:rPr>
                <w:sz w:val="22"/>
                <w:szCs w:val="22"/>
                <w:vertAlign w:val="superscript"/>
              </w:rPr>
            </w:pPr>
            <w:r w:rsidRPr="00610B0A">
              <w:rPr>
                <w:sz w:val="22"/>
                <w:szCs w:val="22"/>
                <w:vertAlign w:val="superscript"/>
              </w:rPr>
              <w:t>1</w:t>
            </w:r>
          </w:p>
        </w:tc>
      </w:tr>
      <w:tr w:rsidR="007D58FF" w:rsidRPr="00EB1994" w14:paraId="3ADE52A2" w14:textId="77777777" w:rsidTr="00893161">
        <w:trPr>
          <w:gridAfter w:val="1"/>
          <w:wAfter w:w="75" w:type="dxa"/>
          <w:trHeight w:val="20"/>
          <w:jc w:val="center"/>
        </w:trPr>
        <w:tc>
          <w:tcPr>
            <w:tcW w:w="1573" w:type="dxa"/>
            <w:tcBorders>
              <w:bottom w:val="single" w:sz="4" w:space="0" w:color="auto"/>
              <w:right w:val="single" w:sz="4" w:space="0" w:color="auto"/>
            </w:tcBorders>
          </w:tcPr>
          <w:p w14:paraId="02D53E2F" w14:textId="77777777" w:rsidR="007D58FF" w:rsidRPr="00965529" w:rsidRDefault="007D58FF" w:rsidP="00893161">
            <w:pPr>
              <w:pStyle w:val="Paragraph"/>
              <w:spacing w:after="0"/>
              <w:rPr>
                <w:sz w:val="22"/>
                <w:szCs w:val="22"/>
              </w:rPr>
            </w:pPr>
          </w:p>
        </w:tc>
        <w:tc>
          <w:tcPr>
            <w:tcW w:w="2448" w:type="dxa"/>
            <w:tcBorders>
              <w:left w:val="single" w:sz="4" w:space="0" w:color="auto"/>
              <w:bottom w:val="single" w:sz="4" w:space="0" w:color="auto"/>
              <w:right w:val="single" w:sz="4" w:space="0" w:color="auto"/>
            </w:tcBorders>
            <w:vAlign w:val="center"/>
            <w:hideMark/>
          </w:tcPr>
          <w:p w14:paraId="49BF4500" w14:textId="77777777" w:rsidR="007D58FF" w:rsidRPr="00965529" w:rsidRDefault="007D58FF" w:rsidP="00893161">
            <w:pPr>
              <w:pStyle w:val="Paragraph"/>
              <w:spacing w:after="0"/>
              <w:rPr>
                <w:sz w:val="22"/>
                <w:szCs w:val="22"/>
              </w:rPr>
            </w:pPr>
            <m:oMath>
              <m:r>
                <w:rPr>
                  <w:rFonts w:ascii="Cambria Math" w:hAnsi="Cambria Math"/>
                  <w:sz w:val="22"/>
                  <w:szCs w:val="22"/>
                </w:rPr>
                <m:t>Simulation Depth</m:t>
              </m:r>
            </m:oMath>
            <w:r w:rsidRPr="00965529">
              <w:rPr>
                <w:sz w:val="22"/>
                <w:szCs w:val="22"/>
              </w:rPr>
              <w:t xml:space="preserve"> (m)</w:t>
            </w:r>
          </w:p>
        </w:tc>
        <w:tc>
          <w:tcPr>
            <w:tcW w:w="1296" w:type="dxa"/>
            <w:tcBorders>
              <w:left w:val="single" w:sz="4" w:space="0" w:color="auto"/>
              <w:bottom w:val="single" w:sz="4" w:space="0" w:color="auto"/>
              <w:right w:val="single" w:sz="4" w:space="0" w:color="auto"/>
            </w:tcBorders>
          </w:tcPr>
          <w:p w14:paraId="49C6FD1E" w14:textId="77777777" w:rsidR="007D58FF" w:rsidRPr="00965529" w:rsidRDefault="007D58FF" w:rsidP="00893161">
            <w:pPr>
              <w:pStyle w:val="Paragraph"/>
              <w:spacing w:after="0"/>
              <w:jc w:val="center"/>
              <w:rPr>
                <w:sz w:val="22"/>
                <w:szCs w:val="22"/>
              </w:rPr>
            </w:pPr>
            <w:r>
              <w:rPr>
                <w:sz w:val="22"/>
                <w:szCs w:val="22"/>
              </w:rPr>
              <w:t>468</w:t>
            </w:r>
          </w:p>
        </w:tc>
        <w:tc>
          <w:tcPr>
            <w:tcW w:w="1296" w:type="dxa"/>
            <w:tcBorders>
              <w:left w:val="single" w:sz="4" w:space="0" w:color="auto"/>
              <w:bottom w:val="single" w:sz="4" w:space="0" w:color="auto"/>
              <w:right w:val="single" w:sz="4" w:space="0" w:color="auto"/>
            </w:tcBorders>
          </w:tcPr>
          <w:p w14:paraId="71E93E37" w14:textId="77777777" w:rsidR="007D58FF" w:rsidRPr="00965529" w:rsidRDefault="007D58FF" w:rsidP="00893161">
            <w:pPr>
              <w:pStyle w:val="Paragraph"/>
              <w:spacing w:after="0"/>
              <w:jc w:val="center"/>
              <w:rPr>
                <w:sz w:val="22"/>
                <w:szCs w:val="22"/>
              </w:rPr>
            </w:pPr>
            <w:r>
              <w:rPr>
                <w:sz w:val="22"/>
                <w:szCs w:val="22"/>
              </w:rPr>
              <w:t>2,697</w:t>
            </w:r>
          </w:p>
        </w:tc>
        <w:tc>
          <w:tcPr>
            <w:tcW w:w="1296" w:type="dxa"/>
            <w:tcBorders>
              <w:left w:val="single" w:sz="4" w:space="0" w:color="auto"/>
              <w:bottom w:val="single" w:sz="4" w:space="0" w:color="auto"/>
              <w:right w:val="single" w:sz="4" w:space="0" w:color="auto"/>
            </w:tcBorders>
            <w:noWrap/>
            <w:vAlign w:val="center"/>
          </w:tcPr>
          <w:p w14:paraId="1C04A76A" w14:textId="77777777" w:rsidR="007D58FF" w:rsidRPr="00965529" w:rsidRDefault="007D58FF" w:rsidP="00893161">
            <w:pPr>
              <w:pStyle w:val="Paragraph"/>
              <w:spacing w:after="0"/>
              <w:jc w:val="center"/>
              <w:rPr>
                <w:sz w:val="22"/>
                <w:szCs w:val="22"/>
              </w:rPr>
            </w:pPr>
            <w:r>
              <w:rPr>
                <w:sz w:val="22"/>
                <w:szCs w:val="22"/>
              </w:rPr>
              <w:t>4,317</w:t>
            </w:r>
          </w:p>
        </w:tc>
        <w:tc>
          <w:tcPr>
            <w:tcW w:w="656" w:type="dxa"/>
            <w:tcBorders>
              <w:left w:val="single" w:sz="4" w:space="0" w:color="auto"/>
              <w:bottom w:val="single" w:sz="4" w:space="0" w:color="auto"/>
            </w:tcBorders>
            <w:noWrap/>
            <w:vAlign w:val="center"/>
          </w:tcPr>
          <w:p w14:paraId="7997427B" w14:textId="77777777" w:rsidR="007D58FF" w:rsidRPr="00610B0A" w:rsidRDefault="007D58FF" w:rsidP="00893161">
            <w:pPr>
              <w:pStyle w:val="Paragraph"/>
              <w:spacing w:after="0"/>
              <w:jc w:val="center"/>
              <w:rPr>
                <w:sz w:val="22"/>
                <w:szCs w:val="22"/>
                <w:vertAlign w:val="superscript"/>
              </w:rPr>
            </w:pPr>
          </w:p>
        </w:tc>
      </w:tr>
      <w:tr w:rsidR="007D58FF" w:rsidRPr="00EB1994" w14:paraId="49B96258" w14:textId="77777777" w:rsidTr="00893161">
        <w:trPr>
          <w:gridAfter w:val="1"/>
          <w:wAfter w:w="75" w:type="dxa"/>
          <w:trHeight w:val="20"/>
          <w:jc w:val="center"/>
        </w:trPr>
        <w:tc>
          <w:tcPr>
            <w:tcW w:w="1573" w:type="dxa"/>
            <w:vMerge w:val="restart"/>
            <w:tcBorders>
              <w:top w:val="single" w:sz="4" w:space="0" w:color="auto"/>
              <w:right w:val="single" w:sz="4" w:space="0" w:color="auto"/>
            </w:tcBorders>
            <w:vAlign w:val="center"/>
          </w:tcPr>
          <w:p w14:paraId="7E14E4B1" w14:textId="77777777" w:rsidR="007D58FF" w:rsidRPr="00965529" w:rsidRDefault="007D58FF" w:rsidP="00893161">
            <w:pPr>
              <w:pStyle w:val="Paragraph"/>
              <w:spacing w:after="0"/>
              <w:jc w:val="center"/>
              <w:rPr>
                <w:sz w:val="22"/>
                <w:szCs w:val="22"/>
              </w:rPr>
            </w:pPr>
            <w:r w:rsidRPr="00965529">
              <w:rPr>
                <w:sz w:val="22"/>
                <w:szCs w:val="22"/>
              </w:rPr>
              <w:t>Dimensions</w:t>
            </w:r>
          </w:p>
        </w:tc>
        <w:tc>
          <w:tcPr>
            <w:tcW w:w="2448" w:type="dxa"/>
            <w:tcBorders>
              <w:top w:val="single" w:sz="4" w:space="0" w:color="auto"/>
              <w:left w:val="single" w:sz="4" w:space="0" w:color="auto"/>
              <w:right w:val="single" w:sz="4" w:space="0" w:color="auto"/>
            </w:tcBorders>
            <w:noWrap/>
            <w:vAlign w:val="center"/>
            <w:hideMark/>
          </w:tcPr>
          <w:p w14:paraId="02966453" w14:textId="77777777" w:rsidR="007D58FF" w:rsidRPr="00965529" w:rsidRDefault="007D58FF" w:rsidP="00893161">
            <w:pPr>
              <w:pStyle w:val="Paragraph"/>
              <w:spacing w:after="0"/>
              <w:rPr>
                <w:sz w:val="22"/>
                <w:szCs w:val="22"/>
              </w:rPr>
            </w:pPr>
            <m:oMath>
              <m:r>
                <w:rPr>
                  <w:rFonts w:ascii="Cambria Math" w:hAnsi="Cambria Math"/>
                  <w:sz w:val="22"/>
                  <w:szCs w:val="22"/>
                </w:rPr>
                <m:t>Hole Size</m:t>
              </m:r>
            </m:oMath>
            <w:r w:rsidRPr="00965529">
              <w:rPr>
                <w:sz w:val="22"/>
                <w:szCs w:val="22"/>
              </w:rPr>
              <w:t xml:space="preserve"> (cm)</w:t>
            </w:r>
          </w:p>
        </w:tc>
        <w:tc>
          <w:tcPr>
            <w:tcW w:w="1296" w:type="dxa"/>
            <w:tcBorders>
              <w:top w:val="single" w:sz="4" w:space="0" w:color="auto"/>
              <w:left w:val="single" w:sz="4" w:space="0" w:color="auto"/>
              <w:right w:val="single" w:sz="4" w:space="0" w:color="auto"/>
            </w:tcBorders>
          </w:tcPr>
          <w:p w14:paraId="5E9367BE" w14:textId="77777777" w:rsidR="007D58FF" w:rsidRPr="00965529" w:rsidRDefault="007D58FF" w:rsidP="00893161">
            <w:pPr>
              <w:pStyle w:val="Paragraph"/>
              <w:spacing w:after="0"/>
              <w:jc w:val="center"/>
              <w:rPr>
                <w:sz w:val="22"/>
                <w:szCs w:val="22"/>
              </w:rPr>
            </w:pPr>
            <w:r>
              <w:rPr>
                <w:sz w:val="22"/>
                <w:szCs w:val="22"/>
              </w:rPr>
              <w:t>44.45</w:t>
            </w:r>
          </w:p>
        </w:tc>
        <w:tc>
          <w:tcPr>
            <w:tcW w:w="1296" w:type="dxa"/>
            <w:tcBorders>
              <w:top w:val="single" w:sz="4" w:space="0" w:color="auto"/>
              <w:left w:val="single" w:sz="4" w:space="0" w:color="auto"/>
              <w:right w:val="single" w:sz="4" w:space="0" w:color="auto"/>
            </w:tcBorders>
          </w:tcPr>
          <w:p w14:paraId="57FFC894" w14:textId="77777777" w:rsidR="007D58FF" w:rsidRPr="00965529" w:rsidRDefault="007D58FF" w:rsidP="00893161">
            <w:pPr>
              <w:pStyle w:val="Paragraph"/>
              <w:spacing w:after="0"/>
              <w:jc w:val="center"/>
              <w:rPr>
                <w:sz w:val="22"/>
                <w:szCs w:val="22"/>
              </w:rPr>
            </w:pPr>
            <w:r>
              <w:rPr>
                <w:sz w:val="22"/>
                <w:szCs w:val="22"/>
              </w:rPr>
              <w:t>25.07</w:t>
            </w:r>
          </w:p>
        </w:tc>
        <w:tc>
          <w:tcPr>
            <w:tcW w:w="1296" w:type="dxa"/>
            <w:tcBorders>
              <w:top w:val="single" w:sz="4" w:space="0" w:color="auto"/>
              <w:left w:val="single" w:sz="4" w:space="0" w:color="auto"/>
              <w:right w:val="single" w:sz="4" w:space="0" w:color="auto"/>
            </w:tcBorders>
            <w:noWrap/>
            <w:vAlign w:val="center"/>
          </w:tcPr>
          <w:p w14:paraId="0ABEBD78" w14:textId="77777777" w:rsidR="007D58FF" w:rsidRPr="00965529" w:rsidRDefault="007D58FF" w:rsidP="00893161">
            <w:pPr>
              <w:pStyle w:val="Paragraph"/>
              <w:spacing w:after="0"/>
              <w:jc w:val="center"/>
              <w:rPr>
                <w:sz w:val="22"/>
                <w:szCs w:val="22"/>
              </w:rPr>
            </w:pPr>
            <w:r>
              <w:rPr>
                <w:sz w:val="22"/>
                <w:szCs w:val="22"/>
              </w:rPr>
              <w:t>31.12</w:t>
            </w:r>
          </w:p>
        </w:tc>
        <w:tc>
          <w:tcPr>
            <w:tcW w:w="656" w:type="dxa"/>
            <w:tcBorders>
              <w:top w:val="single" w:sz="4" w:space="0" w:color="auto"/>
              <w:left w:val="single" w:sz="4" w:space="0" w:color="auto"/>
            </w:tcBorders>
            <w:noWrap/>
            <w:vAlign w:val="center"/>
          </w:tcPr>
          <w:p w14:paraId="5277670E" w14:textId="77777777" w:rsidR="007D58FF" w:rsidRPr="00610B0A" w:rsidRDefault="007D58FF" w:rsidP="00893161">
            <w:pPr>
              <w:pStyle w:val="Paragraph"/>
              <w:spacing w:after="0"/>
              <w:jc w:val="center"/>
              <w:rPr>
                <w:sz w:val="22"/>
                <w:szCs w:val="22"/>
                <w:vertAlign w:val="superscript"/>
              </w:rPr>
            </w:pPr>
            <w:r w:rsidRPr="00610B0A">
              <w:rPr>
                <w:sz w:val="22"/>
                <w:szCs w:val="22"/>
                <w:vertAlign w:val="superscript"/>
              </w:rPr>
              <w:t>1</w:t>
            </w:r>
          </w:p>
        </w:tc>
      </w:tr>
      <w:tr w:rsidR="007D58FF" w:rsidRPr="00EB1994" w14:paraId="523DDF4F" w14:textId="77777777" w:rsidTr="00893161">
        <w:trPr>
          <w:gridAfter w:val="1"/>
          <w:wAfter w:w="75" w:type="dxa"/>
          <w:trHeight w:val="20"/>
          <w:jc w:val="center"/>
        </w:trPr>
        <w:tc>
          <w:tcPr>
            <w:tcW w:w="1573" w:type="dxa"/>
            <w:vMerge/>
            <w:tcBorders>
              <w:right w:val="single" w:sz="4" w:space="0" w:color="auto"/>
            </w:tcBorders>
          </w:tcPr>
          <w:p w14:paraId="67FEB723" w14:textId="77777777" w:rsidR="007D58FF" w:rsidRPr="00965529" w:rsidRDefault="007D58FF" w:rsidP="00893161">
            <w:pPr>
              <w:pStyle w:val="Paragraph"/>
              <w:spacing w:after="0"/>
              <w:rPr>
                <w:sz w:val="22"/>
                <w:szCs w:val="22"/>
              </w:rPr>
            </w:pPr>
          </w:p>
        </w:tc>
        <w:tc>
          <w:tcPr>
            <w:tcW w:w="2448" w:type="dxa"/>
            <w:tcBorders>
              <w:left w:val="single" w:sz="4" w:space="0" w:color="auto"/>
              <w:right w:val="single" w:sz="4" w:space="0" w:color="auto"/>
            </w:tcBorders>
            <w:noWrap/>
            <w:vAlign w:val="center"/>
            <w:hideMark/>
          </w:tcPr>
          <w:p w14:paraId="31C4AC82" w14:textId="77777777" w:rsidR="007D58FF" w:rsidRPr="00965529" w:rsidRDefault="007D58FF" w:rsidP="00893161">
            <w:pPr>
              <w:pStyle w:val="Paragraph"/>
              <w:spacing w:after="0"/>
              <w:rPr>
                <w:sz w:val="22"/>
                <w:szCs w:val="22"/>
              </w:rPr>
            </w:pPr>
            <m:oMath>
              <m:r>
                <w:rPr>
                  <w:rFonts w:ascii="Cambria Math" w:hAnsi="Cambria Math"/>
                  <w:sz w:val="22"/>
                  <w:szCs w:val="22"/>
                </w:rPr>
                <m:t>Casing OD</m:t>
              </m:r>
            </m:oMath>
            <w:r w:rsidRPr="00965529">
              <w:rPr>
                <w:sz w:val="22"/>
                <w:szCs w:val="22"/>
              </w:rPr>
              <w:t xml:space="preserve"> (cm)</w:t>
            </w:r>
          </w:p>
        </w:tc>
        <w:tc>
          <w:tcPr>
            <w:tcW w:w="1296" w:type="dxa"/>
            <w:tcBorders>
              <w:left w:val="single" w:sz="4" w:space="0" w:color="auto"/>
              <w:right w:val="single" w:sz="4" w:space="0" w:color="auto"/>
            </w:tcBorders>
          </w:tcPr>
          <w:p w14:paraId="611AB531" w14:textId="77777777" w:rsidR="007D58FF" w:rsidRPr="00965529" w:rsidRDefault="007D58FF" w:rsidP="00893161">
            <w:pPr>
              <w:pStyle w:val="Paragraph"/>
              <w:spacing w:after="0"/>
              <w:jc w:val="center"/>
              <w:rPr>
                <w:sz w:val="22"/>
                <w:szCs w:val="22"/>
              </w:rPr>
            </w:pPr>
            <w:r>
              <w:rPr>
                <w:sz w:val="22"/>
                <w:szCs w:val="22"/>
              </w:rPr>
              <w:t>33.96</w:t>
            </w:r>
          </w:p>
        </w:tc>
        <w:tc>
          <w:tcPr>
            <w:tcW w:w="1296" w:type="dxa"/>
            <w:tcBorders>
              <w:left w:val="single" w:sz="4" w:space="0" w:color="auto"/>
              <w:right w:val="single" w:sz="4" w:space="0" w:color="auto"/>
            </w:tcBorders>
          </w:tcPr>
          <w:p w14:paraId="58A5FAF5" w14:textId="77777777" w:rsidR="007D58FF" w:rsidRPr="00965529" w:rsidRDefault="007D58FF" w:rsidP="00893161">
            <w:pPr>
              <w:pStyle w:val="Paragraph"/>
              <w:spacing w:after="0"/>
              <w:jc w:val="center"/>
              <w:rPr>
                <w:sz w:val="22"/>
                <w:szCs w:val="22"/>
              </w:rPr>
            </w:pPr>
            <w:r>
              <w:rPr>
                <w:sz w:val="22"/>
                <w:szCs w:val="22"/>
              </w:rPr>
              <w:t>17.78</w:t>
            </w:r>
          </w:p>
        </w:tc>
        <w:tc>
          <w:tcPr>
            <w:tcW w:w="1296" w:type="dxa"/>
            <w:tcBorders>
              <w:left w:val="single" w:sz="4" w:space="0" w:color="auto"/>
              <w:right w:val="single" w:sz="4" w:space="0" w:color="auto"/>
            </w:tcBorders>
            <w:noWrap/>
            <w:vAlign w:val="center"/>
          </w:tcPr>
          <w:p w14:paraId="729960E4" w14:textId="77777777" w:rsidR="007D58FF" w:rsidRPr="00965529" w:rsidRDefault="007D58FF" w:rsidP="00893161">
            <w:pPr>
              <w:pStyle w:val="Paragraph"/>
              <w:spacing w:after="0"/>
              <w:jc w:val="center"/>
              <w:rPr>
                <w:sz w:val="22"/>
                <w:szCs w:val="22"/>
              </w:rPr>
            </w:pPr>
            <w:r>
              <w:rPr>
                <w:sz w:val="22"/>
                <w:szCs w:val="22"/>
              </w:rPr>
              <w:t>24.46</w:t>
            </w:r>
          </w:p>
        </w:tc>
        <w:tc>
          <w:tcPr>
            <w:tcW w:w="656" w:type="dxa"/>
            <w:tcBorders>
              <w:left w:val="single" w:sz="4" w:space="0" w:color="auto"/>
            </w:tcBorders>
            <w:noWrap/>
          </w:tcPr>
          <w:p w14:paraId="01270D82" w14:textId="77777777" w:rsidR="007D58FF" w:rsidRPr="00610B0A" w:rsidRDefault="007D58FF" w:rsidP="00893161">
            <w:pPr>
              <w:pStyle w:val="Paragraph"/>
              <w:spacing w:after="0"/>
              <w:jc w:val="center"/>
              <w:rPr>
                <w:sz w:val="22"/>
                <w:szCs w:val="22"/>
                <w:vertAlign w:val="superscript"/>
              </w:rPr>
            </w:pPr>
            <w:r w:rsidRPr="00610B0A">
              <w:rPr>
                <w:sz w:val="22"/>
                <w:szCs w:val="22"/>
                <w:vertAlign w:val="superscript"/>
              </w:rPr>
              <w:t>1</w:t>
            </w:r>
          </w:p>
        </w:tc>
      </w:tr>
      <w:tr w:rsidR="007D58FF" w:rsidRPr="00EB1994" w14:paraId="4FC7109E" w14:textId="77777777" w:rsidTr="00893161">
        <w:trPr>
          <w:gridAfter w:val="1"/>
          <w:wAfter w:w="75" w:type="dxa"/>
          <w:trHeight w:val="20"/>
          <w:jc w:val="center"/>
        </w:trPr>
        <w:tc>
          <w:tcPr>
            <w:tcW w:w="1573" w:type="dxa"/>
            <w:vMerge/>
            <w:tcBorders>
              <w:bottom w:val="single" w:sz="4" w:space="0" w:color="auto"/>
              <w:right w:val="single" w:sz="4" w:space="0" w:color="auto"/>
            </w:tcBorders>
          </w:tcPr>
          <w:p w14:paraId="2AACC48D" w14:textId="77777777" w:rsidR="007D58FF" w:rsidRPr="00965529" w:rsidRDefault="007D58FF" w:rsidP="00893161">
            <w:pPr>
              <w:pStyle w:val="Paragraph"/>
              <w:spacing w:after="0"/>
              <w:rPr>
                <w:sz w:val="22"/>
                <w:szCs w:val="22"/>
              </w:rPr>
            </w:pPr>
          </w:p>
        </w:tc>
        <w:tc>
          <w:tcPr>
            <w:tcW w:w="2448" w:type="dxa"/>
            <w:tcBorders>
              <w:left w:val="single" w:sz="4" w:space="0" w:color="auto"/>
              <w:bottom w:val="single" w:sz="4" w:space="0" w:color="auto"/>
              <w:right w:val="single" w:sz="4" w:space="0" w:color="auto"/>
            </w:tcBorders>
            <w:noWrap/>
            <w:vAlign w:val="center"/>
            <w:hideMark/>
          </w:tcPr>
          <w:p w14:paraId="40FD14E9" w14:textId="77777777" w:rsidR="007D58FF" w:rsidRPr="00965529" w:rsidRDefault="007D58FF" w:rsidP="00893161">
            <w:pPr>
              <w:pStyle w:val="Paragraph"/>
              <w:spacing w:after="0"/>
              <w:rPr>
                <w:sz w:val="22"/>
                <w:szCs w:val="22"/>
              </w:rPr>
            </w:pPr>
            <m:oMath>
              <m:r>
                <w:rPr>
                  <w:rFonts w:ascii="Cambria Math" w:hAnsi="Cambria Math"/>
                  <w:sz w:val="22"/>
                  <w:szCs w:val="22"/>
                </w:rPr>
                <m:t>Casing ID</m:t>
              </m:r>
            </m:oMath>
            <w:r w:rsidRPr="00965529">
              <w:rPr>
                <w:sz w:val="22"/>
                <w:szCs w:val="22"/>
              </w:rPr>
              <w:t xml:space="preserve"> (cm)</w:t>
            </w:r>
          </w:p>
        </w:tc>
        <w:tc>
          <w:tcPr>
            <w:tcW w:w="1296" w:type="dxa"/>
            <w:tcBorders>
              <w:left w:val="single" w:sz="4" w:space="0" w:color="auto"/>
              <w:bottom w:val="single" w:sz="4" w:space="0" w:color="auto"/>
              <w:right w:val="single" w:sz="4" w:space="0" w:color="auto"/>
            </w:tcBorders>
          </w:tcPr>
          <w:p w14:paraId="4818179E" w14:textId="77777777" w:rsidR="007D58FF" w:rsidRPr="00965529" w:rsidRDefault="007D58FF" w:rsidP="00893161">
            <w:pPr>
              <w:pStyle w:val="Paragraph"/>
              <w:spacing w:after="0"/>
              <w:jc w:val="center"/>
              <w:rPr>
                <w:sz w:val="22"/>
                <w:szCs w:val="22"/>
              </w:rPr>
            </w:pPr>
            <w:r>
              <w:rPr>
                <w:sz w:val="22"/>
                <w:szCs w:val="22"/>
              </w:rPr>
              <w:t>32.03</w:t>
            </w:r>
          </w:p>
        </w:tc>
        <w:tc>
          <w:tcPr>
            <w:tcW w:w="1296" w:type="dxa"/>
            <w:tcBorders>
              <w:left w:val="single" w:sz="4" w:space="0" w:color="auto"/>
              <w:bottom w:val="single" w:sz="4" w:space="0" w:color="auto"/>
              <w:right w:val="single" w:sz="4" w:space="0" w:color="auto"/>
            </w:tcBorders>
          </w:tcPr>
          <w:p w14:paraId="5F4EF498" w14:textId="77777777" w:rsidR="007D58FF" w:rsidRPr="00965529" w:rsidRDefault="007D58FF" w:rsidP="00893161">
            <w:pPr>
              <w:pStyle w:val="Paragraph"/>
              <w:spacing w:after="0"/>
              <w:jc w:val="center"/>
              <w:rPr>
                <w:sz w:val="22"/>
                <w:szCs w:val="22"/>
              </w:rPr>
            </w:pPr>
            <w:r>
              <w:rPr>
                <w:sz w:val="22"/>
                <w:szCs w:val="22"/>
              </w:rPr>
              <w:t>15.95</w:t>
            </w:r>
          </w:p>
        </w:tc>
        <w:tc>
          <w:tcPr>
            <w:tcW w:w="1296" w:type="dxa"/>
            <w:tcBorders>
              <w:left w:val="single" w:sz="4" w:space="0" w:color="auto"/>
              <w:bottom w:val="single" w:sz="4" w:space="0" w:color="auto"/>
              <w:right w:val="single" w:sz="4" w:space="0" w:color="auto"/>
            </w:tcBorders>
            <w:noWrap/>
            <w:vAlign w:val="center"/>
          </w:tcPr>
          <w:p w14:paraId="730A5025" w14:textId="77777777" w:rsidR="007D58FF" w:rsidRPr="00965529" w:rsidRDefault="007D58FF" w:rsidP="00893161">
            <w:pPr>
              <w:pStyle w:val="Paragraph"/>
              <w:spacing w:after="0"/>
              <w:jc w:val="center"/>
              <w:rPr>
                <w:sz w:val="22"/>
                <w:szCs w:val="22"/>
              </w:rPr>
            </w:pPr>
            <w:r>
              <w:rPr>
                <w:sz w:val="22"/>
                <w:szCs w:val="22"/>
              </w:rPr>
              <w:t>22.00</w:t>
            </w:r>
          </w:p>
        </w:tc>
        <w:tc>
          <w:tcPr>
            <w:tcW w:w="656" w:type="dxa"/>
            <w:tcBorders>
              <w:left w:val="single" w:sz="4" w:space="0" w:color="auto"/>
              <w:bottom w:val="single" w:sz="4" w:space="0" w:color="auto"/>
            </w:tcBorders>
            <w:noWrap/>
          </w:tcPr>
          <w:p w14:paraId="6DB18EFA" w14:textId="77777777" w:rsidR="007D58FF" w:rsidRPr="00610B0A" w:rsidRDefault="007D58FF" w:rsidP="00893161">
            <w:pPr>
              <w:pStyle w:val="Paragraph"/>
              <w:spacing w:after="0"/>
              <w:jc w:val="center"/>
              <w:rPr>
                <w:sz w:val="22"/>
                <w:szCs w:val="22"/>
                <w:vertAlign w:val="superscript"/>
              </w:rPr>
            </w:pPr>
            <w:r w:rsidRPr="00610B0A">
              <w:rPr>
                <w:sz w:val="22"/>
                <w:szCs w:val="22"/>
                <w:vertAlign w:val="superscript"/>
              </w:rPr>
              <w:t>1</w:t>
            </w:r>
          </w:p>
        </w:tc>
      </w:tr>
      <w:tr w:rsidR="007D58FF" w:rsidRPr="00EB1994" w14:paraId="4AE0FF74" w14:textId="77777777" w:rsidTr="00893161">
        <w:trPr>
          <w:gridAfter w:val="1"/>
          <w:wAfter w:w="75" w:type="dxa"/>
          <w:trHeight w:val="20"/>
          <w:jc w:val="center"/>
        </w:trPr>
        <w:tc>
          <w:tcPr>
            <w:tcW w:w="1573" w:type="dxa"/>
            <w:vMerge w:val="restart"/>
            <w:tcBorders>
              <w:top w:val="single" w:sz="4" w:space="0" w:color="auto"/>
              <w:right w:val="single" w:sz="4" w:space="0" w:color="auto"/>
            </w:tcBorders>
            <w:vAlign w:val="center"/>
          </w:tcPr>
          <w:p w14:paraId="22D56AB9" w14:textId="77777777" w:rsidR="007D58FF" w:rsidRPr="00965529" w:rsidRDefault="007D58FF" w:rsidP="00893161">
            <w:pPr>
              <w:pStyle w:val="Paragraph"/>
              <w:spacing w:after="0"/>
              <w:jc w:val="center"/>
              <w:rPr>
                <w:sz w:val="22"/>
                <w:szCs w:val="22"/>
              </w:rPr>
            </w:pPr>
            <w:r w:rsidRPr="00965529">
              <w:rPr>
                <w:sz w:val="22"/>
                <w:szCs w:val="22"/>
              </w:rPr>
              <w:t>In-Situ Stresses</w:t>
            </w:r>
          </w:p>
        </w:tc>
        <w:tc>
          <w:tcPr>
            <w:tcW w:w="2448" w:type="dxa"/>
            <w:tcBorders>
              <w:top w:val="single" w:sz="4" w:space="0" w:color="auto"/>
              <w:left w:val="single" w:sz="4" w:space="0" w:color="auto"/>
              <w:right w:val="single" w:sz="4" w:space="0" w:color="auto"/>
            </w:tcBorders>
            <w:noWrap/>
            <w:vAlign w:val="center"/>
          </w:tcPr>
          <w:p w14:paraId="706BEF34" w14:textId="77777777" w:rsidR="007D58FF" w:rsidRPr="00965529" w:rsidRDefault="00077C0B" w:rsidP="00893161">
            <w:pPr>
              <w:pStyle w:val="Paragraph"/>
              <w:spacing w:after="0"/>
              <w:rPr>
                <w:sz w:val="22"/>
                <w:szCs w:val="22"/>
              </w:rPr>
            </w:pPr>
            <m:oMath>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H</m:t>
                  </m:r>
                </m:sub>
              </m:sSub>
            </m:oMath>
            <w:r w:rsidR="007D58FF" w:rsidRPr="00965529">
              <w:rPr>
                <w:sz w:val="22"/>
                <w:szCs w:val="22"/>
              </w:rPr>
              <w:t xml:space="preserve"> (MPa)</w:t>
            </w:r>
          </w:p>
        </w:tc>
        <w:tc>
          <w:tcPr>
            <w:tcW w:w="1296" w:type="dxa"/>
            <w:tcBorders>
              <w:top w:val="single" w:sz="4" w:space="0" w:color="auto"/>
              <w:left w:val="single" w:sz="4" w:space="0" w:color="auto"/>
              <w:right w:val="single" w:sz="4" w:space="0" w:color="auto"/>
            </w:tcBorders>
          </w:tcPr>
          <w:p w14:paraId="77C4A056" w14:textId="77777777" w:rsidR="007D58FF" w:rsidRPr="00965529" w:rsidRDefault="007D58FF" w:rsidP="00893161">
            <w:pPr>
              <w:pStyle w:val="Paragraph"/>
              <w:spacing w:after="0"/>
              <w:jc w:val="center"/>
              <w:rPr>
                <w:sz w:val="22"/>
                <w:szCs w:val="22"/>
              </w:rPr>
            </w:pPr>
            <w:r>
              <w:rPr>
                <w:sz w:val="22"/>
                <w:szCs w:val="22"/>
              </w:rPr>
              <w:t>7.74</w:t>
            </w:r>
          </w:p>
        </w:tc>
        <w:tc>
          <w:tcPr>
            <w:tcW w:w="1296" w:type="dxa"/>
            <w:tcBorders>
              <w:top w:val="single" w:sz="4" w:space="0" w:color="auto"/>
              <w:left w:val="single" w:sz="4" w:space="0" w:color="auto"/>
              <w:right w:val="single" w:sz="4" w:space="0" w:color="auto"/>
            </w:tcBorders>
          </w:tcPr>
          <w:p w14:paraId="4D480C96" w14:textId="77777777" w:rsidR="007D58FF" w:rsidRPr="00965529" w:rsidRDefault="007D58FF" w:rsidP="00893161">
            <w:pPr>
              <w:pStyle w:val="Paragraph"/>
              <w:spacing w:after="0"/>
              <w:jc w:val="center"/>
              <w:rPr>
                <w:sz w:val="22"/>
                <w:szCs w:val="22"/>
              </w:rPr>
            </w:pPr>
            <w:r>
              <w:rPr>
                <w:sz w:val="22"/>
                <w:szCs w:val="22"/>
              </w:rPr>
              <w:t>49.49</w:t>
            </w:r>
          </w:p>
        </w:tc>
        <w:tc>
          <w:tcPr>
            <w:tcW w:w="1296" w:type="dxa"/>
            <w:tcBorders>
              <w:top w:val="single" w:sz="4" w:space="0" w:color="auto"/>
              <w:left w:val="single" w:sz="4" w:space="0" w:color="auto"/>
              <w:right w:val="single" w:sz="4" w:space="0" w:color="auto"/>
            </w:tcBorders>
            <w:noWrap/>
            <w:vAlign w:val="center"/>
          </w:tcPr>
          <w:p w14:paraId="6017AE62" w14:textId="77777777" w:rsidR="007D58FF" w:rsidRPr="00965529" w:rsidRDefault="007D58FF" w:rsidP="00893161">
            <w:pPr>
              <w:pStyle w:val="Paragraph"/>
              <w:spacing w:after="0"/>
              <w:jc w:val="center"/>
              <w:rPr>
                <w:sz w:val="22"/>
                <w:szCs w:val="22"/>
              </w:rPr>
            </w:pPr>
            <w:r>
              <w:rPr>
                <w:sz w:val="22"/>
                <w:szCs w:val="22"/>
              </w:rPr>
              <w:t>84.89</w:t>
            </w:r>
          </w:p>
        </w:tc>
        <w:tc>
          <w:tcPr>
            <w:tcW w:w="656" w:type="dxa"/>
            <w:tcBorders>
              <w:top w:val="single" w:sz="4" w:space="0" w:color="auto"/>
              <w:left w:val="single" w:sz="4" w:space="0" w:color="auto"/>
            </w:tcBorders>
            <w:noWrap/>
            <w:vAlign w:val="center"/>
          </w:tcPr>
          <w:p w14:paraId="0789C1EB" w14:textId="77777777" w:rsidR="007D58FF" w:rsidRPr="00610B0A" w:rsidRDefault="007D58FF" w:rsidP="00893161">
            <w:pPr>
              <w:pStyle w:val="Paragraph"/>
              <w:spacing w:after="0"/>
              <w:jc w:val="center"/>
              <w:rPr>
                <w:sz w:val="22"/>
                <w:szCs w:val="22"/>
                <w:vertAlign w:val="superscript"/>
              </w:rPr>
            </w:pPr>
            <w:r w:rsidRPr="00610B0A">
              <w:rPr>
                <w:sz w:val="22"/>
                <w:szCs w:val="22"/>
                <w:vertAlign w:val="superscript"/>
              </w:rPr>
              <w:t>4</w:t>
            </w:r>
          </w:p>
        </w:tc>
      </w:tr>
      <w:tr w:rsidR="007D58FF" w:rsidRPr="00EB1994" w14:paraId="467621D2" w14:textId="77777777" w:rsidTr="00893161">
        <w:trPr>
          <w:gridAfter w:val="1"/>
          <w:wAfter w:w="75" w:type="dxa"/>
          <w:trHeight w:val="20"/>
          <w:jc w:val="center"/>
        </w:trPr>
        <w:tc>
          <w:tcPr>
            <w:tcW w:w="1573" w:type="dxa"/>
            <w:vMerge/>
            <w:tcBorders>
              <w:right w:val="single" w:sz="4" w:space="0" w:color="auto"/>
            </w:tcBorders>
          </w:tcPr>
          <w:p w14:paraId="34B4EFFD" w14:textId="77777777" w:rsidR="007D58FF" w:rsidRPr="00965529" w:rsidRDefault="007D58FF" w:rsidP="00893161">
            <w:pPr>
              <w:pStyle w:val="Paragraph"/>
              <w:spacing w:after="0"/>
              <w:rPr>
                <w:sz w:val="22"/>
                <w:szCs w:val="22"/>
              </w:rPr>
            </w:pPr>
          </w:p>
        </w:tc>
        <w:tc>
          <w:tcPr>
            <w:tcW w:w="2448" w:type="dxa"/>
            <w:tcBorders>
              <w:left w:val="single" w:sz="4" w:space="0" w:color="auto"/>
              <w:right w:val="single" w:sz="4" w:space="0" w:color="auto"/>
            </w:tcBorders>
            <w:noWrap/>
            <w:vAlign w:val="center"/>
          </w:tcPr>
          <w:p w14:paraId="1C679780" w14:textId="77777777" w:rsidR="007D58FF" w:rsidRPr="00965529" w:rsidRDefault="00077C0B" w:rsidP="00893161">
            <w:pPr>
              <w:pStyle w:val="Paragraph"/>
              <w:spacing w:after="0"/>
              <w:rPr>
                <w:sz w:val="22"/>
                <w:szCs w:val="22"/>
              </w:rPr>
            </w:pPr>
            <m:oMath>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h</m:t>
                  </m:r>
                </m:sub>
              </m:sSub>
            </m:oMath>
            <w:r w:rsidR="007D58FF" w:rsidRPr="00965529">
              <w:rPr>
                <w:sz w:val="22"/>
                <w:szCs w:val="22"/>
              </w:rPr>
              <w:t xml:space="preserve"> (MPa)</w:t>
            </w:r>
          </w:p>
        </w:tc>
        <w:tc>
          <w:tcPr>
            <w:tcW w:w="1296" w:type="dxa"/>
            <w:tcBorders>
              <w:left w:val="single" w:sz="4" w:space="0" w:color="auto"/>
              <w:right w:val="single" w:sz="4" w:space="0" w:color="auto"/>
            </w:tcBorders>
          </w:tcPr>
          <w:p w14:paraId="4D2BD421" w14:textId="77777777" w:rsidR="007D58FF" w:rsidRPr="00965529" w:rsidRDefault="007D58FF" w:rsidP="00893161">
            <w:pPr>
              <w:pStyle w:val="Paragraph"/>
              <w:spacing w:after="0"/>
              <w:jc w:val="center"/>
              <w:rPr>
                <w:sz w:val="22"/>
                <w:szCs w:val="22"/>
              </w:rPr>
            </w:pPr>
            <w:r>
              <w:rPr>
                <w:sz w:val="22"/>
                <w:szCs w:val="22"/>
              </w:rPr>
              <w:t>6.38</w:t>
            </w:r>
          </w:p>
        </w:tc>
        <w:tc>
          <w:tcPr>
            <w:tcW w:w="1296" w:type="dxa"/>
            <w:tcBorders>
              <w:left w:val="single" w:sz="4" w:space="0" w:color="auto"/>
              <w:right w:val="single" w:sz="4" w:space="0" w:color="auto"/>
            </w:tcBorders>
          </w:tcPr>
          <w:p w14:paraId="2575CC88" w14:textId="77777777" w:rsidR="007D58FF" w:rsidRPr="00965529" w:rsidRDefault="007D58FF" w:rsidP="00893161">
            <w:pPr>
              <w:pStyle w:val="Paragraph"/>
              <w:spacing w:after="0"/>
              <w:jc w:val="center"/>
              <w:rPr>
                <w:sz w:val="22"/>
                <w:szCs w:val="22"/>
              </w:rPr>
            </w:pPr>
            <w:r>
              <w:rPr>
                <w:sz w:val="22"/>
                <w:szCs w:val="22"/>
              </w:rPr>
              <w:t>40.76</w:t>
            </w:r>
          </w:p>
        </w:tc>
        <w:tc>
          <w:tcPr>
            <w:tcW w:w="1296" w:type="dxa"/>
            <w:tcBorders>
              <w:left w:val="single" w:sz="4" w:space="0" w:color="auto"/>
              <w:right w:val="single" w:sz="4" w:space="0" w:color="auto"/>
            </w:tcBorders>
            <w:noWrap/>
            <w:vAlign w:val="center"/>
          </w:tcPr>
          <w:p w14:paraId="33344F61" w14:textId="77777777" w:rsidR="007D58FF" w:rsidRPr="00965529" w:rsidRDefault="007D58FF" w:rsidP="00893161">
            <w:pPr>
              <w:pStyle w:val="Paragraph"/>
              <w:spacing w:after="0"/>
              <w:jc w:val="center"/>
              <w:rPr>
                <w:sz w:val="22"/>
                <w:szCs w:val="22"/>
              </w:rPr>
            </w:pPr>
            <w:r>
              <w:rPr>
                <w:sz w:val="22"/>
                <w:szCs w:val="22"/>
              </w:rPr>
              <w:t>69.91</w:t>
            </w:r>
          </w:p>
        </w:tc>
        <w:tc>
          <w:tcPr>
            <w:tcW w:w="656" w:type="dxa"/>
            <w:tcBorders>
              <w:left w:val="single" w:sz="4" w:space="0" w:color="auto"/>
            </w:tcBorders>
            <w:noWrap/>
            <w:vAlign w:val="center"/>
          </w:tcPr>
          <w:p w14:paraId="78D60B22" w14:textId="77777777" w:rsidR="007D58FF" w:rsidRPr="00610B0A" w:rsidRDefault="007D58FF" w:rsidP="00893161">
            <w:pPr>
              <w:pStyle w:val="Paragraph"/>
              <w:spacing w:after="0"/>
              <w:jc w:val="center"/>
              <w:rPr>
                <w:sz w:val="22"/>
                <w:szCs w:val="22"/>
                <w:vertAlign w:val="superscript"/>
              </w:rPr>
            </w:pPr>
            <w:r w:rsidRPr="00610B0A">
              <w:rPr>
                <w:sz w:val="22"/>
                <w:szCs w:val="22"/>
                <w:vertAlign w:val="superscript"/>
              </w:rPr>
              <w:t>4</w:t>
            </w:r>
          </w:p>
        </w:tc>
      </w:tr>
      <w:tr w:rsidR="007D58FF" w:rsidRPr="00EB1994" w14:paraId="43487885" w14:textId="77777777" w:rsidTr="00893161">
        <w:trPr>
          <w:gridAfter w:val="1"/>
          <w:wAfter w:w="75" w:type="dxa"/>
          <w:trHeight w:val="20"/>
          <w:jc w:val="center"/>
        </w:trPr>
        <w:tc>
          <w:tcPr>
            <w:tcW w:w="1573" w:type="dxa"/>
            <w:vMerge/>
            <w:tcBorders>
              <w:bottom w:val="single" w:sz="4" w:space="0" w:color="auto"/>
              <w:right w:val="single" w:sz="4" w:space="0" w:color="auto"/>
            </w:tcBorders>
          </w:tcPr>
          <w:p w14:paraId="3CFC428A" w14:textId="77777777" w:rsidR="007D58FF" w:rsidRPr="00965529" w:rsidRDefault="007D58FF" w:rsidP="00893161">
            <w:pPr>
              <w:pStyle w:val="Paragraph"/>
              <w:spacing w:after="0"/>
              <w:rPr>
                <w:sz w:val="22"/>
                <w:szCs w:val="22"/>
              </w:rPr>
            </w:pPr>
          </w:p>
        </w:tc>
        <w:tc>
          <w:tcPr>
            <w:tcW w:w="2448" w:type="dxa"/>
            <w:tcBorders>
              <w:left w:val="single" w:sz="4" w:space="0" w:color="auto"/>
              <w:bottom w:val="single" w:sz="4" w:space="0" w:color="auto"/>
              <w:right w:val="single" w:sz="4" w:space="0" w:color="auto"/>
            </w:tcBorders>
            <w:noWrap/>
            <w:vAlign w:val="center"/>
          </w:tcPr>
          <w:p w14:paraId="34918C63" w14:textId="77777777" w:rsidR="007D58FF" w:rsidRPr="00965529" w:rsidRDefault="00077C0B" w:rsidP="00893161">
            <w:pPr>
              <w:pStyle w:val="Paragraph"/>
              <w:spacing w:after="0"/>
              <w:rPr>
                <w:sz w:val="22"/>
                <w:szCs w:val="22"/>
              </w:rPr>
            </w:pPr>
            <m:oMath>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v</m:t>
                  </m:r>
                </m:sub>
              </m:sSub>
            </m:oMath>
            <w:r w:rsidR="007D58FF" w:rsidRPr="00965529">
              <w:rPr>
                <w:sz w:val="22"/>
                <w:szCs w:val="22"/>
              </w:rPr>
              <w:t xml:space="preserve"> (MPa)</w:t>
            </w:r>
          </w:p>
        </w:tc>
        <w:tc>
          <w:tcPr>
            <w:tcW w:w="1296" w:type="dxa"/>
            <w:tcBorders>
              <w:left w:val="single" w:sz="4" w:space="0" w:color="auto"/>
              <w:bottom w:val="single" w:sz="4" w:space="0" w:color="auto"/>
              <w:right w:val="single" w:sz="4" w:space="0" w:color="auto"/>
            </w:tcBorders>
          </w:tcPr>
          <w:p w14:paraId="4EC38D27" w14:textId="77777777" w:rsidR="007D58FF" w:rsidRPr="00965529" w:rsidRDefault="007D58FF" w:rsidP="00893161">
            <w:pPr>
              <w:pStyle w:val="Paragraph"/>
              <w:spacing w:after="0"/>
              <w:jc w:val="center"/>
              <w:rPr>
                <w:sz w:val="22"/>
                <w:szCs w:val="22"/>
              </w:rPr>
            </w:pPr>
            <w:r>
              <w:rPr>
                <w:sz w:val="22"/>
                <w:szCs w:val="22"/>
              </w:rPr>
              <w:t>9.11</w:t>
            </w:r>
          </w:p>
        </w:tc>
        <w:tc>
          <w:tcPr>
            <w:tcW w:w="1296" w:type="dxa"/>
            <w:tcBorders>
              <w:left w:val="single" w:sz="4" w:space="0" w:color="auto"/>
              <w:bottom w:val="single" w:sz="4" w:space="0" w:color="auto"/>
              <w:right w:val="single" w:sz="4" w:space="0" w:color="auto"/>
            </w:tcBorders>
          </w:tcPr>
          <w:p w14:paraId="3F0AED2E" w14:textId="77777777" w:rsidR="007D58FF" w:rsidRPr="00965529" w:rsidRDefault="007D58FF" w:rsidP="00893161">
            <w:pPr>
              <w:pStyle w:val="Paragraph"/>
              <w:spacing w:after="0"/>
              <w:jc w:val="center"/>
              <w:rPr>
                <w:sz w:val="22"/>
                <w:szCs w:val="22"/>
              </w:rPr>
            </w:pPr>
            <w:r>
              <w:rPr>
                <w:sz w:val="22"/>
                <w:szCs w:val="22"/>
              </w:rPr>
              <w:t>58.23</w:t>
            </w:r>
          </w:p>
        </w:tc>
        <w:tc>
          <w:tcPr>
            <w:tcW w:w="1296" w:type="dxa"/>
            <w:tcBorders>
              <w:left w:val="single" w:sz="4" w:space="0" w:color="auto"/>
              <w:bottom w:val="single" w:sz="4" w:space="0" w:color="auto"/>
              <w:right w:val="single" w:sz="4" w:space="0" w:color="auto"/>
            </w:tcBorders>
            <w:noWrap/>
            <w:vAlign w:val="center"/>
          </w:tcPr>
          <w:p w14:paraId="2139D9A6" w14:textId="77777777" w:rsidR="007D58FF" w:rsidRPr="00965529" w:rsidRDefault="007D58FF" w:rsidP="00893161">
            <w:pPr>
              <w:pStyle w:val="Paragraph"/>
              <w:spacing w:after="0"/>
              <w:jc w:val="center"/>
              <w:rPr>
                <w:sz w:val="22"/>
                <w:szCs w:val="22"/>
              </w:rPr>
            </w:pPr>
            <w:r>
              <w:rPr>
                <w:sz w:val="22"/>
                <w:szCs w:val="22"/>
              </w:rPr>
              <w:t>99.88</w:t>
            </w:r>
          </w:p>
        </w:tc>
        <w:tc>
          <w:tcPr>
            <w:tcW w:w="656" w:type="dxa"/>
            <w:tcBorders>
              <w:left w:val="single" w:sz="4" w:space="0" w:color="auto"/>
              <w:bottom w:val="single" w:sz="4" w:space="0" w:color="auto"/>
            </w:tcBorders>
            <w:noWrap/>
            <w:vAlign w:val="center"/>
          </w:tcPr>
          <w:p w14:paraId="435F8A46" w14:textId="77777777" w:rsidR="007D58FF" w:rsidRPr="00610B0A" w:rsidRDefault="007D58FF" w:rsidP="00893161">
            <w:pPr>
              <w:pStyle w:val="Paragraph"/>
              <w:spacing w:after="0"/>
              <w:jc w:val="center"/>
              <w:rPr>
                <w:sz w:val="22"/>
                <w:szCs w:val="22"/>
                <w:vertAlign w:val="superscript"/>
              </w:rPr>
            </w:pPr>
            <w:r w:rsidRPr="00610B0A">
              <w:rPr>
                <w:sz w:val="22"/>
                <w:szCs w:val="22"/>
                <w:vertAlign w:val="superscript"/>
              </w:rPr>
              <w:t>4</w:t>
            </w:r>
          </w:p>
        </w:tc>
      </w:tr>
      <w:tr w:rsidR="007D58FF" w:rsidRPr="00EB1994" w14:paraId="7D31A9E8" w14:textId="77777777" w:rsidTr="00893161">
        <w:trPr>
          <w:gridAfter w:val="1"/>
          <w:wAfter w:w="75" w:type="dxa"/>
          <w:trHeight w:val="20"/>
          <w:jc w:val="center"/>
        </w:trPr>
        <w:tc>
          <w:tcPr>
            <w:tcW w:w="1573" w:type="dxa"/>
            <w:vMerge w:val="restart"/>
            <w:tcBorders>
              <w:top w:val="single" w:sz="4" w:space="0" w:color="auto"/>
              <w:right w:val="single" w:sz="4" w:space="0" w:color="auto"/>
            </w:tcBorders>
            <w:vAlign w:val="center"/>
          </w:tcPr>
          <w:p w14:paraId="4E445F08" w14:textId="77777777" w:rsidR="007D58FF" w:rsidRPr="00965529" w:rsidRDefault="007D58FF" w:rsidP="00893161">
            <w:pPr>
              <w:pStyle w:val="Paragraph"/>
              <w:spacing w:after="0"/>
              <w:jc w:val="center"/>
              <w:rPr>
                <w:sz w:val="22"/>
                <w:szCs w:val="22"/>
              </w:rPr>
            </w:pPr>
            <w:r w:rsidRPr="00965529">
              <w:rPr>
                <w:sz w:val="22"/>
                <w:szCs w:val="22"/>
              </w:rPr>
              <w:t>Casing</w:t>
            </w:r>
          </w:p>
        </w:tc>
        <w:tc>
          <w:tcPr>
            <w:tcW w:w="2448" w:type="dxa"/>
            <w:tcBorders>
              <w:top w:val="single" w:sz="4" w:space="0" w:color="auto"/>
              <w:left w:val="single" w:sz="4" w:space="0" w:color="auto"/>
              <w:right w:val="single" w:sz="4" w:space="0" w:color="auto"/>
            </w:tcBorders>
            <w:noWrap/>
            <w:vAlign w:val="center"/>
            <w:hideMark/>
          </w:tcPr>
          <w:p w14:paraId="2FFE9225" w14:textId="77777777" w:rsidR="007D58FF" w:rsidRPr="00965529" w:rsidRDefault="007D58FF" w:rsidP="00893161">
            <w:pPr>
              <w:pStyle w:val="Paragraph"/>
              <w:spacing w:after="0"/>
              <w:rPr>
                <w:sz w:val="22"/>
                <w:szCs w:val="22"/>
              </w:rPr>
            </w:pPr>
            <m:oMath>
              <m:r>
                <w:rPr>
                  <w:rFonts w:ascii="Cambria Math" w:hAnsi="Cambria Math"/>
                  <w:sz w:val="22"/>
                  <w:szCs w:val="22"/>
                </w:rPr>
                <m:t>v</m:t>
              </m:r>
            </m:oMath>
            <w:r w:rsidRPr="00965529">
              <w:rPr>
                <w:sz w:val="22"/>
                <w:szCs w:val="22"/>
              </w:rPr>
              <w:t xml:space="preserve"> </w:t>
            </w:r>
          </w:p>
        </w:tc>
        <w:tc>
          <w:tcPr>
            <w:tcW w:w="1296" w:type="dxa"/>
            <w:tcBorders>
              <w:top w:val="single" w:sz="4" w:space="0" w:color="auto"/>
              <w:left w:val="single" w:sz="4" w:space="0" w:color="auto"/>
              <w:right w:val="single" w:sz="4" w:space="0" w:color="auto"/>
            </w:tcBorders>
          </w:tcPr>
          <w:p w14:paraId="54395FEB" w14:textId="77777777" w:rsidR="007D58FF" w:rsidRPr="00965529" w:rsidRDefault="007D58FF" w:rsidP="00893161">
            <w:pPr>
              <w:pStyle w:val="Paragraph"/>
              <w:spacing w:after="0"/>
              <w:jc w:val="center"/>
              <w:rPr>
                <w:sz w:val="22"/>
                <w:szCs w:val="22"/>
              </w:rPr>
            </w:pPr>
            <w:r>
              <w:rPr>
                <w:sz w:val="22"/>
                <w:szCs w:val="22"/>
              </w:rPr>
              <w:t>0.30</w:t>
            </w:r>
          </w:p>
        </w:tc>
        <w:tc>
          <w:tcPr>
            <w:tcW w:w="1296" w:type="dxa"/>
            <w:tcBorders>
              <w:top w:val="single" w:sz="4" w:space="0" w:color="auto"/>
              <w:left w:val="single" w:sz="4" w:space="0" w:color="auto"/>
              <w:right w:val="single" w:sz="4" w:space="0" w:color="auto"/>
            </w:tcBorders>
          </w:tcPr>
          <w:p w14:paraId="3821A957" w14:textId="77777777" w:rsidR="007D58FF" w:rsidRPr="00965529" w:rsidRDefault="007D58FF" w:rsidP="00893161">
            <w:pPr>
              <w:pStyle w:val="Paragraph"/>
              <w:spacing w:after="0"/>
              <w:jc w:val="center"/>
              <w:rPr>
                <w:sz w:val="22"/>
                <w:szCs w:val="22"/>
              </w:rPr>
            </w:pPr>
            <w:r>
              <w:rPr>
                <w:sz w:val="22"/>
                <w:szCs w:val="22"/>
              </w:rPr>
              <w:t>0.30</w:t>
            </w:r>
          </w:p>
        </w:tc>
        <w:tc>
          <w:tcPr>
            <w:tcW w:w="1296" w:type="dxa"/>
            <w:tcBorders>
              <w:top w:val="single" w:sz="4" w:space="0" w:color="auto"/>
              <w:left w:val="single" w:sz="4" w:space="0" w:color="auto"/>
              <w:right w:val="single" w:sz="4" w:space="0" w:color="auto"/>
            </w:tcBorders>
            <w:noWrap/>
            <w:vAlign w:val="center"/>
          </w:tcPr>
          <w:p w14:paraId="7E6A48D1" w14:textId="77777777" w:rsidR="007D58FF" w:rsidRPr="00965529" w:rsidRDefault="007D58FF" w:rsidP="00893161">
            <w:pPr>
              <w:pStyle w:val="Paragraph"/>
              <w:spacing w:after="0"/>
              <w:jc w:val="center"/>
              <w:rPr>
                <w:sz w:val="22"/>
                <w:szCs w:val="22"/>
              </w:rPr>
            </w:pPr>
            <w:r w:rsidRPr="00965529">
              <w:rPr>
                <w:sz w:val="22"/>
                <w:szCs w:val="22"/>
              </w:rPr>
              <w:t>0.30</w:t>
            </w:r>
          </w:p>
        </w:tc>
        <w:tc>
          <w:tcPr>
            <w:tcW w:w="656" w:type="dxa"/>
            <w:tcBorders>
              <w:top w:val="single" w:sz="4" w:space="0" w:color="auto"/>
              <w:left w:val="single" w:sz="4" w:space="0" w:color="auto"/>
            </w:tcBorders>
            <w:noWrap/>
            <w:vAlign w:val="center"/>
          </w:tcPr>
          <w:p w14:paraId="4E786E70" w14:textId="77777777" w:rsidR="007D58FF" w:rsidRPr="00610B0A" w:rsidRDefault="007D58FF" w:rsidP="00893161">
            <w:pPr>
              <w:pStyle w:val="Paragraph"/>
              <w:spacing w:after="0"/>
              <w:jc w:val="center"/>
              <w:rPr>
                <w:sz w:val="22"/>
                <w:szCs w:val="22"/>
                <w:vertAlign w:val="superscript"/>
              </w:rPr>
            </w:pPr>
            <w:r w:rsidRPr="00610B0A">
              <w:rPr>
                <w:sz w:val="22"/>
                <w:szCs w:val="22"/>
                <w:vertAlign w:val="superscript"/>
              </w:rPr>
              <w:t>2</w:t>
            </w:r>
          </w:p>
        </w:tc>
      </w:tr>
      <w:tr w:rsidR="007D58FF" w:rsidRPr="00EB1994" w14:paraId="6D356CD2" w14:textId="77777777" w:rsidTr="00893161">
        <w:trPr>
          <w:gridAfter w:val="1"/>
          <w:wAfter w:w="75" w:type="dxa"/>
          <w:trHeight w:val="20"/>
          <w:jc w:val="center"/>
        </w:trPr>
        <w:tc>
          <w:tcPr>
            <w:tcW w:w="1573" w:type="dxa"/>
            <w:vMerge/>
            <w:tcBorders>
              <w:right w:val="single" w:sz="4" w:space="0" w:color="auto"/>
            </w:tcBorders>
          </w:tcPr>
          <w:p w14:paraId="755026B5" w14:textId="77777777" w:rsidR="007D58FF" w:rsidRPr="00965529" w:rsidRDefault="007D58FF" w:rsidP="00893161">
            <w:pPr>
              <w:pStyle w:val="Paragraph"/>
              <w:spacing w:after="0"/>
              <w:rPr>
                <w:sz w:val="22"/>
                <w:szCs w:val="22"/>
              </w:rPr>
            </w:pPr>
          </w:p>
        </w:tc>
        <w:tc>
          <w:tcPr>
            <w:tcW w:w="2448" w:type="dxa"/>
            <w:tcBorders>
              <w:left w:val="single" w:sz="4" w:space="0" w:color="auto"/>
              <w:right w:val="single" w:sz="4" w:space="0" w:color="auto"/>
            </w:tcBorders>
            <w:noWrap/>
            <w:vAlign w:val="center"/>
            <w:hideMark/>
          </w:tcPr>
          <w:p w14:paraId="1EE9F0A8" w14:textId="77777777" w:rsidR="007D58FF" w:rsidRPr="00965529" w:rsidRDefault="007D58FF" w:rsidP="00893161">
            <w:pPr>
              <w:pStyle w:val="Paragraph"/>
              <w:spacing w:after="0"/>
              <w:rPr>
                <w:sz w:val="22"/>
                <w:szCs w:val="22"/>
              </w:rPr>
            </w:pPr>
            <m:oMath>
              <m:r>
                <w:rPr>
                  <w:rFonts w:ascii="Cambria Math" w:hAnsi="Cambria Math"/>
                  <w:sz w:val="22"/>
                  <w:szCs w:val="22"/>
                </w:rPr>
                <m:t>E</m:t>
              </m:r>
            </m:oMath>
            <w:r w:rsidRPr="00965529">
              <w:rPr>
                <w:sz w:val="22"/>
                <w:szCs w:val="22"/>
              </w:rPr>
              <w:t xml:space="preserve"> (GPa)</w:t>
            </w:r>
          </w:p>
        </w:tc>
        <w:tc>
          <w:tcPr>
            <w:tcW w:w="1296" w:type="dxa"/>
            <w:tcBorders>
              <w:left w:val="single" w:sz="4" w:space="0" w:color="auto"/>
              <w:right w:val="single" w:sz="4" w:space="0" w:color="auto"/>
            </w:tcBorders>
          </w:tcPr>
          <w:p w14:paraId="0FC21D19" w14:textId="77777777" w:rsidR="007D58FF" w:rsidRPr="00965529" w:rsidRDefault="007D58FF" w:rsidP="00893161">
            <w:pPr>
              <w:pStyle w:val="Paragraph"/>
              <w:spacing w:after="0"/>
              <w:jc w:val="center"/>
              <w:rPr>
                <w:sz w:val="22"/>
                <w:szCs w:val="22"/>
              </w:rPr>
            </w:pPr>
            <w:r>
              <w:rPr>
                <w:sz w:val="22"/>
                <w:szCs w:val="22"/>
              </w:rPr>
              <w:t>200</w:t>
            </w:r>
          </w:p>
        </w:tc>
        <w:tc>
          <w:tcPr>
            <w:tcW w:w="1296" w:type="dxa"/>
            <w:tcBorders>
              <w:left w:val="single" w:sz="4" w:space="0" w:color="auto"/>
              <w:right w:val="single" w:sz="4" w:space="0" w:color="auto"/>
            </w:tcBorders>
          </w:tcPr>
          <w:p w14:paraId="24E3072C" w14:textId="77777777" w:rsidR="007D58FF" w:rsidRPr="00965529" w:rsidRDefault="007D58FF" w:rsidP="00893161">
            <w:pPr>
              <w:pStyle w:val="Paragraph"/>
              <w:spacing w:after="0"/>
              <w:jc w:val="center"/>
              <w:rPr>
                <w:sz w:val="22"/>
                <w:szCs w:val="22"/>
              </w:rPr>
            </w:pPr>
            <w:r>
              <w:rPr>
                <w:sz w:val="22"/>
                <w:szCs w:val="22"/>
              </w:rPr>
              <w:t>200</w:t>
            </w:r>
          </w:p>
        </w:tc>
        <w:tc>
          <w:tcPr>
            <w:tcW w:w="1296" w:type="dxa"/>
            <w:tcBorders>
              <w:left w:val="single" w:sz="4" w:space="0" w:color="auto"/>
              <w:right w:val="single" w:sz="4" w:space="0" w:color="auto"/>
            </w:tcBorders>
            <w:noWrap/>
            <w:vAlign w:val="center"/>
          </w:tcPr>
          <w:p w14:paraId="3496FA94" w14:textId="77777777" w:rsidR="007D58FF" w:rsidRPr="00965529" w:rsidRDefault="007D58FF" w:rsidP="00893161">
            <w:pPr>
              <w:pStyle w:val="Paragraph"/>
              <w:spacing w:after="0"/>
              <w:jc w:val="center"/>
              <w:rPr>
                <w:sz w:val="22"/>
                <w:szCs w:val="22"/>
              </w:rPr>
            </w:pPr>
            <w:r>
              <w:rPr>
                <w:sz w:val="22"/>
                <w:szCs w:val="22"/>
              </w:rPr>
              <w:t>200</w:t>
            </w:r>
          </w:p>
        </w:tc>
        <w:tc>
          <w:tcPr>
            <w:tcW w:w="656" w:type="dxa"/>
            <w:tcBorders>
              <w:left w:val="single" w:sz="4" w:space="0" w:color="auto"/>
            </w:tcBorders>
            <w:noWrap/>
            <w:vAlign w:val="center"/>
          </w:tcPr>
          <w:p w14:paraId="1F17C035" w14:textId="77777777" w:rsidR="007D58FF" w:rsidRPr="00610B0A" w:rsidRDefault="007D58FF" w:rsidP="00893161">
            <w:pPr>
              <w:pStyle w:val="Paragraph"/>
              <w:spacing w:after="0"/>
              <w:jc w:val="center"/>
              <w:rPr>
                <w:sz w:val="22"/>
                <w:szCs w:val="22"/>
                <w:vertAlign w:val="superscript"/>
              </w:rPr>
            </w:pPr>
            <w:r w:rsidRPr="00610B0A">
              <w:rPr>
                <w:sz w:val="22"/>
                <w:szCs w:val="22"/>
                <w:vertAlign w:val="superscript"/>
              </w:rPr>
              <w:t>3</w:t>
            </w:r>
          </w:p>
        </w:tc>
      </w:tr>
      <w:tr w:rsidR="007D58FF" w:rsidRPr="00EB1994" w14:paraId="55509F41" w14:textId="77777777" w:rsidTr="00893161">
        <w:trPr>
          <w:gridAfter w:val="1"/>
          <w:wAfter w:w="75" w:type="dxa"/>
          <w:trHeight w:val="20"/>
          <w:jc w:val="center"/>
        </w:trPr>
        <w:tc>
          <w:tcPr>
            <w:tcW w:w="1573" w:type="dxa"/>
            <w:vMerge w:val="restart"/>
            <w:tcBorders>
              <w:top w:val="single" w:sz="4" w:space="0" w:color="auto"/>
              <w:right w:val="single" w:sz="4" w:space="0" w:color="auto"/>
            </w:tcBorders>
            <w:vAlign w:val="center"/>
          </w:tcPr>
          <w:p w14:paraId="359C9DA4" w14:textId="77777777" w:rsidR="007D58FF" w:rsidRPr="00965529" w:rsidRDefault="007D58FF" w:rsidP="00893161">
            <w:pPr>
              <w:pStyle w:val="Paragraph"/>
              <w:spacing w:after="0"/>
              <w:jc w:val="center"/>
              <w:rPr>
                <w:sz w:val="22"/>
                <w:szCs w:val="22"/>
              </w:rPr>
            </w:pPr>
            <w:r w:rsidRPr="00965529">
              <w:rPr>
                <w:sz w:val="22"/>
                <w:szCs w:val="22"/>
              </w:rPr>
              <w:t>Cement</w:t>
            </w:r>
          </w:p>
        </w:tc>
        <w:tc>
          <w:tcPr>
            <w:tcW w:w="2448" w:type="dxa"/>
            <w:tcBorders>
              <w:top w:val="single" w:sz="4" w:space="0" w:color="auto"/>
              <w:left w:val="single" w:sz="4" w:space="0" w:color="auto"/>
              <w:right w:val="single" w:sz="4" w:space="0" w:color="auto"/>
            </w:tcBorders>
            <w:noWrap/>
            <w:vAlign w:val="center"/>
          </w:tcPr>
          <w:p w14:paraId="54585F0A" w14:textId="77777777" w:rsidR="007D58FF" w:rsidRPr="00965529" w:rsidRDefault="007D58FF" w:rsidP="00893161">
            <w:pPr>
              <w:pStyle w:val="Paragraph"/>
              <w:spacing w:after="0"/>
              <w:rPr>
                <w:sz w:val="22"/>
                <w:szCs w:val="22"/>
              </w:rPr>
            </w:pPr>
            <m:oMath>
              <m:r>
                <w:rPr>
                  <w:rFonts w:ascii="Cambria Math" w:hAnsi="Cambria Math"/>
                  <w:sz w:val="22"/>
                  <w:szCs w:val="22"/>
                </w:rPr>
                <m:t>Pp</m:t>
              </m:r>
            </m:oMath>
            <w:r w:rsidRPr="00965529">
              <w:rPr>
                <w:sz w:val="22"/>
                <w:szCs w:val="22"/>
              </w:rPr>
              <w:t xml:space="preserve"> (g/cc)</w:t>
            </w:r>
          </w:p>
        </w:tc>
        <w:tc>
          <w:tcPr>
            <w:tcW w:w="1296" w:type="dxa"/>
            <w:tcBorders>
              <w:top w:val="single" w:sz="4" w:space="0" w:color="auto"/>
              <w:left w:val="single" w:sz="4" w:space="0" w:color="auto"/>
              <w:right w:val="single" w:sz="4" w:space="0" w:color="auto"/>
            </w:tcBorders>
          </w:tcPr>
          <w:p w14:paraId="5D42E0E4" w14:textId="77777777" w:rsidR="007D58FF" w:rsidRPr="00965529" w:rsidRDefault="007D58FF" w:rsidP="00893161">
            <w:pPr>
              <w:pStyle w:val="Paragraph"/>
              <w:spacing w:after="0"/>
              <w:jc w:val="center"/>
              <w:rPr>
                <w:sz w:val="22"/>
                <w:szCs w:val="22"/>
              </w:rPr>
            </w:pPr>
            <w:r>
              <w:rPr>
                <w:sz w:val="22"/>
                <w:szCs w:val="22"/>
              </w:rPr>
              <w:t>0.99</w:t>
            </w:r>
          </w:p>
        </w:tc>
        <w:tc>
          <w:tcPr>
            <w:tcW w:w="1296" w:type="dxa"/>
            <w:tcBorders>
              <w:top w:val="single" w:sz="4" w:space="0" w:color="auto"/>
              <w:left w:val="single" w:sz="4" w:space="0" w:color="auto"/>
              <w:right w:val="single" w:sz="4" w:space="0" w:color="auto"/>
            </w:tcBorders>
          </w:tcPr>
          <w:p w14:paraId="69BA77FF" w14:textId="77777777" w:rsidR="007D58FF" w:rsidRPr="00965529" w:rsidRDefault="007D58FF" w:rsidP="00893161">
            <w:pPr>
              <w:pStyle w:val="Paragraph"/>
              <w:spacing w:after="0"/>
              <w:jc w:val="center"/>
              <w:rPr>
                <w:sz w:val="22"/>
                <w:szCs w:val="22"/>
              </w:rPr>
            </w:pPr>
            <w:r>
              <w:rPr>
                <w:sz w:val="22"/>
                <w:szCs w:val="22"/>
              </w:rPr>
              <w:t>1.35</w:t>
            </w:r>
          </w:p>
        </w:tc>
        <w:tc>
          <w:tcPr>
            <w:tcW w:w="1296" w:type="dxa"/>
            <w:tcBorders>
              <w:top w:val="single" w:sz="4" w:space="0" w:color="auto"/>
              <w:left w:val="single" w:sz="4" w:space="0" w:color="auto"/>
              <w:right w:val="single" w:sz="4" w:space="0" w:color="auto"/>
            </w:tcBorders>
            <w:noWrap/>
            <w:vAlign w:val="center"/>
          </w:tcPr>
          <w:p w14:paraId="319A646E" w14:textId="77777777" w:rsidR="007D58FF" w:rsidRPr="00965529" w:rsidRDefault="007D58FF" w:rsidP="00893161">
            <w:pPr>
              <w:pStyle w:val="Paragraph"/>
              <w:spacing w:after="0"/>
              <w:jc w:val="center"/>
              <w:rPr>
                <w:sz w:val="22"/>
                <w:szCs w:val="22"/>
              </w:rPr>
            </w:pPr>
            <w:r>
              <w:rPr>
                <w:sz w:val="22"/>
                <w:szCs w:val="22"/>
              </w:rPr>
              <w:t>1.18</w:t>
            </w:r>
          </w:p>
        </w:tc>
        <w:tc>
          <w:tcPr>
            <w:tcW w:w="656" w:type="dxa"/>
            <w:tcBorders>
              <w:top w:val="single" w:sz="4" w:space="0" w:color="auto"/>
              <w:left w:val="single" w:sz="4" w:space="0" w:color="auto"/>
            </w:tcBorders>
            <w:noWrap/>
            <w:vAlign w:val="center"/>
          </w:tcPr>
          <w:p w14:paraId="0B0B8DEE" w14:textId="77777777" w:rsidR="007D58FF" w:rsidRPr="00610B0A" w:rsidRDefault="007D58FF" w:rsidP="00893161">
            <w:pPr>
              <w:pStyle w:val="Paragraph"/>
              <w:spacing w:after="0"/>
              <w:jc w:val="center"/>
              <w:rPr>
                <w:sz w:val="22"/>
                <w:szCs w:val="22"/>
                <w:vertAlign w:val="superscript"/>
              </w:rPr>
            </w:pPr>
            <w:r w:rsidRPr="00610B0A">
              <w:rPr>
                <w:sz w:val="22"/>
                <w:szCs w:val="22"/>
                <w:vertAlign w:val="superscript"/>
              </w:rPr>
              <w:t>1</w:t>
            </w:r>
          </w:p>
        </w:tc>
      </w:tr>
      <w:tr w:rsidR="007D58FF" w:rsidRPr="00EB1994" w14:paraId="2F38E9D6" w14:textId="77777777" w:rsidTr="00893161">
        <w:trPr>
          <w:gridAfter w:val="1"/>
          <w:wAfter w:w="75" w:type="dxa"/>
          <w:trHeight w:val="20"/>
          <w:jc w:val="center"/>
        </w:trPr>
        <w:tc>
          <w:tcPr>
            <w:tcW w:w="1573" w:type="dxa"/>
            <w:vMerge/>
            <w:tcBorders>
              <w:right w:val="single" w:sz="4" w:space="0" w:color="auto"/>
            </w:tcBorders>
            <w:vAlign w:val="center"/>
          </w:tcPr>
          <w:p w14:paraId="10FA5882" w14:textId="77777777" w:rsidR="007D58FF" w:rsidRPr="00965529" w:rsidRDefault="007D58FF" w:rsidP="00893161">
            <w:pPr>
              <w:pStyle w:val="Paragraph"/>
              <w:spacing w:after="0"/>
              <w:jc w:val="center"/>
              <w:rPr>
                <w:sz w:val="22"/>
                <w:szCs w:val="22"/>
              </w:rPr>
            </w:pPr>
          </w:p>
        </w:tc>
        <w:tc>
          <w:tcPr>
            <w:tcW w:w="2448" w:type="dxa"/>
            <w:tcBorders>
              <w:left w:val="single" w:sz="4" w:space="0" w:color="auto"/>
              <w:right w:val="single" w:sz="4" w:space="0" w:color="auto"/>
            </w:tcBorders>
            <w:noWrap/>
            <w:vAlign w:val="center"/>
          </w:tcPr>
          <w:p w14:paraId="6F22292C" w14:textId="77777777" w:rsidR="007D58FF" w:rsidRDefault="00077C0B" w:rsidP="00893161">
            <w:pPr>
              <w:pStyle w:val="Paragraph"/>
              <w:spacing w:after="0"/>
              <w:rPr>
                <w:sz w:val="22"/>
                <w:szCs w:val="22"/>
              </w:rPr>
            </w:pPr>
            <m:oMath>
              <m:sSub>
                <m:sSubPr>
                  <m:ctrlPr>
                    <w:rPr>
                      <w:rFonts w:ascii="Cambria Math" w:hAnsi="Cambria Math"/>
                      <w:i/>
                      <w:sz w:val="22"/>
                      <w:szCs w:val="22"/>
                    </w:rPr>
                  </m:ctrlPr>
                </m:sSubPr>
                <m:e>
                  <m:r>
                    <w:rPr>
                      <w:rFonts w:ascii="Cambria Math" w:hAnsi="Cambria Math"/>
                      <w:sz w:val="22"/>
                      <w:szCs w:val="22"/>
                    </w:rPr>
                    <m:t>γ</m:t>
                  </m:r>
                </m:e>
                <m:sub>
                  <m:r>
                    <w:rPr>
                      <w:rFonts w:ascii="Cambria Math" w:hAnsi="Cambria Math"/>
                      <w:sz w:val="22"/>
                      <w:szCs w:val="22"/>
                    </w:rPr>
                    <m:t>cement</m:t>
                  </m:r>
                </m:sub>
              </m:sSub>
            </m:oMath>
            <w:r w:rsidR="007D58FF">
              <w:rPr>
                <w:sz w:val="22"/>
                <w:szCs w:val="22"/>
              </w:rPr>
              <w:t xml:space="preserve"> </w:t>
            </w:r>
          </w:p>
        </w:tc>
        <w:tc>
          <w:tcPr>
            <w:tcW w:w="1296" w:type="dxa"/>
            <w:tcBorders>
              <w:left w:val="single" w:sz="4" w:space="0" w:color="auto"/>
              <w:right w:val="single" w:sz="4" w:space="0" w:color="auto"/>
            </w:tcBorders>
          </w:tcPr>
          <w:p w14:paraId="0C9274CC" w14:textId="77777777" w:rsidR="007D58FF" w:rsidRDefault="007D58FF" w:rsidP="00893161">
            <w:pPr>
              <w:pStyle w:val="Paragraph"/>
              <w:spacing w:after="0"/>
              <w:jc w:val="center"/>
              <w:rPr>
                <w:sz w:val="22"/>
                <w:szCs w:val="22"/>
              </w:rPr>
            </w:pPr>
            <w:r>
              <w:rPr>
                <w:sz w:val="22"/>
                <w:szCs w:val="22"/>
              </w:rPr>
              <w:t>1.0</w:t>
            </w:r>
          </w:p>
        </w:tc>
        <w:tc>
          <w:tcPr>
            <w:tcW w:w="1296" w:type="dxa"/>
            <w:tcBorders>
              <w:left w:val="single" w:sz="4" w:space="0" w:color="auto"/>
              <w:right w:val="single" w:sz="4" w:space="0" w:color="auto"/>
            </w:tcBorders>
          </w:tcPr>
          <w:p w14:paraId="69977AAB" w14:textId="77777777" w:rsidR="007D58FF" w:rsidRDefault="007D58FF" w:rsidP="00893161">
            <w:pPr>
              <w:pStyle w:val="Paragraph"/>
              <w:spacing w:after="0"/>
              <w:jc w:val="center"/>
              <w:rPr>
                <w:sz w:val="22"/>
                <w:szCs w:val="22"/>
              </w:rPr>
            </w:pPr>
            <w:r>
              <w:rPr>
                <w:sz w:val="22"/>
                <w:szCs w:val="22"/>
              </w:rPr>
              <w:t>1.0</w:t>
            </w:r>
          </w:p>
        </w:tc>
        <w:tc>
          <w:tcPr>
            <w:tcW w:w="1296" w:type="dxa"/>
            <w:tcBorders>
              <w:left w:val="single" w:sz="4" w:space="0" w:color="auto"/>
              <w:right w:val="single" w:sz="4" w:space="0" w:color="auto"/>
            </w:tcBorders>
            <w:noWrap/>
            <w:vAlign w:val="center"/>
          </w:tcPr>
          <w:p w14:paraId="7349D3AD" w14:textId="77777777" w:rsidR="007D58FF" w:rsidRDefault="007D58FF" w:rsidP="00893161">
            <w:pPr>
              <w:pStyle w:val="Paragraph"/>
              <w:spacing w:after="0"/>
              <w:jc w:val="center"/>
              <w:rPr>
                <w:sz w:val="22"/>
                <w:szCs w:val="22"/>
              </w:rPr>
            </w:pPr>
            <w:r>
              <w:rPr>
                <w:sz w:val="22"/>
                <w:szCs w:val="22"/>
              </w:rPr>
              <w:t>1.0</w:t>
            </w:r>
          </w:p>
        </w:tc>
        <w:tc>
          <w:tcPr>
            <w:tcW w:w="656" w:type="dxa"/>
            <w:tcBorders>
              <w:left w:val="single" w:sz="4" w:space="0" w:color="auto"/>
            </w:tcBorders>
            <w:noWrap/>
            <w:vAlign w:val="center"/>
          </w:tcPr>
          <w:p w14:paraId="724A80B7" w14:textId="77777777" w:rsidR="007D58FF" w:rsidRPr="00610B0A" w:rsidRDefault="007D58FF" w:rsidP="00893161">
            <w:pPr>
              <w:pStyle w:val="Paragraph"/>
              <w:spacing w:after="0"/>
              <w:jc w:val="center"/>
              <w:rPr>
                <w:sz w:val="22"/>
                <w:szCs w:val="22"/>
                <w:vertAlign w:val="superscript"/>
              </w:rPr>
            </w:pPr>
          </w:p>
        </w:tc>
      </w:tr>
      <w:tr w:rsidR="007D58FF" w:rsidRPr="00EB1994" w14:paraId="5C766190" w14:textId="77777777" w:rsidTr="00893161">
        <w:trPr>
          <w:gridAfter w:val="1"/>
          <w:wAfter w:w="75" w:type="dxa"/>
          <w:trHeight w:val="20"/>
          <w:jc w:val="center"/>
        </w:trPr>
        <w:tc>
          <w:tcPr>
            <w:tcW w:w="1573" w:type="dxa"/>
            <w:vMerge/>
            <w:tcBorders>
              <w:right w:val="single" w:sz="4" w:space="0" w:color="auto"/>
            </w:tcBorders>
            <w:vAlign w:val="center"/>
          </w:tcPr>
          <w:p w14:paraId="356F8C3D" w14:textId="77777777" w:rsidR="007D58FF" w:rsidRPr="00965529" w:rsidRDefault="007D58FF" w:rsidP="00893161">
            <w:pPr>
              <w:pStyle w:val="Paragraph"/>
              <w:spacing w:after="0"/>
              <w:jc w:val="center"/>
              <w:rPr>
                <w:sz w:val="22"/>
                <w:szCs w:val="22"/>
              </w:rPr>
            </w:pPr>
          </w:p>
        </w:tc>
        <w:tc>
          <w:tcPr>
            <w:tcW w:w="2448" w:type="dxa"/>
            <w:tcBorders>
              <w:left w:val="single" w:sz="4" w:space="0" w:color="auto"/>
              <w:right w:val="single" w:sz="4" w:space="0" w:color="auto"/>
            </w:tcBorders>
            <w:noWrap/>
            <w:vAlign w:val="center"/>
          </w:tcPr>
          <w:p w14:paraId="1363BD4E" w14:textId="77777777" w:rsidR="007D58FF" w:rsidRPr="00965529" w:rsidRDefault="00077C0B" w:rsidP="00893161">
            <w:pPr>
              <w:pStyle w:val="Paragraph"/>
              <w:spacing w:after="0"/>
              <w:rPr>
                <w:sz w:val="22"/>
                <w:szCs w:val="22"/>
              </w:rPr>
            </w:pPr>
            <m:oMath>
              <m:sSub>
                <m:sSubPr>
                  <m:ctrlPr>
                    <w:rPr>
                      <w:rFonts w:ascii="Cambria Math" w:hAnsi="Cambria Math"/>
                      <w:i/>
                      <w:sz w:val="22"/>
                      <w:szCs w:val="22"/>
                    </w:rPr>
                  </m:ctrlPr>
                </m:sSubPr>
                <m:e>
                  <m:r>
                    <w:rPr>
                      <w:rFonts w:ascii="Cambria Math" w:hAnsi="Cambria Math"/>
                      <w:sz w:val="22"/>
                      <w:szCs w:val="22"/>
                    </w:rPr>
                    <m:t>ρ</m:t>
                  </m:r>
                </m:e>
                <m:sub>
                  <m:r>
                    <w:rPr>
                      <w:rFonts w:ascii="Cambria Math" w:hAnsi="Cambria Math"/>
                      <w:sz w:val="22"/>
                      <w:szCs w:val="22"/>
                    </w:rPr>
                    <m:t>slurry</m:t>
                  </m:r>
                </m:sub>
              </m:sSub>
            </m:oMath>
            <w:r w:rsidR="007D58FF" w:rsidRPr="00965529">
              <w:rPr>
                <w:sz w:val="22"/>
                <w:szCs w:val="22"/>
              </w:rPr>
              <w:t xml:space="preserve"> (g/cc)</w:t>
            </w:r>
          </w:p>
        </w:tc>
        <w:tc>
          <w:tcPr>
            <w:tcW w:w="1296" w:type="dxa"/>
            <w:tcBorders>
              <w:left w:val="single" w:sz="4" w:space="0" w:color="auto"/>
              <w:right w:val="single" w:sz="4" w:space="0" w:color="auto"/>
            </w:tcBorders>
          </w:tcPr>
          <w:p w14:paraId="74621533" w14:textId="77777777" w:rsidR="007D58FF" w:rsidRPr="00965529" w:rsidRDefault="007D58FF" w:rsidP="00893161">
            <w:pPr>
              <w:pStyle w:val="Paragraph"/>
              <w:spacing w:after="0"/>
              <w:jc w:val="center"/>
              <w:rPr>
                <w:sz w:val="22"/>
                <w:szCs w:val="22"/>
              </w:rPr>
            </w:pPr>
            <w:r>
              <w:rPr>
                <w:sz w:val="22"/>
                <w:szCs w:val="22"/>
              </w:rPr>
              <w:t>1.22</w:t>
            </w:r>
          </w:p>
        </w:tc>
        <w:tc>
          <w:tcPr>
            <w:tcW w:w="1296" w:type="dxa"/>
            <w:tcBorders>
              <w:left w:val="single" w:sz="4" w:space="0" w:color="auto"/>
              <w:right w:val="single" w:sz="4" w:space="0" w:color="auto"/>
            </w:tcBorders>
          </w:tcPr>
          <w:p w14:paraId="71D44ABF" w14:textId="77777777" w:rsidR="007D58FF" w:rsidRPr="00965529" w:rsidRDefault="007D58FF" w:rsidP="00893161">
            <w:pPr>
              <w:pStyle w:val="Paragraph"/>
              <w:spacing w:after="0"/>
              <w:jc w:val="center"/>
              <w:rPr>
                <w:sz w:val="22"/>
                <w:szCs w:val="22"/>
              </w:rPr>
            </w:pPr>
            <w:r>
              <w:rPr>
                <w:sz w:val="22"/>
                <w:szCs w:val="22"/>
              </w:rPr>
              <w:t>1.53</w:t>
            </w:r>
          </w:p>
        </w:tc>
        <w:tc>
          <w:tcPr>
            <w:tcW w:w="1296" w:type="dxa"/>
            <w:tcBorders>
              <w:left w:val="single" w:sz="4" w:space="0" w:color="auto"/>
              <w:right w:val="single" w:sz="4" w:space="0" w:color="auto"/>
            </w:tcBorders>
            <w:noWrap/>
            <w:vAlign w:val="center"/>
          </w:tcPr>
          <w:p w14:paraId="78448016" w14:textId="77777777" w:rsidR="007D58FF" w:rsidRPr="00965529" w:rsidRDefault="007D58FF" w:rsidP="00893161">
            <w:pPr>
              <w:pStyle w:val="Paragraph"/>
              <w:spacing w:after="0"/>
              <w:jc w:val="center"/>
              <w:rPr>
                <w:sz w:val="22"/>
                <w:szCs w:val="22"/>
              </w:rPr>
            </w:pPr>
            <w:r>
              <w:rPr>
                <w:sz w:val="22"/>
                <w:szCs w:val="22"/>
              </w:rPr>
              <w:t>1.55</w:t>
            </w:r>
          </w:p>
        </w:tc>
        <w:tc>
          <w:tcPr>
            <w:tcW w:w="656" w:type="dxa"/>
            <w:tcBorders>
              <w:left w:val="single" w:sz="4" w:space="0" w:color="auto"/>
            </w:tcBorders>
            <w:noWrap/>
            <w:vAlign w:val="center"/>
          </w:tcPr>
          <w:p w14:paraId="76F2D230" w14:textId="77777777" w:rsidR="007D58FF" w:rsidRPr="00610B0A" w:rsidRDefault="007D58FF" w:rsidP="00893161">
            <w:pPr>
              <w:pStyle w:val="Paragraph"/>
              <w:spacing w:after="0"/>
              <w:jc w:val="center"/>
              <w:rPr>
                <w:sz w:val="22"/>
                <w:szCs w:val="22"/>
                <w:vertAlign w:val="superscript"/>
              </w:rPr>
            </w:pPr>
            <w:r w:rsidRPr="00610B0A">
              <w:rPr>
                <w:sz w:val="22"/>
                <w:szCs w:val="22"/>
                <w:vertAlign w:val="superscript"/>
              </w:rPr>
              <w:t>1</w:t>
            </w:r>
          </w:p>
        </w:tc>
      </w:tr>
      <w:tr w:rsidR="007D58FF" w:rsidRPr="00EB1994" w14:paraId="0AE1ECFB" w14:textId="77777777" w:rsidTr="00893161">
        <w:trPr>
          <w:gridAfter w:val="1"/>
          <w:wAfter w:w="75" w:type="dxa"/>
          <w:trHeight w:val="20"/>
          <w:jc w:val="center"/>
        </w:trPr>
        <w:tc>
          <w:tcPr>
            <w:tcW w:w="1573" w:type="dxa"/>
            <w:vMerge/>
            <w:tcBorders>
              <w:right w:val="single" w:sz="4" w:space="0" w:color="auto"/>
            </w:tcBorders>
            <w:vAlign w:val="center"/>
          </w:tcPr>
          <w:p w14:paraId="4489C155" w14:textId="77777777" w:rsidR="007D58FF" w:rsidRPr="00965529" w:rsidRDefault="007D58FF" w:rsidP="00893161">
            <w:pPr>
              <w:pStyle w:val="Paragraph"/>
              <w:spacing w:after="0"/>
              <w:jc w:val="center"/>
              <w:rPr>
                <w:sz w:val="22"/>
                <w:szCs w:val="22"/>
              </w:rPr>
            </w:pPr>
          </w:p>
        </w:tc>
        <w:tc>
          <w:tcPr>
            <w:tcW w:w="2448" w:type="dxa"/>
            <w:tcBorders>
              <w:left w:val="single" w:sz="4" w:space="0" w:color="auto"/>
              <w:right w:val="single" w:sz="4" w:space="0" w:color="auto"/>
            </w:tcBorders>
            <w:noWrap/>
            <w:vAlign w:val="center"/>
          </w:tcPr>
          <w:p w14:paraId="73CAA28E" w14:textId="77777777" w:rsidR="007D58FF" w:rsidRPr="00965529" w:rsidRDefault="00077C0B" w:rsidP="00893161">
            <w:pPr>
              <w:pStyle w:val="Paragraph"/>
              <w:spacing w:after="0"/>
              <w:rPr>
                <w:sz w:val="22"/>
                <w:szCs w:val="22"/>
              </w:rPr>
            </w:pPr>
            <m:oMath>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cement</m:t>
                  </m:r>
                </m:sub>
              </m:sSub>
            </m:oMath>
            <w:r w:rsidR="007D58FF" w:rsidRPr="00965529">
              <w:rPr>
                <w:sz w:val="22"/>
                <w:szCs w:val="22"/>
              </w:rPr>
              <w:t xml:space="preserve"> (MPa)</w:t>
            </w:r>
          </w:p>
        </w:tc>
        <w:tc>
          <w:tcPr>
            <w:tcW w:w="1296" w:type="dxa"/>
            <w:tcBorders>
              <w:left w:val="single" w:sz="4" w:space="0" w:color="auto"/>
              <w:right w:val="single" w:sz="4" w:space="0" w:color="auto"/>
            </w:tcBorders>
          </w:tcPr>
          <w:p w14:paraId="3FCB2922" w14:textId="77777777" w:rsidR="007D58FF" w:rsidRPr="00965529" w:rsidRDefault="007D58FF" w:rsidP="00893161">
            <w:pPr>
              <w:pStyle w:val="Paragraph"/>
              <w:spacing w:after="0"/>
              <w:jc w:val="center"/>
              <w:rPr>
                <w:sz w:val="22"/>
                <w:szCs w:val="22"/>
              </w:rPr>
            </w:pPr>
            <w:r>
              <w:rPr>
                <w:sz w:val="22"/>
                <w:szCs w:val="22"/>
              </w:rPr>
              <w:t>5.62</w:t>
            </w:r>
          </w:p>
        </w:tc>
        <w:tc>
          <w:tcPr>
            <w:tcW w:w="1296" w:type="dxa"/>
            <w:tcBorders>
              <w:left w:val="single" w:sz="4" w:space="0" w:color="auto"/>
              <w:right w:val="single" w:sz="4" w:space="0" w:color="auto"/>
            </w:tcBorders>
          </w:tcPr>
          <w:p w14:paraId="6FF5C774" w14:textId="77777777" w:rsidR="007D58FF" w:rsidRPr="00965529" w:rsidRDefault="007D58FF" w:rsidP="00893161">
            <w:pPr>
              <w:pStyle w:val="Paragraph"/>
              <w:spacing w:after="0"/>
              <w:jc w:val="center"/>
              <w:rPr>
                <w:sz w:val="22"/>
                <w:szCs w:val="22"/>
              </w:rPr>
            </w:pPr>
            <w:r>
              <w:rPr>
                <w:sz w:val="22"/>
                <w:szCs w:val="22"/>
              </w:rPr>
              <w:t>40.43</w:t>
            </w:r>
          </w:p>
        </w:tc>
        <w:tc>
          <w:tcPr>
            <w:tcW w:w="1296" w:type="dxa"/>
            <w:tcBorders>
              <w:left w:val="single" w:sz="4" w:space="0" w:color="auto"/>
              <w:right w:val="single" w:sz="4" w:space="0" w:color="auto"/>
            </w:tcBorders>
            <w:noWrap/>
            <w:vAlign w:val="center"/>
          </w:tcPr>
          <w:p w14:paraId="42F19FA2" w14:textId="77777777" w:rsidR="007D58FF" w:rsidRPr="00965529" w:rsidRDefault="007D58FF" w:rsidP="00893161">
            <w:pPr>
              <w:pStyle w:val="Paragraph"/>
              <w:spacing w:after="0"/>
              <w:jc w:val="center"/>
              <w:rPr>
                <w:sz w:val="22"/>
                <w:szCs w:val="22"/>
              </w:rPr>
            </w:pPr>
            <w:r>
              <w:rPr>
                <w:sz w:val="22"/>
                <w:szCs w:val="22"/>
              </w:rPr>
              <w:t>65.61</w:t>
            </w:r>
          </w:p>
        </w:tc>
        <w:tc>
          <w:tcPr>
            <w:tcW w:w="656" w:type="dxa"/>
            <w:tcBorders>
              <w:left w:val="single" w:sz="4" w:space="0" w:color="auto"/>
            </w:tcBorders>
            <w:noWrap/>
            <w:vAlign w:val="center"/>
          </w:tcPr>
          <w:p w14:paraId="4A85D24F" w14:textId="77777777" w:rsidR="007D58FF" w:rsidRPr="00610B0A" w:rsidRDefault="007D58FF" w:rsidP="00893161">
            <w:pPr>
              <w:pStyle w:val="Paragraph"/>
              <w:spacing w:after="0"/>
              <w:jc w:val="center"/>
              <w:rPr>
                <w:sz w:val="22"/>
                <w:szCs w:val="22"/>
                <w:vertAlign w:val="superscript"/>
              </w:rPr>
            </w:pPr>
          </w:p>
        </w:tc>
      </w:tr>
      <w:tr w:rsidR="007D58FF" w:rsidRPr="00EB1994" w14:paraId="47B50DA5" w14:textId="77777777" w:rsidTr="00893161">
        <w:trPr>
          <w:gridAfter w:val="1"/>
          <w:wAfter w:w="75" w:type="dxa"/>
          <w:trHeight w:val="20"/>
          <w:jc w:val="center"/>
        </w:trPr>
        <w:tc>
          <w:tcPr>
            <w:tcW w:w="1573" w:type="dxa"/>
            <w:vMerge/>
            <w:tcBorders>
              <w:right w:val="single" w:sz="4" w:space="0" w:color="auto"/>
            </w:tcBorders>
            <w:vAlign w:val="center"/>
          </w:tcPr>
          <w:p w14:paraId="184D0937" w14:textId="77777777" w:rsidR="007D58FF" w:rsidRPr="00965529" w:rsidRDefault="007D58FF" w:rsidP="00893161">
            <w:pPr>
              <w:pStyle w:val="Paragraph"/>
              <w:spacing w:after="0"/>
              <w:jc w:val="center"/>
              <w:rPr>
                <w:sz w:val="22"/>
                <w:szCs w:val="22"/>
              </w:rPr>
            </w:pPr>
          </w:p>
        </w:tc>
        <w:tc>
          <w:tcPr>
            <w:tcW w:w="2448" w:type="dxa"/>
            <w:tcBorders>
              <w:left w:val="single" w:sz="4" w:space="0" w:color="auto"/>
              <w:right w:val="single" w:sz="4" w:space="0" w:color="auto"/>
            </w:tcBorders>
            <w:noWrap/>
            <w:vAlign w:val="center"/>
          </w:tcPr>
          <w:p w14:paraId="5E674704" w14:textId="77777777" w:rsidR="007D58FF" w:rsidRPr="00965529" w:rsidRDefault="007D58FF" w:rsidP="00893161">
            <w:pPr>
              <w:pStyle w:val="Paragraph"/>
              <w:spacing w:after="0"/>
              <w:rPr>
                <w:sz w:val="22"/>
                <w:szCs w:val="22"/>
              </w:rPr>
            </w:pPr>
            <m:oMath>
              <m:r>
                <w:rPr>
                  <w:rFonts w:ascii="Cambria Math" w:hAnsi="Cambria Math"/>
                  <w:sz w:val="22"/>
                  <w:szCs w:val="22"/>
                </w:rPr>
                <m:t>v</m:t>
              </m:r>
            </m:oMath>
            <w:r w:rsidRPr="00965529">
              <w:rPr>
                <w:sz w:val="22"/>
                <w:szCs w:val="22"/>
              </w:rPr>
              <w:t xml:space="preserve"> </w:t>
            </w:r>
          </w:p>
        </w:tc>
        <w:tc>
          <w:tcPr>
            <w:tcW w:w="1296" w:type="dxa"/>
            <w:tcBorders>
              <w:left w:val="single" w:sz="4" w:space="0" w:color="auto"/>
              <w:right w:val="single" w:sz="4" w:space="0" w:color="auto"/>
            </w:tcBorders>
          </w:tcPr>
          <w:p w14:paraId="3B1C3B98" w14:textId="77777777" w:rsidR="007D58FF" w:rsidRPr="00965529" w:rsidRDefault="007D58FF" w:rsidP="00893161">
            <w:pPr>
              <w:pStyle w:val="Paragraph"/>
              <w:spacing w:after="0"/>
              <w:jc w:val="center"/>
              <w:rPr>
                <w:sz w:val="22"/>
                <w:szCs w:val="22"/>
              </w:rPr>
            </w:pPr>
            <w:r>
              <w:rPr>
                <w:sz w:val="22"/>
                <w:szCs w:val="22"/>
              </w:rPr>
              <w:t>0.25</w:t>
            </w:r>
          </w:p>
        </w:tc>
        <w:tc>
          <w:tcPr>
            <w:tcW w:w="1296" w:type="dxa"/>
            <w:tcBorders>
              <w:left w:val="single" w:sz="4" w:space="0" w:color="auto"/>
              <w:right w:val="single" w:sz="4" w:space="0" w:color="auto"/>
            </w:tcBorders>
          </w:tcPr>
          <w:p w14:paraId="45271993" w14:textId="77777777" w:rsidR="007D58FF" w:rsidRPr="00965529" w:rsidRDefault="007D58FF" w:rsidP="00893161">
            <w:pPr>
              <w:pStyle w:val="Paragraph"/>
              <w:spacing w:after="0"/>
              <w:jc w:val="center"/>
              <w:rPr>
                <w:sz w:val="22"/>
                <w:szCs w:val="22"/>
              </w:rPr>
            </w:pPr>
            <w:r>
              <w:rPr>
                <w:sz w:val="22"/>
                <w:szCs w:val="22"/>
              </w:rPr>
              <w:t>0.25</w:t>
            </w:r>
          </w:p>
        </w:tc>
        <w:tc>
          <w:tcPr>
            <w:tcW w:w="1296" w:type="dxa"/>
            <w:tcBorders>
              <w:left w:val="single" w:sz="4" w:space="0" w:color="auto"/>
              <w:right w:val="single" w:sz="4" w:space="0" w:color="auto"/>
            </w:tcBorders>
            <w:noWrap/>
            <w:vAlign w:val="center"/>
          </w:tcPr>
          <w:p w14:paraId="080CF0B3" w14:textId="77777777" w:rsidR="007D58FF" w:rsidRPr="00965529" w:rsidRDefault="007D58FF" w:rsidP="00893161">
            <w:pPr>
              <w:pStyle w:val="Paragraph"/>
              <w:spacing w:after="0"/>
              <w:jc w:val="center"/>
              <w:rPr>
                <w:sz w:val="22"/>
                <w:szCs w:val="22"/>
              </w:rPr>
            </w:pPr>
            <w:r>
              <w:rPr>
                <w:sz w:val="22"/>
                <w:szCs w:val="22"/>
              </w:rPr>
              <w:t>0.25</w:t>
            </w:r>
          </w:p>
        </w:tc>
        <w:tc>
          <w:tcPr>
            <w:tcW w:w="656" w:type="dxa"/>
            <w:tcBorders>
              <w:left w:val="single" w:sz="4" w:space="0" w:color="auto"/>
            </w:tcBorders>
            <w:noWrap/>
            <w:vAlign w:val="center"/>
          </w:tcPr>
          <w:p w14:paraId="737AC3C3" w14:textId="77777777" w:rsidR="007D58FF" w:rsidRPr="00610B0A" w:rsidRDefault="007D58FF" w:rsidP="00893161">
            <w:pPr>
              <w:pStyle w:val="Paragraph"/>
              <w:spacing w:after="0"/>
              <w:jc w:val="center"/>
              <w:rPr>
                <w:sz w:val="22"/>
                <w:szCs w:val="22"/>
                <w:vertAlign w:val="superscript"/>
              </w:rPr>
            </w:pPr>
            <w:r w:rsidRPr="00610B0A">
              <w:rPr>
                <w:sz w:val="22"/>
                <w:szCs w:val="22"/>
                <w:vertAlign w:val="superscript"/>
              </w:rPr>
              <w:t>2</w:t>
            </w:r>
          </w:p>
        </w:tc>
      </w:tr>
      <w:tr w:rsidR="007D58FF" w:rsidRPr="00EB1994" w14:paraId="7D5D05EB" w14:textId="77777777" w:rsidTr="00893161">
        <w:trPr>
          <w:gridAfter w:val="1"/>
          <w:wAfter w:w="75" w:type="dxa"/>
          <w:trHeight w:val="20"/>
          <w:jc w:val="center"/>
        </w:trPr>
        <w:tc>
          <w:tcPr>
            <w:tcW w:w="1573" w:type="dxa"/>
            <w:vMerge/>
            <w:tcBorders>
              <w:right w:val="single" w:sz="4" w:space="0" w:color="auto"/>
            </w:tcBorders>
          </w:tcPr>
          <w:p w14:paraId="07D94BE3" w14:textId="77777777" w:rsidR="007D58FF" w:rsidRPr="00965529" w:rsidRDefault="007D58FF" w:rsidP="00893161">
            <w:pPr>
              <w:pStyle w:val="Paragraph"/>
              <w:spacing w:after="0"/>
              <w:rPr>
                <w:sz w:val="22"/>
                <w:szCs w:val="22"/>
              </w:rPr>
            </w:pPr>
          </w:p>
        </w:tc>
        <w:tc>
          <w:tcPr>
            <w:tcW w:w="2448" w:type="dxa"/>
            <w:tcBorders>
              <w:left w:val="single" w:sz="4" w:space="0" w:color="auto"/>
              <w:right w:val="single" w:sz="4" w:space="0" w:color="auto"/>
            </w:tcBorders>
            <w:noWrap/>
            <w:vAlign w:val="center"/>
          </w:tcPr>
          <w:p w14:paraId="3640E7E2" w14:textId="77777777" w:rsidR="007D58FF" w:rsidRPr="00965529" w:rsidRDefault="007D58FF" w:rsidP="00893161">
            <w:pPr>
              <w:pStyle w:val="Paragraph"/>
              <w:spacing w:after="0"/>
              <w:rPr>
                <w:sz w:val="22"/>
                <w:szCs w:val="22"/>
              </w:rPr>
            </w:pPr>
            <m:oMath>
              <m:r>
                <w:rPr>
                  <w:rFonts w:ascii="Cambria Math" w:hAnsi="Cambria Math"/>
                  <w:sz w:val="22"/>
                  <w:szCs w:val="22"/>
                </w:rPr>
                <m:t>E</m:t>
              </m:r>
            </m:oMath>
            <w:r w:rsidRPr="00965529">
              <w:rPr>
                <w:sz w:val="22"/>
                <w:szCs w:val="22"/>
              </w:rPr>
              <w:t xml:space="preserve"> (GPa)</w:t>
            </w:r>
          </w:p>
        </w:tc>
        <w:tc>
          <w:tcPr>
            <w:tcW w:w="1296" w:type="dxa"/>
            <w:tcBorders>
              <w:left w:val="single" w:sz="4" w:space="0" w:color="auto"/>
              <w:right w:val="single" w:sz="4" w:space="0" w:color="auto"/>
            </w:tcBorders>
          </w:tcPr>
          <w:p w14:paraId="730C8737" w14:textId="77777777" w:rsidR="007D58FF" w:rsidRPr="00965529" w:rsidRDefault="007D58FF" w:rsidP="00893161">
            <w:pPr>
              <w:pStyle w:val="Paragraph"/>
              <w:spacing w:after="0"/>
              <w:jc w:val="center"/>
              <w:rPr>
                <w:sz w:val="22"/>
                <w:szCs w:val="22"/>
              </w:rPr>
            </w:pPr>
            <w:r>
              <w:rPr>
                <w:sz w:val="22"/>
                <w:szCs w:val="22"/>
              </w:rPr>
              <w:t>10.0</w:t>
            </w:r>
          </w:p>
        </w:tc>
        <w:tc>
          <w:tcPr>
            <w:tcW w:w="1296" w:type="dxa"/>
            <w:tcBorders>
              <w:left w:val="single" w:sz="4" w:space="0" w:color="auto"/>
              <w:right w:val="single" w:sz="4" w:space="0" w:color="auto"/>
            </w:tcBorders>
          </w:tcPr>
          <w:p w14:paraId="42AC3913" w14:textId="77777777" w:rsidR="007D58FF" w:rsidRPr="00965529" w:rsidRDefault="007D58FF" w:rsidP="00893161">
            <w:pPr>
              <w:pStyle w:val="Paragraph"/>
              <w:spacing w:after="0"/>
              <w:jc w:val="center"/>
              <w:rPr>
                <w:sz w:val="22"/>
                <w:szCs w:val="22"/>
              </w:rPr>
            </w:pPr>
            <w:r>
              <w:rPr>
                <w:sz w:val="22"/>
                <w:szCs w:val="22"/>
              </w:rPr>
              <w:t>10.0</w:t>
            </w:r>
          </w:p>
        </w:tc>
        <w:tc>
          <w:tcPr>
            <w:tcW w:w="1296" w:type="dxa"/>
            <w:tcBorders>
              <w:left w:val="single" w:sz="4" w:space="0" w:color="auto"/>
              <w:right w:val="single" w:sz="4" w:space="0" w:color="auto"/>
            </w:tcBorders>
            <w:noWrap/>
            <w:vAlign w:val="center"/>
          </w:tcPr>
          <w:p w14:paraId="64165D8D" w14:textId="77777777" w:rsidR="007D58FF" w:rsidRPr="00965529" w:rsidRDefault="007D58FF" w:rsidP="00893161">
            <w:pPr>
              <w:pStyle w:val="Paragraph"/>
              <w:spacing w:after="0"/>
              <w:jc w:val="center"/>
              <w:rPr>
                <w:sz w:val="22"/>
                <w:szCs w:val="22"/>
              </w:rPr>
            </w:pPr>
            <w:r>
              <w:rPr>
                <w:sz w:val="22"/>
                <w:szCs w:val="22"/>
              </w:rPr>
              <w:t>10.0</w:t>
            </w:r>
          </w:p>
        </w:tc>
        <w:tc>
          <w:tcPr>
            <w:tcW w:w="656" w:type="dxa"/>
            <w:tcBorders>
              <w:left w:val="single" w:sz="4" w:space="0" w:color="auto"/>
            </w:tcBorders>
            <w:noWrap/>
            <w:vAlign w:val="center"/>
          </w:tcPr>
          <w:p w14:paraId="490FC749" w14:textId="77777777" w:rsidR="007D58FF" w:rsidRPr="00610B0A" w:rsidRDefault="007D58FF" w:rsidP="00893161">
            <w:pPr>
              <w:pStyle w:val="Paragraph"/>
              <w:spacing w:after="0"/>
              <w:jc w:val="center"/>
              <w:rPr>
                <w:sz w:val="22"/>
                <w:szCs w:val="22"/>
                <w:vertAlign w:val="superscript"/>
              </w:rPr>
            </w:pPr>
            <w:r w:rsidRPr="00610B0A">
              <w:rPr>
                <w:sz w:val="22"/>
                <w:szCs w:val="22"/>
                <w:vertAlign w:val="superscript"/>
              </w:rPr>
              <w:t>2</w:t>
            </w:r>
          </w:p>
        </w:tc>
      </w:tr>
      <w:tr w:rsidR="007D58FF" w:rsidRPr="00EB1994" w14:paraId="697A535D" w14:textId="77777777" w:rsidTr="00893161">
        <w:trPr>
          <w:gridAfter w:val="1"/>
          <w:wAfter w:w="75" w:type="dxa"/>
          <w:trHeight w:val="20"/>
          <w:jc w:val="center"/>
        </w:trPr>
        <w:tc>
          <w:tcPr>
            <w:tcW w:w="1573" w:type="dxa"/>
            <w:vMerge/>
            <w:tcBorders>
              <w:right w:val="single" w:sz="4" w:space="0" w:color="auto"/>
            </w:tcBorders>
          </w:tcPr>
          <w:p w14:paraId="74B916BB" w14:textId="77777777" w:rsidR="007D58FF" w:rsidRPr="00965529" w:rsidRDefault="007D58FF" w:rsidP="00893161">
            <w:pPr>
              <w:pStyle w:val="Paragraph"/>
              <w:spacing w:after="0"/>
              <w:rPr>
                <w:sz w:val="22"/>
                <w:szCs w:val="22"/>
              </w:rPr>
            </w:pPr>
          </w:p>
        </w:tc>
        <w:tc>
          <w:tcPr>
            <w:tcW w:w="2448" w:type="dxa"/>
            <w:tcBorders>
              <w:left w:val="single" w:sz="4" w:space="0" w:color="auto"/>
              <w:right w:val="single" w:sz="4" w:space="0" w:color="auto"/>
            </w:tcBorders>
            <w:noWrap/>
            <w:vAlign w:val="center"/>
          </w:tcPr>
          <w:p w14:paraId="7BAA08A1" w14:textId="77777777" w:rsidR="007D58FF" w:rsidRPr="00965529" w:rsidRDefault="007D58FF" w:rsidP="00893161">
            <w:pPr>
              <w:pStyle w:val="Paragraph"/>
              <w:spacing w:after="0"/>
              <w:rPr>
                <w:sz w:val="22"/>
                <w:szCs w:val="22"/>
              </w:rPr>
            </w:pPr>
            <m:oMath>
              <m:r>
                <w:rPr>
                  <w:rFonts w:ascii="Cambria Math" w:hAnsi="Cambria Math"/>
                  <w:sz w:val="22"/>
                  <w:szCs w:val="22"/>
                </w:rPr>
                <m:t>UCS</m:t>
              </m:r>
            </m:oMath>
            <w:r>
              <w:rPr>
                <w:sz w:val="22"/>
                <w:szCs w:val="22"/>
              </w:rPr>
              <w:t xml:space="preserve"> (MPa)</w:t>
            </w:r>
          </w:p>
        </w:tc>
        <w:tc>
          <w:tcPr>
            <w:tcW w:w="1296" w:type="dxa"/>
            <w:tcBorders>
              <w:left w:val="single" w:sz="4" w:space="0" w:color="auto"/>
              <w:right w:val="single" w:sz="4" w:space="0" w:color="auto"/>
            </w:tcBorders>
          </w:tcPr>
          <w:p w14:paraId="4519FCB4" w14:textId="77777777" w:rsidR="007D58FF" w:rsidRPr="00965529" w:rsidRDefault="007D58FF" w:rsidP="00893161">
            <w:pPr>
              <w:pStyle w:val="Paragraph"/>
              <w:spacing w:after="0"/>
              <w:jc w:val="center"/>
              <w:rPr>
                <w:sz w:val="22"/>
                <w:szCs w:val="22"/>
              </w:rPr>
            </w:pPr>
            <w:r>
              <w:rPr>
                <w:sz w:val="22"/>
                <w:szCs w:val="22"/>
              </w:rPr>
              <w:t>40.0</w:t>
            </w:r>
          </w:p>
        </w:tc>
        <w:tc>
          <w:tcPr>
            <w:tcW w:w="1296" w:type="dxa"/>
            <w:tcBorders>
              <w:left w:val="single" w:sz="4" w:space="0" w:color="auto"/>
              <w:right w:val="single" w:sz="4" w:space="0" w:color="auto"/>
            </w:tcBorders>
          </w:tcPr>
          <w:p w14:paraId="110054BE" w14:textId="77777777" w:rsidR="007D58FF" w:rsidRPr="00965529" w:rsidRDefault="007D58FF" w:rsidP="00893161">
            <w:pPr>
              <w:pStyle w:val="Paragraph"/>
              <w:spacing w:after="0"/>
              <w:jc w:val="center"/>
              <w:rPr>
                <w:sz w:val="22"/>
                <w:szCs w:val="22"/>
              </w:rPr>
            </w:pPr>
            <w:r>
              <w:rPr>
                <w:sz w:val="22"/>
                <w:szCs w:val="22"/>
              </w:rPr>
              <w:t>40.0</w:t>
            </w:r>
          </w:p>
        </w:tc>
        <w:tc>
          <w:tcPr>
            <w:tcW w:w="1296" w:type="dxa"/>
            <w:tcBorders>
              <w:left w:val="single" w:sz="4" w:space="0" w:color="auto"/>
              <w:right w:val="single" w:sz="4" w:space="0" w:color="auto"/>
            </w:tcBorders>
            <w:noWrap/>
            <w:vAlign w:val="center"/>
          </w:tcPr>
          <w:p w14:paraId="54BFBE36" w14:textId="77777777" w:rsidR="007D58FF" w:rsidRPr="00965529" w:rsidRDefault="007D58FF" w:rsidP="00893161">
            <w:pPr>
              <w:pStyle w:val="Paragraph"/>
              <w:spacing w:after="0"/>
              <w:jc w:val="center"/>
              <w:rPr>
                <w:sz w:val="22"/>
                <w:szCs w:val="22"/>
              </w:rPr>
            </w:pPr>
            <w:r>
              <w:rPr>
                <w:sz w:val="22"/>
                <w:szCs w:val="22"/>
              </w:rPr>
              <w:t>40.0</w:t>
            </w:r>
          </w:p>
        </w:tc>
        <w:tc>
          <w:tcPr>
            <w:tcW w:w="656" w:type="dxa"/>
            <w:tcBorders>
              <w:left w:val="single" w:sz="4" w:space="0" w:color="auto"/>
            </w:tcBorders>
            <w:noWrap/>
          </w:tcPr>
          <w:p w14:paraId="5AF0F881" w14:textId="77777777" w:rsidR="007D58FF" w:rsidRPr="00610B0A" w:rsidRDefault="007D58FF" w:rsidP="00893161">
            <w:pPr>
              <w:pStyle w:val="Paragraph"/>
              <w:spacing w:after="0"/>
              <w:jc w:val="center"/>
              <w:rPr>
                <w:sz w:val="22"/>
                <w:szCs w:val="22"/>
                <w:vertAlign w:val="superscript"/>
              </w:rPr>
            </w:pPr>
            <w:r w:rsidRPr="00610B0A">
              <w:rPr>
                <w:sz w:val="22"/>
                <w:szCs w:val="22"/>
                <w:vertAlign w:val="superscript"/>
              </w:rPr>
              <w:t>3</w:t>
            </w:r>
          </w:p>
        </w:tc>
      </w:tr>
      <w:tr w:rsidR="007D58FF" w:rsidRPr="00EB1994" w14:paraId="7B6EFE60" w14:textId="77777777" w:rsidTr="00893161">
        <w:trPr>
          <w:gridAfter w:val="1"/>
          <w:wAfter w:w="75" w:type="dxa"/>
          <w:trHeight w:val="20"/>
          <w:jc w:val="center"/>
        </w:trPr>
        <w:tc>
          <w:tcPr>
            <w:tcW w:w="1573" w:type="dxa"/>
            <w:vMerge/>
            <w:tcBorders>
              <w:right w:val="single" w:sz="4" w:space="0" w:color="auto"/>
            </w:tcBorders>
          </w:tcPr>
          <w:p w14:paraId="14DD0336" w14:textId="77777777" w:rsidR="007D58FF" w:rsidRPr="00965529" w:rsidRDefault="007D58FF" w:rsidP="00893161">
            <w:pPr>
              <w:pStyle w:val="Paragraph"/>
              <w:spacing w:after="0"/>
              <w:rPr>
                <w:sz w:val="22"/>
                <w:szCs w:val="22"/>
              </w:rPr>
            </w:pPr>
          </w:p>
        </w:tc>
        <w:tc>
          <w:tcPr>
            <w:tcW w:w="2448" w:type="dxa"/>
            <w:tcBorders>
              <w:left w:val="single" w:sz="4" w:space="0" w:color="auto"/>
              <w:right w:val="single" w:sz="4" w:space="0" w:color="auto"/>
            </w:tcBorders>
            <w:noWrap/>
            <w:vAlign w:val="center"/>
          </w:tcPr>
          <w:p w14:paraId="7DD0DBB8" w14:textId="77777777" w:rsidR="007D58FF" w:rsidRPr="00965529" w:rsidRDefault="00077C0B" w:rsidP="00893161">
            <w:pPr>
              <w:pStyle w:val="Paragraph"/>
              <w:spacing w:after="0"/>
              <w:rPr>
                <w:sz w:val="22"/>
                <w:szCs w:val="22"/>
              </w:rPr>
            </w:pPr>
            <m:oMath>
              <m:sSup>
                <m:sSupPr>
                  <m:ctrlPr>
                    <w:rPr>
                      <w:rFonts w:ascii="Cambria Math" w:hAnsi="Cambria Math"/>
                      <w:i/>
                      <w:sz w:val="22"/>
                      <w:szCs w:val="22"/>
                    </w:rPr>
                  </m:ctrlPr>
                </m:sSupPr>
                <m:e>
                  <m:r>
                    <w:rPr>
                      <w:rFonts w:ascii="Cambria Math" w:hAnsi="Cambria Math"/>
                      <w:sz w:val="22"/>
                      <w:szCs w:val="22"/>
                    </w:rPr>
                    <m:t>τ</m:t>
                  </m:r>
                </m:e>
                <m:sup>
                  <m:r>
                    <w:rPr>
                      <w:rFonts w:ascii="Cambria Math" w:hAnsi="Cambria Math"/>
                      <w:sz w:val="22"/>
                      <w:szCs w:val="22"/>
                    </w:rPr>
                    <m:t>o</m:t>
                  </m:r>
                </m:sup>
              </m:sSup>
            </m:oMath>
            <w:r w:rsidR="007D58FF" w:rsidRPr="00965529">
              <w:rPr>
                <w:sz w:val="22"/>
                <w:szCs w:val="22"/>
              </w:rPr>
              <w:t xml:space="preserve"> (MPa)</w:t>
            </w:r>
          </w:p>
        </w:tc>
        <w:tc>
          <w:tcPr>
            <w:tcW w:w="1296" w:type="dxa"/>
            <w:tcBorders>
              <w:left w:val="single" w:sz="4" w:space="0" w:color="auto"/>
              <w:right w:val="single" w:sz="4" w:space="0" w:color="auto"/>
            </w:tcBorders>
          </w:tcPr>
          <w:p w14:paraId="508A2F62" w14:textId="77777777" w:rsidR="007D58FF" w:rsidRPr="00965529" w:rsidRDefault="007D58FF" w:rsidP="00893161">
            <w:pPr>
              <w:pStyle w:val="Paragraph"/>
              <w:spacing w:after="0"/>
              <w:jc w:val="center"/>
              <w:rPr>
                <w:sz w:val="22"/>
                <w:szCs w:val="22"/>
              </w:rPr>
            </w:pPr>
            <w:r>
              <w:rPr>
                <w:sz w:val="22"/>
                <w:szCs w:val="22"/>
              </w:rPr>
              <w:t>3.00</w:t>
            </w:r>
          </w:p>
        </w:tc>
        <w:tc>
          <w:tcPr>
            <w:tcW w:w="1296" w:type="dxa"/>
            <w:tcBorders>
              <w:left w:val="single" w:sz="4" w:space="0" w:color="auto"/>
              <w:right w:val="single" w:sz="4" w:space="0" w:color="auto"/>
            </w:tcBorders>
          </w:tcPr>
          <w:p w14:paraId="6048A116" w14:textId="77777777" w:rsidR="007D58FF" w:rsidRPr="00965529" w:rsidRDefault="007D58FF" w:rsidP="00893161">
            <w:pPr>
              <w:pStyle w:val="Paragraph"/>
              <w:spacing w:after="0"/>
              <w:jc w:val="center"/>
              <w:rPr>
                <w:sz w:val="22"/>
                <w:szCs w:val="22"/>
              </w:rPr>
            </w:pPr>
            <w:r>
              <w:rPr>
                <w:sz w:val="22"/>
                <w:szCs w:val="22"/>
              </w:rPr>
              <w:t>3.00</w:t>
            </w:r>
          </w:p>
        </w:tc>
        <w:tc>
          <w:tcPr>
            <w:tcW w:w="1296" w:type="dxa"/>
            <w:tcBorders>
              <w:left w:val="single" w:sz="4" w:space="0" w:color="auto"/>
              <w:right w:val="single" w:sz="4" w:space="0" w:color="auto"/>
            </w:tcBorders>
            <w:noWrap/>
            <w:vAlign w:val="center"/>
          </w:tcPr>
          <w:p w14:paraId="5D58A4B4" w14:textId="77777777" w:rsidR="007D58FF" w:rsidRPr="00965529" w:rsidRDefault="007D58FF" w:rsidP="00893161">
            <w:pPr>
              <w:pStyle w:val="Paragraph"/>
              <w:spacing w:after="0"/>
              <w:jc w:val="center"/>
              <w:rPr>
                <w:sz w:val="22"/>
                <w:szCs w:val="22"/>
              </w:rPr>
            </w:pPr>
            <w:r>
              <w:rPr>
                <w:sz w:val="22"/>
                <w:szCs w:val="22"/>
              </w:rPr>
              <w:t>3.00</w:t>
            </w:r>
          </w:p>
        </w:tc>
        <w:tc>
          <w:tcPr>
            <w:tcW w:w="656" w:type="dxa"/>
            <w:tcBorders>
              <w:left w:val="single" w:sz="4" w:space="0" w:color="auto"/>
            </w:tcBorders>
            <w:noWrap/>
          </w:tcPr>
          <w:p w14:paraId="2CB373D2" w14:textId="77777777" w:rsidR="007D58FF" w:rsidRPr="00610B0A" w:rsidRDefault="007D58FF" w:rsidP="00893161">
            <w:pPr>
              <w:pStyle w:val="Paragraph"/>
              <w:spacing w:after="0"/>
              <w:jc w:val="center"/>
              <w:rPr>
                <w:sz w:val="22"/>
                <w:szCs w:val="22"/>
                <w:vertAlign w:val="superscript"/>
              </w:rPr>
            </w:pPr>
            <w:r w:rsidRPr="00610B0A">
              <w:rPr>
                <w:sz w:val="22"/>
                <w:szCs w:val="22"/>
                <w:vertAlign w:val="superscript"/>
              </w:rPr>
              <w:t>3</w:t>
            </w:r>
          </w:p>
        </w:tc>
      </w:tr>
      <w:tr w:rsidR="007D58FF" w:rsidRPr="00EB1994" w14:paraId="3E7960D7" w14:textId="77777777" w:rsidTr="00893161">
        <w:trPr>
          <w:gridAfter w:val="1"/>
          <w:wAfter w:w="75" w:type="dxa"/>
          <w:trHeight w:val="20"/>
          <w:jc w:val="center"/>
        </w:trPr>
        <w:tc>
          <w:tcPr>
            <w:tcW w:w="1573" w:type="dxa"/>
            <w:vMerge/>
            <w:tcBorders>
              <w:right w:val="single" w:sz="4" w:space="0" w:color="auto"/>
            </w:tcBorders>
          </w:tcPr>
          <w:p w14:paraId="6C21A6D4" w14:textId="77777777" w:rsidR="007D58FF" w:rsidRPr="00965529" w:rsidRDefault="007D58FF" w:rsidP="00893161">
            <w:pPr>
              <w:pStyle w:val="Paragraph"/>
              <w:spacing w:after="0"/>
              <w:rPr>
                <w:sz w:val="22"/>
                <w:szCs w:val="22"/>
              </w:rPr>
            </w:pPr>
          </w:p>
        </w:tc>
        <w:tc>
          <w:tcPr>
            <w:tcW w:w="2448" w:type="dxa"/>
            <w:tcBorders>
              <w:left w:val="single" w:sz="4" w:space="0" w:color="auto"/>
              <w:right w:val="single" w:sz="4" w:space="0" w:color="auto"/>
            </w:tcBorders>
            <w:noWrap/>
            <w:vAlign w:val="center"/>
          </w:tcPr>
          <w:p w14:paraId="6209F9E4" w14:textId="77777777" w:rsidR="007D58FF" w:rsidRPr="00965529" w:rsidRDefault="00077C0B" w:rsidP="00893161">
            <w:pPr>
              <w:pStyle w:val="Paragraph"/>
              <w:spacing w:after="0"/>
              <w:rPr>
                <w:sz w:val="22"/>
                <w:szCs w:val="22"/>
              </w:rPr>
            </w:pPr>
            <m:oMath>
              <m:sSub>
                <m:sSubPr>
                  <m:ctrlPr>
                    <w:rPr>
                      <w:rFonts w:ascii="Cambria Math" w:hAnsi="Cambria Math"/>
                      <w:i/>
                      <w:sz w:val="22"/>
                      <w:szCs w:val="22"/>
                    </w:rPr>
                  </m:ctrlPr>
                </m:sSubPr>
                <m:e>
                  <m:r>
                    <w:rPr>
                      <w:rFonts w:ascii="Cambria Math" w:hAnsi="Cambria Math"/>
                      <w:sz w:val="22"/>
                      <w:szCs w:val="22"/>
                    </w:rPr>
                    <m:t>τ</m:t>
                  </m:r>
                </m:e>
                <m:sub>
                  <m:r>
                    <w:rPr>
                      <w:rFonts w:ascii="Cambria Math" w:hAnsi="Cambria Math"/>
                      <w:sz w:val="22"/>
                      <w:szCs w:val="22"/>
                    </w:rPr>
                    <m:t>o</m:t>
                  </m:r>
                </m:sub>
              </m:sSub>
            </m:oMath>
            <w:r w:rsidR="007D58FF">
              <w:rPr>
                <w:sz w:val="22"/>
                <w:szCs w:val="22"/>
              </w:rPr>
              <w:t xml:space="preserve"> (MPa)</w:t>
            </w:r>
          </w:p>
        </w:tc>
        <w:tc>
          <w:tcPr>
            <w:tcW w:w="1296" w:type="dxa"/>
            <w:tcBorders>
              <w:left w:val="single" w:sz="4" w:space="0" w:color="auto"/>
              <w:right w:val="single" w:sz="4" w:space="0" w:color="auto"/>
            </w:tcBorders>
          </w:tcPr>
          <w:p w14:paraId="33C488CE" w14:textId="77777777" w:rsidR="007D58FF" w:rsidRPr="00965529" w:rsidRDefault="007D58FF" w:rsidP="00893161">
            <w:pPr>
              <w:pStyle w:val="Paragraph"/>
              <w:spacing w:after="0"/>
              <w:jc w:val="center"/>
              <w:rPr>
                <w:sz w:val="22"/>
                <w:szCs w:val="22"/>
              </w:rPr>
            </w:pPr>
            <w:r>
              <w:rPr>
                <w:sz w:val="22"/>
                <w:szCs w:val="22"/>
              </w:rPr>
              <w:t>15.0</w:t>
            </w:r>
          </w:p>
        </w:tc>
        <w:tc>
          <w:tcPr>
            <w:tcW w:w="1296" w:type="dxa"/>
            <w:tcBorders>
              <w:left w:val="single" w:sz="4" w:space="0" w:color="auto"/>
              <w:right w:val="single" w:sz="4" w:space="0" w:color="auto"/>
            </w:tcBorders>
          </w:tcPr>
          <w:p w14:paraId="15C10CAC" w14:textId="77777777" w:rsidR="007D58FF" w:rsidRPr="00965529" w:rsidRDefault="007D58FF" w:rsidP="00893161">
            <w:pPr>
              <w:pStyle w:val="Paragraph"/>
              <w:spacing w:after="0"/>
              <w:jc w:val="center"/>
              <w:rPr>
                <w:sz w:val="22"/>
                <w:szCs w:val="22"/>
              </w:rPr>
            </w:pPr>
            <w:r>
              <w:rPr>
                <w:sz w:val="22"/>
                <w:szCs w:val="22"/>
              </w:rPr>
              <w:t>15.0</w:t>
            </w:r>
          </w:p>
        </w:tc>
        <w:tc>
          <w:tcPr>
            <w:tcW w:w="1296" w:type="dxa"/>
            <w:tcBorders>
              <w:left w:val="single" w:sz="4" w:space="0" w:color="auto"/>
              <w:right w:val="single" w:sz="4" w:space="0" w:color="auto"/>
            </w:tcBorders>
            <w:noWrap/>
            <w:vAlign w:val="center"/>
          </w:tcPr>
          <w:p w14:paraId="2A0FE10D" w14:textId="77777777" w:rsidR="007D58FF" w:rsidRPr="00965529" w:rsidRDefault="007D58FF" w:rsidP="00893161">
            <w:pPr>
              <w:pStyle w:val="Paragraph"/>
              <w:spacing w:after="0"/>
              <w:jc w:val="center"/>
              <w:rPr>
                <w:sz w:val="22"/>
                <w:szCs w:val="22"/>
              </w:rPr>
            </w:pPr>
            <w:r>
              <w:rPr>
                <w:sz w:val="22"/>
                <w:szCs w:val="22"/>
              </w:rPr>
              <w:t>15.0</w:t>
            </w:r>
          </w:p>
        </w:tc>
        <w:tc>
          <w:tcPr>
            <w:tcW w:w="656" w:type="dxa"/>
            <w:tcBorders>
              <w:left w:val="single" w:sz="4" w:space="0" w:color="auto"/>
            </w:tcBorders>
            <w:noWrap/>
            <w:vAlign w:val="center"/>
          </w:tcPr>
          <w:p w14:paraId="3E397CE6" w14:textId="77777777" w:rsidR="007D58FF" w:rsidRPr="00610B0A" w:rsidRDefault="007D58FF" w:rsidP="00893161">
            <w:pPr>
              <w:pStyle w:val="Paragraph"/>
              <w:spacing w:after="0"/>
              <w:jc w:val="center"/>
              <w:rPr>
                <w:sz w:val="22"/>
                <w:szCs w:val="22"/>
                <w:vertAlign w:val="superscript"/>
              </w:rPr>
            </w:pPr>
            <w:r w:rsidRPr="00610B0A">
              <w:rPr>
                <w:sz w:val="22"/>
                <w:szCs w:val="22"/>
                <w:vertAlign w:val="superscript"/>
              </w:rPr>
              <w:t>3</w:t>
            </w:r>
          </w:p>
        </w:tc>
      </w:tr>
      <w:tr w:rsidR="007D58FF" w:rsidRPr="00EB1994" w14:paraId="50A67460" w14:textId="77777777" w:rsidTr="00893161">
        <w:trPr>
          <w:gridAfter w:val="1"/>
          <w:wAfter w:w="75" w:type="dxa"/>
          <w:trHeight w:val="20"/>
          <w:jc w:val="center"/>
        </w:trPr>
        <w:tc>
          <w:tcPr>
            <w:tcW w:w="1573" w:type="dxa"/>
            <w:vMerge/>
            <w:tcBorders>
              <w:bottom w:val="single" w:sz="4" w:space="0" w:color="auto"/>
              <w:right w:val="single" w:sz="4" w:space="0" w:color="auto"/>
            </w:tcBorders>
          </w:tcPr>
          <w:p w14:paraId="5184F76A" w14:textId="77777777" w:rsidR="007D58FF" w:rsidRPr="00965529" w:rsidRDefault="007D58FF" w:rsidP="00893161">
            <w:pPr>
              <w:pStyle w:val="Paragraph"/>
              <w:spacing w:after="0"/>
              <w:rPr>
                <w:sz w:val="22"/>
                <w:szCs w:val="22"/>
              </w:rPr>
            </w:pPr>
          </w:p>
        </w:tc>
        <w:tc>
          <w:tcPr>
            <w:tcW w:w="2448" w:type="dxa"/>
            <w:tcBorders>
              <w:left w:val="single" w:sz="4" w:space="0" w:color="auto"/>
              <w:bottom w:val="single" w:sz="4" w:space="0" w:color="auto"/>
              <w:right w:val="single" w:sz="4" w:space="0" w:color="auto"/>
            </w:tcBorders>
            <w:noWrap/>
            <w:vAlign w:val="center"/>
          </w:tcPr>
          <w:p w14:paraId="75147924" w14:textId="77777777" w:rsidR="007D58FF" w:rsidRPr="00965529" w:rsidRDefault="007D58FF" w:rsidP="00893161">
            <w:pPr>
              <w:pStyle w:val="Paragraph"/>
              <w:spacing w:after="0"/>
              <w:rPr>
                <w:sz w:val="22"/>
                <w:szCs w:val="22"/>
              </w:rPr>
            </w:pPr>
            <m:oMath>
              <m:r>
                <w:rPr>
                  <w:rFonts w:ascii="Cambria Math" w:hAnsi="Cambria Math"/>
                  <w:sz w:val="22"/>
                  <w:szCs w:val="22"/>
                </w:rPr>
                <m:t>ϕ</m:t>
              </m:r>
            </m:oMath>
            <w:r>
              <w:rPr>
                <w:sz w:val="22"/>
                <w:szCs w:val="22"/>
              </w:rPr>
              <w:t xml:space="preserve"> (°)</w:t>
            </w:r>
          </w:p>
        </w:tc>
        <w:tc>
          <w:tcPr>
            <w:tcW w:w="1296" w:type="dxa"/>
            <w:tcBorders>
              <w:left w:val="single" w:sz="4" w:space="0" w:color="auto"/>
              <w:bottom w:val="single" w:sz="4" w:space="0" w:color="auto"/>
              <w:right w:val="single" w:sz="4" w:space="0" w:color="auto"/>
            </w:tcBorders>
          </w:tcPr>
          <w:p w14:paraId="2D785FE7" w14:textId="77777777" w:rsidR="007D58FF" w:rsidRPr="00965529" w:rsidRDefault="007D58FF" w:rsidP="00893161">
            <w:pPr>
              <w:pStyle w:val="Paragraph"/>
              <w:spacing w:after="0"/>
              <w:jc w:val="center"/>
              <w:rPr>
                <w:sz w:val="22"/>
                <w:szCs w:val="22"/>
              </w:rPr>
            </w:pPr>
            <w:r>
              <w:rPr>
                <w:sz w:val="22"/>
                <w:szCs w:val="22"/>
              </w:rPr>
              <w:t>30.0</w:t>
            </w:r>
          </w:p>
        </w:tc>
        <w:tc>
          <w:tcPr>
            <w:tcW w:w="1296" w:type="dxa"/>
            <w:tcBorders>
              <w:left w:val="single" w:sz="4" w:space="0" w:color="auto"/>
              <w:bottom w:val="single" w:sz="4" w:space="0" w:color="auto"/>
              <w:right w:val="single" w:sz="4" w:space="0" w:color="auto"/>
            </w:tcBorders>
          </w:tcPr>
          <w:p w14:paraId="7E03E446" w14:textId="77777777" w:rsidR="007D58FF" w:rsidRPr="00965529" w:rsidRDefault="007D58FF" w:rsidP="00893161">
            <w:pPr>
              <w:pStyle w:val="Paragraph"/>
              <w:spacing w:after="0"/>
              <w:jc w:val="center"/>
              <w:rPr>
                <w:sz w:val="22"/>
                <w:szCs w:val="22"/>
              </w:rPr>
            </w:pPr>
            <w:r>
              <w:rPr>
                <w:sz w:val="22"/>
                <w:szCs w:val="22"/>
              </w:rPr>
              <w:t>30.0</w:t>
            </w:r>
          </w:p>
        </w:tc>
        <w:tc>
          <w:tcPr>
            <w:tcW w:w="1296" w:type="dxa"/>
            <w:tcBorders>
              <w:left w:val="single" w:sz="4" w:space="0" w:color="auto"/>
              <w:bottom w:val="single" w:sz="4" w:space="0" w:color="auto"/>
              <w:right w:val="single" w:sz="4" w:space="0" w:color="auto"/>
            </w:tcBorders>
            <w:noWrap/>
            <w:vAlign w:val="center"/>
          </w:tcPr>
          <w:p w14:paraId="76595CF1" w14:textId="77777777" w:rsidR="007D58FF" w:rsidRPr="00965529" w:rsidRDefault="007D58FF" w:rsidP="00893161">
            <w:pPr>
              <w:pStyle w:val="Paragraph"/>
              <w:spacing w:after="0"/>
              <w:jc w:val="center"/>
              <w:rPr>
                <w:sz w:val="22"/>
                <w:szCs w:val="22"/>
              </w:rPr>
            </w:pPr>
            <w:r>
              <w:rPr>
                <w:sz w:val="22"/>
                <w:szCs w:val="22"/>
              </w:rPr>
              <w:t>30.0</w:t>
            </w:r>
          </w:p>
        </w:tc>
        <w:tc>
          <w:tcPr>
            <w:tcW w:w="656" w:type="dxa"/>
            <w:tcBorders>
              <w:left w:val="single" w:sz="4" w:space="0" w:color="auto"/>
              <w:bottom w:val="single" w:sz="4" w:space="0" w:color="auto"/>
            </w:tcBorders>
            <w:noWrap/>
            <w:vAlign w:val="center"/>
          </w:tcPr>
          <w:p w14:paraId="5D4F9225" w14:textId="77777777" w:rsidR="007D58FF" w:rsidRPr="00610B0A" w:rsidRDefault="007D58FF" w:rsidP="00893161">
            <w:pPr>
              <w:pStyle w:val="Paragraph"/>
              <w:spacing w:after="0"/>
              <w:jc w:val="center"/>
              <w:rPr>
                <w:sz w:val="22"/>
                <w:szCs w:val="22"/>
                <w:vertAlign w:val="superscript"/>
              </w:rPr>
            </w:pPr>
            <w:r w:rsidRPr="00610B0A">
              <w:rPr>
                <w:sz w:val="22"/>
                <w:szCs w:val="22"/>
                <w:vertAlign w:val="superscript"/>
              </w:rPr>
              <w:t>3</w:t>
            </w:r>
          </w:p>
        </w:tc>
      </w:tr>
      <w:tr w:rsidR="007D58FF" w:rsidRPr="00EB1994" w14:paraId="701E34D2" w14:textId="77777777" w:rsidTr="00893161">
        <w:trPr>
          <w:gridAfter w:val="1"/>
          <w:wAfter w:w="75" w:type="dxa"/>
          <w:trHeight w:val="20"/>
          <w:jc w:val="center"/>
        </w:trPr>
        <w:tc>
          <w:tcPr>
            <w:tcW w:w="1573" w:type="dxa"/>
            <w:vMerge w:val="restart"/>
            <w:tcBorders>
              <w:top w:val="single" w:sz="4" w:space="0" w:color="auto"/>
              <w:right w:val="single" w:sz="4" w:space="0" w:color="auto"/>
            </w:tcBorders>
            <w:vAlign w:val="center"/>
          </w:tcPr>
          <w:p w14:paraId="1CCB6609" w14:textId="77777777" w:rsidR="007D58FF" w:rsidRPr="00965529" w:rsidRDefault="007D58FF" w:rsidP="00893161">
            <w:pPr>
              <w:pStyle w:val="Paragraph"/>
              <w:spacing w:after="0"/>
              <w:jc w:val="center"/>
              <w:rPr>
                <w:sz w:val="22"/>
                <w:szCs w:val="22"/>
              </w:rPr>
            </w:pPr>
            <w:r w:rsidRPr="00965529">
              <w:rPr>
                <w:sz w:val="22"/>
                <w:szCs w:val="22"/>
              </w:rPr>
              <w:t>Rock</w:t>
            </w:r>
          </w:p>
        </w:tc>
        <w:tc>
          <w:tcPr>
            <w:tcW w:w="2448" w:type="dxa"/>
            <w:tcBorders>
              <w:top w:val="single" w:sz="4" w:space="0" w:color="auto"/>
              <w:left w:val="single" w:sz="4" w:space="0" w:color="auto"/>
              <w:right w:val="single" w:sz="4" w:space="0" w:color="auto"/>
            </w:tcBorders>
            <w:noWrap/>
            <w:vAlign w:val="center"/>
          </w:tcPr>
          <w:p w14:paraId="421634F8" w14:textId="77777777" w:rsidR="007D58FF" w:rsidRPr="00965529" w:rsidRDefault="007D58FF" w:rsidP="00893161">
            <w:pPr>
              <w:pStyle w:val="Paragraph"/>
              <w:spacing w:after="0"/>
              <w:rPr>
                <w:sz w:val="22"/>
                <w:szCs w:val="22"/>
              </w:rPr>
            </w:pPr>
            <m:oMath>
              <m:r>
                <w:rPr>
                  <w:rFonts w:ascii="Cambria Math" w:hAnsi="Cambria Math"/>
                  <w:sz w:val="22"/>
                  <w:szCs w:val="22"/>
                </w:rPr>
                <m:t>Pp</m:t>
              </m:r>
            </m:oMath>
            <w:r w:rsidRPr="00965529">
              <w:rPr>
                <w:sz w:val="22"/>
                <w:szCs w:val="22"/>
              </w:rPr>
              <w:t xml:space="preserve"> (g/cc)</w:t>
            </w:r>
          </w:p>
        </w:tc>
        <w:tc>
          <w:tcPr>
            <w:tcW w:w="1296" w:type="dxa"/>
            <w:tcBorders>
              <w:top w:val="single" w:sz="4" w:space="0" w:color="auto"/>
              <w:left w:val="single" w:sz="4" w:space="0" w:color="auto"/>
              <w:right w:val="single" w:sz="4" w:space="0" w:color="auto"/>
            </w:tcBorders>
          </w:tcPr>
          <w:p w14:paraId="68FAF5CB" w14:textId="77777777" w:rsidR="007D58FF" w:rsidRPr="00965529" w:rsidRDefault="007D58FF" w:rsidP="00893161">
            <w:pPr>
              <w:pStyle w:val="Paragraph"/>
              <w:spacing w:after="0"/>
              <w:jc w:val="center"/>
              <w:rPr>
                <w:sz w:val="22"/>
                <w:szCs w:val="22"/>
              </w:rPr>
            </w:pPr>
            <w:r>
              <w:rPr>
                <w:sz w:val="22"/>
                <w:szCs w:val="22"/>
              </w:rPr>
              <w:t>0.99</w:t>
            </w:r>
          </w:p>
        </w:tc>
        <w:tc>
          <w:tcPr>
            <w:tcW w:w="1296" w:type="dxa"/>
            <w:tcBorders>
              <w:top w:val="single" w:sz="4" w:space="0" w:color="auto"/>
              <w:left w:val="single" w:sz="4" w:space="0" w:color="auto"/>
              <w:right w:val="single" w:sz="4" w:space="0" w:color="auto"/>
            </w:tcBorders>
          </w:tcPr>
          <w:p w14:paraId="7EB45591" w14:textId="77777777" w:rsidR="007D58FF" w:rsidRPr="00965529" w:rsidRDefault="007D58FF" w:rsidP="00893161">
            <w:pPr>
              <w:pStyle w:val="Paragraph"/>
              <w:spacing w:after="0"/>
              <w:jc w:val="center"/>
              <w:rPr>
                <w:sz w:val="22"/>
                <w:szCs w:val="22"/>
              </w:rPr>
            </w:pPr>
            <w:r>
              <w:rPr>
                <w:sz w:val="22"/>
                <w:szCs w:val="22"/>
              </w:rPr>
              <w:t>1.35</w:t>
            </w:r>
          </w:p>
        </w:tc>
        <w:tc>
          <w:tcPr>
            <w:tcW w:w="1296" w:type="dxa"/>
            <w:tcBorders>
              <w:top w:val="single" w:sz="4" w:space="0" w:color="auto"/>
              <w:left w:val="single" w:sz="4" w:space="0" w:color="auto"/>
              <w:right w:val="single" w:sz="4" w:space="0" w:color="auto"/>
            </w:tcBorders>
            <w:noWrap/>
            <w:vAlign w:val="center"/>
          </w:tcPr>
          <w:p w14:paraId="6743A04C" w14:textId="77777777" w:rsidR="007D58FF" w:rsidRPr="00965529" w:rsidRDefault="007D58FF" w:rsidP="00893161">
            <w:pPr>
              <w:pStyle w:val="Paragraph"/>
              <w:spacing w:after="0"/>
              <w:jc w:val="center"/>
              <w:rPr>
                <w:sz w:val="22"/>
                <w:szCs w:val="22"/>
              </w:rPr>
            </w:pPr>
            <w:r>
              <w:rPr>
                <w:sz w:val="22"/>
                <w:szCs w:val="22"/>
              </w:rPr>
              <w:t>1.18</w:t>
            </w:r>
          </w:p>
        </w:tc>
        <w:tc>
          <w:tcPr>
            <w:tcW w:w="656" w:type="dxa"/>
            <w:tcBorders>
              <w:top w:val="single" w:sz="4" w:space="0" w:color="auto"/>
              <w:left w:val="single" w:sz="4" w:space="0" w:color="auto"/>
            </w:tcBorders>
            <w:noWrap/>
            <w:vAlign w:val="center"/>
          </w:tcPr>
          <w:p w14:paraId="286970EE" w14:textId="77777777" w:rsidR="007D58FF" w:rsidRPr="00610B0A" w:rsidRDefault="007D58FF" w:rsidP="00893161">
            <w:pPr>
              <w:pStyle w:val="Paragraph"/>
              <w:spacing w:after="0"/>
              <w:jc w:val="center"/>
              <w:rPr>
                <w:sz w:val="22"/>
                <w:szCs w:val="22"/>
                <w:vertAlign w:val="superscript"/>
              </w:rPr>
            </w:pPr>
            <w:r w:rsidRPr="00610B0A">
              <w:rPr>
                <w:sz w:val="22"/>
                <w:szCs w:val="22"/>
                <w:vertAlign w:val="superscript"/>
              </w:rPr>
              <w:t>1</w:t>
            </w:r>
          </w:p>
        </w:tc>
      </w:tr>
      <w:tr w:rsidR="007D58FF" w:rsidRPr="00EB1994" w14:paraId="1E28A222" w14:textId="77777777" w:rsidTr="00893161">
        <w:trPr>
          <w:gridAfter w:val="1"/>
          <w:wAfter w:w="75" w:type="dxa"/>
          <w:trHeight w:val="20"/>
          <w:jc w:val="center"/>
        </w:trPr>
        <w:tc>
          <w:tcPr>
            <w:tcW w:w="1573" w:type="dxa"/>
            <w:vMerge/>
            <w:tcBorders>
              <w:right w:val="single" w:sz="4" w:space="0" w:color="auto"/>
            </w:tcBorders>
            <w:vAlign w:val="center"/>
          </w:tcPr>
          <w:p w14:paraId="51DD5EBD" w14:textId="77777777" w:rsidR="007D58FF" w:rsidRPr="00965529" w:rsidRDefault="007D58FF" w:rsidP="00893161">
            <w:pPr>
              <w:pStyle w:val="Paragraph"/>
              <w:spacing w:after="0"/>
              <w:jc w:val="center"/>
              <w:rPr>
                <w:sz w:val="22"/>
                <w:szCs w:val="22"/>
              </w:rPr>
            </w:pPr>
          </w:p>
        </w:tc>
        <w:tc>
          <w:tcPr>
            <w:tcW w:w="2448" w:type="dxa"/>
            <w:tcBorders>
              <w:left w:val="single" w:sz="4" w:space="0" w:color="auto"/>
              <w:right w:val="single" w:sz="4" w:space="0" w:color="auto"/>
            </w:tcBorders>
            <w:noWrap/>
            <w:vAlign w:val="center"/>
          </w:tcPr>
          <w:p w14:paraId="34885BA4" w14:textId="77777777" w:rsidR="007D58FF" w:rsidRDefault="00077C0B" w:rsidP="00893161">
            <w:pPr>
              <w:pStyle w:val="Paragraph"/>
              <w:spacing w:after="0"/>
              <w:rPr>
                <w:sz w:val="22"/>
                <w:szCs w:val="22"/>
              </w:rPr>
            </w:pPr>
            <m:oMath>
              <m:sSub>
                <m:sSubPr>
                  <m:ctrlPr>
                    <w:rPr>
                      <w:rFonts w:ascii="Cambria Math" w:hAnsi="Cambria Math"/>
                      <w:i/>
                      <w:sz w:val="22"/>
                      <w:szCs w:val="22"/>
                    </w:rPr>
                  </m:ctrlPr>
                </m:sSubPr>
                <m:e>
                  <m:r>
                    <w:rPr>
                      <w:rFonts w:ascii="Cambria Math" w:hAnsi="Cambria Math"/>
                      <w:sz w:val="22"/>
                      <w:szCs w:val="22"/>
                    </w:rPr>
                    <m:t>γ</m:t>
                  </m:r>
                </m:e>
                <m:sub>
                  <m:r>
                    <w:rPr>
                      <w:rFonts w:ascii="Cambria Math" w:hAnsi="Cambria Math"/>
                      <w:sz w:val="22"/>
                      <w:szCs w:val="22"/>
                    </w:rPr>
                    <m:t>rock</m:t>
                  </m:r>
                </m:sub>
              </m:sSub>
            </m:oMath>
            <w:r w:rsidR="007D58FF">
              <w:rPr>
                <w:sz w:val="22"/>
                <w:szCs w:val="22"/>
              </w:rPr>
              <w:t xml:space="preserve"> </w:t>
            </w:r>
          </w:p>
        </w:tc>
        <w:tc>
          <w:tcPr>
            <w:tcW w:w="1296" w:type="dxa"/>
            <w:tcBorders>
              <w:left w:val="single" w:sz="4" w:space="0" w:color="auto"/>
              <w:right w:val="single" w:sz="4" w:space="0" w:color="auto"/>
            </w:tcBorders>
          </w:tcPr>
          <w:p w14:paraId="6E307A64" w14:textId="77777777" w:rsidR="007D58FF" w:rsidRDefault="007D58FF" w:rsidP="00893161">
            <w:pPr>
              <w:pStyle w:val="Paragraph"/>
              <w:spacing w:after="0"/>
              <w:jc w:val="center"/>
              <w:rPr>
                <w:sz w:val="22"/>
                <w:szCs w:val="22"/>
              </w:rPr>
            </w:pPr>
            <w:r>
              <w:rPr>
                <w:sz w:val="22"/>
                <w:szCs w:val="22"/>
              </w:rPr>
              <w:t>1.0</w:t>
            </w:r>
          </w:p>
        </w:tc>
        <w:tc>
          <w:tcPr>
            <w:tcW w:w="1296" w:type="dxa"/>
            <w:tcBorders>
              <w:left w:val="single" w:sz="4" w:space="0" w:color="auto"/>
              <w:right w:val="single" w:sz="4" w:space="0" w:color="auto"/>
            </w:tcBorders>
          </w:tcPr>
          <w:p w14:paraId="54D44A09" w14:textId="77777777" w:rsidR="007D58FF" w:rsidRDefault="007D58FF" w:rsidP="00893161">
            <w:pPr>
              <w:pStyle w:val="Paragraph"/>
              <w:spacing w:after="0"/>
              <w:jc w:val="center"/>
              <w:rPr>
                <w:sz w:val="22"/>
                <w:szCs w:val="22"/>
              </w:rPr>
            </w:pPr>
            <w:r>
              <w:rPr>
                <w:sz w:val="22"/>
                <w:szCs w:val="22"/>
              </w:rPr>
              <w:t>1.0</w:t>
            </w:r>
          </w:p>
        </w:tc>
        <w:tc>
          <w:tcPr>
            <w:tcW w:w="1296" w:type="dxa"/>
            <w:tcBorders>
              <w:left w:val="single" w:sz="4" w:space="0" w:color="auto"/>
              <w:right w:val="single" w:sz="4" w:space="0" w:color="auto"/>
            </w:tcBorders>
            <w:noWrap/>
            <w:vAlign w:val="center"/>
          </w:tcPr>
          <w:p w14:paraId="6F2910E9" w14:textId="77777777" w:rsidR="007D58FF" w:rsidRDefault="007D58FF" w:rsidP="00893161">
            <w:pPr>
              <w:pStyle w:val="Paragraph"/>
              <w:spacing w:after="0"/>
              <w:jc w:val="center"/>
              <w:rPr>
                <w:sz w:val="22"/>
                <w:szCs w:val="22"/>
              </w:rPr>
            </w:pPr>
            <w:r>
              <w:rPr>
                <w:sz w:val="22"/>
                <w:szCs w:val="22"/>
              </w:rPr>
              <w:t>1.0</w:t>
            </w:r>
          </w:p>
        </w:tc>
        <w:tc>
          <w:tcPr>
            <w:tcW w:w="656" w:type="dxa"/>
            <w:tcBorders>
              <w:left w:val="single" w:sz="4" w:space="0" w:color="auto"/>
            </w:tcBorders>
            <w:noWrap/>
            <w:vAlign w:val="center"/>
          </w:tcPr>
          <w:p w14:paraId="157AAC17" w14:textId="77777777" w:rsidR="007D58FF" w:rsidRPr="00610B0A" w:rsidRDefault="007D58FF" w:rsidP="00893161">
            <w:pPr>
              <w:pStyle w:val="Paragraph"/>
              <w:spacing w:after="0"/>
              <w:jc w:val="center"/>
              <w:rPr>
                <w:sz w:val="22"/>
                <w:szCs w:val="22"/>
                <w:vertAlign w:val="superscript"/>
              </w:rPr>
            </w:pPr>
          </w:p>
        </w:tc>
      </w:tr>
      <w:tr w:rsidR="007D58FF" w:rsidRPr="00EB1994" w14:paraId="10F4E293" w14:textId="77777777" w:rsidTr="00893161">
        <w:trPr>
          <w:gridAfter w:val="1"/>
          <w:wAfter w:w="75" w:type="dxa"/>
          <w:trHeight w:val="20"/>
          <w:jc w:val="center"/>
        </w:trPr>
        <w:tc>
          <w:tcPr>
            <w:tcW w:w="1573" w:type="dxa"/>
            <w:vMerge/>
            <w:tcBorders>
              <w:right w:val="single" w:sz="4" w:space="0" w:color="auto"/>
            </w:tcBorders>
            <w:vAlign w:val="center"/>
          </w:tcPr>
          <w:p w14:paraId="17E0B989" w14:textId="77777777" w:rsidR="007D58FF" w:rsidRPr="00965529" w:rsidRDefault="007D58FF" w:rsidP="00893161">
            <w:pPr>
              <w:pStyle w:val="Paragraph"/>
              <w:spacing w:after="0"/>
              <w:jc w:val="center"/>
              <w:rPr>
                <w:sz w:val="22"/>
                <w:szCs w:val="22"/>
              </w:rPr>
            </w:pPr>
          </w:p>
        </w:tc>
        <w:tc>
          <w:tcPr>
            <w:tcW w:w="2448" w:type="dxa"/>
            <w:tcBorders>
              <w:left w:val="single" w:sz="4" w:space="0" w:color="auto"/>
              <w:right w:val="single" w:sz="4" w:space="0" w:color="auto"/>
            </w:tcBorders>
            <w:noWrap/>
            <w:vAlign w:val="center"/>
          </w:tcPr>
          <w:p w14:paraId="233A85AD" w14:textId="77777777" w:rsidR="007D58FF" w:rsidRPr="00965529" w:rsidRDefault="007D58FF" w:rsidP="00893161">
            <w:pPr>
              <w:pStyle w:val="Paragraph"/>
              <w:spacing w:after="0"/>
              <w:rPr>
                <w:sz w:val="22"/>
                <w:szCs w:val="22"/>
              </w:rPr>
            </w:pPr>
            <m:oMath>
              <m:r>
                <w:rPr>
                  <w:rFonts w:ascii="Cambria Math" w:hAnsi="Cambria Math"/>
                  <w:sz w:val="22"/>
                  <w:szCs w:val="22"/>
                </w:rPr>
                <m:t>v</m:t>
              </m:r>
            </m:oMath>
            <w:r w:rsidRPr="00965529">
              <w:rPr>
                <w:sz w:val="22"/>
                <w:szCs w:val="22"/>
              </w:rPr>
              <w:t xml:space="preserve"> </w:t>
            </w:r>
          </w:p>
        </w:tc>
        <w:tc>
          <w:tcPr>
            <w:tcW w:w="1296" w:type="dxa"/>
            <w:tcBorders>
              <w:left w:val="single" w:sz="4" w:space="0" w:color="auto"/>
              <w:right w:val="single" w:sz="4" w:space="0" w:color="auto"/>
            </w:tcBorders>
          </w:tcPr>
          <w:p w14:paraId="17270D93" w14:textId="77777777" w:rsidR="007D58FF" w:rsidRPr="00965529" w:rsidRDefault="007D58FF" w:rsidP="00893161">
            <w:pPr>
              <w:pStyle w:val="Paragraph"/>
              <w:spacing w:after="0"/>
              <w:jc w:val="center"/>
              <w:rPr>
                <w:sz w:val="22"/>
                <w:szCs w:val="22"/>
              </w:rPr>
            </w:pPr>
            <w:r>
              <w:rPr>
                <w:sz w:val="22"/>
                <w:szCs w:val="22"/>
              </w:rPr>
              <w:t>0.27</w:t>
            </w:r>
          </w:p>
        </w:tc>
        <w:tc>
          <w:tcPr>
            <w:tcW w:w="1296" w:type="dxa"/>
            <w:tcBorders>
              <w:left w:val="single" w:sz="4" w:space="0" w:color="auto"/>
              <w:right w:val="single" w:sz="4" w:space="0" w:color="auto"/>
            </w:tcBorders>
          </w:tcPr>
          <w:p w14:paraId="50407E11" w14:textId="77777777" w:rsidR="007D58FF" w:rsidRPr="00965529" w:rsidRDefault="007D58FF" w:rsidP="00893161">
            <w:pPr>
              <w:pStyle w:val="Paragraph"/>
              <w:spacing w:after="0"/>
              <w:jc w:val="center"/>
              <w:rPr>
                <w:sz w:val="22"/>
                <w:szCs w:val="22"/>
              </w:rPr>
            </w:pPr>
            <w:r>
              <w:rPr>
                <w:sz w:val="22"/>
                <w:szCs w:val="22"/>
              </w:rPr>
              <w:t>0.27</w:t>
            </w:r>
          </w:p>
        </w:tc>
        <w:tc>
          <w:tcPr>
            <w:tcW w:w="1296" w:type="dxa"/>
            <w:tcBorders>
              <w:left w:val="single" w:sz="4" w:space="0" w:color="auto"/>
              <w:right w:val="single" w:sz="4" w:space="0" w:color="auto"/>
            </w:tcBorders>
            <w:noWrap/>
            <w:vAlign w:val="center"/>
          </w:tcPr>
          <w:p w14:paraId="55313ED2" w14:textId="77777777" w:rsidR="007D58FF" w:rsidRPr="00965529" w:rsidRDefault="007D58FF" w:rsidP="00893161">
            <w:pPr>
              <w:pStyle w:val="Paragraph"/>
              <w:spacing w:after="0"/>
              <w:jc w:val="center"/>
              <w:rPr>
                <w:sz w:val="22"/>
                <w:szCs w:val="22"/>
              </w:rPr>
            </w:pPr>
            <w:r>
              <w:rPr>
                <w:sz w:val="22"/>
                <w:szCs w:val="22"/>
              </w:rPr>
              <w:t>0.27</w:t>
            </w:r>
          </w:p>
        </w:tc>
        <w:tc>
          <w:tcPr>
            <w:tcW w:w="656" w:type="dxa"/>
            <w:tcBorders>
              <w:left w:val="single" w:sz="4" w:space="0" w:color="auto"/>
            </w:tcBorders>
            <w:noWrap/>
            <w:vAlign w:val="center"/>
          </w:tcPr>
          <w:p w14:paraId="5D43E6AA" w14:textId="77777777" w:rsidR="007D58FF" w:rsidRPr="00610B0A" w:rsidRDefault="007D58FF" w:rsidP="00893161">
            <w:pPr>
              <w:pStyle w:val="Paragraph"/>
              <w:spacing w:after="0"/>
              <w:jc w:val="center"/>
              <w:rPr>
                <w:sz w:val="22"/>
                <w:szCs w:val="22"/>
                <w:vertAlign w:val="superscript"/>
              </w:rPr>
            </w:pPr>
            <w:r w:rsidRPr="00610B0A">
              <w:rPr>
                <w:sz w:val="22"/>
                <w:szCs w:val="22"/>
                <w:vertAlign w:val="superscript"/>
              </w:rPr>
              <w:t>3</w:t>
            </w:r>
          </w:p>
        </w:tc>
      </w:tr>
      <w:tr w:rsidR="007D58FF" w:rsidRPr="00EB1994" w14:paraId="6CF0ADF4" w14:textId="77777777" w:rsidTr="00893161">
        <w:trPr>
          <w:gridAfter w:val="1"/>
          <w:wAfter w:w="75" w:type="dxa"/>
          <w:trHeight w:val="20"/>
          <w:jc w:val="center"/>
        </w:trPr>
        <w:tc>
          <w:tcPr>
            <w:tcW w:w="1573" w:type="dxa"/>
            <w:vMerge/>
            <w:tcBorders>
              <w:right w:val="single" w:sz="4" w:space="0" w:color="auto"/>
            </w:tcBorders>
            <w:vAlign w:val="center"/>
          </w:tcPr>
          <w:p w14:paraId="1DA4DA93" w14:textId="77777777" w:rsidR="007D58FF" w:rsidRPr="00965529" w:rsidRDefault="007D58FF" w:rsidP="00893161">
            <w:pPr>
              <w:pStyle w:val="Paragraph"/>
              <w:spacing w:after="0"/>
              <w:jc w:val="center"/>
              <w:rPr>
                <w:sz w:val="22"/>
                <w:szCs w:val="22"/>
              </w:rPr>
            </w:pPr>
          </w:p>
        </w:tc>
        <w:tc>
          <w:tcPr>
            <w:tcW w:w="2448" w:type="dxa"/>
            <w:tcBorders>
              <w:left w:val="single" w:sz="4" w:space="0" w:color="auto"/>
              <w:right w:val="single" w:sz="4" w:space="0" w:color="auto"/>
            </w:tcBorders>
            <w:noWrap/>
            <w:vAlign w:val="center"/>
          </w:tcPr>
          <w:p w14:paraId="58620395" w14:textId="77777777" w:rsidR="007D58FF" w:rsidRPr="00965529" w:rsidRDefault="007D58FF" w:rsidP="00893161">
            <w:pPr>
              <w:pStyle w:val="Paragraph"/>
              <w:spacing w:after="0"/>
              <w:rPr>
                <w:sz w:val="22"/>
                <w:szCs w:val="22"/>
              </w:rPr>
            </w:pPr>
            <m:oMath>
              <m:r>
                <w:rPr>
                  <w:rFonts w:ascii="Cambria Math" w:hAnsi="Cambria Math"/>
                  <w:sz w:val="22"/>
                  <w:szCs w:val="22"/>
                </w:rPr>
                <m:t>E</m:t>
              </m:r>
            </m:oMath>
            <w:r w:rsidRPr="00965529">
              <w:rPr>
                <w:sz w:val="22"/>
                <w:szCs w:val="22"/>
              </w:rPr>
              <w:t xml:space="preserve"> (GPa)</w:t>
            </w:r>
          </w:p>
        </w:tc>
        <w:tc>
          <w:tcPr>
            <w:tcW w:w="1296" w:type="dxa"/>
            <w:tcBorders>
              <w:left w:val="single" w:sz="4" w:space="0" w:color="auto"/>
              <w:right w:val="single" w:sz="4" w:space="0" w:color="auto"/>
            </w:tcBorders>
          </w:tcPr>
          <w:p w14:paraId="43303E39" w14:textId="77777777" w:rsidR="007D58FF" w:rsidRPr="00965529" w:rsidRDefault="007D58FF" w:rsidP="00893161">
            <w:pPr>
              <w:pStyle w:val="Paragraph"/>
              <w:spacing w:after="0"/>
              <w:jc w:val="center"/>
              <w:rPr>
                <w:sz w:val="22"/>
                <w:szCs w:val="22"/>
              </w:rPr>
            </w:pPr>
            <w:r>
              <w:rPr>
                <w:sz w:val="22"/>
                <w:szCs w:val="22"/>
              </w:rPr>
              <w:t>25.0</w:t>
            </w:r>
          </w:p>
        </w:tc>
        <w:tc>
          <w:tcPr>
            <w:tcW w:w="1296" w:type="dxa"/>
            <w:tcBorders>
              <w:left w:val="single" w:sz="4" w:space="0" w:color="auto"/>
              <w:right w:val="single" w:sz="4" w:space="0" w:color="auto"/>
            </w:tcBorders>
          </w:tcPr>
          <w:p w14:paraId="2CCFFB68" w14:textId="77777777" w:rsidR="007D58FF" w:rsidRPr="00965529" w:rsidRDefault="007D58FF" w:rsidP="00893161">
            <w:pPr>
              <w:pStyle w:val="Paragraph"/>
              <w:spacing w:after="0"/>
              <w:jc w:val="center"/>
              <w:rPr>
                <w:sz w:val="22"/>
                <w:szCs w:val="22"/>
              </w:rPr>
            </w:pPr>
            <w:r>
              <w:rPr>
                <w:sz w:val="22"/>
                <w:szCs w:val="22"/>
              </w:rPr>
              <w:t>25.0</w:t>
            </w:r>
          </w:p>
        </w:tc>
        <w:tc>
          <w:tcPr>
            <w:tcW w:w="1296" w:type="dxa"/>
            <w:tcBorders>
              <w:left w:val="single" w:sz="4" w:space="0" w:color="auto"/>
              <w:right w:val="single" w:sz="4" w:space="0" w:color="auto"/>
            </w:tcBorders>
            <w:noWrap/>
            <w:vAlign w:val="center"/>
          </w:tcPr>
          <w:p w14:paraId="41EC916F" w14:textId="77777777" w:rsidR="007D58FF" w:rsidRPr="00965529" w:rsidRDefault="007D58FF" w:rsidP="00893161">
            <w:pPr>
              <w:pStyle w:val="Paragraph"/>
              <w:spacing w:after="0"/>
              <w:jc w:val="center"/>
              <w:rPr>
                <w:sz w:val="22"/>
                <w:szCs w:val="22"/>
              </w:rPr>
            </w:pPr>
            <w:r>
              <w:rPr>
                <w:sz w:val="22"/>
                <w:szCs w:val="22"/>
              </w:rPr>
              <w:t>25.0</w:t>
            </w:r>
          </w:p>
        </w:tc>
        <w:tc>
          <w:tcPr>
            <w:tcW w:w="656" w:type="dxa"/>
            <w:tcBorders>
              <w:left w:val="single" w:sz="4" w:space="0" w:color="auto"/>
            </w:tcBorders>
            <w:noWrap/>
            <w:vAlign w:val="center"/>
          </w:tcPr>
          <w:p w14:paraId="2B942232" w14:textId="77777777" w:rsidR="007D58FF" w:rsidRPr="00610B0A" w:rsidRDefault="007D58FF" w:rsidP="00893161">
            <w:pPr>
              <w:pStyle w:val="Paragraph"/>
              <w:spacing w:after="0"/>
              <w:jc w:val="center"/>
              <w:rPr>
                <w:sz w:val="22"/>
                <w:szCs w:val="22"/>
                <w:vertAlign w:val="superscript"/>
              </w:rPr>
            </w:pPr>
            <w:r w:rsidRPr="00610B0A">
              <w:rPr>
                <w:sz w:val="22"/>
                <w:szCs w:val="22"/>
                <w:vertAlign w:val="superscript"/>
              </w:rPr>
              <w:t>2</w:t>
            </w:r>
          </w:p>
        </w:tc>
      </w:tr>
      <w:tr w:rsidR="007D58FF" w:rsidRPr="00EB1994" w14:paraId="64CE9CB7" w14:textId="77777777" w:rsidTr="00893161">
        <w:trPr>
          <w:gridAfter w:val="1"/>
          <w:wAfter w:w="75" w:type="dxa"/>
          <w:trHeight w:val="20"/>
          <w:jc w:val="center"/>
        </w:trPr>
        <w:tc>
          <w:tcPr>
            <w:tcW w:w="1573" w:type="dxa"/>
            <w:vMerge w:val="restart"/>
            <w:tcBorders>
              <w:top w:val="single" w:sz="4" w:space="0" w:color="auto"/>
              <w:right w:val="single" w:sz="4" w:space="0" w:color="auto"/>
            </w:tcBorders>
            <w:vAlign w:val="center"/>
          </w:tcPr>
          <w:p w14:paraId="684E6904" w14:textId="77777777" w:rsidR="007D58FF" w:rsidRPr="00965529" w:rsidRDefault="007D58FF" w:rsidP="00893161">
            <w:pPr>
              <w:pStyle w:val="Paragraph"/>
              <w:spacing w:after="0"/>
              <w:jc w:val="center"/>
              <w:rPr>
                <w:sz w:val="22"/>
                <w:szCs w:val="22"/>
              </w:rPr>
            </w:pPr>
            <w:r w:rsidRPr="00965529">
              <w:rPr>
                <w:sz w:val="22"/>
                <w:szCs w:val="22"/>
              </w:rPr>
              <w:t>Casing/Cement</w:t>
            </w:r>
            <w:r>
              <w:rPr>
                <w:sz w:val="22"/>
                <w:szCs w:val="22"/>
              </w:rPr>
              <w:t xml:space="preserve"> Bond</w:t>
            </w:r>
          </w:p>
        </w:tc>
        <w:tc>
          <w:tcPr>
            <w:tcW w:w="2448" w:type="dxa"/>
            <w:tcBorders>
              <w:top w:val="single" w:sz="4" w:space="0" w:color="auto"/>
              <w:left w:val="single" w:sz="4" w:space="0" w:color="auto"/>
              <w:right w:val="single" w:sz="4" w:space="0" w:color="auto"/>
            </w:tcBorders>
            <w:noWrap/>
            <w:vAlign w:val="center"/>
          </w:tcPr>
          <w:p w14:paraId="231FB691" w14:textId="77777777" w:rsidR="007D58FF" w:rsidRPr="00965529" w:rsidRDefault="00077C0B" w:rsidP="00893161">
            <w:pPr>
              <w:pStyle w:val="Paragraph"/>
              <w:spacing w:after="0"/>
              <w:rPr>
                <w:sz w:val="22"/>
                <w:szCs w:val="22"/>
              </w:rPr>
            </w:pPr>
            <m:oMath>
              <m:sSup>
                <m:sSupPr>
                  <m:ctrlPr>
                    <w:rPr>
                      <w:rFonts w:ascii="Cambria Math" w:hAnsi="Cambria Math"/>
                      <w:i/>
                      <w:sz w:val="22"/>
                      <w:szCs w:val="22"/>
                    </w:rPr>
                  </m:ctrlPr>
                </m:sSupPr>
                <m:e>
                  <m:r>
                    <w:rPr>
                      <w:rFonts w:ascii="Cambria Math" w:hAnsi="Cambria Math"/>
                      <w:sz w:val="22"/>
                      <w:szCs w:val="22"/>
                    </w:rPr>
                    <m:t>τ</m:t>
                  </m:r>
                </m:e>
                <m:sup>
                  <m:r>
                    <w:rPr>
                      <w:rFonts w:ascii="Cambria Math" w:hAnsi="Cambria Math"/>
                      <w:sz w:val="22"/>
                      <w:szCs w:val="22"/>
                    </w:rPr>
                    <m:t>o</m:t>
                  </m:r>
                </m:sup>
              </m:sSup>
            </m:oMath>
            <w:r w:rsidR="007D58FF" w:rsidRPr="00965529">
              <w:rPr>
                <w:sz w:val="22"/>
                <w:szCs w:val="22"/>
              </w:rPr>
              <w:t xml:space="preserve"> (MPa)</w:t>
            </w:r>
          </w:p>
        </w:tc>
        <w:tc>
          <w:tcPr>
            <w:tcW w:w="1296" w:type="dxa"/>
            <w:tcBorders>
              <w:top w:val="single" w:sz="4" w:space="0" w:color="auto"/>
              <w:left w:val="single" w:sz="4" w:space="0" w:color="auto"/>
              <w:right w:val="single" w:sz="4" w:space="0" w:color="auto"/>
            </w:tcBorders>
          </w:tcPr>
          <w:p w14:paraId="12AB92AC" w14:textId="77777777" w:rsidR="007D58FF" w:rsidRPr="00965529" w:rsidRDefault="007D58FF" w:rsidP="00893161">
            <w:pPr>
              <w:pStyle w:val="Paragraph"/>
              <w:spacing w:after="0"/>
              <w:jc w:val="center"/>
              <w:rPr>
                <w:sz w:val="22"/>
                <w:szCs w:val="22"/>
              </w:rPr>
            </w:pPr>
            <w:r>
              <w:rPr>
                <w:sz w:val="22"/>
                <w:szCs w:val="22"/>
              </w:rPr>
              <w:t>0.50</w:t>
            </w:r>
          </w:p>
        </w:tc>
        <w:tc>
          <w:tcPr>
            <w:tcW w:w="1296" w:type="dxa"/>
            <w:tcBorders>
              <w:top w:val="single" w:sz="4" w:space="0" w:color="auto"/>
              <w:left w:val="single" w:sz="4" w:space="0" w:color="auto"/>
              <w:right w:val="single" w:sz="4" w:space="0" w:color="auto"/>
            </w:tcBorders>
          </w:tcPr>
          <w:p w14:paraId="5B269A96" w14:textId="77777777" w:rsidR="007D58FF" w:rsidRPr="00965529" w:rsidRDefault="007D58FF" w:rsidP="00893161">
            <w:pPr>
              <w:pStyle w:val="Paragraph"/>
              <w:spacing w:after="0"/>
              <w:jc w:val="center"/>
              <w:rPr>
                <w:sz w:val="22"/>
                <w:szCs w:val="22"/>
              </w:rPr>
            </w:pPr>
            <w:r>
              <w:rPr>
                <w:sz w:val="22"/>
                <w:szCs w:val="22"/>
              </w:rPr>
              <w:t>0.50</w:t>
            </w:r>
          </w:p>
        </w:tc>
        <w:tc>
          <w:tcPr>
            <w:tcW w:w="1296" w:type="dxa"/>
            <w:tcBorders>
              <w:top w:val="single" w:sz="4" w:space="0" w:color="auto"/>
              <w:left w:val="single" w:sz="4" w:space="0" w:color="auto"/>
              <w:right w:val="single" w:sz="4" w:space="0" w:color="auto"/>
            </w:tcBorders>
            <w:noWrap/>
            <w:vAlign w:val="center"/>
          </w:tcPr>
          <w:p w14:paraId="73055EFB" w14:textId="77777777" w:rsidR="007D58FF" w:rsidRPr="00965529" w:rsidRDefault="007D58FF" w:rsidP="00893161">
            <w:pPr>
              <w:pStyle w:val="Paragraph"/>
              <w:spacing w:after="0"/>
              <w:jc w:val="center"/>
              <w:rPr>
                <w:sz w:val="22"/>
                <w:szCs w:val="22"/>
              </w:rPr>
            </w:pPr>
            <w:r w:rsidRPr="00965529">
              <w:rPr>
                <w:sz w:val="22"/>
                <w:szCs w:val="22"/>
              </w:rPr>
              <w:t>0.50</w:t>
            </w:r>
          </w:p>
        </w:tc>
        <w:tc>
          <w:tcPr>
            <w:tcW w:w="656" w:type="dxa"/>
            <w:tcBorders>
              <w:top w:val="single" w:sz="4" w:space="0" w:color="auto"/>
              <w:left w:val="single" w:sz="4" w:space="0" w:color="auto"/>
            </w:tcBorders>
            <w:noWrap/>
            <w:vAlign w:val="center"/>
          </w:tcPr>
          <w:p w14:paraId="3019B201" w14:textId="77777777" w:rsidR="007D58FF" w:rsidRPr="00610B0A" w:rsidRDefault="007D58FF" w:rsidP="00893161">
            <w:pPr>
              <w:pStyle w:val="Paragraph"/>
              <w:spacing w:after="0"/>
              <w:jc w:val="center"/>
              <w:rPr>
                <w:sz w:val="22"/>
                <w:szCs w:val="22"/>
                <w:vertAlign w:val="superscript"/>
              </w:rPr>
            </w:pPr>
            <w:r w:rsidRPr="00610B0A">
              <w:rPr>
                <w:sz w:val="22"/>
                <w:szCs w:val="22"/>
                <w:vertAlign w:val="superscript"/>
              </w:rPr>
              <w:t>5</w:t>
            </w:r>
          </w:p>
        </w:tc>
      </w:tr>
      <w:tr w:rsidR="007D58FF" w:rsidRPr="00EB1994" w14:paraId="0C649997" w14:textId="77777777" w:rsidTr="00893161">
        <w:trPr>
          <w:gridAfter w:val="1"/>
          <w:wAfter w:w="75" w:type="dxa"/>
          <w:trHeight w:val="20"/>
          <w:jc w:val="center"/>
        </w:trPr>
        <w:tc>
          <w:tcPr>
            <w:tcW w:w="1573" w:type="dxa"/>
            <w:vMerge/>
            <w:tcBorders>
              <w:bottom w:val="single" w:sz="4" w:space="0" w:color="auto"/>
              <w:right w:val="single" w:sz="4" w:space="0" w:color="auto"/>
            </w:tcBorders>
            <w:vAlign w:val="center"/>
          </w:tcPr>
          <w:p w14:paraId="655EF5D7" w14:textId="77777777" w:rsidR="007D58FF" w:rsidRPr="00965529" w:rsidRDefault="007D58FF" w:rsidP="00893161">
            <w:pPr>
              <w:pStyle w:val="Paragraph"/>
              <w:spacing w:after="0"/>
              <w:jc w:val="center"/>
              <w:rPr>
                <w:sz w:val="22"/>
                <w:szCs w:val="22"/>
              </w:rPr>
            </w:pPr>
          </w:p>
        </w:tc>
        <w:tc>
          <w:tcPr>
            <w:tcW w:w="2448" w:type="dxa"/>
            <w:tcBorders>
              <w:left w:val="single" w:sz="4" w:space="0" w:color="auto"/>
              <w:bottom w:val="single" w:sz="4" w:space="0" w:color="auto"/>
              <w:right w:val="single" w:sz="4" w:space="0" w:color="auto"/>
            </w:tcBorders>
            <w:noWrap/>
            <w:vAlign w:val="center"/>
          </w:tcPr>
          <w:p w14:paraId="070A1F63" w14:textId="77777777" w:rsidR="007D58FF" w:rsidRPr="00965529" w:rsidRDefault="00077C0B" w:rsidP="00893161">
            <w:pPr>
              <w:pStyle w:val="Paragraph"/>
              <w:spacing w:after="0"/>
              <w:rPr>
                <w:sz w:val="22"/>
                <w:szCs w:val="22"/>
              </w:rPr>
            </w:pP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C</m:t>
                  </m:r>
                </m:sub>
              </m:sSub>
            </m:oMath>
            <w:r w:rsidR="007D58FF" w:rsidRPr="00965529">
              <w:rPr>
                <w:sz w:val="22"/>
                <w:szCs w:val="22"/>
              </w:rPr>
              <w:t xml:space="preserve"> (J/m</w:t>
            </w:r>
            <w:r w:rsidR="007D58FF" w:rsidRPr="00965529">
              <w:rPr>
                <w:sz w:val="22"/>
                <w:szCs w:val="22"/>
                <w:vertAlign w:val="superscript"/>
              </w:rPr>
              <w:t>2</w:t>
            </w:r>
            <w:r w:rsidR="007D58FF" w:rsidRPr="00965529">
              <w:rPr>
                <w:sz w:val="22"/>
                <w:szCs w:val="22"/>
              </w:rPr>
              <w:t>)</w:t>
            </w:r>
          </w:p>
        </w:tc>
        <w:tc>
          <w:tcPr>
            <w:tcW w:w="1296" w:type="dxa"/>
            <w:tcBorders>
              <w:left w:val="single" w:sz="4" w:space="0" w:color="auto"/>
              <w:bottom w:val="single" w:sz="4" w:space="0" w:color="auto"/>
              <w:right w:val="single" w:sz="4" w:space="0" w:color="auto"/>
            </w:tcBorders>
          </w:tcPr>
          <w:p w14:paraId="2A62CA1F" w14:textId="77777777" w:rsidR="007D58FF" w:rsidRPr="00965529" w:rsidRDefault="007D58FF" w:rsidP="00893161">
            <w:pPr>
              <w:pStyle w:val="Paragraph"/>
              <w:spacing w:after="0"/>
              <w:jc w:val="center"/>
              <w:rPr>
                <w:sz w:val="22"/>
                <w:szCs w:val="22"/>
              </w:rPr>
            </w:pPr>
            <w:r>
              <w:rPr>
                <w:sz w:val="22"/>
                <w:szCs w:val="22"/>
              </w:rPr>
              <w:t>100.0</w:t>
            </w:r>
          </w:p>
        </w:tc>
        <w:tc>
          <w:tcPr>
            <w:tcW w:w="1296" w:type="dxa"/>
            <w:tcBorders>
              <w:left w:val="single" w:sz="4" w:space="0" w:color="auto"/>
              <w:bottom w:val="single" w:sz="4" w:space="0" w:color="auto"/>
              <w:right w:val="single" w:sz="4" w:space="0" w:color="auto"/>
            </w:tcBorders>
          </w:tcPr>
          <w:p w14:paraId="2AF0C0BC" w14:textId="77777777" w:rsidR="007D58FF" w:rsidRPr="00965529" w:rsidRDefault="007D58FF" w:rsidP="00893161">
            <w:pPr>
              <w:pStyle w:val="Paragraph"/>
              <w:spacing w:after="0"/>
              <w:jc w:val="center"/>
              <w:rPr>
                <w:sz w:val="22"/>
                <w:szCs w:val="22"/>
              </w:rPr>
            </w:pPr>
            <w:r>
              <w:rPr>
                <w:sz w:val="22"/>
                <w:szCs w:val="22"/>
              </w:rPr>
              <w:t>100.0</w:t>
            </w:r>
          </w:p>
        </w:tc>
        <w:tc>
          <w:tcPr>
            <w:tcW w:w="1296" w:type="dxa"/>
            <w:tcBorders>
              <w:left w:val="single" w:sz="4" w:space="0" w:color="auto"/>
              <w:bottom w:val="single" w:sz="4" w:space="0" w:color="auto"/>
              <w:right w:val="single" w:sz="4" w:space="0" w:color="auto"/>
            </w:tcBorders>
            <w:noWrap/>
            <w:vAlign w:val="center"/>
          </w:tcPr>
          <w:p w14:paraId="711EABFC" w14:textId="77777777" w:rsidR="007D58FF" w:rsidRPr="00965529" w:rsidRDefault="007D58FF" w:rsidP="00893161">
            <w:pPr>
              <w:pStyle w:val="Paragraph"/>
              <w:spacing w:after="0"/>
              <w:jc w:val="center"/>
              <w:rPr>
                <w:sz w:val="22"/>
                <w:szCs w:val="22"/>
              </w:rPr>
            </w:pPr>
            <w:r>
              <w:rPr>
                <w:sz w:val="22"/>
                <w:szCs w:val="22"/>
              </w:rPr>
              <w:t>100.0</w:t>
            </w:r>
          </w:p>
        </w:tc>
        <w:tc>
          <w:tcPr>
            <w:tcW w:w="656" w:type="dxa"/>
            <w:tcBorders>
              <w:left w:val="single" w:sz="4" w:space="0" w:color="auto"/>
              <w:bottom w:val="single" w:sz="4" w:space="0" w:color="auto"/>
            </w:tcBorders>
            <w:noWrap/>
          </w:tcPr>
          <w:p w14:paraId="40B8CB86" w14:textId="77777777" w:rsidR="007D58FF" w:rsidRPr="00610B0A" w:rsidRDefault="007D58FF" w:rsidP="00893161">
            <w:pPr>
              <w:pStyle w:val="Paragraph"/>
              <w:spacing w:after="0"/>
              <w:jc w:val="center"/>
              <w:rPr>
                <w:sz w:val="22"/>
                <w:szCs w:val="22"/>
                <w:vertAlign w:val="superscript"/>
              </w:rPr>
            </w:pPr>
            <w:r w:rsidRPr="00610B0A">
              <w:rPr>
                <w:sz w:val="22"/>
                <w:szCs w:val="22"/>
                <w:vertAlign w:val="superscript"/>
              </w:rPr>
              <w:t>5</w:t>
            </w:r>
          </w:p>
        </w:tc>
      </w:tr>
      <w:tr w:rsidR="007D58FF" w:rsidRPr="00EB1994" w14:paraId="00F4C6C6" w14:textId="77777777" w:rsidTr="00893161">
        <w:trPr>
          <w:gridAfter w:val="1"/>
          <w:wAfter w:w="75" w:type="dxa"/>
          <w:trHeight w:val="20"/>
          <w:jc w:val="center"/>
        </w:trPr>
        <w:tc>
          <w:tcPr>
            <w:tcW w:w="1573" w:type="dxa"/>
            <w:vMerge w:val="restart"/>
            <w:tcBorders>
              <w:top w:val="single" w:sz="4" w:space="0" w:color="auto"/>
              <w:right w:val="single" w:sz="4" w:space="0" w:color="auto"/>
            </w:tcBorders>
            <w:vAlign w:val="center"/>
          </w:tcPr>
          <w:p w14:paraId="0A64FB64" w14:textId="77777777" w:rsidR="007D58FF" w:rsidRPr="00965529" w:rsidRDefault="007D58FF" w:rsidP="00893161">
            <w:pPr>
              <w:pStyle w:val="Paragraph"/>
              <w:spacing w:after="0"/>
              <w:jc w:val="center"/>
              <w:rPr>
                <w:sz w:val="22"/>
                <w:szCs w:val="22"/>
              </w:rPr>
            </w:pPr>
            <w:r w:rsidRPr="00965529">
              <w:rPr>
                <w:sz w:val="22"/>
                <w:szCs w:val="22"/>
              </w:rPr>
              <w:t>Cement/Rock</w:t>
            </w:r>
            <w:r>
              <w:rPr>
                <w:sz w:val="22"/>
                <w:szCs w:val="22"/>
              </w:rPr>
              <w:t xml:space="preserve"> Bond</w:t>
            </w:r>
          </w:p>
        </w:tc>
        <w:tc>
          <w:tcPr>
            <w:tcW w:w="2448" w:type="dxa"/>
            <w:tcBorders>
              <w:top w:val="single" w:sz="4" w:space="0" w:color="auto"/>
              <w:left w:val="single" w:sz="4" w:space="0" w:color="auto"/>
              <w:right w:val="single" w:sz="4" w:space="0" w:color="auto"/>
            </w:tcBorders>
            <w:noWrap/>
            <w:vAlign w:val="center"/>
          </w:tcPr>
          <w:p w14:paraId="5F0CF462" w14:textId="77777777" w:rsidR="007D58FF" w:rsidRPr="00965529" w:rsidRDefault="00077C0B" w:rsidP="00893161">
            <w:pPr>
              <w:pStyle w:val="Paragraph"/>
              <w:spacing w:after="0"/>
              <w:rPr>
                <w:sz w:val="22"/>
                <w:szCs w:val="22"/>
              </w:rPr>
            </w:pPr>
            <m:oMath>
              <m:sSup>
                <m:sSupPr>
                  <m:ctrlPr>
                    <w:rPr>
                      <w:rFonts w:ascii="Cambria Math" w:hAnsi="Cambria Math"/>
                      <w:i/>
                      <w:sz w:val="22"/>
                      <w:szCs w:val="22"/>
                    </w:rPr>
                  </m:ctrlPr>
                </m:sSupPr>
                <m:e>
                  <m:r>
                    <w:rPr>
                      <w:rFonts w:ascii="Cambria Math" w:hAnsi="Cambria Math"/>
                      <w:sz w:val="22"/>
                      <w:szCs w:val="22"/>
                    </w:rPr>
                    <m:t>τ</m:t>
                  </m:r>
                </m:e>
                <m:sup>
                  <m:r>
                    <w:rPr>
                      <w:rFonts w:ascii="Cambria Math" w:hAnsi="Cambria Math"/>
                      <w:sz w:val="22"/>
                      <w:szCs w:val="22"/>
                    </w:rPr>
                    <m:t>o</m:t>
                  </m:r>
                </m:sup>
              </m:sSup>
            </m:oMath>
            <w:r w:rsidR="007D58FF" w:rsidRPr="00965529">
              <w:rPr>
                <w:sz w:val="22"/>
                <w:szCs w:val="22"/>
              </w:rPr>
              <w:t xml:space="preserve"> (MPa)</w:t>
            </w:r>
          </w:p>
        </w:tc>
        <w:tc>
          <w:tcPr>
            <w:tcW w:w="1296" w:type="dxa"/>
            <w:tcBorders>
              <w:top w:val="single" w:sz="4" w:space="0" w:color="auto"/>
              <w:left w:val="single" w:sz="4" w:space="0" w:color="auto"/>
              <w:right w:val="single" w:sz="4" w:space="0" w:color="auto"/>
            </w:tcBorders>
          </w:tcPr>
          <w:p w14:paraId="0F083144" w14:textId="77777777" w:rsidR="007D58FF" w:rsidRPr="00965529" w:rsidRDefault="007D58FF" w:rsidP="00893161">
            <w:pPr>
              <w:pStyle w:val="Paragraph"/>
              <w:spacing w:after="0"/>
              <w:jc w:val="center"/>
              <w:rPr>
                <w:sz w:val="22"/>
                <w:szCs w:val="22"/>
              </w:rPr>
            </w:pPr>
            <w:r>
              <w:rPr>
                <w:sz w:val="22"/>
                <w:szCs w:val="22"/>
              </w:rPr>
              <w:t>0.42</w:t>
            </w:r>
          </w:p>
        </w:tc>
        <w:tc>
          <w:tcPr>
            <w:tcW w:w="1296" w:type="dxa"/>
            <w:tcBorders>
              <w:top w:val="single" w:sz="4" w:space="0" w:color="auto"/>
              <w:left w:val="single" w:sz="4" w:space="0" w:color="auto"/>
              <w:right w:val="single" w:sz="4" w:space="0" w:color="auto"/>
            </w:tcBorders>
          </w:tcPr>
          <w:p w14:paraId="4856B320" w14:textId="77777777" w:rsidR="007D58FF" w:rsidRPr="00965529" w:rsidRDefault="007D58FF" w:rsidP="00893161">
            <w:pPr>
              <w:pStyle w:val="Paragraph"/>
              <w:spacing w:after="0"/>
              <w:jc w:val="center"/>
              <w:rPr>
                <w:sz w:val="22"/>
                <w:szCs w:val="22"/>
              </w:rPr>
            </w:pPr>
            <w:r>
              <w:rPr>
                <w:sz w:val="22"/>
                <w:szCs w:val="22"/>
              </w:rPr>
              <w:t>0.42</w:t>
            </w:r>
          </w:p>
        </w:tc>
        <w:tc>
          <w:tcPr>
            <w:tcW w:w="1296" w:type="dxa"/>
            <w:tcBorders>
              <w:top w:val="single" w:sz="4" w:space="0" w:color="auto"/>
              <w:left w:val="single" w:sz="4" w:space="0" w:color="auto"/>
              <w:right w:val="single" w:sz="4" w:space="0" w:color="auto"/>
            </w:tcBorders>
            <w:noWrap/>
            <w:vAlign w:val="center"/>
          </w:tcPr>
          <w:p w14:paraId="4122C005" w14:textId="77777777" w:rsidR="007D58FF" w:rsidRPr="00965529" w:rsidRDefault="007D58FF" w:rsidP="00893161">
            <w:pPr>
              <w:pStyle w:val="Paragraph"/>
              <w:spacing w:after="0"/>
              <w:jc w:val="center"/>
              <w:rPr>
                <w:sz w:val="22"/>
                <w:szCs w:val="22"/>
              </w:rPr>
            </w:pPr>
            <w:r w:rsidRPr="00965529">
              <w:rPr>
                <w:sz w:val="22"/>
                <w:szCs w:val="22"/>
              </w:rPr>
              <w:t>0.42</w:t>
            </w:r>
          </w:p>
        </w:tc>
        <w:tc>
          <w:tcPr>
            <w:tcW w:w="656" w:type="dxa"/>
            <w:tcBorders>
              <w:top w:val="single" w:sz="4" w:space="0" w:color="auto"/>
              <w:left w:val="single" w:sz="4" w:space="0" w:color="auto"/>
            </w:tcBorders>
            <w:noWrap/>
          </w:tcPr>
          <w:p w14:paraId="6D2D6125" w14:textId="77777777" w:rsidR="007D58FF" w:rsidRPr="00610B0A" w:rsidRDefault="007D58FF" w:rsidP="00893161">
            <w:pPr>
              <w:pStyle w:val="Paragraph"/>
              <w:spacing w:after="0"/>
              <w:jc w:val="center"/>
              <w:rPr>
                <w:sz w:val="22"/>
                <w:szCs w:val="22"/>
                <w:vertAlign w:val="superscript"/>
              </w:rPr>
            </w:pPr>
            <w:r w:rsidRPr="00610B0A">
              <w:rPr>
                <w:sz w:val="22"/>
                <w:szCs w:val="22"/>
                <w:vertAlign w:val="superscript"/>
              </w:rPr>
              <w:t>5</w:t>
            </w:r>
          </w:p>
        </w:tc>
      </w:tr>
      <w:tr w:rsidR="007D58FF" w:rsidRPr="00EB1994" w14:paraId="55CA8308" w14:textId="77777777" w:rsidTr="00893161">
        <w:trPr>
          <w:gridAfter w:val="1"/>
          <w:wAfter w:w="75" w:type="dxa"/>
          <w:trHeight w:val="20"/>
          <w:jc w:val="center"/>
        </w:trPr>
        <w:tc>
          <w:tcPr>
            <w:tcW w:w="1573" w:type="dxa"/>
            <w:vMerge/>
            <w:tcBorders>
              <w:bottom w:val="single" w:sz="4" w:space="0" w:color="auto"/>
              <w:right w:val="single" w:sz="4" w:space="0" w:color="auto"/>
            </w:tcBorders>
            <w:vAlign w:val="center"/>
          </w:tcPr>
          <w:p w14:paraId="497A56FF" w14:textId="77777777" w:rsidR="007D58FF" w:rsidRPr="00965529" w:rsidRDefault="007D58FF" w:rsidP="00893161">
            <w:pPr>
              <w:pStyle w:val="Paragraph"/>
              <w:spacing w:after="0"/>
              <w:jc w:val="center"/>
              <w:rPr>
                <w:sz w:val="22"/>
                <w:szCs w:val="22"/>
              </w:rPr>
            </w:pPr>
          </w:p>
        </w:tc>
        <w:tc>
          <w:tcPr>
            <w:tcW w:w="2448" w:type="dxa"/>
            <w:tcBorders>
              <w:left w:val="single" w:sz="4" w:space="0" w:color="auto"/>
              <w:bottom w:val="single" w:sz="4" w:space="0" w:color="auto"/>
              <w:right w:val="single" w:sz="4" w:space="0" w:color="auto"/>
            </w:tcBorders>
            <w:noWrap/>
            <w:vAlign w:val="center"/>
          </w:tcPr>
          <w:p w14:paraId="75684FE6" w14:textId="77777777" w:rsidR="007D58FF" w:rsidRPr="00965529" w:rsidRDefault="00077C0B" w:rsidP="00893161">
            <w:pPr>
              <w:pStyle w:val="Paragraph"/>
              <w:spacing w:after="0"/>
              <w:rPr>
                <w:sz w:val="22"/>
                <w:szCs w:val="22"/>
              </w:rPr>
            </w:pP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C</m:t>
                  </m:r>
                </m:sub>
              </m:sSub>
            </m:oMath>
            <w:r w:rsidR="007D58FF" w:rsidRPr="00965529">
              <w:rPr>
                <w:sz w:val="22"/>
                <w:szCs w:val="22"/>
              </w:rPr>
              <w:t xml:space="preserve"> (J/m</w:t>
            </w:r>
            <w:r w:rsidR="007D58FF" w:rsidRPr="00965529">
              <w:rPr>
                <w:sz w:val="22"/>
                <w:szCs w:val="22"/>
                <w:vertAlign w:val="superscript"/>
              </w:rPr>
              <w:t>2</w:t>
            </w:r>
            <w:r w:rsidR="007D58FF" w:rsidRPr="00965529">
              <w:rPr>
                <w:sz w:val="22"/>
                <w:szCs w:val="22"/>
              </w:rPr>
              <w:t>)</w:t>
            </w:r>
          </w:p>
        </w:tc>
        <w:tc>
          <w:tcPr>
            <w:tcW w:w="1296" w:type="dxa"/>
            <w:tcBorders>
              <w:left w:val="single" w:sz="4" w:space="0" w:color="auto"/>
              <w:bottom w:val="single" w:sz="4" w:space="0" w:color="auto"/>
              <w:right w:val="single" w:sz="4" w:space="0" w:color="auto"/>
            </w:tcBorders>
          </w:tcPr>
          <w:p w14:paraId="3DCE1900" w14:textId="77777777" w:rsidR="007D58FF" w:rsidRPr="00965529" w:rsidRDefault="007D58FF" w:rsidP="00893161">
            <w:pPr>
              <w:pStyle w:val="Paragraph"/>
              <w:spacing w:after="0"/>
              <w:jc w:val="center"/>
              <w:rPr>
                <w:sz w:val="22"/>
                <w:szCs w:val="22"/>
              </w:rPr>
            </w:pPr>
            <w:r>
              <w:rPr>
                <w:sz w:val="22"/>
                <w:szCs w:val="22"/>
              </w:rPr>
              <w:t>100.0</w:t>
            </w:r>
          </w:p>
        </w:tc>
        <w:tc>
          <w:tcPr>
            <w:tcW w:w="1296" w:type="dxa"/>
            <w:tcBorders>
              <w:left w:val="single" w:sz="4" w:space="0" w:color="auto"/>
              <w:bottom w:val="single" w:sz="4" w:space="0" w:color="auto"/>
              <w:right w:val="single" w:sz="4" w:space="0" w:color="auto"/>
            </w:tcBorders>
          </w:tcPr>
          <w:p w14:paraId="26A1E4F3" w14:textId="77777777" w:rsidR="007D58FF" w:rsidRPr="00965529" w:rsidRDefault="007D58FF" w:rsidP="00893161">
            <w:pPr>
              <w:pStyle w:val="Paragraph"/>
              <w:spacing w:after="0"/>
              <w:jc w:val="center"/>
              <w:rPr>
                <w:sz w:val="22"/>
                <w:szCs w:val="22"/>
              </w:rPr>
            </w:pPr>
            <w:r>
              <w:rPr>
                <w:sz w:val="22"/>
                <w:szCs w:val="22"/>
              </w:rPr>
              <w:t>100.0</w:t>
            </w:r>
          </w:p>
        </w:tc>
        <w:tc>
          <w:tcPr>
            <w:tcW w:w="1296" w:type="dxa"/>
            <w:tcBorders>
              <w:left w:val="single" w:sz="4" w:space="0" w:color="auto"/>
              <w:bottom w:val="single" w:sz="4" w:space="0" w:color="auto"/>
              <w:right w:val="single" w:sz="4" w:space="0" w:color="auto"/>
            </w:tcBorders>
            <w:noWrap/>
            <w:vAlign w:val="center"/>
          </w:tcPr>
          <w:p w14:paraId="2BD910DA" w14:textId="77777777" w:rsidR="007D58FF" w:rsidRPr="00965529" w:rsidRDefault="007D58FF" w:rsidP="00893161">
            <w:pPr>
              <w:pStyle w:val="Paragraph"/>
              <w:spacing w:after="0"/>
              <w:jc w:val="center"/>
              <w:rPr>
                <w:sz w:val="22"/>
                <w:szCs w:val="22"/>
              </w:rPr>
            </w:pPr>
            <w:r>
              <w:rPr>
                <w:sz w:val="22"/>
                <w:szCs w:val="22"/>
              </w:rPr>
              <w:t>100.0</w:t>
            </w:r>
          </w:p>
        </w:tc>
        <w:tc>
          <w:tcPr>
            <w:tcW w:w="656" w:type="dxa"/>
            <w:tcBorders>
              <w:left w:val="single" w:sz="4" w:space="0" w:color="auto"/>
              <w:bottom w:val="single" w:sz="4" w:space="0" w:color="auto"/>
            </w:tcBorders>
            <w:noWrap/>
            <w:vAlign w:val="center"/>
          </w:tcPr>
          <w:p w14:paraId="4168351D" w14:textId="77777777" w:rsidR="007D58FF" w:rsidRPr="00610B0A" w:rsidRDefault="007D58FF" w:rsidP="00893161">
            <w:pPr>
              <w:pStyle w:val="Paragraph"/>
              <w:spacing w:after="0"/>
              <w:jc w:val="center"/>
              <w:rPr>
                <w:sz w:val="22"/>
                <w:szCs w:val="22"/>
                <w:vertAlign w:val="superscript"/>
              </w:rPr>
            </w:pPr>
            <w:r w:rsidRPr="00610B0A">
              <w:rPr>
                <w:sz w:val="22"/>
                <w:szCs w:val="22"/>
                <w:vertAlign w:val="superscript"/>
              </w:rPr>
              <w:t>5</w:t>
            </w:r>
          </w:p>
        </w:tc>
      </w:tr>
      <w:tr w:rsidR="007D58FF" w:rsidRPr="00EB1994" w14:paraId="34F27136" w14:textId="77777777" w:rsidTr="00893161">
        <w:trPr>
          <w:gridAfter w:val="1"/>
          <w:wAfter w:w="75" w:type="dxa"/>
          <w:trHeight w:val="20"/>
          <w:jc w:val="center"/>
        </w:trPr>
        <w:tc>
          <w:tcPr>
            <w:tcW w:w="1573" w:type="dxa"/>
            <w:vMerge w:val="restart"/>
            <w:tcBorders>
              <w:top w:val="single" w:sz="4" w:space="0" w:color="auto"/>
              <w:right w:val="single" w:sz="4" w:space="0" w:color="auto"/>
            </w:tcBorders>
            <w:vAlign w:val="center"/>
          </w:tcPr>
          <w:p w14:paraId="5511C084" w14:textId="77777777" w:rsidR="007D58FF" w:rsidRPr="00965529" w:rsidRDefault="007D58FF" w:rsidP="00893161">
            <w:pPr>
              <w:pStyle w:val="Paragraph"/>
              <w:spacing w:after="0"/>
              <w:jc w:val="center"/>
              <w:rPr>
                <w:sz w:val="22"/>
                <w:szCs w:val="22"/>
              </w:rPr>
            </w:pPr>
            <w:r w:rsidRPr="00965529">
              <w:rPr>
                <w:sz w:val="22"/>
                <w:szCs w:val="22"/>
              </w:rPr>
              <w:t>Loads</w:t>
            </w:r>
          </w:p>
        </w:tc>
        <w:tc>
          <w:tcPr>
            <w:tcW w:w="2448" w:type="dxa"/>
            <w:tcBorders>
              <w:top w:val="single" w:sz="4" w:space="0" w:color="auto"/>
              <w:left w:val="single" w:sz="4" w:space="0" w:color="auto"/>
              <w:right w:val="single" w:sz="4" w:space="0" w:color="auto"/>
            </w:tcBorders>
            <w:noWrap/>
            <w:vAlign w:val="center"/>
          </w:tcPr>
          <w:p w14:paraId="25137666" w14:textId="77777777" w:rsidR="007D58FF" w:rsidRPr="00965529" w:rsidRDefault="007D58FF" w:rsidP="00893161">
            <w:pPr>
              <w:pStyle w:val="Paragraph"/>
              <w:spacing w:after="0"/>
              <w:rPr>
                <w:sz w:val="22"/>
                <w:szCs w:val="22"/>
              </w:rPr>
            </w:pPr>
            <m:oMath>
              <m:r>
                <w:rPr>
                  <w:rFonts w:ascii="Cambria Math" w:hAnsi="Cambria Math"/>
                  <w:sz w:val="22"/>
                  <w:szCs w:val="22"/>
                </w:rPr>
                <m:t>MW</m:t>
              </m:r>
            </m:oMath>
            <w:r w:rsidRPr="00965529">
              <w:rPr>
                <w:sz w:val="22"/>
                <w:szCs w:val="22"/>
              </w:rPr>
              <w:t xml:space="preserve"> (g/cc)</w:t>
            </w:r>
          </w:p>
        </w:tc>
        <w:tc>
          <w:tcPr>
            <w:tcW w:w="1296" w:type="dxa"/>
            <w:tcBorders>
              <w:top w:val="single" w:sz="4" w:space="0" w:color="auto"/>
              <w:left w:val="single" w:sz="4" w:space="0" w:color="auto"/>
              <w:right w:val="single" w:sz="4" w:space="0" w:color="auto"/>
            </w:tcBorders>
          </w:tcPr>
          <w:p w14:paraId="76B1F6DA" w14:textId="77777777" w:rsidR="007D58FF" w:rsidRPr="00965529" w:rsidRDefault="007D58FF" w:rsidP="00893161">
            <w:pPr>
              <w:pStyle w:val="Paragraph"/>
              <w:spacing w:after="0"/>
              <w:jc w:val="center"/>
              <w:rPr>
                <w:sz w:val="22"/>
                <w:szCs w:val="22"/>
              </w:rPr>
            </w:pPr>
            <w:r>
              <w:rPr>
                <w:sz w:val="22"/>
                <w:szCs w:val="22"/>
              </w:rPr>
              <w:t>1.13</w:t>
            </w:r>
          </w:p>
        </w:tc>
        <w:tc>
          <w:tcPr>
            <w:tcW w:w="1296" w:type="dxa"/>
            <w:tcBorders>
              <w:top w:val="single" w:sz="4" w:space="0" w:color="auto"/>
              <w:left w:val="single" w:sz="4" w:space="0" w:color="auto"/>
              <w:right w:val="single" w:sz="4" w:space="0" w:color="auto"/>
            </w:tcBorders>
          </w:tcPr>
          <w:p w14:paraId="2457F432" w14:textId="77777777" w:rsidR="007D58FF" w:rsidRPr="00965529" w:rsidRDefault="007D58FF" w:rsidP="00893161">
            <w:pPr>
              <w:pStyle w:val="Paragraph"/>
              <w:spacing w:after="0"/>
              <w:jc w:val="center"/>
              <w:rPr>
                <w:sz w:val="22"/>
                <w:szCs w:val="22"/>
              </w:rPr>
            </w:pPr>
            <w:r>
              <w:rPr>
                <w:sz w:val="22"/>
                <w:szCs w:val="22"/>
              </w:rPr>
              <w:t>1.41</w:t>
            </w:r>
          </w:p>
        </w:tc>
        <w:tc>
          <w:tcPr>
            <w:tcW w:w="1296" w:type="dxa"/>
            <w:tcBorders>
              <w:top w:val="single" w:sz="4" w:space="0" w:color="auto"/>
              <w:left w:val="single" w:sz="4" w:space="0" w:color="auto"/>
              <w:right w:val="single" w:sz="4" w:space="0" w:color="auto"/>
            </w:tcBorders>
            <w:noWrap/>
            <w:vAlign w:val="center"/>
          </w:tcPr>
          <w:p w14:paraId="5D3FE453" w14:textId="77777777" w:rsidR="007D58FF" w:rsidRPr="00965529" w:rsidRDefault="007D58FF" w:rsidP="00893161">
            <w:pPr>
              <w:pStyle w:val="Paragraph"/>
              <w:spacing w:after="0"/>
              <w:jc w:val="center"/>
              <w:rPr>
                <w:sz w:val="22"/>
                <w:szCs w:val="22"/>
              </w:rPr>
            </w:pPr>
            <w:r>
              <w:rPr>
                <w:sz w:val="22"/>
                <w:szCs w:val="22"/>
              </w:rPr>
              <w:t>1.29</w:t>
            </w:r>
          </w:p>
        </w:tc>
        <w:tc>
          <w:tcPr>
            <w:tcW w:w="656" w:type="dxa"/>
            <w:tcBorders>
              <w:top w:val="single" w:sz="4" w:space="0" w:color="auto"/>
              <w:left w:val="single" w:sz="4" w:space="0" w:color="auto"/>
            </w:tcBorders>
            <w:noWrap/>
            <w:vAlign w:val="center"/>
          </w:tcPr>
          <w:p w14:paraId="77272CE6" w14:textId="77777777" w:rsidR="007D58FF" w:rsidRPr="00610B0A" w:rsidRDefault="007D58FF" w:rsidP="00893161">
            <w:pPr>
              <w:pStyle w:val="Paragraph"/>
              <w:spacing w:after="0"/>
              <w:jc w:val="center"/>
              <w:rPr>
                <w:sz w:val="22"/>
                <w:szCs w:val="22"/>
                <w:vertAlign w:val="superscript"/>
              </w:rPr>
            </w:pPr>
            <w:r w:rsidRPr="00610B0A">
              <w:rPr>
                <w:sz w:val="22"/>
                <w:szCs w:val="22"/>
                <w:vertAlign w:val="superscript"/>
              </w:rPr>
              <w:t>1</w:t>
            </w:r>
          </w:p>
        </w:tc>
      </w:tr>
      <w:tr w:rsidR="007D58FF" w:rsidRPr="00EB1994" w14:paraId="798C5316" w14:textId="77777777" w:rsidTr="00893161">
        <w:trPr>
          <w:gridAfter w:val="1"/>
          <w:wAfter w:w="75" w:type="dxa"/>
          <w:trHeight w:val="20"/>
          <w:jc w:val="center"/>
        </w:trPr>
        <w:tc>
          <w:tcPr>
            <w:tcW w:w="1573" w:type="dxa"/>
            <w:vMerge/>
            <w:tcBorders>
              <w:right w:val="single" w:sz="4" w:space="0" w:color="auto"/>
            </w:tcBorders>
          </w:tcPr>
          <w:p w14:paraId="53EDEF9F" w14:textId="77777777" w:rsidR="007D58FF" w:rsidRPr="00965529" w:rsidRDefault="007D58FF" w:rsidP="00893161">
            <w:pPr>
              <w:pStyle w:val="Paragraph"/>
              <w:spacing w:after="0"/>
              <w:rPr>
                <w:sz w:val="22"/>
                <w:szCs w:val="22"/>
              </w:rPr>
            </w:pPr>
          </w:p>
        </w:tc>
        <w:tc>
          <w:tcPr>
            <w:tcW w:w="2448" w:type="dxa"/>
            <w:tcBorders>
              <w:left w:val="single" w:sz="4" w:space="0" w:color="auto"/>
              <w:right w:val="single" w:sz="4" w:space="0" w:color="auto"/>
            </w:tcBorders>
            <w:noWrap/>
            <w:vAlign w:val="center"/>
          </w:tcPr>
          <w:p w14:paraId="6A0E79C8" w14:textId="77777777" w:rsidR="007D58FF" w:rsidRPr="00965529" w:rsidRDefault="007D58FF" w:rsidP="00893161">
            <w:pPr>
              <w:pStyle w:val="Paragraph"/>
              <w:spacing w:after="0"/>
              <w:rPr>
                <w:sz w:val="22"/>
                <w:szCs w:val="22"/>
              </w:rPr>
            </w:pPr>
            <m:oMath>
              <m:r>
                <w:rPr>
                  <w:rFonts w:ascii="Cambria Math" w:hAnsi="Cambria Math"/>
                  <w:sz w:val="22"/>
                  <w:szCs w:val="22"/>
                </w:rPr>
                <m:t>ICP</m:t>
              </m:r>
            </m:oMath>
            <w:r>
              <w:rPr>
                <w:sz w:val="22"/>
                <w:szCs w:val="22"/>
              </w:rPr>
              <w:t xml:space="preserve"> (MPa</w:t>
            </w:r>
            <w:r w:rsidRPr="00965529">
              <w:rPr>
                <w:sz w:val="22"/>
                <w:szCs w:val="22"/>
              </w:rPr>
              <w:t>)</w:t>
            </w:r>
          </w:p>
        </w:tc>
        <w:tc>
          <w:tcPr>
            <w:tcW w:w="1296" w:type="dxa"/>
            <w:tcBorders>
              <w:left w:val="single" w:sz="4" w:space="0" w:color="auto"/>
              <w:right w:val="single" w:sz="4" w:space="0" w:color="auto"/>
            </w:tcBorders>
          </w:tcPr>
          <w:p w14:paraId="4862D163" w14:textId="77777777" w:rsidR="007D58FF" w:rsidRPr="00965529" w:rsidRDefault="007D58FF" w:rsidP="00893161">
            <w:pPr>
              <w:pStyle w:val="Paragraph"/>
              <w:spacing w:after="0"/>
              <w:jc w:val="center"/>
              <w:rPr>
                <w:sz w:val="22"/>
                <w:szCs w:val="22"/>
              </w:rPr>
            </w:pPr>
            <w:r>
              <w:rPr>
                <w:sz w:val="22"/>
                <w:szCs w:val="22"/>
              </w:rPr>
              <w:t>5.18</w:t>
            </w:r>
          </w:p>
        </w:tc>
        <w:tc>
          <w:tcPr>
            <w:tcW w:w="1296" w:type="dxa"/>
            <w:tcBorders>
              <w:left w:val="single" w:sz="4" w:space="0" w:color="auto"/>
              <w:right w:val="single" w:sz="4" w:space="0" w:color="auto"/>
            </w:tcBorders>
          </w:tcPr>
          <w:p w14:paraId="120793BE" w14:textId="77777777" w:rsidR="007D58FF" w:rsidRPr="00965529" w:rsidRDefault="007D58FF" w:rsidP="00893161">
            <w:pPr>
              <w:pStyle w:val="Paragraph"/>
              <w:spacing w:after="0"/>
              <w:jc w:val="center"/>
              <w:rPr>
                <w:sz w:val="22"/>
                <w:szCs w:val="22"/>
              </w:rPr>
            </w:pPr>
            <w:r>
              <w:rPr>
                <w:sz w:val="22"/>
                <w:szCs w:val="22"/>
              </w:rPr>
              <w:t>25.60</w:t>
            </w:r>
          </w:p>
        </w:tc>
        <w:tc>
          <w:tcPr>
            <w:tcW w:w="1296" w:type="dxa"/>
            <w:tcBorders>
              <w:left w:val="single" w:sz="4" w:space="0" w:color="auto"/>
              <w:right w:val="single" w:sz="4" w:space="0" w:color="auto"/>
            </w:tcBorders>
            <w:noWrap/>
            <w:vAlign w:val="center"/>
          </w:tcPr>
          <w:p w14:paraId="47BB8C28" w14:textId="77777777" w:rsidR="007D58FF" w:rsidRPr="00965529" w:rsidRDefault="007D58FF" w:rsidP="00893161">
            <w:pPr>
              <w:pStyle w:val="Paragraph"/>
              <w:spacing w:after="0"/>
              <w:jc w:val="center"/>
              <w:rPr>
                <w:sz w:val="22"/>
                <w:szCs w:val="22"/>
              </w:rPr>
            </w:pPr>
            <w:r>
              <w:rPr>
                <w:sz w:val="22"/>
                <w:szCs w:val="22"/>
              </w:rPr>
              <w:t>38.23</w:t>
            </w:r>
          </w:p>
        </w:tc>
        <w:tc>
          <w:tcPr>
            <w:tcW w:w="656" w:type="dxa"/>
            <w:tcBorders>
              <w:left w:val="single" w:sz="4" w:space="0" w:color="auto"/>
            </w:tcBorders>
            <w:noWrap/>
            <w:vAlign w:val="center"/>
          </w:tcPr>
          <w:p w14:paraId="00FCB3DA" w14:textId="77777777" w:rsidR="007D58FF" w:rsidRPr="00610B0A" w:rsidRDefault="007D58FF" w:rsidP="00893161">
            <w:pPr>
              <w:pStyle w:val="Paragraph"/>
              <w:spacing w:after="0"/>
              <w:jc w:val="center"/>
              <w:rPr>
                <w:sz w:val="22"/>
                <w:szCs w:val="22"/>
                <w:vertAlign w:val="superscript"/>
              </w:rPr>
            </w:pPr>
            <w:r w:rsidRPr="00610B0A">
              <w:rPr>
                <w:sz w:val="22"/>
                <w:szCs w:val="22"/>
                <w:vertAlign w:val="superscript"/>
              </w:rPr>
              <w:t>1</w:t>
            </w:r>
          </w:p>
        </w:tc>
      </w:tr>
      <w:tr w:rsidR="007D58FF" w:rsidRPr="00965529" w14:paraId="11EA91C3" w14:textId="77777777" w:rsidTr="00893161">
        <w:trPr>
          <w:trHeight w:val="20"/>
          <w:jc w:val="center"/>
        </w:trPr>
        <w:tc>
          <w:tcPr>
            <w:tcW w:w="8640" w:type="dxa"/>
            <w:gridSpan w:val="7"/>
          </w:tcPr>
          <w:p w14:paraId="175C693C" w14:textId="77777777" w:rsidR="007D58FF" w:rsidRPr="00BD4752" w:rsidRDefault="007D58FF" w:rsidP="00893161">
            <w:pPr>
              <w:pStyle w:val="Paragraph"/>
              <w:spacing w:after="0"/>
              <w:jc w:val="center"/>
              <w:rPr>
                <w:sz w:val="20"/>
                <w:szCs w:val="22"/>
              </w:rPr>
            </w:pPr>
            <w:r w:rsidRPr="00BD4752">
              <w:rPr>
                <w:sz w:val="20"/>
                <w:szCs w:val="22"/>
                <w:vertAlign w:val="superscript"/>
                <w:lang w:val="nb-NO"/>
              </w:rPr>
              <w:t>1</w:t>
            </w:r>
            <w:r w:rsidRPr="00BD4752">
              <w:rPr>
                <w:sz w:val="20"/>
                <w:szCs w:val="22"/>
                <w:lang w:val="nb-NO"/>
              </w:rPr>
              <w:t xml:space="preserve">Log, </w:t>
            </w:r>
            <w:r w:rsidRPr="00BD4752">
              <w:rPr>
                <w:sz w:val="20"/>
                <w:szCs w:val="22"/>
                <w:vertAlign w:val="superscript"/>
                <w:lang w:val="nb-NO"/>
              </w:rPr>
              <w:t>2</w:t>
            </w:r>
            <w:r w:rsidRPr="00BD4752">
              <w:rPr>
                <w:sz w:val="20"/>
                <w:szCs w:val="22"/>
                <w:lang w:val="nb-NO"/>
              </w:rPr>
              <w:t xml:space="preserve">Zhang et al. (2016), </w:t>
            </w:r>
            <w:r w:rsidRPr="00BD4752">
              <w:rPr>
                <w:sz w:val="20"/>
                <w:szCs w:val="22"/>
                <w:vertAlign w:val="superscript"/>
                <w:lang w:val="nb-NO"/>
              </w:rPr>
              <w:t>3</w:t>
            </w:r>
            <w:r w:rsidRPr="00BD4752">
              <w:rPr>
                <w:sz w:val="20"/>
                <w:szCs w:val="22"/>
                <w:lang w:val="nb-NO"/>
              </w:rPr>
              <w:t xml:space="preserve">Weideman (2014), </w:t>
            </w:r>
            <w:r w:rsidRPr="00BD4752">
              <w:rPr>
                <w:sz w:val="20"/>
                <w:szCs w:val="22"/>
                <w:vertAlign w:val="superscript"/>
                <w:lang w:val="nb-NO"/>
              </w:rPr>
              <w:t>4</w:t>
            </w:r>
            <w:r w:rsidRPr="00BD4752">
              <w:rPr>
                <w:sz w:val="20"/>
                <w:szCs w:val="22"/>
                <w:lang w:val="nb-NO"/>
              </w:rPr>
              <w:t>Finkbeiner et al. (1996)</w:t>
            </w:r>
            <w:r w:rsidRPr="00BD4752">
              <w:rPr>
                <w:sz w:val="20"/>
                <w:szCs w:val="22"/>
              </w:rPr>
              <w:t xml:space="preserve">, </w:t>
            </w:r>
            <w:r w:rsidRPr="00BD4752">
              <w:rPr>
                <w:sz w:val="20"/>
                <w:szCs w:val="22"/>
                <w:vertAlign w:val="superscript"/>
              </w:rPr>
              <w:t>5</w:t>
            </w:r>
            <w:r w:rsidRPr="00BD4752">
              <w:rPr>
                <w:sz w:val="20"/>
                <w:szCs w:val="22"/>
              </w:rPr>
              <w:t>Wang and Taleghani (2014)</w:t>
            </w:r>
          </w:p>
          <w:p w14:paraId="4F3DD393" w14:textId="77777777" w:rsidR="007D58FF" w:rsidRPr="00965529" w:rsidRDefault="007D58FF" w:rsidP="00893161">
            <w:pPr>
              <w:pStyle w:val="Paragraph"/>
              <w:spacing w:after="0"/>
              <w:jc w:val="center"/>
              <w:rPr>
                <w:sz w:val="22"/>
                <w:szCs w:val="22"/>
              </w:rPr>
            </w:pPr>
          </w:p>
        </w:tc>
      </w:tr>
    </w:tbl>
    <w:p w14:paraId="6EE693C5" w14:textId="5B522FE3" w:rsidR="007D58FF" w:rsidRDefault="007D58FF" w:rsidP="007D58FF">
      <w:pPr>
        <w:ind w:firstLine="720"/>
      </w:pPr>
      <w:r w:rsidRPr="00EC7EFC">
        <w:t xml:space="preserve">The simulation depth was chosen to be the depth of the deepest casing string before the production zones in the well. The cement sheath can be assumed to be intact and not damaged from perforations at this location. </w:t>
      </w:r>
      <w:r>
        <w:t xml:space="preserve"> </w:t>
      </w:r>
      <w:r w:rsidRPr="00EC7EFC">
        <w:t xml:space="preserve">The TD of the well would not be </w:t>
      </w:r>
      <w:r>
        <w:t>relevant</w:t>
      </w:r>
      <w:r w:rsidRPr="00EC7EFC">
        <w:t xml:space="preserve"> </w:t>
      </w:r>
      <w:r w:rsidRPr="006C3C73">
        <w:t>for modeling cement sheath integrity since it is below the perforation and production zones and not acting as a barrier</w:t>
      </w:r>
      <w:r>
        <w:t xml:space="preserve"> in preventing hydrocarbon migration or fresh water contamination</w:t>
      </w:r>
      <w:r w:rsidRPr="006C3C73">
        <w:t>.</w:t>
      </w:r>
      <w:r>
        <w:t xml:space="preserve">  The cement sheath located at and/or above the perforations </w:t>
      </w:r>
      <w:r w:rsidR="00EE725C">
        <w:t xml:space="preserve">is </w:t>
      </w:r>
      <w:r w:rsidR="00B92BF4">
        <w:t>either damaged</w:t>
      </w:r>
      <w:r>
        <w:t xml:space="preserve"> or has a potential to be damaged from the perforation procedure.  The extent of the damage is not known and was not investigated in this </w:t>
      </w:r>
      <w:r>
        <w:lastRenderedPageBreak/>
        <w:t xml:space="preserve">study.  The cement sheath at shallower depths of the wells was not investigated either.  The sheaths at shallow depths can include multiple casings and (potentially) multiple cement sheaths.  The additional parameters would complicate the model and the contributing stress development factors could be altered.  Therefore, the single cement sheath and single casing was investigated to determine which parameters cause the stress development for a single casing, cement sheath, and rock formation that is the primary barrier in preventing leakage or water contamination above the production zone (perforations). </w:t>
      </w:r>
      <w:r w:rsidRPr="006C3C73">
        <w:t>The in-situ stress gradients for the Eugene Island OPD</w:t>
      </w:r>
      <w:r w:rsidRPr="006C3C73" w:rsidDel="00AD485B">
        <w:t xml:space="preserve"> </w:t>
      </w:r>
      <w:r w:rsidRPr="006C3C73">
        <w:t>was based on Finkbeiner et al. (1996)</w:t>
      </w:r>
      <w:r w:rsidRPr="00EC7EFC">
        <w:t xml:space="preserve">. Values of shale mechanical properties </w:t>
      </w:r>
      <w:r w:rsidRPr="006C3C73">
        <w:t xml:space="preserve">were used for the rock formation based </w:t>
      </w:r>
      <w:r>
        <w:t xml:space="preserve">off </w:t>
      </w:r>
      <w:r w:rsidR="00425C6A">
        <w:t>Weideman (2014) and Zhang et al. (2016)</w:t>
      </w:r>
      <w:r>
        <w:t>.</w:t>
      </w:r>
    </w:p>
    <w:p w14:paraId="1EBFD3AC" w14:textId="77777777" w:rsidR="007D58FF" w:rsidRDefault="007D58FF" w:rsidP="003E1B51">
      <w:pPr>
        <w:pStyle w:val="Heading3"/>
      </w:pPr>
      <w:bookmarkStart w:id="107" w:name="_Toc67566053"/>
      <w:r>
        <w:t>GoM Continuous Leakage Path Model</w:t>
      </w:r>
      <w:bookmarkEnd w:id="107"/>
    </w:p>
    <w:p w14:paraId="40281E90" w14:textId="79D46E35" w:rsidR="007D58FF" w:rsidRDefault="007D58FF" w:rsidP="007D58FF">
      <w:pPr>
        <w:ind w:firstLine="720"/>
        <w:rPr>
          <w:rFonts w:eastAsiaTheme="minorEastAsia"/>
        </w:rPr>
      </w:pPr>
      <w:r>
        <w:t>The GoM continuous leakage path models investigates the potential leakage pathway for the three GoM wells investigated in the previous section</w:t>
      </w:r>
      <w:r w:rsidR="00D61D7B">
        <w:t xml:space="preserve"> (Section 4.3)</w:t>
      </w:r>
      <w:r>
        <w:t xml:space="preserve">. These models assume long term, steady state conditions excluding factors such as formation compaction or subsidence. The in-situ stresses and pore pressure do not change with time. Existing fractures within the formation or cement sheath are not considered. The wellbores are assumed to be perfectly concentric with 100% cement slurry to mud weight displacement with perfect initial bonding to the casing and rock formation. Cement shrinkage is not considered in the FEA models. The </w:t>
      </w:r>
      <m:oMath>
        <m:r>
          <w:rPr>
            <w:rFonts w:ascii="Cambria Math" w:hAnsi="Cambria Math"/>
          </w:rPr>
          <m:t>ICP</m:t>
        </m:r>
      </m:oMath>
      <w:r>
        <w:t xml:space="preserve"> at the </w:t>
      </w:r>
      <w:r w:rsidR="00D657EE">
        <w:t xml:space="preserve">simulation depth </w:t>
      </w:r>
      <w:r>
        <w:t>is assumed to be the pressure reduction of 40%. The dimensions of the individual wellbores do not change with depth. The mechanical properties of the casing, cement, and rock formation (</w:t>
      </w:r>
      <m:oMath>
        <m:r>
          <w:rPr>
            <w:rFonts w:ascii="Cambria Math" w:hAnsi="Cambria Math"/>
          </w:rPr>
          <m:t xml:space="preserve">v, E,  UCS,  </m:t>
        </m:r>
        <m:sSub>
          <m:sSubPr>
            <m:ctrlPr>
              <w:rPr>
                <w:rFonts w:ascii="Cambria Math" w:hAnsi="Cambria Math"/>
                <w:i/>
              </w:rPr>
            </m:ctrlPr>
          </m:sSubPr>
          <m:e>
            <m:r>
              <w:rPr>
                <w:rFonts w:ascii="Cambria Math" w:hAnsi="Cambria Math"/>
              </w:rPr>
              <m:t>τ</m:t>
            </m:r>
          </m:e>
          <m:sub>
            <m:r>
              <w:rPr>
                <w:rFonts w:ascii="Cambria Math" w:hAnsi="Cambria Math"/>
              </w:rPr>
              <m:t>o</m:t>
            </m:r>
          </m:sub>
        </m:sSub>
        <m:r>
          <w:rPr>
            <w:rFonts w:ascii="Cambria Math" w:hAnsi="Cambria Math"/>
          </w:rPr>
          <m:t xml:space="preserve">, ϕ, </m:t>
        </m:r>
        <m:sSup>
          <m:sSupPr>
            <m:ctrlPr>
              <w:rPr>
                <w:rFonts w:ascii="Cambria Math" w:hAnsi="Cambria Math"/>
                <w:i/>
              </w:rPr>
            </m:ctrlPr>
          </m:sSupPr>
          <m:e>
            <m:r>
              <w:rPr>
                <w:rFonts w:ascii="Cambria Math" w:hAnsi="Cambria Math"/>
              </w:rPr>
              <m:t>τ</m:t>
            </m:r>
          </m:e>
          <m:sup>
            <m:r>
              <w:rPr>
                <w:rFonts w:ascii="Cambria Math" w:hAnsi="Cambria Math"/>
              </w:rPr>
              <m:t>o</m:t>
            </m:r>
          </m:sup>
        </m:sSup>
        <m:r>
          <w:rPr>
            <w:rFonts w:ascii="Cambria Math" w:hAnsi="Cambria Math"/>
          </w:rPr>
          <m:t xml:space="preserve">, and </m:t>
        </m:r>
        <m:sSub>
          <m:sSubPr>
            <m:ctrlPr>
              <w:rPr>
                <w:rFonts w:ascii="Cambria Math" w:hAnsi="Cambria Math"/>
                <w:i/>
              </w:rPr>
            </m:ctrlPr>
          </m:sSubPr>
          <m:e>
            <m:r>
              <w:rPr>
                <w:rFonts w:ascii="Cambria Math" w:hAnsi="Cambria Math"/>
              </w:rPr>
              <m:t>G</m:t>
            </m:r>
          </m:e>
          <m:sub>
            <m:r>
              <w:rPr>
                <w:rFonts w:ascii="Cambria Math" w:hAnsi="Cambria Math"/>
              </w:rPr>
              <m:t>c</m:t>
            </m:r>
          </m:sub>
        </m:sSub>
      </m:oMath>
      <w:r>
        <w:t>) are assumed to not change with depth. The variables in these models are the in-situ stresses (</w:t>
      </w:r>
      <m:oMath>
        <m:sSub>
          <m:sSubPr>
            <m:ctrlPr>
              <w:rPr>
                <w:rFonts w:ascii="Cambria Math" w:hAnsi="Cambria Math"/>
                <w:i/>
              </w:rPr>
            </m:ctrlPr>
          </m:sSubPr>
          <m:e>
            <m:r>
              <w:rPr>
                <w:rFonts w:ascii="Cambria Math" w:hAnsi="Cambria Math"/>
              </w:rPr>
              <m:t>σ</m:t>
            </m:r>
          </m:e>
          <m:sub>
            <m:r>
              <w:rPr>
                <w:rFonts w:ascii="Cambria Math" w:hAnsi="Cambria Math"/>
              </w:rPr>
              <m:t>H</m:t>
            </m:r>
          </m:sub>
        </m:sSub>
        <m:r>
          <w:rPr>
            <w:rFonts w:ascii="Cambria Math" w:hAnsi="Cambria Math"/>
          </w:rPr>
          <m:t xml:space="preserve">, </m:t>
        </m:r>
        <m:sSub>
          <m:sSubPr>
            <m:ctrlPr>
              <w:rPr>
                <w:rFonts w:ascii="Cambria Math" w:hAnsi="Cambria Math"/>
                <w:i/>
              </w:rPr>
            </m:ctrlPr>
          </m:sSubPr>
          <m:e>
            <m:r>
              <w:rPr>
                <w:rFonts w:ascii="Cambria Math" w:hAnsi="Cambria Math"/>
              </w:rPr>
              <m:t>σ</m:t>
            </m:r>
          </m:e>
          <m:sub>
            <m:r>
              <w:rPr>
                <w:rFonts w:ascii="Cambria Math" w:hAnsi="Cambria Math"/>
              </w:rPr>
              <m:t>h</m:t>
            </m:r>
          </m:sub>
        </m:sSub>
        <m:r>
          <w:rPr>
            <w:rFonts w:ascii="Cambria Math" w:hAnsi="Cambria Math"/>
          </w:rPr>
          <m:t xml:space="preserve">, </m:t>
        </m:r>
        <m:sSub>
          <m:sSubPr>
            <m:ctrlPr>
              <w:rPr>
                <w:rFonts w:ascii="Cambria Math" w:hAnsi="Cambria Math"/>
                <w:i/>
              </w:rPr>
            </m:ctrlPr>
          </m:sSubPr>
          <m:e>
            <m:r>
              <w:rPr>
                <w:rFonts w:ascii="Cambria Math" w:hAnsi="Cambria Math"/>
              </w:rPr>
              <m:t>σ</m:t>
            </m:r>
          </m:e>
          <m:sub>
            <m:r>
              <w:rPr>
                <w:rFonts w:ascii="Cambria Math" w:hAnsi="Cambria Math"/>
              </w:rPr>
              <m:t>v</m:t>
            </m:r>
          </m:sub>
        </m:sSub>
        <m:r>
          <w:rPr>
            <w:rFonts w:ascii="Cambria Math" w:hAnsi="Cambria Math"/>
          </w:rPr>
          <m:t xml:space="preserve">, </m:t>
        </m:r>
        <m:sSub>
          <m:sSubPr>
            <m:ctrlPr>
              <w:rPr>
                <w:rFonts w:ascii="Cambria Math" w:hAnsi="Cambria Math"/>
                <w:i/>
              </w:rPr>
            </m:ctrlPr>
          </m:sSubPr>
          <m:e>
            <m:r>
              <w:rPr>
                <w:rFonts w:ascii="Cambria Math" w:hAnsi="Cambria Math"/>
              </w:rPr>
              <m:t>P</m:t>
            </m:r>
          </m:e>
          <m:sub>
            <m:r>
              <w:rPr>
                <w:rFonts w:ascii="Cambria Math" w:hAnsi="Cambria Math"/>
              </w:rPr>
              <m:t>p</m:t>
            </m:r>
          </m:sub>
        </m:sSub>
      </m:oMath>
      <w:r>
        <w:rPr>
          <w:rFonts w:eastAsiaTheme="minorEastAsia"/>
        </w:rPr>
        <w:t>), cement stress (</w:t>
      </w:r>
      <m:oMath>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cement</m:t>
            </m:r>
          </m:sub>
        </m:sSub>
      </m:oMath>
      <w:r>
        <w:rPr>
          <w:rFonts w:eastAsiaTheme="minorEastAsia"/>
        </w:rPr>
        <w:t>), and loads (</w:t>
      </w:r>
      <m:oMath>
        <m:r>
          <w:rPr>
            <w:rFonts w:ascii="Cambria Math" w:eastAsiaTheme="minorEastAsia" w:hAnsi="Cambria Math"/>
          </w:rPr>
          <m:t>MW</m:t>
        </m:r>
      </m:oMath>
      <w:r w:rsidRPr="00C35669">
        <w:rPr>
          <w:rFonts w:eastAsiaTheme="minorEastAsia"/>
        </w:rPr>
        <w:t xml:space="preserve"> and </w:t>
      </w:r>
      <m:oMath>
        <m:r>
          <w:rPr>
            <w:rFonts w:ascii="Cambria Math" w:eastAsiaTheme="minorEastAsia" w:hAnsi="Cambria Math"/>
          </w:rPr>
          <m:t>ICP</m:t>
        </m:r>
      </m:oMath>
      <w:r w:rsidRPr="00C35669">
        <w:rPr>
          <w:rFonts w:eastAsiaTheme="minorEastAsia"/>
        </w:rPr>
        <w:t>). Figures 4.</w:t>
      </w:r>
      <w:r w:rsidR="00C93FC0" w:rsidRPr="00C35669">
        <w:rPr>
          <w:rFonts w:eastAsiaTheme="minorEastAsia"/>
        </w:rPr>
        <w:t>11</w:t>
      </w:r>
      <w:r w:rsidRPr="00C35669">
        <w:rPr>
          <w:rFonts w:eastAsiaTheme="minorEastAsia"/>
        </w:rPr>
        <w:t xml:space="preserve"> show</w:t>
      </w:r>
      <w:r w:rsidR="00192176">
        <w:rPr>
          <w:rFonts w:eastAsiaTheme="minorEastAsia"/>
        </w:rPr>
        <w:t>s</w:t>
      </w:r>
      <w:r w:rsidRPr="00C35669">
        <w:rPr>
          <w:rFonts w:eastAsiaTheme="minorEastAsia"/>
        </w:rPr>
        <w:t xml:space="preserve"> th</w:t>
      </w:r>
      <w:r w:rsidR="00AA26F0">
        <w:rPr>
          <w:rFonts w:eastAsiaTheme="minorEastAsia"/>
        </w:rPr>
        <w:t>e</w:t>
      </w:r>
      <w:r>
        <w:rPr>
          <w:rFonts w:eastAsiaTheme="minorEastAsia"/>
        </w:rPr>
        <w:t xml:space="preserve"> ICP, pore pressure, and microannuli gas pressure for the</w:t>
      </w:r>
      <w:r w:rsidR="00192176">
        <w:rPr>
          <w:rFonts w:eastAsiaTheme="minorEastAsia"/>
        </w:rPr>
        <w:t xml:space="preserve"> shallow, medium, and deep well</w:t>
      </w:r>
      <w:r>
        <w:rPr>
          <w:rFonts w:eastAsiaTheme="minorEastAsia"/>
        </w:rPr>
        <w:t>.</w:t>
      </w:r>
    </w:p>
    <w:p w14:paraId="5E29532D" w14:textId="53EC7AC8" w:rsidR="007D58FF" w:rsidRDefault="00192176" w:rsidP="00BC23AD">
      <w:pPr>
        <w:pStyle w:val="NoSpacing"/>
      </w:pPr>
      <w:r>
        <w:rPr>
          <w:noProof/>
        </w:rPr>
        <w:lastRenderedPageBreak/>
        <w:drawing>
          <wp:inline distT="0" distB="0" distL="0" distR="0" wp14:anchorId="322F2D43" wp14:editId="56E83EAD">
            <wp:extent cx="5779947" cy="556884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7">
                      <a:extLst>
                        <a:ext uri="{28A0092B-C50C-407E-A947-70E740481C1C}">
                          <a14:useLocalDpi xmlns:a14="http://schemas.microsoft.com/office/drawing/2010/main" val="0"/>
                        </a:ext>
                      </a:extLst>
                    </a:blip>
                    <a:srcRect l="1472" t="1129" r="1262"/>
                    <a:stretch/>
                  </pic:blipFill>
                  <pic:spPr bwMode="auto">
                    <a:xfrm>
                      <a:off x="0" y="0"/>
                      <a:ext cx="5781082" cy="5569934"/>
                    </a:xfrm>
                    <a:prstGeom prst="rect">
                      <a:avLst/>
                    </a:prstGeom>
                    <a:noFill/>
                    <a:ln>
                      <a:noFill/>
                    </a:ln>
                    <a:extLst>
                      <a:ext uri="{53640926-AAD7-44D8-BBD7-CCE9431645EC}">
                        <a14:shadowObscured xmlns:a14="http://schemas.microsoft.com/office/drawing/2010/main"/>
                      </a:ext>
                    </a:extLst>
                  </pic:spPr>
                </pic:pic>
              </a:graphicData>
            </a:graphic>
          </wp:inline>
        </w:drawing>
      </w:r>
      <w:r w:rsidR="007D58FF">
        <w:t xml:space="preserve"> </w:t>
      </w:r>
    </w:p>
    <w:p w14:paraId="1719905A" w14:textId="45C0413D" w:rsidR="000D0DE8" w:rsidRDefault="007D58FF" w:rsidP="000D0DE8">
      <w:pPr>
        <w:pStyle w:val="Caption"/>
      </w:pPr>
      <w:bookmarkStart w:id="108" w:name="_Toc67566227"/>
      <w:r>
        <w:t xml:space="preserve">Figure </w:t>
      </w:r>
      <w:r w:rsidR="00077C0B">
        <w:fldChar w:fldCharType="begin"/>
      </w:r>
      <w:r w:rsidR="00077C0B">
        <w:instrText xml:space="preserve"> STYLEREF 1 \s </w:instrText>
      </w:r>
      <w:r w:rsidR="00077C0B">
        <w:fldChar w:fldCharType="separate"/>
      </w:r>
      <w:r w:rsidR="0006023A">
        <w:rPr>
          <w:noProof/>
        </w:rPr>
        <w:t>4</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11</w:t>
      </w:r>
      <w:r w:rsidR="00077C0B">
        <w:rPr>
          <w:noProof/>
        </w:rPr>
        <w:fldChar w:fldCharType="end"/>
      </w:r>
      <w:r>
        <w:t>: Pore pressure</w:t>
      </w:r>
      <w:r w:rsidR="00E75698">
        <w:t xml:space="preserve"> (long dash)</w:t>
      </w:r>
      <w:r>
        <w:t xml:space="preserve">, </w:t>
      </w:r>
      <w:r w:rsidRPr="003419E1">
        <w:rPr>
          <w:i/>
        </w:rPr>
        <w:t>ICP</w:t>
      </w:r>
      <w:r w:rsidR="00E75698">
        <w:rPr>
          <w:i/>
        </w:rPr>
        <w:t xml:space="preserve"> </w:t>
      </w:r>
      <w:r w:rsidR="00E75698">
        <w:t>(solid line)</w:t>
      </w:r>
      <w:r>
        <w:t>, and microannuli pressure</w:t>
      </w:r>
      <w:r w:rsidR="00E75698">
        <w:t xml:space="preserve"> (short dash)</w:t>
      </w:r>
      <w:r>
        <w:t xml:space="preserve"> with respect to </w:t>
      </w:r>
      <w:r w:rsidR="00C93FC0">
        <w:t>depth for the shallow GoM well</w:t>
      </w:r>
      <w:r w:rsidR="00192176">
        <w:t xml:space="preserve"> (A), medium GoM well (B), and deep GoM well (C)</w:t>
      </w:r>
      <w:r w:rsidR="00C93FC0">
        <w:t>.</w:t>
      </w:r>
      <w:r w:rsidR="00E75698">
        <w:t xml:space="preserve"> The pore pressure and microannuli pressure start at the same magnitude but decrease with depth at different rates due to the density difference between a water/brine (pore pressure) and a gas (microannuli pressure).</w:t>
      </w:r>
      <w:bookmarkEnd w:id="108"/>
    </w:p>
    <w:p w14:paraId="338D2963" w14:textId="1E715E5F" w:rsidR="007D58FF" w:rsidRDefault="00192176" w:rsidP="007D58FF">
      <w:pPr>
        <w:ind w:firstLine="720"/>
      </w:pPr>
      <w:r>
        <w:t>As shown in the figure</w:t>
      </w:r>
      <w:r w:rsidR="007D58FF">
        <w:t xml:space="preserve">, the pore pressure and fracture pressure are the same at the </w:t>
      </w:r>
      <w:r w:rsidR="00D657EE">
        <w:t>simulation depth</w:t>
      </w:r>
      <w:r w:rsidR="007D58FF">
        <w:t>. However, as the wells becomes shallower, the pore pressure decreases</w:t>
      </w:r>
      <w:r w:rsidR="00C35669">
        <w:t xml:space="preserve"> with the </w:t>
      </w:r>
      <w:r w:rsidR="007D58FF">
        <w:t xml:space="preserve">hydrostatic head while the microannuli pressure does not </w:t>
      </w:r>
      <w:r w:rsidR="00C35669">
        <w:t xml:space="preserve">lose pressure </w:t>
      </w:r>
      <w:r w:rsidR="007D58FF">
        <w:t xml:space="preserve">as significantly. This is due to the fact that the microannuli pressure is a gas while the pore pressure is a brine/water at shallower depths of the well. In simulation step 6, the microannuli pressure is applied to the </w:t>
      </w:r>
      <w:r w:rsidR="007D58FF">
        <w:lastRenderedPageBreak/>
        <w:t>surfaces of the microannuli since it is larger than the in-situ pore pressure. Therefore, this method uses a one-way gas pressure coupling (using the single phase static real gas law) in conjunction with the FEA well life cycle model</w:t>
      </w:r>
      <w:r w:rsidR="007D58FF" w:rsidRPr="00C35669">
        <w:t>. The model inputs for the in-situ stresses (mud weight, cement stress, minimum and maximum horizontal stress, and overburden stress) with respect to depth are shown in Figur</w:t>
      </w:r>
      <w:r>
        <w:t>e</w:t>
      </w:r>
      <w:r w:rsidR="007D58FF" w:rsidRPr="00C35669">
        <w:t xml:space="preserve"> 4.</w:t>
      </w:r>
      <w:r w:rsidR="00DF0A66" w:rsidRPr="00C35669">
        <w:t>1</w:t>
      </w:r>
      <w:r>
        <w:t>2</w:t>
      </w:r>
      <w:r w:rsidR="007D58FF" w:rsidRPr="00C35669">
        <w:t xml:space="preserve"> for the shallow</w:t>
      </w:r>
      <w:r w:rsidR="007D58FF">
        <w:t xml:space="preserve">, medium, and deep well. </w:t>
      </w:r>
    </w:p>
    <w:p w14:paraId="49798E0F" w14:textId="0A54E8E0" w:rsidR="007D58FF" w:rsidRDefault="00192176" w:rsidP="00BC23AD">
      <w:pPr>
        <w:pStyle w:val="NoSpacing"/>
      </w:pPr>
      <w:r>
        <w:rPr>
          <w:noProof/>
        </w:rPr>
        <w:lastRenderedPageBreak/>
        <w:drawing>
          <wp:inline distT="0" distB="0" distL="0" distR="0" wp14:anchorId="4C560250" wp14:editId="764594FE">
            <wp:extent cx="5943600" cy="5741349"/>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8">
                      <a:extLst>
                        <a:ext uri="{28A0092B-C50C-407E-A947-70E740481C1C}">
                          <a14:useLocalDpi xmlns:a14="http://schemas.microsoft.com/office/drawing/2010/main" val="0"/>
                        </a:ext>
                      </a:extLst>
                    </a:blip>
                    <a:srcRect l="1739" t="990" r="1268"/>
                    <a:stretch/>
                  </pic:blipFill>
                  <pic:spPr bwMode="auto">
                    <a:xfrm>
                      <a:off x="0" y="0"/>
                      <a:ext cx="5943600" cy="5741349"/>
                    </a:xfrm>
                    <a:prstGeom prst="rect">
                      <a:avLst/>
                    </a:prstGeom>
                    <a:noFill/>
                    <a:ln>
                      <a:noFill/>
                    </a:ln>
                    <a:extLst>
                      <a:ext uri="{53640926-AAD7-44D8-BBD7-CCE9431645EC}">
                        <a14:shadowObscured xmlns:a14="http://schemas.microsoft.com/office/drawing/2010/main"/>
                      </a:ext>
                    </a:extLst>
                  </pic:spPr>
                </pic:pic>
              </a:graphicData>
            </a:graphic>
          </wp:inline>
        </w:drawing>
      </w:r>
    </w:p>
    <w:p w14:paraId="01C6F3A8" w14:textId="344F39AB" w:rsidR="00192176" w:rsidRPr="00192176" w:rsidRDefault="007D58FF" w:rsidP="00192176">
      <w:pPr>
        <w:pStyle w:val="Caption"/>
      </w:pPr>
      <w:bookmarkStart w:id="109" w:name="_Toc67566228"/>
      <w:r>
        <w:t xml:space="preserve">Figure </w:t>
      </w:r>
      <w:r w:rsidR="00077C0B">
        <w:fldChar w:fldCharType="begin"/>
      </w:r>
      <w:r w:rsidR="00077C0B">
        <w:instrText xml:space="preserve"> STYLEREF 1 \s </w:instrText>
      </w:r>
      <w:r w:rsidR="00077C0B">
        <w:fldChar w:fldCharType="separate"/>
      </w:r>
      <w:r w:rsidR="0006023A">
        <w:rPr>
          <w:noProof/>
        </w:rPr>
        <w:t>4</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12</w:t>
      </w:r>
      <w:r w:rsidR="00077C0B">
        <w:rPr>
          <w:noProof/>
        </w:rPr>
        <w:fldChar w:fldCharType="end"/>
      </w:r>
      <w:r>
        <w:t>: Model input parameters for mud weight (</w:t>
      </w:r>
      <m:oMath>
        <m:r>
          <m:rPr>
            <m:sty m:val="bi"/>
          </m:rPr>
          <w:rPr>
            <w:rFonts w:ascii="Cambria Math" w:hAnsi="Cambria Math"/>
          </w:rPr>
          <m:t>MW</m:t>
        </m:r>
      </m:oMath>
      <w:r>
        <w:t>), cement stress, minimum (</w:t>
      </w:r>
      <m:oMath>
        <m:sSub>
          <m:sSubPr>
            <m:ctrlPr>
              <w:rPr>
                <w:rFonts w:ascii="Cambria Math" w:hAnsi="Cambria Math"/>
                <w:i/>
              </w:rPr>
            </m:ctrlPr>
          </m:sSubPr>
          <m:e>
            <m:r>
              <m:rPr>
                <m:sty m:val="bi"/>
              </m:rPr>
              <w:rPr>
                <w:rFonts w:ascii="Cambria Math" w:hAnsi="Cambria Math"/>
              </w:rPr>
              <m:t>σ</m:t>
            </m:r>
          </m:e>
          <m:sub>
            <m:r>
              <m:rPr>
                <m:sty m:val="bi"/>
              </m:rPr>
              <w:rPr>
                <w:rFonts w:ascii="Cambria Math" w:hAnsi="Cambria Math"/>
              </w:rPr>
              <m:t>h</m:t>
            </m:r>
          </m:sub>
        </m:sSub>
      </m:oMath>
      <w:r>
        <w:rPr>
          <w:rFonts w:eastAsiaTheme="minorEastAsia"/>
        </w:rPr>
        <w:t>)</w:t>
      </w:r>
      <w:r>
        <w:t xml:space="preserve"> and maximum (</w:t>
      </w:r>
      <m:oMath>
        <m:sSub>
          <m:sSubPr>
            <m:ctrlPr>
              <w:rPr>
                <w:rFonts w:ascii="Cambria Math" w:hAnsi="Cambria Math"/>
                <w:i/>
              </w:rPr>
            </m:ctrlPr>
          </m:sSubPr>
          <m:e>
            <m:r>
              <m:rPr>
                <m:sty m:val="bi"/>
              </m:rPr>
              <w:rPr>
                <w:rFonts w:ascii="Cambria Math" w:hAnsi="Cambria Math"/>
              </w:rPr>
              <m:t>σ</m:t>
            </m:r>
          </m:e>
          <m:sub>
            <m:r>
              <m:rPr>
                <m:sty m:val="bi"/>
              </m:rPr>
              <w:rPr>
                <w:rFonts w:ascii="Cambria Math" w:hAnsi="Cambria Math"/>
              </w:rPr>
              <m:t>H</m:t>
            </m:r>
          </m:sub>
        </m:sSub>
      </m:oMath>
      <w:r>
        <w:rPr>
          <w:rFonts w:eastAsiaTheme="minorEastAsia"/>
        </w:rPr>
        <w:t>)</w:t>
      </w:r>
      <w:r>
        <w:t xml:space="preserve"> horizontal stress, and overburden stress (</w:t>
      </w:r>
      <m:oMath>
        <m:sSub>
          <m:sSubPr>
            <m:ctrlPr>
              <w:rPr>
                <w:rFonts w:ascii="Cambria Math" w:hAnsi="Cambria Math"/>
                <w:i/>
              </w:rPr>
            </m:ctrlPr>
          </m:sSubPr>
          <m:e>
            <m:r>
              <m:rPr>
                <m:sty m:val="bi"/>
              </m:rPr>
              <w:rPr>
                <w:rFonts w:ascii="Cambria Math" w:hAnsi="Cambria Math"/>
              </w:rPr>
              <m:t>σ</m:t>
            </m:r>
          </m:e>
          <m:sub>
            <m:r>
              <m:rPr>
                <m:sty m:val="bi"/>
              </m:rPr>
              <w:rPr>
                <w:rFonts w:ascii="Cambria Math" w:hAnsi="Cambria Math"/>
              </w:rPr>
              <m:t>v</m:t>
            </m:r>
          </m:sub>
        </m:sSub>
      </m:oMath>
      <w:r>
        <w:t>) with respect</w:t>
      </w:r>
      <w:r w:rsidR="00C93FC0">
        <w:t xml:space="preserve"> to depth for the shallow well</w:t>
      </w:r>
      <w:r w:rsidR="00192176">
        <w:t xml:space="preserve"> (A), medium well (B), and deep well (C)</w:t>
      </w:r>
      <w:r w:rsidR="00C93FC0">
        <w:t>.</w:t>
      </w:r>
      <w:bookmarkEnd w:id="109"/>
    </w:p>
    <w:p w14:paraId="67522939" w14:textId="77777777" w:rsidR="007D58FF" w:rsidRDefault="007D58FF" w:rsidP="003E1B51">
      <w:pPr>
        <w:pStyle w:val="Heading3"/>
      </w:pPr>
      <w:bookmarkStart w:id="110" w:name="_Toc67566054"/>
      <w:r>
        <w:t>Case Study Well</w:t>
      </w:r>
      <w:bookmarkEnd w:id="110"/>
    </w:p>
    <w:p w14:paraId="5604602C" w14:textId="31C1A985" w:rsidR="007D58FF" w:rsidRDefault="007D58FF" w:rsidP="007D58FF">
      <w:pPr>
        <w:ind w:firstLine="720"/>
      </w:pPr>
      <w:r>
        <w:t xml:space="preserve">The case study well was chosen to investigate one wellbore </w:t>
      </w:r>
      <w:r w:rsidR="00C61460">
        <w:t xml:space="preserve">in </w:t>
      </w:r>
      <w:r>
        <w:t>more detail than the previous models. This will be a comprehensive analysis showing how this methodology can be used to determine if a wellbore is at risk for cement sheath debonding, quantify the microannuli and the resulting pathway, and provide a realistic leakage rate estimate.</w:t>
      </w:r>
    </w:p>
    <w:p w14:paraId="00EA6A7B" w14:textId="77777777" w:rsidR="007D58FF" w:rsidRPr="00BE12B4" w:rsidRDefault="007D58FF" w:rsidP="007A58B4">
      <w:pPr>
        <w:pStyle w:val="Heading4"/>
      </w:pPr>
      <w:r w:rsidRPr="00BE12B4">
        <w:lastRenderedPageBreak/>
        <w:t>FEA Model</w:t>
      </w:r>
    </w:p>
    <w:p w14:paraId="3C0392C7" w14:textId="7A6BBEE6" w:rsidR="007D58FF" w:rsidRDefault="007D58FF" w:rsidP="007D58FF">
      <w:pPr>
        <w:ind w:firstLine="720"/>
      </w:pPr>
      <w:r>
        <w:t xml:space="preserve">The FEA model for the case study well is the same model as the </w:t>
      </w:r>
      <w:r w:rsidR="00090030">
        <w:rPr>
          <w:i/>
        </w:rPr>
        <w:t>Continuous Leakage Pathway Model</w:t>
      </w:r>
      <w:r>
        <w:rPr>
          <w:i/>
        </w:rPr>
        <w:t xml:space="preserve"> </w:t>
      </w:r>
      <w:r>
        <w:t>except this model includes the effect of temperature. The case study well is a static structural 3D thermo-poro-elastic model that uses the traction separation law to model debonding of the casing/cement and cement/rock formation interfaces</w:t>
      </w:r>
      <w:r w:rsidR="00DF0A66">
        <w:t xml:space="preserve"> and includes Mohr-Coulomb failure criteria in the cement sheath</w:t>
      </w:r>
      <w:r>
        <w:t xml:space="preserve">. The 3D model uses 25,552 </w:t>
      </w:r>
      <w:r w:rsidR="00090030">
        <w:t xml:space="preserve">CPT216 quadratic brick elements. </w:t>
      </w:r>
      <w:r>
        <w:t xml:space="preserve">The 3D model dimensions are 1.5 m in the </w:t>
      </w:r>
      <w:r w:rsidRPr="009221D1">
        <w:rPr>
          <w:i/>
        </w:rPr>
        <w:t>x</w:t>
      </w:r>
      <w:r>
        <w:t xml:space="preserve"> and </w:t>
      </w:r>
      <w:r w:rsidRPr="009221D1">
        <w:rPr>
          <w:i/>
        </w:rPr>
        <w:t>y</w:t>
      </w:r>
      <w:r>
        <w:t xml:space="preserve"> (i.e. horizontal) directions and 0.05 m in the </w:t>
      </w:r>
      <w:r w:rsidRPr="009221D1">
        <w:rPr>
          <w:i/>
        </w:rPr>
        <w:t>z</w:t>
      </w:r>
      <w:r>
        <w:t xml:space="preserve"> (i.e. vertical) direction. A model with a vertical thickness of 0.05 m has 140,440 nodes with a computational run time of approximately 10 minutes. Thicker geometries of 0.5 m and 1.0 m would have 1,110,504 and 2,189,216 nodes, respectively with at least 12 hour run times for a single simulation. The resulting microannuli is the same magnitude between 0.05 m and </w:t>
      </w:r>
      <w:r w:rsidR="00C35669">
        <w:t xml:space="preserve">0.5 m thick </w:t>
      </w:r>
      <w:r>
        <w:t xml:space="preserve">models. Therefore, 0.05 m thickness was chosen. 3D geometry is chosen such that plain-strain assumptions do not have to be made for the model. </w:t>
      </w:r>
    </w:p>
    <w:p w14:paraId="7022A892" w14:textId="568DEA62" w:rsidR="007D58FF" w:rsidRDefault="007D58FF" w:rsidP="007D58FF">
      <w:pPr>
        <w:ind w:firstLine="720"/>
      </w:pPr>
      <w:r>
        <w:t>The load steps</w:t>
      </w:r>
      <w:r w:rsidR="00090030">
        <w:t xml:space="preserve"> for this model follow the same trend as the previous models</w:t>
      </w:r>
      <w:r>
        <w:t xml:space="preserve"> except for one addition. In step 5, a thermal load is applied. </w:t>
      </w:r>
    </w:p>
    <w:p w14:paraId="7CA9CAE4" w14:textId="77777777" w:rsidR="007D58FF" w:rsidRPr="00FE4AA7" w:rsidRDefault="007D58FF" w:rsidP="007D58FF">
      <w:pPr>
        <w:spacing w:line="240" w:lineRule="auto"/>
        <w:ind w:left="1440" w:hanging="720"/>
        <w:rPr>
          <w:rFonts w:cs="Times New Roman"/>
        </w:rPr>
      </w:pPr>
      <w:r>
        <w:rPr>
          <w:rFonts w:cs="Times New Roman"/>
        </w:rPr>
        <w:t xml:space="preserve">Step 1. </w:t>
      </w:r>
      <w:r w:rsidRPr="00FE4AA7">
        <w:rPr>
          <w:rFonts w:cs="Times New Roman"/>
        </w:rPr>
        <w:t>The model is loaded with horizontal (</w:t>
      </w:r>
      <m:oMath>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vertAlign w:val="subscript"/>
              </w:rPr>
              <m:t>H</m:t>
            </m:r>
          </m:sub>
        </m:sSub>
        <m:r>
          <w:rPr>
            <w:rFonts w:ascii="Cambria Math" w:eastAsiaTheme="minorEastAsia" w:hAnsi="Cambria Math" w:cs="Times New Roman"/>
          </w:rPr>
          <m:t xml:space="preserve"> &amp; </m:t>
        </m:r>
        <m:sSub>
          <m:sSubPr>
            <m:ctrlPr>
              <w:rPr>
                <w:rFonts w:ascii="Cambria Math" w:eastAsiaTheme="minorEastAsia" w:hAnsi="Cambria Math" w:cs="Times New Roman"/>
                <w:i/>
              </w:rPr>
            </m:ctrlPr>
          </m:sSubPr>
          <m:e>
            <m:r>
              <w:rPr>
                <w:rFonts w:ascii="Cambria Math" w:eastAsiaTheme="minorEastAsia" w:hAnsi="Cambria Math" w:cs="Times New Roman"/>
              </w:rPr>
              <m:t>σ</m:t>
            </m:r>
          </m:e>
          <m:sub>
            <m:r>
              <w:rPr>
                <w:rFonts w:ascii="Cambria Math" w:eastAsiaTheme="minorEastAsia" w:hAnsi="Cambria Math" w:cs="Times New Roman"/>
              </w:rPr>
              <m:t>h</m:t>
            </m:r>
          </m:sub>
        </m:sSub>
      </m:oMath>
      <w:r w:rsidRPr="00FE4AA7">
        <w:rPr>
          <w:rFonts w:cs="Times New Roman"/>
        </w:rPr>
        <w:t>) and vertical (</w:t>
      </w:r>
      <m:oMath>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vertAlign w:val="subscript"/>
              </w:rPr>
              <m:t>v</m:t>
            </m:r>
          </m:sub>
        </m:sSub>
      </m:oMath>
      <w:r w:rsidRPr="00FE4AA7">
        <w:rPr>
          <w:rFonts w:cs="Times New Roman"/>
        </w:rPr>
        <w:t>) in-situ effective stresses. The rock formation pore pressure and Biot coefficient</w:t>
      </w:r>
      <w:r>
        <w:rPr>
          <w:rFonts w:cs="Times New Roman"/>
        </w:rPr>
        <w:t xml:space="preserve"> (</w:t>
      </w:r>
      <m:oMath>
        <m:r>
          <w:rPr>
            <w:rFonts w:ascii="Cambria Math" w:hAnsi="Cambria Math" w:cs="Times New Roman"/>
          </w:rPr>
          <m:t>γ</m:t>
        </m:r>
      </m:oMath>
      <w:r>
        <w:rPr>
          <w:rFonts w:cs="Times New Roman"/>
        </w:rPr>
        <w:t>)</w:t>
      </w:r>
      <w:r w:rsidRPr="00FE4AA7">
        <w:rPr>
          <w:rFonts w:cs="Times New Roman"/>
        </w:rPr>
        <w:t xml:space="preserve"> are added to the elements.</w:t>
      </w:r>
    </w:p>
    <w:p w14:paraId="18D995BA" w14:textId="77777777" w:rsidR="007D58FF" w:rsidRPr="00FE4AA7" w:rsidRDefault="007D58FF" w:rsidP="007D58FF">
      <w:pPr>
        <w:spacing w:line="240" w:lineRule="auto"/>
        <w:ind w:left="1440" w:hanging="720"/>
        <w:rPr>
          <w:rFonts w:cs="Times New Roman"/>
        </w:rPr>
      </w:pPr>
      <w:r w:rsidRPr="00FE4AA7">
        <w:rPr>
          <w:rFonts w:cs="Times New Roman"/>
        </w:rPr>
        <w:t>Step 2. The borehole is drilled, and a fluid weight is applied to the rock formation.</w:t>
      </w:r>
    </w:p>
    <w:p w14:paraId="6E51AEA6" w14:textId="77777777" w:rsidR="007D58FF" w:rsidRPr="00FE4AA7" w:rsidRDefault="007D58FF" w:rsidP="007D58FF">
      <w:pPr>
        <w:spacing w:line="240" w:lineRule="auto"/>
        <w:ind w:left="1440" w:hanging="720"/>
        <w:rPr>
          <w:rFonts w:cs="Times New Roman"/>
        </w:rPr>
      </w:pPr>
      <w:r w:rsidRPr="00FE4AA7">
        <w:rPr>
          <w:rFonts w:cs="Times New Roman"/>
        </w:rPr>
        <w:t xml:space="preserve">Step 3. </w:t>
      </w:r>
      <w:r w:rsidRPr="00FE4AA7">
        <w:t>The casing is added to the borehole with the fluid weight being applied to the inner and outer surfaces of the casing and the borehole.</w:t>
      </w:r>
      <w:r w:rsidRPr="00FE4AA7">
        <w:rPr>
          <w:rFonts w:cs="Times New Roman"/>
        </w:rPr>
        <w:t xml:space="preserve">  </w:t>
      </w:r>
    </w:p>
    <w:p w14:paraId="4EA60B58" w14:textId="77777777" w:rsidR="007D58FF" w:rsidRPr="00FE4AA7" w:rsidRDefault="007D58FF" w:rsidP="007D58FF">
      <w:pPr>
        <w:spacing w:line="240" w:lineRule="auto"/>
        <w:ind w:left="1440" w:hanging="720"/>
        <w:rPr>
          <w:rFonts w:cs="Times New Roman"/>
        </w:rPr>
      </w:pPr>
      <w:r w:rsidRPr="00FE4AA7">
        <w:rPr>
          <w:rFonts w:cs="Times New Roman"/>
        </w:rPr>
        <w:t xml:space="preserve">Step 4. </w:t>
      </w:r>
      <w:r w:rsidRPr="00FE4AA7">
        <w:t>This step represents the completion of the wellbore and has two parts:</w:t>
      </w:r>
    </w:p>
    <w:p w14:paraId="530DFE51" w14:textId="77777777" w:rsidR="007D58FF" w:rsidRPr="00FE4AA7" w:rsidRDefault="007D58FF" w:rsidP="00FF2CA0">
      <w:pPr>
        <w:pStyle w:val="ListParagraph"/>
        <w:numPr>
          <w:ilvl w:val="0"/>
          <w:numId w:val="17"/>
        </w:numPr>
        <w:spacing w:after="200" w:line="240" w:lineRule="auto"/>
        <w:rPr>
          <w:rFonts w:cs="Times New Roman"/>
        </w:rPr>
      </w:pPr>
      <w:r w:rsidRPr="00FE4AA7">
        <w:rPr>
          <w:rFonts w:cs="Times New Roman"/>
        </w:rPr>
        <w:t>The cement slurry is pumped into the well. A hydrostatic pressure caused by the cement slurry is applied to the outer surface of the casing and the borehole while the inner casing surface has the fluid weight pressure.</w:t>
      </w:r>
    </w:p>
    <w:p w14:paraId="5AE250FA" w14:textId="77777777" w:rsidR="007D58FF" w:rsidRPr="00FE4AA7" w:rsidRDefault="007D58FF" w:rsidP="00FF2CA0">
      <w:pPr>
        <w:pStyle w:val="ListParagraph"/>
        <w:numPr>
          <w:ilvl w:val="0"/>
          <w:numId w:val="17"/>
        </w:numPr>
        <w:spacing w:line="240" w:lineRule="auto"/>
        <w:contextualSpacing w:val="0"/>
        <w:rPr>
          <w:rFonts w:cs="Times New Roman"/>
        </w:rPr>
      </w:pPr>
      <w:r w:rsidRPr="00FE4AA7">
        <w:rPr>
          <w:rFonts w:cs="Times New Roman"/>
        </w:rPr>
        <w:t xml:space="preserve">Cement hydrates and hardens. The cement elements are added to the model with framework effective stress, pore pressure within the elements, cement Biot coefficient, pore pressure at the interfaces, and zero shrinkage assuming the cement is fully bonded to the rock formation and outer casing surface. The hardened cement is inserted with zero deformation but with framework effective stress in all three principal directions equivalent to the hydrostatic </w:t>
      </w:r>
      <w:r w:rsidRPr="00FE4AA7">
        <w:rPr>
          <w:rFonts w:cs="Times New Roman"/>
        </w:rPr>
        <w:lastRenderedPageBreak/>
        <w:t>pressure minus the pore pressure. The fluid weight pressure is still applied to the inner surface of the casing.</w:t>
      </w:r>
    </w:p>
    <w:p w14:paraId="374961B6" w14:textId="431F6476" w:rsidR="007D58FF" w:rsidRPr="00FE4AA7" w:rsidRDefault="00090030" w:rsidP="007D58FF">
      <w:pPr>
        <w:spacing w:line="240" w:lineRule="auto"/>
        <w:ind w:left="1440" w:hanging="720"/>
        <w:rPr>
          <w:rFonts w:cs="Times New Roman"/>
        </w:rPr>
      </w:pPr>
      <w:r>
        <w:rPr>
          <w:rFonts w:cs="Times New Roman"/>
        </w:rPr>
        <w:t>Step 5.</w:t>
      </w:r>
      <w:r>
        <w:rPr>
          <w:rFonts w:cs="Times New Roman"/>
        </w:rPr>
        <w:tab/>
      </w:r>
      <w:r w:rsidR="007D58FF" w:rsidRPr="00FE4AA7">
        <w:rPr>
          <w:rFonts w:cs="Times New Roman"/>
        </w:rPr>
        <w:t xml:space="preserve">The wellbore is producing. </w:t>
      </w:r>
      <w:r w:rsidR="007D58FF" w:rsidRPr="00FE4AA7">
        <w:t>There are two loads applied to the wellbore either individually or simultaneously</w:t>
      </w:r>
      <w:r w:rsidR="007D58FF" w:rsidRPr="00FE4AA7">
        <w:rPr>
          <w:rFonts w:cs="Times New Roman"/>
        </w:rPr>
        <w:t>.</w:t>
      </w:r>
    </w:p>
    <w:p w14:paraId="15364342" w14:textId="77777777" w:rsidR="007D58FF" w:rsidRPr="00FE4AA7" w:rsidRDefault="007D58FF" w:rsidP="00FF2CA0">
      <w:pPr>
        <w:pStyle w:val="ListParagraph"/>
        <w:numPr>
          <w:ilvl w:val="0"/>
          <w:numId w:val="18"/>
        </w:numPr>
        <w:spacing w:line="240" w:lineRule="auto"/>
        <w:rPr>
          <w:rFonts w:cs="Times New Roman"/>
        </w:rPr>
      </w:pPr>
      <w:r w:rsidRPr="00FE4AA7">
        <w:rPr>
          <w:rFonts w:cs="Times New Roman"/>
        </w:rPr>
        <w:t>The fluid weight pressure is removed from the inner surface of the casing and replaced with the production pressure referenced as the “Internal Casing Pressure” (</w:t>
      </w:r>
      <m:oMath>
        <m:r>
          <w:rPr>
            <w:rFonts w:ascii="Cambria Math" w:hAnsi="Cambria Math" w:cs="Times New Roman"/>
          </w:rPr>
          <m:t>ICP</m:t>
        </m:r>
      </m:oMath>
      <w:r w:rsidRPr="00FE4AA7">
        <w:rPr>
          <w:rFonts w:cs="Times New Roman"/>
        </w:rPr>
        <w:t>).</w:t>
      </w:r>
    </w:p>
    <w:p w14:paraId="5DBF0108" w14:textId="77777777" w:rsidR="007D58FF" w:rsidRDefault="007D58FF" w:rsidP="00FF2CA0">
      <w:pPr>
        <w:pStyle w:val="ListParagraph"/>
        <w:numPr>
          <w:ilvl w:val="0"/>
          <w:numId w:val="18"/>
        </w:numPr>
        <w:spacing w:line="240" w:lineRule="auto"/>
        <w:rPr>
          <w:rFonts w:cs="Times New Roman"/>
        </w:rPr>
      </w:pPr>
      <w:r w:rsidRPr="00FE4AA7">
        <w:rPr>
          <w:rFonts w:cs="Times New Roman"/>
        </w:rPr>
        <w:t>Thermal loading is occurring within the wellbore. The thermal load is applied using a transient model with two days’</w:t>
      </w:r>
      <w:r>
        <w:rPr>
          <w:rFonts w:cs="Times New Roman"/>
        </w:rPr>
        <w:t xml:space="preserve"> worth of temperature change such that the temperature load propagates completely throughout the cement sheath.</w:t>
      </w:r>
    </w:p>
    <w:p w14:paraId="75915A47" w14:textId="711D14AC" w:rsidR="00090030" w:rsidRPr="00090030" w:rsidRDefault="00090030" w:rsidP="00090030">
      <w:pPr>
        <w:spacing w:line="240" w:lineRule="auto"/>
        <w:ind w:left="1440" w:hanging="720"/>
        <w:rPr>
          <w:rFonts w:cs="Times New Roman"/>
        </w:rPr>
      </w:pPr>
      <w:r>
        <w:rPr>
          <w:rFonts w:cs="Times New Roman"/>
        </w:rPr>
        <w:t xml:space="preserve">Step 6. </w:t>
      </w:r>
      <w:r w:rsidRPr="00090030">
        <w:rPr>
          <w:rFonts w:cs="Times New Roman"/>
        </w:rPr>
        <w:t>This step represents gas migration up the cement sheath to the top of cement (TOC).               This step is an iteration that applies the gas migration pressure on the walls of the microannuli until the width stabilizes.</w:t>
      </w:r>
    </w:p>
    <w:p w14:paraId="584448CD" w14:textId="382921AF" w:rsidR="00090030" w:rsidRPr="00090030" w:rsidRDefault="00090030" w:rsidP="00090030">
      <w:pPr>
        <w:spacing w:line="240" w:lineRule="auto"/>
        <w:ind w:left="1440" w:hanging="720"/>
        <w:rPr>
          <w:rFonts w:cs="Times New Roman"/>
        </w:rPr>
      </w:pPr>
      <w:r w:rsidRPr="00090030">
        <w:rPr>
          <w:rFonts w:cs="Times New Roman"/>
        </w:rPr>
        <w:t>Step 7.</w:t>
      </w:r>
      <w:r w:rsidRPr="00090030">
        <w:rPr>
          <w:rFonts w:cs="Times New Roman"/>
        </w:rPr>
        <w:tab/>
        <w:t>Steps 1-6 repeat for the next segmented part until the TOC depth is reached</w:t>
      </w:r>
      <w:r w:rsidR="007D58FF" w:rsidRPr="00090030">
        <w:rPr>
          <w:rFonts w:cs="Times New Roman"/>
        </w:rPr>
        <w:t>.</w:t>
      </w:r>
    </w:p>
    <w:p w14:paraId="00BC3628" w14:textId="718E2A7C" w:rsidR="007D58FF" w:rsidRDefault="007D58FF" w:rsidP="007D58FF">
      <w:pPr>
        <w:ind w:firstLine="720"/>
      </w:pPr>
      <w:r>
        <w:t>Steps 1- 5B are used to determine at which point changes in pressure or temperature cause microannuli gaps to initiate, which interface the cement sheath experiences debonding, and to better understand how certain wellbore parameters can affect the initiat</w:t>
      </w:r>
      <w:r w:rsidR="00090030">
        <w:t>ion and gap magnitude. Steps 1-7</w:t>
      </w:r>
      <w:r>
        <w:t xml:space="preserve">, excluding 5B, are used to determine if a microannuli at the simulation depth can propagate up the depth of the wellbore providing a continuous leakage pathway. </w:t>
      </w:r>
    </w:p>
    <w:p w14:paraId="4F764AE9" w14:textId="77777777" w:rsidR="007D58FF" w:rsidRPr="00BE12B4" w:rsidRDefault="007D58FF" w:rsidP="007A58B4">
      <w:pPr>
        <w:pStyle w:val="Heading4"/>
      </w:pPr>
      <w:r w:rsidRPr="00BE12B4">
        <w:t>Mechanical Properties</w:t>
      </w:r>
    </w:p>
    <w:p w14:paraId="1BF9D645" w14:textId="4C6FE801" w:rsidR="00E75698" w:rsidRDefault="007D58FF" w:rsidP="00494441">
      <w:pPr>
        <w:ind w:firstLine="720"/>
      </w:pPr>
      <w:r>
        <w:t xml:space="preserve">The rock mechanical values from the log data depth intervals are listed </w:t>
      </w:r>
      <w:r w:rsidRPr="00C35669">
        <w:t>in Table 4.</w:t>
      </w:r>
      <w:r w:rsidR="00B92BF4">
        <w:t>5</w:t>
      </w:r>
      <w:r>
        <w:t xml:space="preserve">. The maximum, minimum, average, and standard deviation are representative of all the calculated values for the respective depth range based of the correlations described above. The average </w:t>
      </w:r>
      <m:oMath>
        <m:sSub>
          <m:sSubPr>
            <m:ctrlPr>
              <w:rPr>
                <w:rFonts w:ascii="Cambria Math" w:hAnsi="Cambria Math"/>
                <w:i/>
              </w:rPr>
            </m:ctrlPr>
          </m:sSubPr>
          <m:e>
            <m:r>
              <w:rPr>
                <w:rFonts w:ascii="Cambria Math" w:hAnsi="Cambria Math"/>
              </w:rPr>
              <m:t>E</m:t>
            </m:r>
          </m:e>
          <m:sub>
            <m:r>
              <w:rPr>
                <w:rFonts w:ascii="Cambria Math" w:hAnsi="Cambria Math"/>
              </w:rPr>
              <m:t>static</m:t>
            </m:r>
          </m:sub>
        </m:sSub>
      </m:oMath>
      <w:r>
        <w:t xml:space="preserve"> and average </w:t>
      </w:r>
      <m:oMath>
        <m:r>
          <w:rPr>
            <w:rFonts w:ascii="Cambria Math" w:hAnsi="Cambria Math"/>
          </w:rPr>
          <m:t>v</m:t>
        </m:r>
      </m:oMath>
      <w:r>
        <w:t xml:space="preserve"> for the well depth interval 2,005 m – 2,010 m was chosen to represent the base case mechanical properties for the model since the depth most closely represents the simulation depth. For the parametric analysis, the maximum and minim</w:t>
      </w:r>
      <w:r w:rsidR="00F114B3">
        <w:t>um</w:t>
      </w:r>
      <w:r>
        <w:t xml:space="preserve"> mechanical properties include the maximum and minimum values from both depth values to represent the </w:t>
      </w:r>
      <w:r w:rsidR="00B92BF4">
        <w:t xml:space="preserve">upper and lower </w:t>
      </w:r>
      <w:r>
        <w:t>rock formation mechanical properties</w:t>
      </w:r>
      <w:r w:rsidR="00494441">
        <w:t xml:space="preserve">. </w:t>
      </w:r>
    </w:p>
    <w:p w14:paraId="7C24473A" w14:textId="77777777" w:rsidR="00711370" w:rsidRDefault="00711370" w:rsidP="00494441">
      <w:pPr>
        <w:ind w:firstLine="720"/>
      </w:pPr>
    </w:p>
    <w:p w14:paraId="18210831" w14:textId="4EB619F1" w:rsidR="007D58FF" w:rsidRDefault="007D58FF" w:rsidP="00BC23AD">
      <w:pPr>
        <w:pStyle w:val="Caption"/>
      </w:pPr>
      <w:bookmarkStart w:id="111" w:name="_Toc67566093"/>
      <w:r>
        <w:lastRenderedPageBreak/>
        <w:t xml:space="preserve">Table </w:t>
      </w:r>
      <w:r w:rsidR="00077C0B">
        <w:fldChar w:fldCharType="begin"/>
      </w:r>
      <w:r w:rsidR="00077C0B">
        <w:instrText xml:space="preserve"> STYLEREF 1 \s </w:instrText>
      </w:r>
      <w:r w:rsidR="00077C0B">
        <w:fldChar w:fldCharType="separate"/>
      </w:r>
      <w:r w:rsidR="0006023A">
        <w:rPr>
          <w:noProof/>
        </w:rPr>
        <w:t>4</w:t>
      </w:r>
      <w:r w:rsidR="00077C0B">
        <w:rPr>
          <w:noProof/>
        </w:rPr>
        <w:fldChar w:fldCharType="end"/>
      </w:r>
      <w:r w:rsidR="00DD1F74">
        <w:t>.</w:t>
      </w:r>
      <w:r w:rsidR="00077C0B">
        <w:fldChar w:fldCharType="begin"/>
      </w:r>
      <w:r w:rsidR="00077C0B">
        <w:instrText xml:space="preserve"> SEQ Table \* ARABIC \s 1 </w:instrText>
      </w:r>
      <w:r w:rsidR="00077C0B">
        <w:fldChar w:fldCharType="separate"/>
      </w:r>
      <w:r w:rsidR="0006023A">
        <w:rPr>
          <w:noProof/>
        </w:rPr>
        <w:t>5</w:t>
      </w:r>
      <w:r w:rsidR="00077C0B">
        <w:rPr>
          <w:noProof/>
        </w:rPr>
        <w:fldChar w:fldCharType="end"/>
      </w:r>
      <w:r>
        <w:t>: Summary of the two High Island Well logs for the rock mechanical properties.</w:t>
      </w:r>
      <w:bookmarkEnd w:id="111"/>
    </w:p>
    <w:tbl>
      <w:tblPr>
        <w:tblStyle w:val="TableGrid"/>
        <w:tblW w:w="48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4"/>
        <w:gridCol w:w="1152"/>
        <w:gridCol w:w="742"/>
        <w:gridCol w:w="811"/>
        <w:gridCol w:w="601"/>
      </w:tblGrid>
      <w:tr w:rsidR="007D58FF" w:rsidRPr="00574088" w14:paraId="2A9A2063" w14:textId="77777777" w:rsidTr="00893161">
        <w:trPr>
          <w:trHeight w:val="287"/>
          <w:jc w:val="center"/>
        </w:trPr>
        <w:tc>
          <w:tcPr>
            <w:tcW w:w="1584" w:type="dxa"/>
            <w:tcBorders>
              <w:bottom w:val="single" w:sz="4" w:space="0" w:color="auto"/>
            </w:tcBorders>
            <w:noWrap/>
            <w:vAlign w:val="center"/>
            <w:hideMark/>
          </w:tcPr>
          <w:p w14:paraId="4643F05B" w14:textId="77777777" w:rsidR="007D58FF" w:rsidRPr="00574088" w:rsidRDefault="007D58FF" w:rsidP="00893161">
            <w:pPr>
              <w:pStyle w:val="Paragraph"/>
              <w:spacing w:after="0"/>
              <w:jc w:val="center"/>
              <w:rPr>
                <w:sz w:val="22"/>
                <w:szCs w:val="22"/>
              </w:rPr>
            </w:pPr>
            <w:r w:rsidRPr="00574088">
              <w:rPr>
                <w:sz w:val="22"/>
                <w:szCs w:val="22"/>
              </w:rPr>
              <w:t>Well Depth Interval (m)</w:t>
            </w:r>
          </w:p>
        </w:tc>
        <w:tc>
          <w:tcPr>
            <w:tcW w:w="1152" w:type="dxa"/>
            <w:tcBorders>
              <w:bottom w:val="single" w:sz="4" w:space="0" w:color="auto"/>
            </w:tcBorders>
            <w:noWrap/>
            <w:vAlign w:val="center"/>
            <w:hideMark/>
          </w:tcPr>
          <w:p w14:paraId="3768A182" w14:textId="77777777" w:rsidR="007D58FF" w:rsidRPr="00574088" w:rsidRDefault="007D58FF" w:rsidP="00893161">
            <w:pPr>
              <w:pStyle w:val="Paragraph"/>
              <w:spacing w:after="0"/>
              <w:jc w:val="center"/>
              <w:rPr>
                <w:sz w:val="22"/>
                <w:szCs w:val="22"/>
              </w:rPr>
            </w:pPr>
          </w:p>
        </w:tc>
        <w:tc>
          <w:tcPr>
            <w:tcW w:w="742" w:type="dxa"/>
            <w:tcBorders>
              <w:bottom w:val="single" w:sz="4" w:space="0" w:color="auto"/>
            </w:tcBorders>
            <w:noWrap/>
            <w:vAlign w:val="center"/>
            <w:hideMark/>
          </w:tcPr>
          <w:p w14:paraId="4408D8E2" w14:textId="77777777" w:rsidR="007D58FF" w:rsidRPr="00574088" w:rsidRDefault="00077C0B" w:rsidP="00893161">
            <w:pPr>
              <w:pStyle w:val="Paragraph"/>
              <w:spacing w:after="0"/>
              <w:jc w:val="center"/>
              <w:rPr>
                <w:sz w:val="22"/>
                <w:szCs w:val="22"/>
              </w:rPr>
            </w:pPr>
            <m:oMath>
              <m:sSub>
                <m:sSubPr>
                  <m:ctrlPr>
                    <w:rPr>
                      <w:rFonts w:ascii="Cambria Math" w:hAnsi="Cambria Math"/>
                      <w:i/>
                      <w:sz w:val="22"/>
                      <w:szCs w:val="22"/>
                    </w:rPr>
                  </m:ctrlPr>
                </m:sSubPr>
                <m:e>
                  <m:r>
                    <w:rPr>
                      <w:rFonts w:ascii="Cambria Math" w:hAnsi="Cambria Math"/>
                      <w:sz w:val="22"/>
                      <w:szCs w:val="22"/>
                    </w:rPr>
                    <m:t>E</m:t>
                  </m:r>
                </m:e>
                <m:sub>
                  <m:r>
                    <w:rPr>
                      <w:rFonts w:ascii="Cambria Math" w:hAnsi="Cambria Math"/>
                      <w:sz w:val="22"/>
                      <w:szCs w:val="22"/>
                    </w:rPr>
                    <m:t>dyn</m:t>
                  </m:r>
                </m:sub>
              </m:sSub>
            </m:oMath>
            <w:r w:rsidR="007D58FF" w:rsidRPr="00574088">
              <w:rPr>
                <w:sz w:val="22"/>
                <w:szCs w:val="22"/>
              </w:rPr>
              <w:t xml:space="preserve"> (GPa)</w:t>
            </w:r>
          </w:p>
        </w:tc>
        <w:tc>
          <w:tcPr>
            <w:tcW w:w="811" w:type="dxa"/>
            <w:tcBorders>
              <w:bottom w:val="single" w:sz="4" w:space="0" w:color="auto"/>
            </w:tcBorders>
            <w:noWrap/>
            <w:vAlign w:val="center"/>
            <w:hideMark/>
          </w:tcPr>
          <w:p w14:paraId="22753C15" w14:textId="77777777" w:rsidR="007D58FF" w:rsidRPr="00574088" w:rsidRDefault="00077C0B" w:rsidP="00893161">
            <w:pPr>
              <w:pStyle w:val="Paragraph"/>
              <w:spacing w:after="0"/>
              <w:jc w:val="center"/>
              <w:rPr>
                <w:sz w:val="22"/>
                <w:szCs w:val="22"/>
              </w:rPr>
            </w:pPr>
            <m:oMath>
              <m:sSub>
                <m:sSubPr>
                  <m:ctrlPr>
                    <w:rPr>
                      <w:rFonts w:ascii="Cambria Math" w:hAnsi="Cambria Math"/>
                      <w:i/>
                      <w:sz w:val="22"/>
                      <w:szCs w:val="22"/>
                    </w:rPr>
                  </m:ctrlPr>
                </m:sSubPr>
                <m:e>
                  <m:r>
                    <w:rPr>
                      <w:rFonts w:ascii="Cambria Math" w:hAnsi="Cambria Math"/>
                      <w:sz w:val="22"/>
                      <w:szCs w:val="22"/>
                    </w:rPr>
                    <m:t>E</m:t>
                  </m:r>
                </m:e>
                <m:sub>
                  <m:r>
                    <w:rPr>
                      <w:rFonts w:ascii="Cambria Math" w:hAnsi="Cambria Math"/>
                      <w:sz w:val="22"/>
                      <w:szCs w:val="22"/>
                    </w:rPr>
                    <m:t>static</m:t>
                  </m:r>
                </m:sub>
              </m:sSub>
            </m:oMath>
            <w:r w:rsidR="007D58FF" w:rsidRPr="00574088">
              <w:rPr>
                <w:sz w:val="22"/>
                <w:szCs w:val="22"/>
              </w:rPr>
              <w:t xml:space="preserve"> (GPa)</w:t>
            </w:r>
          </w:p>
        </w:tc>
        <w:tc>
          <w:tcPr>
            <w:tcW w:w="601" w:type="dxa"/>
            <w:tcBorders>
              <w:bottom w:val="single" w:sz="4" w:space="0" w:color="auto"/>
            </w:tcBorders>
            <w:noWrap/>
            <w:vAlign w:val="center"/>
            <w:hideMark/>
          </w:tcPr>
          <w:p w14:paraId="068EAD47" w14:textId="77777777" w:rsidR="007D58FF" w:rsidRPr="00574088" w:rsidRDefault="007D58FF" w:rsidP="00893161">
            <w:pPr>
              <w:pStyle w:val="Paragraph"/>
              <w:spacing w:after="0"/>
              <w:jc w:val="center"/>
              <w:rPr>
                <w:sz w:val="22"/>
                <w:szCs w:val="22"/>
              </w:rPr>
            </w:pPr>
            <m:oMathPara>
              <m:oMath>
                <m:r>
                  <w:rPr>
                    <w:rFonts w:ascii="Cambria Math" w:hAnsi="Cambria Math"/>
                    <w:sz w:val="22"/>
                    <w:szCs w:val="22"/>
                  </w:rPr>
                  <m:t>v</m:t>
                </m:r>
              </m:oMath>
            </m:oMathPara>
          </w:p>
        </w:tc>
      </w:tr>
      <w:tr w:rsidR="007D58FF" w:rsidRPr="00574088" w14:paraId="420FFE71" w14:textId="77777777" w:rsidTr="00893161">
        <w:trPr>
          <w:trHeight w:val="107"/>
          <w:jc w:val="center"/>
        </w:trPr>
        <w:tc>
          <w:tcPr>
            <w:tcW w:w="1584" w:type="dxa"/>
            <w:vMerge w:val="restart"/>
            <w:tcBorders>
              <w:top w:val="single" w:sz="4" w:space="0" w:color="auto"/>
            </w:tcBorders>
            <w:noWrap/>
            <w:vAlign w:val="center"/>
            <w:hideMark/>
          </w:tcPr>
          <w:p w14:paraId="75D93427" w14:textId="77777777" w:rsidR="007D58FF" w:rsidRPr="00574088" w:rsidRDefault="007D58FF" w:rsidP="00893161">
            <w:pPr>
              <w:pStyle w:val="Paragraph"/>
              <w:spacing w:after="0"/>
              <w:jc w:val="center"/>
              <w:rPr>
                <w:sz w:val="22"/>
                <w:szCs w:val="22"/>
              </w:rPr>
            </w:pPr>
            <w:r w:rsidRPr="00574088">
              <w:rPr>
                <w:sz w:val="22"/>
                <w:szCs w:val="22"/>
              </w:rPr>
              <w:t>2,005 - 2010</w:t>
            </w:r>
          </w:p>
        </w:tc>
        <w:tc>
          <w:tcPr>
            <w:tcW w:w="1152" w:type="dxa"/>
            <w:tcBorders>
              <w:top w:val="single" w:sz="4" w:space="0" w:color="auto"/>
            </w:tcBorders>
            <w:noWrap/>
            <w:vAlign w:val="center"/>
            <w:hideMark/>
          </w:tcPr>
          <w:p w14:paraId="28B2B33B" w14:textId="77777777" w:rsidR="007D58FF" w:rsidRPr="00574088" w:rsidRDefault="007D58FF" w:rsidP="00893161">
            <w:pPr>
              <w:pStyle w:val="Paragraph"/>
              <w:spacing w:after="0"/>
              <w:jc w:val="center"/>
              <w:rPr>
                <w:sz w:val="22"/>
                <w:szCs w:val="22"/>
              </w:rPr>
            </w:pPr>
            <w:r w:rsidRPr="00574088">
              <w:rPr>
                <w:sz w:val="22"/>
                <w:szCs w:val="22"/>
              </w:rPr>
              <w:t>Average</w:t>
            </w:r>
          </w:p>
        </w:tc>
        <w:tc>
          <w:tcPr>
            <w:tcW w:w="742" w:type="dxa"/>
            <w:tcBorders>
              <w:top w:val="single" w:sz="4" w:space="0" w:color="auto"/>
            </w:tcBorders>
            <w:noWrap/>
            <w:vAlign w:val="center"/>
            <w:hideMark/>
          </w:tcPr>
          <w:p w14:paraId="6A92AA09" w14:textId="77777777" w:rsidR="007D58FF" w:rsidRPr="00574088" w:rsidRDefault="007D58FF" w:rsidP="00893161">
            <w:pPr>
              <w:pStyle w:val="Paragraph"/>
              <w:spacing w:after="0"/>
              <w:jc w:val="center"/>
              <w:rPr>
                <w:sz w:val="22"/>
                <w:szCs w:val="22"/>
              </w:rPr>
            </w:pPr>
            <w:r w:rsidRPr="00574088">
              <w:rPr>
                <w:sz w:val="22"/>
                <w:szCs w:val="22"/>
              </w:rPr>
              <w:t>9.43</w:t>
            </w:r>
          </w:p>
        </w:tc>
        <w:tc>
          <w:tcPr>
            <w:tcW w:w="811" w:type="dxa"/>
            <w:tcBorders>
              <w:top w:val="single" w:sz="4" w:space="0" w:color="auto"/>
            </w:tcBorders>
            <w:noWrap/>
            <w:vAlign w:val="center"/>
            <w:hideMark/>
          </w:tcPr>
          <w:p w14:paraId="1791FFAD" w14:textId="77777777" w:rsidR="007D58FF" w:rsidRPr="00574088" w:rsidRDefault="007D58FF" w:rsidP="00893161">
            <w:pPr>
              <w:pStyle w:val="Paragraph"/>
              <w:spacing w:after="0"/>
              <w:jc w:val="center"/>
              <w:rPr>
                <w:sz w:val="22"/>
                <w:szCs w:val="22"/>
              </w:rPr>
            </w:pPr>
            <w:r w:rsidRPr="00574088">
              <w:rPr>
                <w:sz w:val="22"/>
                <w:szCs w:val="22"/>
              </w:rPr>
              <w:t>3.90</w:t>
            </w:r>
          </w:p>
        </w:tc>
        <w:tc>
          <w:tcPr>
            <w:tcW w:w="601" w:type="dxa"/>
            <w:tcBorders>
              <w:top w:val="single" w:sz="4" w:space="0" w:color="auto"/>
            </w:tcBorders>
            <w:noWrap/>
            <w:vAlign w:val="center"/>
            <w:hideMark/>
          </w:tcPr>
          <w:p w14:paraId="570A529C" w14:textId="77777777" w:rsidR="007D58FF" w:rsidRPr="00574088" w:rsidRDefault="007D58FF" w:rsidP="00893161">
            <w:pPr>
              <w:pStyle w:val="Paragraph"/>
              <w:spacing w:after="0"/>
              <w:jc w:val="center"/>
              <w:rPr>
                <w:sz w:val="22"/>
                <w:szCs w:val="22"/>
              </w:rPr>
            </w:pPr>
            <w:r w:rsidRPr="00574088">
              <w:rPr>
                <w:sz w:val="22"/>
                <w:szCs w:val="22"/>
              </w:rPr>
              <w:t>0.34</w:t>
            </w:r>
          </w:p>
        </w:tc>
      </w:tr>
      <w:tr w:rsidR="007D58FF" w:rsidRPr="00574088" w14:paraId="6D91DC45" w14:textId="77777777" w:rsidTr="00893161">
        <w:trPr>
          <w:trHeight w:val="80"/>
          <w:jc w:val="center"/>
        </w:trPr>
        <w:tc>
          <w:tcPr>
            <w:tcW w:w="1584" w:type="dxa"/>
            <w:vMerge/>
            <w:noWrap/>
            <w:vAlign w:val="center"/>
          </w:tcPr>
          <w:p w14:paraId="7AA111BC" w14:textId="77777777" w:rsidR="007D58FF" w:rsidRPr="00574088" w:rsidRDefault="007D58FF" w:rsidP="00893161">
            <w:pPr>
              <w:pStyle w:val="Paragraph"/>
              <w:spacing w:after="0"/>
              <w:jc w:val="center"/>
              <w:rPr>
                <w:sz w:val="22"/>
                <w:szCs w:val="22"/>
              </w:rPr>
            </w:pPr>
          </w:p>
        </w:tc>
        <w:tc>
          <w:tcPr>
            <w:tcW w:w="1152" w:type="dxa"/>
            <w:noWrap/>
            <w:vAlign w:val="center"/>
            <w:hideMark/>
          </w:tcPr>
          <w:p w14:paraId="10324D97" w14:textId="77777777" w:rsidR="007D58FF" w:rsidRPr="00574088" w:rsidRDefault="007D58FF" w:rsidP="00893161">
            <w:pPr>
              <w:pStyle w:val="Paragraph"/>
              <w:spacing w:after="0"/>
              <w:jc w:val="center"/>
              <w:rPr>
                <w:sz w:val="22"/>
                <w:szCs w:val="22"/>
              </w:rPr>
            </w:pPr>
            <w:r w:rsidRPr="00574088">
              <w:rPr>
                <w:sz w:val="22"/>
                <w:szCs w:val="22"/>
              </w:rPr>
              <w:t>Max</w:t>
            </w:r>
          </w:p>
        </w:tc>
        <w:tc>
          <w:tcPr>
            <w:tcW w:w="742" w:type="dxa"/>
            <w:noWrap/>
            <w:vAlign w:val="center"/>
            <w:hideMark/>
          </w:tcPr>
          <w:p w14:paraId="74D749BB" w14:textId="77777777" w:rsidR="007D58FF" w:rsidRPr="00574088" w:rsidRDefault="007D58FF" w:rsidP="00893161">
            <w:pPr>
              <w:pStyle w:val="Paragraph"/>
              <w:spacing w:after="0"/>
              <w:jc w:val="center"/>
              <w:rPr>
                <w:sz w:val="22"/>
                <w:szCs w:val="22"/>
              </w:rPr>
            </w:pPr>
            <w:r w:rsidRPr="00574088">
              <w:rPr>
                <w:sz w:val="22"/>
                <w:szCs w:val="22"/>
              </w:rPr>
              <w:t>11.18</w:t>
            </w:r>
          </w:p>
        </w:tc>
        <w:tc>
          <w:tcPr>
            <w:tcW w:w="811" w:type="dxa"/>
            <w:noWrap/>
            <w:vAlign w:val="center"/>
            <w:hideMark/>
          </w:tcPr>
          <w:p w14:paraId="02348DC3" w14:textId="77777777" w:rsidR="007D58FF" w:rsidRPr="00574088" w:rsidRDefault="007D58FF" w:rsidP="00893161">
            <w:pPr>
              <w:pStyle w:val="Paragraph"/>
              <w:spacing w:after="0"/>
              <w:jc w:val="center"/>
              <w:rPr>
                <w:sz w:val="22"/>
                <w:szCs w:val="22"/>
              </w:rPr>
            </w:pPr>
            <w:r w:rsidRPr="00574088">
              <w:rPr>
                <w:sz w:val="22"/>
                <w:szCs w:val="22"/>
              </w:rPr>
              <w:t>4.63</w:t>
            </w:r>
          </w:p>
        </w:tc>
        <w:tc>
          <w:tcPr>
            <w:tcW w:w="601" w:type="dxa"/>
            <w:noWrap/>
            <w:vAlign w:val="center"/>
            <w:hideMark/>
          </w:tcPr>
          <w:p w14:paraId="352F2B03" w14:textId="77777777" w:rsidR="007D58FF" w:rsidRPr="00574088" w:rsidRDefault="007D58FF" w:rsidP="00893161">
            <w:pPr>
              <w:pStyle w:val="Paragraph"/>
              <w:spacing w:after="0"/>
              <w:jc w:val="center"/>
              <w:rPr>
                <w:sz w:val="22"/>
                <w:szCs w:val="22"/>
              </w:rPr>
            </w:pPr>
            <w:r w:rsidRPr="00574088">
              <w:rPr>
                <w:sz w:val="22"/>
                <w:szCs w:val="22"/>
              </w:rPr>
              <w:t>0.35</w:t>
            </w:r>
          </w:p>
        </w:tc>
      </w:tr>
      <w:tr w:rsidR="007D58FF" w:rsidRPr="00574088" w14:paraId="001BCE7D" w14:textId="77777777" w:rsidTr="00893161">
        <w:trPr>
          <w:trHeight w:val="70"/>
          <w:jc w:val="center"/>
        </w:trPr>
        <w:tc>
          <w:tcPr>
            <w:tcW w:w="1584" w:type="dxa"/>
            <w:vMerge/>
            <w:noWrap/>
            <w:vAlign w:val="center"/>
          </w:tcPr>
          <w:p w14:paraId="0FBC2D2B" w14:textId="77777777" w:rsidR="007D58FF" w:rsidRPr="00574088" w:rsidRDefault="007D58FF" w:rsidP="00893161">
            <w:pPr>
              <w:pStyle w:val="Paragraph"/>
              <w:spacing w:after="0"/>
              <w:jc w:val="center"/>
              <w:rPr>
                <w:sz w:val="22"/>
                <w:szCs w:val="22"/>
              </w:rPr>
            </w:pPr>
          </w:p>
        </w:tc>
        <w:tc>
          <w:tcPr>
            <w:tcW w:w="1152" w:type="dxa"/>
            <w:noWrap/>
            <w:vAlign w:val="center"/>
            <w:hideMark/>
          </w:tcPr>
          <w:p w14:paraId="411D85E4" w14:textId="77777777" w:rsidR="007D58FF" w:rsidRPr="00574088" w:rsidRDefault="007D58FF" w:rsidP="00893161">
            <w:pPr>
              <w:pStyle w:val="Paragraph"/>
              <w:spacing w:after="0"/>
              <w:jc w:val="center"/>
              <w:rPr>
                <w:sz w:val="22"/>
                <w:szCs w:val="22"/>
              </w:rPr>
            </w:pPr>
            <w:r w:rsidRPr="00574088">
              <w:rPr>
                <w:sz w:val="22"/>
                <w:szCs w:val="22"/>
              </w:rPr>
              <w:t>Min</w:t>
            </w:r>
          </w:p>
        </w:tc>
        <w:tc>
          <w:tcPr>
            <w:tcW w:w="742" w:type="dxa"/>
            <w:noWrap/>
            <w:vAlign w:val="center"/>
            <w:hideMark/>
          </w:tcPr>
          <w:p w14:paraId="24A6494E" w14:textId="77777777" w:rsidR="007D58FF" w:rsidRPr="00574088" w:rsidRDefault="007D58FF" w:rsidP="00893161">
            <w:pPr>
              <w:pStyle w:val="Paragraph"/>
              <w:spacing w:after="0"/>
              <w:jc w:val="center"/>
              <w:rPr>
                <w:sz w:val="22"/>
                <w:szCs w:val="22"/>
              </w:rPr>
            </w:pPr>
            <w:r w:rsidRPr="00574088">
              <w:rPr>
                <w:sz w:val="22"/>
                <w:szCs w:val="22"/>
              </w:rPr>
              <w:t>8.21</w:t>
            </w:r>
          </w:p>
        </w:tc>
        <w:tc>
          <w:tcPr>
            <w:tcW w:w="811" w:type="dxa"/>
            <w:noWrap/>
            <w:vAlign w:val="center"/>
            <w:hideMark/>
          </w:tcPr>
          <w:p w14:paraId="1A570822" w14:textId="77777777" w:rsidR="007D58FF" w:rsidRPr="00574088" w:rsidRDefault="007D58FF" w:rsidP="00893161">
            <w:pPr>
              <w:pStyle w:val="Paragraph"/>
              <w:spacing w:after="0"/>
              <w:jc w:val="center"/>
              <w:rPr>
                <w:sz w:val="22"/>
                <w:szCs w:val="22"/>
              </w:rPr>
            </w:pPr>
            <w:r w:rsidRPr="00574088">
              <w:rPr>
                <w:sz w:val="22"/>
                <w:szCs w:val="22"/>
              </w:rPr>
              <w:t>3.40</w:t>
            </w:r>
          </w:p>
        </w:tc>
        <w:tc>
          <w:tcPr>
            <w:tcW w:w="601" w:type="dxa"/>
            <w:noWrap/>
            <w:vAlign w:val="center"/>
            <w:hideMark/>
          </w:tcPr>
          <w:p w14:paraId="17DFCF2E" w14:textId="77777777" w:rsidR="007D58FF" w:rsidRPr="00574088" w:rsidRDefault="007D58FF" w:rsidP="00893161">
            <w:pPr>
              <w:pStyle w:val="Paragraph"/>
              <w:spacing w:after="0"/>
              <w:jc w:val="center"/>
              <w:rPr>
                <w:sz w:val="22"/>
                <w:szCs w:val="22"/>
              </w:rPr>
            </w:pPr>
            <w:r w:rsidRPr="00574088">
              <w:rPr>
                <w:sz w:val="22"/>
                <w:szCs w:val="22"/>
              </w:rPr>
              <w:t>0.33</w:t>
            </w:r>
          </w:p>
        </w:tc>
      </w:tr>
      <w:tr w:rsidR="007D58FF" w:rsidRPr="00574088" w14:paraId="345E0DA9" w14:textId="77777777" w:rsidTr="00893161">
        <w:trPr>
          <w:trHeight w:val="70"/>
          <w:jc w:val="center"/>
        </w:trPr>
        <w:tc>
          <w:tcPr>
            <w:tcW w:w="1584" w:type="dxa"/>
            <w:vMerge/>
            <w:tcBorders>
              <w:bottom w:val="single" w:sz="4" w:space="0" w:color="auto"/>
            </w:tcBorders>
            <w:noWrap/>
            <w:vAlign w:val="center"/>
          </w:tcPr>
          <w:p w14:paraId="45CD3C6B" w14:textId="77777777" w:rsidR="007D58FF" w:rsidRPr="00574088" w:rsidRDefault="007D58FF" w:rsidP="00893161">
            <w:pPr>
              <w:pStyle w:val="Paragraph"/>
              <w:spacing w:after="0"/>
              <w:jc w:val="center"/>
              <w:rPr>
                <w:sz w:val="22"/>
                <w:szCs w:val="22"/>
              </w:rPr>
            </w:pPr>
          </w:p>
        </w:tc>
        <w:tc>
          <w:tcPr>
            <w:tcW w:w="1152" w:type="dxa"/>
            <w:tcBorders>
              <w:bottom w:val="single" w:sz="4" w:space="0" w:color="auto"/>
            </w:tcBorders>
            <w:noWrap/>
            <w:vAlign w:val="center"/>
            <w:hideMark/>
          </w:tcPr>
          <w:p w14:paraId="6D93B8C0" w14:textId="77777777" w:rsidR="007D58FF" w:rsidRPr="00574088" w:rsidRDefault="007D58FF" w:rsidP="00893161">
            <w:pPr>
              <w:pStyle w:val="Paragraph"/>
              <w:spacing w:after="0"/>
              <w:jc w:val="center"/>
              <w:rPr>
                <w:sz w:val="22"/>
                <w:szCs w:val="22"/>
              </w:rPr>
            </w:pPr>
            <w:r w:rsidRPr="00574088">
              <w:rPr>
                <w:sz w:val="22"/>
                <w:szCs w:val="22"/>
              </w:rPr>
              <w:t>Std. Dev.</w:t>
            </w:r>
          </w:p>
        </w:tc>
        <w:tc>
          <w:tcPr>
            <w:tcW w:w="742" w:type="dxa"/>
            <w:tcBorders>
              <w:bottom w:val="single" w:sz="4" w:space="0" w:color="auto"/>
            </w:tcBorders>
            <w:noWrap/>
            <w:vAlign w:val="center"/>
            <w:hideMark/>
          </w:tcPr>
          <w:p w14:paraId="57238AD8" w14:textId="77777777" w:rsidR="007D58FF" w:rsidRPr="00574088" w:rsidRDefault="007D58FF" w:rsidP="00893161">
            <w:pPr>
              <w:pStyle w:val="Paragraph"/>
              <w:spacing w:after="0"/>
              <w:jc w:val="center"/>
              <w:rPr>
                <w:sz w:val="22"/>
                <w:szCs w:val="22"/>
              </w:rPr>
            </w:pPr>
            <w:r w:rsidRPr="00574088">
              <w:rPr>
                <w:sz w:val="22"/>
                <w:szCs w:val="22"/>
              </w:rPr>
              <w:t>0.78</w:t>
            </w:r>
          </w:p>
        </w:tc>
        <w:tc>
          <w:tcPr>
            <w:tcW w:w="811" w:type="dxa"/>
            <w:tcBorders>
              <w:bottom w:val="single" w:sz="4" w:space="0" w:color="auto"/>
            </w:tcBorders>
            <w:noWrap/>
            <w:vAlign w:val="center"/>
            <w:hideMark/>
          </w:tcPr>
          <w:p w14:paraId="09926C4B" w14:textId="77777777" w:rsidR="007D58FF" w:rsidRPr="00574088" w:rsidRDefault="007D58FF" w:rsidP="00893161">
            <w:pPr>
              <w:pStyle w:val="Paragraph"/>
              <w:spacing w:after="0"/>
              <w:jc w:val="center"/>
              <w:rPr>
                <w:sz w:val="22"/>
                <w:szCs w:val="22"/>
              </w:rPr>
            </w:pPr>
            <w:r w:rsidRPr="00574088">
              <w:rPr>
                <w:sz w:val="22"/>
                <w:szCs w:val="22"/>
              </w:rPr>
              <w:t>0.32</w:t>
            </w:r>
          </w:p>
        </w:tc>
        <w:tc>
          <w:tcPr>
            <w:tcW w:w="601" w:type="dxa"/>
            <w:tcBorders>
              <w:bottom w:val="single" w:sz="4" w:space="0" w:color="auto"/>
            </w:tcBorders>
            <w:noWrap/>
            <w:vAlign w:val="center"/>
            <w:hideMark/>
          </w:tcPr>
          <w:p w14:paraId="51513B55" w14:textId="77777777" w:rsidR="007D58FF" w:rsidRPr="00574088" w:rsidRDefault="007D58FF" w:rsidP="00893161">
            <w:pPr>
              <w:pStyle w:val="Paragraph"/>
              <w:spacing w:after="0"/>
              <w:jc w:val="center"/>
              <w:rPr>
                <w:sz w:val="22"/>
                <w:szCs w:val="22"/>
              </w:rPr>
            </w:pPr>
            <w:r w:rsidRPr="00574088">
              <w:rPr>
                <w:sz w:val="22"/>
                <w:szCs w:val="22"/>
              </w:rPr>
              <w:t>0.01</w:t>
            </w:r>
          </w:p>
        </w:tc>
      </w:tr>
      <w:tr w:rsidR="007D58FF" w:rsidRPr="00574088" w14:paraId="3CD6A796" w14:textId="77777777" w:rsidTr="00893161">
        <w:trPr>
          <w:trHeight w:val="70"/>
          <w:jc w:val="center"/>
        </w:trPr>
        <w:tc>
          <w:tcPr>
            <w:tcW w:w="1584" w:type="dxa"/>
            <w:vMerge w:val="restart"/>
            <w:tcBorders>
              <w:top w:val="single" w:sz="4" w:space="0" w:color="auto"/>
            </w:tcBorders>
            <w:noWrap/>
            <w:vAlign w:val="center"/>
            <w:hideMark/>
          </w:tcPr>
          <w:p w14:paraId="173EE7CF" w14:textId="77777777" w:rsidR="007D58FF" w:rsidRPr="00574088" w:rsidRDefault="007D58FF" w:rsidP="00893161">
            <w:pPr>
              <w:pStyle w:val="Paragraph"/>
              <w:spacing w:after="0"/>
              <w:jc w:val="center"/>
              <w:rPr>
                <w:sz w:val="22"/>
                <w:szCs w:val="22"/>
              </w:rPr>
            </w:pPr>
            <w:r w:rsidRPr="00574088">
              <w:rPr>
                <w:sz w:val="22"/>
                <w:szCs w:val="22"/>
              </w:rPr>
              <w:t>3,659 – 3,688</w:t>
            </w:r>
          </w:p>
        </w:tc>
        <w:tc>
          <w:tcPr>
            <w:tcW w:w="1152" w:type="dxa"/>
            <w:tcBorders>
              <w:top w:val="single" w:sz="4" w:space="0" w:color="auto"/>
            </w:tcBorders>
            <w:noWrap/>
            <w:vAlign w:val="center"/>
            <w:hideMark/>
          </w:tcPr>
          <w:p w14:paraId="634FBAC0" w14:textId="77777777" w:rsidR="007D58FF" w:rsidRPr="00574088" w:rsidRDefault="007D58FF" w:rsidP="00893161">
            <w:pPr>
              <w:pStyle w:val="Paragraph"/>
              <w:spacing w:after="0"/>
              <w:jc w:val="center"/>
              <w:rPr>
                <w:sz w:val="22"/>
                <w:szCs w:val="22"/>
              </w:rPr>
            </w:pPr>
            <w:r w:rsidRPr="00574088">
              <w:rPr>
                <w:sz w:val="22"/>
                <w:szCs w:val="22"/>
              </w:rPr>
              <w:t>Average</w:t>
            </w:r>
          </w:p>
        </w:tc>
        <w:tc>
          <w:tcPr>
            <w:tcW w:w="742" w:type="dxa"/>
            <w:tcBorders>
              <w:top w:val="single" w:sz="4" w:space="0" w:color="auto"/>
            </w:tcBorders>
            <w:noWrap/>
            <w:vAlign w:val="center"/>
            <w:hideMark/>
          </w:tcPr>
          <w:p w14:paraId="04BC4DB1" w14:textId="77777777" w:rsidR="007D58FF" w:rsidRPr="00574088" w:rsidRDefault="007D58FF" w:rsidP="00893161">
            <w:pPr>
              <w:pStyle w:val="Paragraph"/>
              <w:spacing w:after="0"/>
              <w:jc w:val="center"/>
              <w:rPr>
                <w:sz w:val="22"/>
                <w:szCs w:val="22"/>
              </w:rPr>
            </w:pPr>
            <w:r w:rsidRPr="00574088">
              <w:rPr>
                <w:sz w:val="22"/>
                <w:szCs w:val="22"/>
              </w:rPr>
              <w:t>12.37</w:t>
            </w:r>
          </w:p>
        </w:tc>
        <w:tc>
          <w:tcPr>
            <w:tcW w:w="811" w:type="dxa"/>
            <w:tcBorders>
              <w:top w:val="single" w:sz="4" w:space="0" w:color="auto"/>
            </w:tcBorders>
            <w:noWrap/>
            <w:vAlign w:val="center"/>
            <w:hideMark/>
          </w:tcPr>
          <w:p w14:paraId="46FD2F08" w14:textId="77777777" w:rsidR="007D58FF" w:rsidRPr="00574088" w:rsidRDefault="007D58FF" w:rsidP="00893161">
            <w:pPr>
              <w:pStyle w:val="Paragraph"/>
              <w:spacing w:after="0"/>
              <w:jc w:val="center"/>
              <w:rPr>
                <w:sz w:val="22"/>
                <w:szCs w:val="22"/>
              </w:rPr>
            </w:pPr>
            <w:r w:rsidRPr="00574088">
              <w:rPr>
                <w:sz w:val="22"/>
                <w:szCs w:val="22"/>
              </w:rPr>
              <w:t>5.12</w:t>
            </w:r>
          </w:p>
        </w:tc>
        <w:tc>
          <w:tcPr>
            <w:tcW w:w="601" w:type="dxa"/>
            <w:tcBorders>
              <w:top w:val="single" w:sz="4" w:space="0" w:color="auto"/>
            </w:tcBorders>
            <w:noWrap/>
            <w:vAlign w:val="center"/>
            <w:hideMark/>
          </w:tcPr>
          <w:p w14:paraId="7A02146E" w14:textId="77777777" w:rsidR="007D58FF" w:rsidRPr="00574088" w:rsidRDefault="007D58FF" w:rsidP="00893161">
            <w:pPr>
              <w:pStyle w:val="Paragraph"/>
              <w:spacing w:after="0"/>
              <w:jc w:val="center"/>
              <w:rPr>
                <w:sz w:val="22"/>
                <w:szCs w:val="22"/>
              </w:rPr>
            </w:pPr>
            <w:r w:rsidRPr="00574088">
              <w:rPr>
                <w:sz w:val="22"/>
                <w:szCs w:val="22"/>
              </w:rPr>
              <w:t>0.27</w:t>
            </w:r>
          </w:p>
        </w:tc>
      </w:tr>
      <w:tr w:rsidR="007D58FF" w:rsidRPr="00574088" w14:paraId="7C8FFC97" w14:textId="77777777" w:rsidTr="00893161">
        <w:trPr>
          <w:trHeight w:val="80"/>
          <w:jc w:val="center"/>
        </w:trPr>
        <w:tc>
          <w:tcPr>
            <w:tcW w:w="1584" w:type="dxa"/>
            <w:vMerge/>
            <w:noWrap/>
            <w:vAlign w:val="center"/>
          </w:tcPr>
          <w:p w14:paraId="11E8076D" w14:textId="77777777" w:rsidR="007D58FF" w:rsidRPr="00574088" w:rsidRDefault="007D58FF" w:rsidP="00893161">
            <w:pPr>
              <w:pStyle w:val="Paragraph"/>
              <w:spacing w:after="0"/>
              <w:jc w:val="center"/>
              <w:rPr>
                <w:sz w:val="22"/>
                <w:szCs w:val="22"/>
              </w:rPr>
            </w:pPr>
          </w:p>
        </w:tc>
        <w:tc>
          <w:tcPr>
            <w:tcW w:w="1152" w:type="dxa"/>
            <w:noWrap/>
            <w:vAlign w:val="center"/>
            <w:hideMark/>
          </w:tcPr>
          <w:p w14:paraId="0D71A396" w14:textId="77777777" w:rsidR="007D58FF" w:rsidRPr="00574088" w:rsidRDefault="007D58FF" w:rsidP="00893161">
            <w:pPr>
              <w:pStyle w:val="Paragraph"/>
              <w:spacing w:after="0"/>
              <w:jc w:val="center"/>
              <w:rPr>
                <w:sz w:val="22"/>
                <w:szCs w:val="22"/>
              </w:rPr>
            </w:pPr>
            <w:r w:rsidRPr="00574088">
              <w:rPr>
                <w:sz w:val="22"/>
                <w:szCs w:val="22"/>
              </w:rPr>
              <w:t>Max</w:t>
            </w:r>
          </w:p>
        </w:tc>
        <w:tc>
          <w:tcPr>
            <w:tcW w:w="742" w:type="dxa"/>
            <w:noWrap/>
            <w:vAlign w:val="center"/>
            <w:hideMark/>
          </w:tcPr>
          <w:p w14:paraId="5B9D73CD" w14:textId="77777777" w:rsidR="007D58FF" w:rsidRPr="00574088" w:rsidRDefault="007D58FF" w:rsidP="00893161">
            <w:pPr>
              <w:pStyle w:val="Paragraph"/>
              <w:spacing w:after="0"/>
              <w:jc w:val="center"/>
              <w:rPr>
                <w:sz w:val="22"/>
                <w:szCs w:val="22"/>
              </w:rPr>
            </w:pPr>
            <w:r w:rsidRPr="00574088">
              <w:rPr>
                <w:sz w:val="22"/>
                <w:szCs w:val="22"/>
              </w:rPr>
              <w:t>17.33</w:t>
            </w:r>
          </w:p>
        </w:tc>
        <w:tc>
          <w:tcPr>
            <w:tcW w:w="811" w:type="dxa"/>
            <w:noWrap/>
            <w:vAlign w:val="center"/>
            <w:hideMark/>
          </w:tcPr>
          <w:p w14:paraId="42707629" w14:textId="77777777" w:rsidR="007D58FF" w:rsidRPr="00574088" w:rsidRDefault="007D58FF" w:rsidP="00893161">
            <w:pPr>
              <w:pStyle w:val="Paragraph"/>
              <w:spacing w:after="0"/>
              <w:jc w:val="center"/>
              <w:rPr>
                <w:sz w:val="22"/>
                <w:szCs w:val="22"/>
              </w:rPr>
            </w:pPr>
            <w:r w:rsidRPr="00574088">
              <w:rPr>
                <w:sz w:val="22"/>
                <w:szCs w:val="22"/>
              </w:rPr>
              <w:t>7.17</w:t>
            </w:r>
          </w:p>
        </w:tc>
        <w:tc>
          <w:tcPr>
            <w:tcW w:w="601" w:type="dxa"/>
            <w:noWrap/>
            <w:vAlign w:val="center"/>
            <w:hideMark/>
          </w:tcPr>
          <w:p w14:paraId="6F71D1F1" w14:textId="77777777" w:rsidR="007D58FF" w:rsidRPr="00574088" w:rsidRDefault="007D58FF" w:rsidP="00893161">
            <w:pPr>
              <w:pStyle w:val="Paragraph"/>
              <w:spacing w:after="0"/>
              <w:jc w:val="center"/>
              <w:rPr>
                <w:sz w:val="22"/>
                <w:szCs w:val="22"/>
              </w:rPr>
            </w:pPr>
            <w:r w:rsidRPr="00574088">
              <w:rPr>
                <w:sz w:val="22"/>
                <w:szCs w:val="22"/>
              </w:rPr>
              <w:t>0.30</w:t>
            </w:r>
          </w:p>
        </w:tc>
      </w:tr>
      <w:tr w:rsidR="007D58FF" w:rsidRPr="00574088" w14:paraId="7A016514" w14:textId="77777777" w:rsidTr="00893161">
        <w:trPr>
          <w:trHeight w:val="70"/>
          <w:jc w:val="center"/>
        </w:trPr>
        <w:tc>
          <w:tcPr>
            <w:tcW w:w="1584" w:type="dxa"/>
            <w:vMerge/>
            <w:noWrap/>
            <w:vAlign w:val="center"/>
          </w:tcPr>
          <w:p w14:paraId="3ADA1861" w14:textId="77777777" w:rsidR="007D58FF" w:rsidRPr="00574088" w:rsidRDefault="007D58FF" w:rsidP="00893161">
            <w:pPr>
              <w:pStyle w:val="Paragraph"/>
              <w:spacing w:after="0"/>
              <w:jc w:val="center"/>
              <w:rPr>
                <w:sz w:val="22"/>
                <w:szCs w:val="22"/>
              </w:rPr>
            </w:pPr>
          </w:p>
        </w:tc>
        <w:tc>
          <w:tcPr>
            <w:tcW w:w="1152" w:type="dxa"/>
            <w:noWrap/>
            <w:vAlign w:val="center"/>
            <w:hideMark/>
          </w:tcPr>
          <w:p w14:paraId="5BE60DE3" w14:textId="77777777" w:rsidR="007D58FF" w:rsidRPr="00574088" w:rsidRDefault="007D58FF" w:rsidP="00893161">
            <w:pPr>
              <w:pStyle w:val="Paragraph"/>
              <w:spacing w:after="0"/>
              <w:jc w:val="center"/>
              <w:rPr>
                <w:sz w:val="22"/>
                <w:szCs w:val="22"/>
              </w:rPr>
            </w:pPr>
            <w:r w:rsidRPr="00574088">
              <w:rPr>
                <w:sz w:val="22"/>
                <w:szCs w:val="22"/>
              </w:rPr>
              <w:t>Min</w:t>
            </w:r>
          </w:p>
        </w:tc>
        <w:tc>
          <w:tcPr>
            <w:tcW w:w="742" w:type="dxa"/>
            <w:noWrap/>
            <w:vAlign w:val="center"/>
            <w:hideMark/>
          </w:tcPr>
          <w:p w14:paraId="23AFB6B3" w14:textId="77777777" w:rsidR="007D58FF" w:rsidRPr="00574088" w:rsidRDefault="007D58FF" w:rsidP="00893161">
            <w:pPr>
              <w:pStyle w:val="Paragraph"/>
              <w:spacing w:after="0"/>
              <w:jc w:val="center"/>
              <w:rPr>
                <w:sz w:val="22"/>
                <w:szCs w:val="22"/>
              </w:rPr>
            </w:pPr>
            <w:r w:rsidRPr="00574088">
              <w:rPr>
                <w:sz w:val="22"/>
                <w:szCs w:val="22"/>
              </w:rPr>
              <w:t>8.83</w:t>
            </w:r>
          </w:p>
        </w:tc>
        <w:tc>
          <w:tcPr>
            <w:tcW w:w="811" w:type="dxa"/>
            <w:noWrap/>
            <w:vAlign w:val="center"/>
            <w:hideMark/>
          </w:tcPr>
          <w:p w14:paraId="2700C6D2" w14:textId="77777777" w:rsidR="007D58FF" w:rsidRPr="00574088" w:rsidRDefault="007D58FF" w:rsidP="00893161">
            <w:pPr>
              <w:pStyle w:val="Paragraph"/>
              <w:spacing w:after="0"/>
              <w:jc w:val="center"/>
              <w:rPr>
                <w:sz w:val="22"/>
                <w:szCs w:val="22"/>
              </w:rPr>
            </w:pPr>
            <w:r w:rsidRPr="00574088">
              <w:rPr>
                <w:sz w:val="22"/>
                <w:szCs w:val="22"/>
              </w:rPr>
              <w:t>3.66</w:t>
            </w:r>
          </w:p>
        </w:tc>
        <w:tc>
          <w:tcPr>
            <w:tcW w:w="601" w:type="dxa"/>
            <w:noWrap/>
            <w:vAlign w:val="center"/>
            <w:hideMark/>
          </w:tcPr>
          <w:p w14:paraId="63D83F4D" w14:textId="77777777" w:rsidR="007D58FF" w:rsidRPr="00574088" w:rsidRDefault="007D58FF" w:rsidP="00893161">
            <w:pPr>
              <w:pStyle w:val="Paragraph"/>
              <w:spacing w:after="0"/>
              <w:jc w:val="center"/>
              <w:rPr>
                <w:sz w:val="22"/>
                <w:szCs w:val="22"/>
              </w:rPr>
            </w:pPr>
            <w:r w:rsidRPr="00574088">
              <w:rPr>
                <w:sz w:val="22"/>
                <w:szCs w:val="22"/>
              </w:rPr>
              <w:t>0.25</w:t>
            </w:r>
          </w:p>
        </w:tc>
      </w:tr>
      <w:tr w:rsidR="007D58FF" w:rsidRPr="00574088" w14:paraId="5019B37A" w14:textId="77777777" w:rsidTr="00893161">
        <w:trPr>
          <w:trHeight w:val="70"/>
          <w:jc w:val="center"/>
        </w:trPr>
        <w:tc>
          <w:tcPr>
            <w:tcW w:w="1584" w:type="dxa"/>
            <w:vMerge/>
            <w:noWrap/>
            <w:vAlign w:val="center"/>
            <w:hideMark/>
          </w:tcPr>
          <w:p w14:paraId="228FB6FD" w14:textId="77777777" w:rsidR="007D58FF" w:rsidRPr="00574088" w:rsidRDefault="007D58FF" w:rsidP="00893161">
            <w:pPr>
              <w:pStyle w:val="Paragraph"/>
              <w:spacing w:after="0"/>
              <w:jc w:val="center"/>
              <w:rPr>
                <w:sz w:val="22"/>
                <w:szCs w:val="22"/>
              </w:rPr>
            </w:pPr>
          </w:p>
        </w:tc>
        <w:tc>
          <w:tcPr>
            <w:tcW w:w="1152" w:type="dxa"/>
            <w:noWrap/>
            <w:vAlign w:val="center"/>
            <w:hideMark/>
          </w:tcPr>
          <w:p w14:paraId="7E6BD229" w14:textId="77777777" w:rsidR="007D58FF" w:rsidRPr="00574088" w:rsidRDefault="007D58FF" w:rsidP="00893161">
            <w:pPr>
              <w:pStyle w:val="Paragraph"/>
              <w:spacing w:after="0"/>
              <w:jc w:val="center"/>
              <w:rPr>
                <w:sz w:val="22"/>
                <w:szCs w:val="22"/>
              </w:rPr>
            </w:pPr>
            <w:r w:rsidRPr="00574088">
              <w:rPr>
                <w:sz w:val="22"/>
                <w:szCs w:val="22"/>
              </w:rPr>
              <w:t>Std. Dev.</w:t>
            </w:r>
          </w:p>
        </w:tc>
        <w:tc>
          <w:tcPr>
            <w:tcW w:w="742" w:type="dxa"/>
            <w:noWrap/>
            <w:vAlign w:val="center"/>
            <w:hideMark/>
          </w:tcPr>
          <w:p w14:paraId="096A6F53" w14:textId="77777777" w:rsidR="007D58FF" w:rsidRPr="00574088" w:rsidRDefault="007D58FF" w:rsidP="00893161">
            <w:pPr>
              <w:pStyle w:val="Paragraph"/>
              <w:spacing w:after="0"/>
              <w:jc w:val="center"/>
              <w:rPr>
                <w:sz w:val="22"/>
                <w:szCs w:val="22"/>
              </w:rPr>
            </w:pPr>
            <w:r w:rsidRPr="00574088">
              <w:rPr>
                <w:sz w:val="22"/>
                <w:szCs w:val="22"/>
              </w:rPr>
              <w:t>1.52</w:t>
            </w:r>
          </w:p>
        </w:tc>
        <w:tc>
          <w:tcPr>
            <w:tcW w:w="811" w:type="dxa"/>
            <w:noWrap/>
            <w:vAlign w:val="center"/>
            <w:hideMark/>
          </w:tcPr>
          <w:p w14:paraId="533D8384" w14:textId="77777777" w:rsidR="007D58FF" w:rsidRPr="00574088" w:rsidRDefault="007D58FF" w:rsidP="00893161">
            <w:pPr>
              <w:pStyle w:val="Paragraph"/>
              <w:spacing w:after="0"/>
              <w:jc w:val="center"/>
              <w:rPr>
                <w:sz w:val="22"/>
                <w:szCs w:val="22"/>
              </w:rPr>
            </w:pPr>
            <w:r w:rsidRPr="00574088">
              <w:rPr>
                <w:sz w:val="22"/>
                <w:szCs w:val="22"/>
              </w:rPr>
              <w:t>0.63</w:t>
            </w:r>
          </w:p>
        </w:tc>
        <w:tc>
          <w:tcPr>
            <w:tcW w:w="601" w:type="dxa"/>
            <w:noWrap/>
            <w:vAlign w:val="center"/>
            <w:hideMark/>
          </w:tcPr>
          <w:p w14:paraId="79EB39EA" w14:textId="77777777" w:rsidR="007D58FF" w:rsidRPr="00574088" w:rsidRDefault="007D58FF" w:rsidP="00893161">
            <w:pPr>
              <w:pStyle w:val="Paragraph"/>
              <w:spacing w:after="0"/>
              <w:jc w:val="center"/>
              <w:rPr>
                <w:sz w:val="22"/>
                <w:szCs w:val="22"/>
              </w:rPr>
            </w:pPr>
            <w:r w:rsidRPr="00574088">
              <w:rPr>
                <w:sz w:val="22"/>
                <w:szCs w:val="22"/>
              </w:rPr>
              <w:t>0.01</w:t>
            </w:r>
          </w:p>
        </w:tc>
      </w:tr>
    </w:tbl>
    <w:p w14:paraId="050737B3" w14:textId="77777777" w:rsidR="007D58FF" w:rsidRDefault="007D58FF" w:rsidP="007D58FF">
      <w:pPr>
        <w:ind w:firstLine="720"/>
      </w:pPr>
    </w:p>
    <w:p w14:paraId="00F0827B" w14:textId="77777777" w:rsidR="007D58FF" w:rsidRDefault="007D58FF" w:rsidP="007D58FF">
      <w:pPr>
        <w:ind w:firstLine="720"/>
      </w:pPr>
      <w:r w:rsidRPr="007D5F9B">
        <w:t>The initial mechanical and thermal loads within the wellbore (</w:t>
      </w:r>
      <m:oMath>
        <m:r>
          <w:rPr>
            <w:rFonts w:ascii="Cambria Math" w:hAnsi="Cambria Math"/>
          </w:rPr>
          <m:t>MW</m:t>
        </m:r>
      </m:oMath>
      <w:r w:rsidRPr="007D5F9B">
        <w:t xml:space="preserve"> and </w:t>
      </w:r>
      <m:oMath>
        <m:sSub>
          <m:sSubPr>
            <m:ctrlPr>
              <w:rPr>
                <w:rFonts w:ascii="Cambria Math" w:hAnsi="Cambria Math"/>
                <w:i/>
              </w:rPr>
            </m:ctrlPr>
          </m:sSubPr>
          <m:e>
            <m:r>
              <w:rPr>
                <w:rFonts w:ascii="Cambria Math" w:hAnsi="Cambria Math"/>
              </w:rPr>
              <m:t>T</m:t>
            </m:r>
          </m:e>
          <m:sub>
            <m:r>
              <w:rPr>
                <w:rFonts w:ascii="Cambria Math" w:hAnsi="Cambria Math"/>
              </w:rPr>
              <m:t>i</m:t>
            </m:r>
          </m:sub>
        </m:sSub>
      </m:oMath>
      <w:r w:rsidRPr="007D5F9B">
        <w:t xml:space="preserve">, respectively) were determined from the </w:t>
      </w:r>
      <w:r>
        <w:t>drilling</w:t>
      </w:r>
      <w:r w:rsidRPr="007D5F9B">
        <w:t xml:space="preserve"> report.  </w:t>
      </w:r>
    </w:p>
    <w:p w14:paraId="52727609" w14:textId="03AE782B" w:rsidR="00D465CB" w:rsidRDefault="007D58FF" w:rsidP="00B92BF4">
      <w:pPr>
        <w:ind w:firstLine="720"/>
        <w:rPr>
          <w:rFonts w:cs="Times New Roman"/>
        </w:rPr>
      </w:pPr>
      <w:r>
        <w:t xml:space="preserve">The mechanical properties for the case study </w:t>
      </w:r>
      <w:r w:rsidRPr="00B92BF4">
        <w:t>well (API# 427094116400) are listed in Table 4.</w:t>
      </w:r>
      <w:r w:rsidR="00B92BF4">
        <w:t>6</w:t>
      </w:r>
      <w:r w:rsidRPr="00B92BF4">
        <w:t xml:space="preserve"> including the source(s) of the values. </w:t>
      </w:r>
      <w:r w:rsidRPr="00B92BF4">
        <w:rPr>
          <w:rFonts w:cs="Times New Roman"/>
        </w:rPr>
        <w:t>The simulation depth was chosen to be the depth of the deepest casing string prior to the production zones in</w:t>
      </w:r>
      <w:r>
        <w:rPr>
          <w:rFonts w:cs="Times New Roman"/>
        </w:rPr>
        <w:t xml:space="preserve"> the well. At this location, the cement sheath is assumed to be intact and not damaged from perforations. The TD of the well would not be relevant for modeling cement sheath integrity due to the fact that it is below perforations and production zone and not acting as a primary barrier in preventing hydrocarbon migration or fresh water contamination. Methane gas and water were ch</w:t>
      </w:r>
      <w:r w:rsidR="00B92BF4">
        <w:rPr>
          <w:rFonts w:cs="Times New Roman"/>
        </w:rPr>
        <w:t>osen as the leakage fluids.</w:t>
      </w:r>
    </w:p>
    <w:p w14:paraId="2A8FBFCE" w14:textId="77777777" w:rsidR="0079044E" w:rsidRDefault="0079044E">
      <w:pPr>
        <w:spacing w:after="160" w:line="259" w:lineRule="auto"/>
        <w:jc w:val="left"/>
        <w:rPr>
          <w:b/>
          <w:iCs/>
          <w:color w:val="000000" w:themeColor="text1"/>
          <w:sz w:val="20"/>
          <w:szCs w:val="18"/>
        </w:rPr>
      </w:pPr>
      <w:r>
        <w:br w:type="page"/>
      </w:r>
    </w:p>
    <w:p w14:paraId="7A9A97A8" w14:textId="72E32312" w:rsidR="007D58FF" w:rsidRDefault="007D58FF" w:rsidP="00BC23AD">
      <w:pPr>
        <w:pStyle w:val="Caption"/>
      </w:pPr>
      <w:bookmarkStart w:id="112" w:name="_Toc67566094"/>
      <w:r>
        <w:lastRenderedPageBreak/>
        <w:t xml:space="preserve">Table </w:t>
      </w:r>
      <w:r w:rsidR="00077C0B">
        <w:fldChar w:fldCharType="begin"/>
      </w:r>
      <w:r w:rsidR="00077C0B">
        <w:instrText xml:space="preserve"> STYLEREF 1 \s </w:instrText>
      </w:r>
      <w:r w:rsidR="00077C0B">
        <w:fldChar w:fldCharType="separate"/>
      </w:r>
      <w:r w:rsidR="0006023A">
        <w:rPr>
          <w:noProof/>
        </w:rPr>
        <w:t>4</w:t>
      </w:r>
      <w:r w:rsidR="00077C0B">
        <w:rPr>
          <w:noProof/>
        </w:rPr>
        <w:fldChar w:fldCharType="end"/>
      </w:r>
      <w:r w:rsidR="00DD1F74">
        <w:t>.</w:t>
      </w:r>
      <w:r w:rsidR="00077C0B">
        <w:fldChar w:fldCharType="begin"/>
      </w:r>
      <w:r w:rsidR="00077C0B">
        <w:instrText xml:space="preserve"> SEQ Table \* ARABIC \s 1 </w:instrText>
      </w:r>
      <w:r w:rsidR="00077C0B">
        <w:fldChar w:fldCharType="separate"/>
      </w:r>
      <w:r w:rsidR="0006023A">
        <w:rPr>
          <w:noProof/>
        </w:rPr>
        <w:t>6</w:t>
      </w:r>
      <w:r w:rsidR="00077C0B">
        <w:rPr>
          <w:noProof/>
        </w:rPr>
        <w:fldChar w:fldCharType="end"/>
      </w:r>
      <w:r>
        <w:t>: Parameters for the case well (API# 427094116400) in the High Island OPD and the source of their value(s).</w:t>
      </w:r>
      <w:bookmarkEnd w:id="112"/>
    </w:p>
    <w:tbl>
      <w:tblPr>
        <w:tblStyle w:val="TableGrid"/>
        <w:tblW w:w="612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9"/>
        <w:gridCol w:w="2448"/>
        <w:gridCol w:w="1296"/>
        <w:gridCol w:w="705"/>
      </w:tblGrid>
      <w:tr w:rsidR="007D58FF" w:rsidRPr="00531A4E" w14:paraId="1DAABC35" w14:textId="77777777" w:rsidTr="00893161">
        <w:trPr>
          <w:trHeight w:val="20"/>
          <w:jc w:val="center"/>
        </w:trPr>
        <w:tc>
          <w:tcPr>
            <w:tcW w:w="1679" w:type="dxa"/>
            <w:tcBorders>
              <w:bottom w:val="single" w:sz="4" w:space="0" w:color="auto"/>
              <w:right w:val="single" w:sz="4" w:space="0" w:color="auto"/>
            </w:tcBorders>
          </w:tcPr>
          <w:p w14:paraId="17B8FAE6" w14:textId="77777777" w:rsidR="007D58FF" w:rsidRPr="00531A4E" w:rsidRDefault="007D58FF" w:rsidP="00893161">
            <w:pPr>
              <w:pStyle w:val="Paragraph"/>
              <w:spacing w:after="0"/>
              <w:jc w:val="center"/>
              <w:rPr>
                <w:sz w:val="22"/>
                <w:szCs w:val="22"/>
              </w:rPr>
            </w:pPr>
          </w:p>
        </w:tc>
        <w:tc>
          <w:tcPr>
            <w:tcW w:w="2448" w:type="dxa"/>
            <w:tcBorders>
              <w:left w:val="single" w:sz="4" w:space="0" w:color="auto"/>
              <w:bottom w:val="single" w:sz="4" w:space="0" w:color="auto"/>
              <w:right w:val="single" w:sz="4" w:space="0" w:color="auto"/>
            </w:tcBorders>
            <w:vAlign w:val="center"/>
            <w:hideMark/>
          </w:tcPr>
          <w:p w14:paraId="2E7E0E91" w14:textId="77777777" w:rsidR="007D58FF" w:rsidRPr="00531A4E" w:rsidRDefault="007D58FF" w:rsidP="00893161">
            <w:pPr>
              <w:pStyle w:val="Paragraph"/>
              <w:spacing w:after="0"/>
              <w:jc w:val="center"/>
              <w:rPr>
                <w:sz w:val="22"/>
                <w:szCs w:val="22"/>
              </w:rPr>
            </w:pPr>
            <w:r w:rsidRPr="00531A4E">
              <w:rPr>
                <w:sz w:val="22"/>
                <w:szCs w:val="22"/>
              </w:rPr>
              <w:t>Parameter</w:t>
            </w:r>
          </w:p>
        </w:tc>
        <w:tc>
          <w:tcPr>
            <w:tcW w:w="1296" w:type="dxa"/>
            <w:tcBorders>
              <w:left w:val="single" w:sz="4" w:space="0" w:color="auto"/>
              <w:bottom w:val="single" w:sz="4" w:space="0" w:color="auto"/>
              <w:right w:val="single" w:sz="4" w:space="0" w:color="auto"/>
            </w:tcBorders>
            <w:noWrap/>
            <w:vAlign w:val="center"/>
            <w:hideMark/>
          </w:tcPr>
          <w:p w14:paraId="35018F51" w14:textId="77777777" w:rsidR="007D58FF" w:rsidRPr="00531A4E" w:rsidRDefault="007D58FF" w:rsidP="00893161">
            <w:pPr>
              <w:pStyle w:val="Paragraph"/>
              <w:spacing w:after="0"/>
              <w:jc w:val="center"/>
              <w:rPr>
                <w:sz w:val="22"/>
                <w:szCs w:val="22"/>
              </w:rPr>
            </w:pPr>
            <w:r w:rsidRPr="00531A4E">
              <w:rPr>
                <w:sz w:val="22"/>
                <w:szCs w:val="22"/>
              </w:rPr>
              <w:t xml:space="preserve">Value </w:t>
            </w:r>
          </w:p>
        </w:tc>
        <w:tc>
          <w:tcPr>
            <w:tcW w:w="705" w:type="dxa"/>
            <w:tcBorders>
              <w:left w:val="single" w:sz="4" w:space="0" w:color="auto"/>
              <w:bottom w:val="single" w:sz="4" w:space="0" w:color="auto"/>
            </w:tcBorders>
            <w:noWrap/>
            <w:vAlign w:val="center"/>
            <w:hideMark/>
          </w:tcPr>
          <w:p w14:paraId="17E3EA93" w14:textId="77777777" w:rsidR="007D58FF" w:rsidRPr="00531A4E" w:rsidRDefault="007D58FF" w:rsidP="00893161">
            <w:pPr>
              <w:pStyle w:val="Paragraph"/>
              <w:spacing w:after="0"/>
              <w:jc w:val="center"/>
              <w:rPr>
                <w:sz w:val="22"/>
                <w:szCs w:val="22"/>
              </w:rPr>
            </w:pPr>
          </w:p>
        </w:tc>
      </w:tr>
      <w:tr w:rsidR="007D58FF" w:rsidRPr="003249A2" w14:paraId="2D77B326" w14:textId="77777777" w:rsidTr="00893161">
        <w:trPr>
          <w:trHeight w:val="20"/>
          <w:jc w:val="center"/>
        </w:trPr>
        <w:tc>
          <w:tcPr>
            <w:tcW w:w="1679" w:type="dxa"/>
            <w:tcBorders>
              <w:top w:val="single" w:sz="4" w:space="0" w:color="auto"/>
              <w:right w:val="single" w:sz="4" w:space="0" w:color="auto"/>
            </w:tcBorders>
          </w:tcPr>
          <w:p w14:paraId="3A02F693" w14:textId="77777777" w:rsidR="007D58FF" w:rsidRPr="00531A4E" w:rsidRDefault="007D58FF" w:rsidP="00893161">
            <w:pPr>
              <w:pStyle w:val="Paragraph"/>
              <w:spacing w:after="0"/>
              <w:rPr>
                <w:sz w:val="22"/>
                <w:szCs w:val="22"/>
              </w:rPr>
            </w:pPr>
          </w:p>
        </w:tc>
        <w:tc>
          <w:tcPr>
            <w:tcW w:w="2448" w:type="dxa"/>
            <w:tcBorders>
              <w:top w:val="single" w:sz="4" w:space="0" w:color="auto"/>
              <w:left w:val="single" w:sz="4" w:space="0" w:color="auto"/>
              <w:right w:val="single" w:sz="4" w:space="0" w:color="auto"/>
            </w:tcBorders>
            <w:vAlign w:val="center"/>
            <w:hideMark/>
          </w:tcPr>
          <w:p w14:paraId="1EBA3D85" w14:textId="77777777" w:rsidR="007D58FF" w:rsidRPr="00531A4E" w:rsidRDefault="007D58FF" w:rsidP="00893161">
            <w:pPr>
              <w:pStyle w:val="Paragraph"/>
              <w:spacing w:after="0"/>
              <w:rPr>
                <w:sz w:val="22"/>
                <w:szCs w:val="22"/>
              </w:rPr>
            </w:pPr>
            <m:oMath>
              <m:r>
                <w:rPr>
                  <w:rFonts w:ascii="Cambria Math" w:hAnsi="Cambria Math"/>
                  <w:sz w:val="22"/>
                  <w:szCs w:val="22"/>
                </w:rPr>
                <m:t>TVD</m:t>
              </m:r>
            </m:oMath>
            <w:r w:rsidRPr="00531A4E">
              <w:rPr>
                <w:sz w:val="22"/>
                <w:szCs w:val="22"/>
              </w:rPr>
              <w:t xml:space="preserve"> (m)</w:t>
            </w:r>
          </w:p>
        </w:tc>
        <w:tc>
          <w:tcPr>
            <w:tcW w:w="1296" w:type="dxa"/>
            <w:tcBorders>
              <w:top w:val="single" w:sz="4" w:space="0" w:color="auto"/>
              <w:left w:val="single" w:sz="4" w:space="0" w:color="auto"/>
              <w:right w:val="single" w:sz="4" w:space="0" w:color="auto"/>
            </w:tcBorders>
            <w:noWrap/>
            <w:vAlign w:val="center"/>
          </w:tcPr>
          <w:p w14:paraId="69D6E22B" w14:textId="77777777" w:rsidR="007D58FF" w:rsidRPr="00531A4E" w:rsidRDefault="007D58FF" w:rsidP="00893161">
            <w:pPr>
              <w:pStyle w:val="Paragraph"/>
              <w:spacing w:after="0"/>
              <w:jc w:val="center"/>
              <w:rPr>
                <w:sz w:val="22"/>
                <w:szCs w:val="22"/>
              </w:rPr>
            </w:pPr>
            <w:r w:rsidRPr="00531A4E">
              <w:rPr>
                <w:sz w:val="22"/>
                <w:szCs w:val="22"/>
              </w:rPr>
              <w:t>2,623</w:t>
            </w:r>
          </w:p>
        </w:tc>
        <w:tc>
          <w:tcPr>
            <w:tcW w:w="705" w:type="dxa"/>
            <w:tcBorders>
              <w:top w:val="single" w:sz="4" w:space="0" w:color="auto"/>
              <w:left w:val="single" w:sz="4" w:space="0" w:color="auto"/>
            </w:tcBorders>
            <w:noWrap/>
            <w:vAlign w:val="center"/>
          </w:tcPr>
          <w:p w14:paraId="73AF7711" w14:textId="77777777" w:rsidR="007D58FF" w:rsidRPr="00610B0A" w:rsidRDefault="007D58FF" w:rsidP="00893161">
            <w:pPr>
              <w:pStyle w:val="Paragraph"/>
              <w:spacing w:after="0"/>
              <w:jc w:val="center"/>
              <w:rPr>
                <w:sz w:val="22"/>
                <w:szCs w:val="22"/>
                <w:vertAlign w:val="superscript"/>
              </w:rPr>
            </w:pPr>
            <w:r w:rsidRPr="00610B0A">
              <w:rPr>
                <w:sz w:val="22"/>
                <w:szCs w:val="22"/>
                <w:vertAlign w:val="superscript"/>
              </w:rPr>
              <w:t>1</w:t>
            </w:r>
          </w:p>
        </w:tc>
      </w:tr>
      <w:tr w:rsidR="007D58FF" w:rsidRPr="003249A2" w14:paraId="3B5F0C70" w14:textId="77777777" w:rsidTr="00893161">
        <w:trPr>
          <w:trHeight w:val="20"/>
          <w:jc w:val="center"/>
        </w:trPr>
        <w:tc>
          <w:tcPr>
            <w:tcW w:w="1679" w:type="dxa"/>
            <w:tcBorders>
              <w:bottom w:val="single" w:sz="4" w:space="0" w:color="auto"/>
              <w:right w:val="single" w:sz="4" w:space="0" w:color="auto"/>
            </w:tcBorders>
          </w:tcPr>
          <w:p w14:paraId="642088E7" w14:textId="77777777" w:rsidR="007D58FF" w:rsidRPr="00531A4E" w:rsidRDefault="007D58FF" w:rsidP="00893161">
            <w:pPr>
              <w:pStyle w:val="Paragraph"/>
              <w:spacing w:after="0"/>
              <w:rPr>
                <w:sz w:val="22"/>
                <w:szCs w:val="22"/>
              </w:rPr>
            </w:pPr>
          </w:p>
        </w:tc>
        <w:tc>
          <w:tcPr>
            <w:tcW w:w="2448" w:type="dxa"/>
            <w:tcBorders>
              <w:left w:val="single" w:sz="4" w:space="0" w:color="auto"/>
              <w:bottom w:val="single" w:sz="4" w:space="0" w:color="auto"/>
              <w:right w:val="single" w:sz="4" w:space="0" w:color="auto"/>
            </w:tcBorders>
            <w:vAlign w:val="center"/>
            <w:hideMark/>
          </w:tcPr>
          <w:p w14:paraId="4F30E66D" w14:textId="77777777" w:rsidR="007D58FF" w:rsidRPr="00531A4E" w:rsidRDefault="007D58FF" w:rsidP="00893161">
            <w:pPr>
              <w:pStyle w:val="Paragraph"/>
              <w:spacing w:after="0"/>
              <w:rPr>
                <w:sz w:val="22"/>
                <w:szCs w:val="22"/>
              </w:rPr>
            </w:pPr>
            <m:oMath>
              <m:r>
                <w:rPr>
                  <w:rFonts w:ascii="Cambria Math" w:hAnsi="Cambria Math"/>
                  <w:sz w:val="22"/>
                  <w:szCs w:val="22"/>
                </w:rPr>
                <m:t>Simulation Depth</m:t>
              </m:r>
            </m:oMath>
            <w:r w:rsidRPr="00531A4E">
              <w:rPr>
                <w:sz w:val="22"/>
                <w:szCs w:val="22"/>
              </w:rPr>
              <w:t xml:space="preserve"> (m)</w:t>
            </w:r>
          </w:p>
        </w:tc>
        <w:tc>
          <w:tcPr>
            <w:tcW w:w="1296" w:type="dxa"/>
            <w:tcBorders>
              <w:left w:val="single" w:sz="4" w:space="0" w:color="auto"/>
              <w:bottom w:val="single" w:sz="4" w:space="0" w:color="auto"/>
              <w:right w:val="single" w:sz="4" w:space="0" w:color="auto"/>
            </w:tcBorders>
            <w:noWrap/>
            <w:vAlign w:val="center"/>
          </w:tcPr>
          <w:p w14:paraId="2204BBA4" w14:textId="77777777" w:rsidR="007D58FF" w:rsidRPr="00531A4E" w:rsidRDefault="007D58FF" w:rsidP="00893161">
            <w:pPr>
              <w:pStyle w:val="Paragraph"/>
              <w:spacing w:after="0"/>
              <w:jc w:val="center"/>
              <w:rPr>
                <w:sz w:val="22"/>
                <w:szCs w:val="22"/>
              </w:rPr>
            </w:pPr>
            <w:r w:rsidRPr="00531A4E">
              <w:rPr>
                <w:sz w:val="22"/>
                <w:szCs w:val="22"/>
              </w:rPr>
              <w:t>1,920</w:t>
            </w:r>
          </w:p>
        </w:tc>
        <w:tc>
          <w:tcPr>
            <w:tcW w:w="705" w:type="dxa"/>
            <w:tcBorders>
              <w:left w:val="single" w:sz="4" w:space="0" w:color="auto"/>
              <w:bottom w:val="single" w:sz="4" w:space="0" w:color="auto"/>
            </w:tcBorders>
            <w:noWrap/>
            <w:vAlign w:val="center"/>
          </w:tcPr>
          <w:p w14:paraId="2A9F4677" w14:textId="77777777" w:rsidR="007D58FF" w:rsidRPr="00610B0A" w:rsidRDefault="007D58FF" w:rsidP="00893161">
            <w:pPr>
              <w:pStyle w:val="Paragraph"/>
              <w:spacing w:after="0"/>
              <w:jc w:val="center"/>
              <w:rPr>
                <w:sz w:val="22"/>
                <w:szCs w:val="22"/>
                <w:vertAlign w:val="superscript"/>
              </w:rPr>
            </w:pPr>
          </w:p>
        </w:tc>
      </w:tr>
      <w:tr w:rsidR="007D58FF" w:rsidRPr="003249A2" w14:paraId="39511171" w14:textId="77777777" w:rsidTr="00893161">
        <w:trPr>
          <w:trHeight w:val="20"/>
          <w:jc w:val="center"/>
        </w:trPr>
        <w:tc>
          <w:tcPr>
            <w:tcW w:w="1679" w:type="dxa"/>
            <w:vMerge w:val="restart"/>
            <w:tcBorders>
              <w:top w:val="single" w:sz="4" w:space="0" w:color="auto"/>
              <w:right w:val="single" w:sz="4" w:space="0" w:color="auto"/>
            </w:tcBorders>
            <w:vAlign w:val="center"/>
          </w:tcPr>
          <w:p w14:paraId="486CE9EC" w14:textId="77777777" w:rsidR="007D58FF" w:rsidRPr="00531A4E" w:rsidRDefault="007D58FF" w:rsidP="00893161">
            <w:pPr>
              <w:pStyle w:val="Paragraph"/>
              <w:spacing w:after="0"/>
              <w:jc w:val="center"/>
              <w:rPr>
                <w:sz w:val="22"/>
                <w:szCs w:val="22"/>
              </w:rPr>
            </w:pPr>
            <w:r w:rsidRPr="00531A4E">
              <w:rPr>
                <w:sz w:val="22"/>
                <w:szCs w:val="22"/>
              </w:rPr>
              <w:t>Dimensions</w:t>
            </w:r>
          </w:p>
        </w:tc>
        <w:tc>
          <w:tcPr>
            <w:tcW w:w="2448" w:type="dxa"/>
            <w:tcBorders>
              <w:top w:val="single" w:sz="4" w:space="0" w:color="auto"/>
              <w:left w:val="single" w:sz="4" w:space="0" w:color="auto"/>
              <w:right w:val="single" w:sz="4" w:space="0" w:color="auto"/>
            </w:tcBorders>
            <w:noWrap/>
            <w:vAlign w:val="center"/>
            <w:hideMark/>
          </w:tcPr>
          <w:p w14:paraId="1556D648" w14:textId="77777777" w:rsidR="007D58FF" w:rsidRPr="00531A4E" w:rsidRDefault="007D58FF" w:rsidP="00893161">
            <w:pPr>
              <w:pStyle w:val="Paragraph"/>
              <w:spacing w:after="0"/>
              <w:rPr>
                <w:sz w:val="22"/>
                <w:szCs w:val="22"/>
              </w:rPr>
            </w:pPr>
            <m:oMath>
              <m:r>
                <w:rPr>
                  <w:rFonts w:ascii="Cambria Math" w:hAnsi="Cambria Math"/>
                  <w:sz w:val="22"/>
                  <w:szCs w:val="22"/>
                </w:rPr>
                <m:t>Hole Size</m:t>
              </m:r>
            </m:oMath>
            <w:r w:rsidRPr="00531A4E">
              <w:rPr>
                <w:sz w:val="22"/>
                <w:szCs w:val="22"/>
              </w:rPr>
              <w:t xml:space="preserve"> (cm)</w:t>
            </w:r>
          </w:p>
        </w:tc>
        <w:tc>
          <w:tcPr>
            <w:tcW w:w="1296" w:type="dxa"/>
            <w:tcBorders>
              <w:top w:val="single" w:sz="4" w:space="0" w:color="auto"/>
              <w:left w:val="single" w:sz="4" w:space="0" w:color="auto"/>
              <w:right w:val="single" w:sz="4" w:space="0" w:color="auto"/>
            </w:tcBorders>
            <w:noWrap/>
            <w:vAlign w:val="center"/>
          </w:tcPr>
          <w:p w14:paraId="3F674FF0" w14:textId="77777777" w:rsidR="007D58FF" w:rsidRPr="00531A4E" w:rsidRDefault="007D58FF" w:rsidP="00893161">
            <w:pPr>
              <w:pStyle w:val="Paragraph"/>
              <w:spacing w:after="0"/>
              <w:jc w:val="center"/>
              <w:rPr>
                <w:sz w:val="22"/>
                <w:szCs w:val="22"/>
              </w:rPr>
            </w:pPr>
            <w:r w:rsidRPr="00531A4E">
              <w:rPr>
                <w:sz w:val="22"/>
                <w:szCs w:val="22"/>
              </w:rPr>
              <w:t>31.12</w:t>
            </w:r>
          </w:p>
        </w:tc>
        <w:tc>
          <w:tcPr>
            <w:tcW w:w="705" w:type="dxa"/>
            <w:tcBorders>
              <w:top w:val="single" w:sz="4" w:space="0" w:color="auto"/>
              <w:left w:val="single" w:sz="4" w:space="0" w:color="auto"/>
            </w:tcBorders>
            <w:noWrap/>
            <w:vAlign w:val="center"/>
          </w:tcPr>
          <w:p w14:paraId="79728479" w14:textId="77777777" w:rsidR="007D58FF" w:rsidRPr="00610B0A" w:rsidRDefault="007D58FF" w:rsidP="00893161">
            <w:pPr>
              <w:pStyle w:val="Paragraph"/>
              <w:spacing w:after="0"/>
              <w:jc w:val="center"/>
              <w:rPr>
                <w:sz w:val="22"/>
                <w:szCs w:val="22"/>
                <w:vertAlign w:val="superscript"/>
              </w:rPr>
            </w:pPr>
            <w:r w:rsidRPr="00610B0A">
              <w:rPr>
                <w:sz w:val="22"/>
                <w:szCs w:val="22"/>
                <w:vertAlign w:val="superscript"/>
              </w:rPr>
              <w:t>1</w:t>
            </w:r>
          </w:p>
        </w:tc>
      </w:tr>
      <w:tr w:rsidR="007D58FF" w:rsidRPr="003249A2" w14:paraId="7DF3F1A2" w14:textId="77777777" w:rsidTr="00893161">
        <w:trPr>
          <w:trHeight w:val="20"/>
          <w:jc w:val="center"/>
        </w:trPr>
        <w:tc>
          <w:tcPr>
            <w:tcW w:w="1679" w:type="dxa"/>
            <w:vMerge/>
            <w:tcBorders>
              <w:right w:val="single" w:sz="4" w:space="0" w:color="auto"/>
            </w:tcBorders>
          </w:tcPr>
          <w:p w14:paraId="7616DCB6" w14:textId="77777777" w:rsidR="007D58FF" w:rsidRPr="00531A4E" w:rsidRDefault="007D58FF" w:rsidP="00893161">
            <w:pPr>
              <w:pStyle w:val="Paragraph"/>
              <w:spacing w:after="0"/>
              <w:rPr>
                <w:sz w:val="22"/>
                <w:szCs w:val="22"/>
              </w:rPr>
            </w:pPr>
          </w:p>
        </w:tc>
        <w:tc>
          <w:tcPr>
            <w:tcW w:w="2448" w:type="dxa"/>
            <w:tcBorders>
              <w:left w:val="single" w:sz="4" w:space="0" w:color="auto"/>
              <w:right w:val="single" w:sz="4" w:space="0" w:color="auto"/>
            </w:tcBorders>
            <w:noWrap/>
            <w:vAlign w:val="center"/>
            <w:hideMark/>
          </w:tcPr>
          <w:p w14:paraId="661E28F4" w14:textId="77777777" w:rsidR="007D58FF" w:rsidRPr="00531A4E" w:rsidRDefault="007D58FF" w:rsidP="00893161">
            <w:pPr>
              <w:pStyle w:val="Paragraph"/>
              <w:spacing w:after="0"/>
              <w:rPr>
                <w:sz w:val="22"/>
                <w:szCs w:val="22"/>
              </w:rPr>
            </w:pPr>
            <m:oMath>
              <m:r>
                <w:rPr>
                  <w:rFonts w:ascii="Cambria Math" w:hAnsi="Cambria Math"/>
                  <w:sz w:val="22"/>
                  <w:szCs w:val="22"/>
                </w:rPr>
                <m:t>Casing OD</m:t>
              </m:r>
            </m:oMath>
            <w:r w:rsidRPr="00531A4E">
              <w:rPr>
                <w:sz w:val="22"/>
                <w:szCs w:val="22"/>
              </w:rPr>
              <w:t xml:space="preserve"> (cm)</w:t>
            </w:r>
          </w:p>
        </w:tc>
        <w:tc>
          <w:tcPr>
            <w:tcW w:w="1296" w:type="dxa"/>
            <w:tcBorders>
              <w:left w:val="single" w:sz="4" w:space="0" w:color="auto"/>
              <w:right w:val="single" w:sz="4" w:space="0" w:color="auto"/>
            </w:tcBorders>
            <w:noWrap/>
            <w:vAlign w:val="center"/>
          </w:tcPr>
          <w:p w14:paraId="2E15F5C7" w14:textId="77777777" w:rsidR="007D58FF" w:rsidRPr="00531A4E" w:rsidRDefault="007D58FF" w:rsidP="00893161">
            <w:pPr>
              <w:pStyle w:val="Paragraph"/>
              <w:spacing w:after="0"/>
              <w:jc w:val="center"/>
              <w:rPr>
                <w:sz w:val="22"/>
                <w:szCs w:val="22"/>
              </w:rPr>
            </w:pPr>
            <w:r w:rsidRPr="00531A4E">
              <w:rPr>
                <w:sz w:val="22"/>
                <w:szCs w:val="22"/>
              </w:rPr>
              <w:t>24.45</w:t>
            </w:r>
          </w:p>
        </w:tc>
        <w:tc>
          <w:tcPr>
            <w:tcW w:w="705" w:type="dxa"/>
            <w:tcBorders>
              <w:left w:val="single" w:sz="4" w:space="0" w:color="auto"/>
            </w:tcBorders>
            <w:noWrap/>
          </w:tcPr>
          <w:p w14:paraId="1B82A4AB" w14:textId="77777777" w:rsidR="007D58FF" w:rsidRPr="00610B0A" w:rsidRDefault="007D58FF" w:rsidP="00893161">
            <w:pPr>
              <w:pStyle w:val="Paragraph"/>
              <w:spacing w:after="0"/>
              <w:jc w:val="center"/>
              <w:rPr>
                <w:sz w:val="22"/>
                <w:szCs w:val="22"/>
                <w:vertAlign w:val="superscript"/>
              </w:rPr>
            </w:pPr>
            <w:r w:rsidRPr="00610B0A">
              <w:rPr>
                <w:sz w:val="22"/>
                <w:szCs w:val="22"/>
                <w:vertAlign w:val="superscript"/>
              </w:rPr>
              <w:t>1</w:t>
            </w:r>
          </w:p>
        </w:tc>
      </w:tr>
      <w:tr w:rsidR="007D58FF" w:rsidRPr="003249A2" w14:paraId="3EC2BF1D" w14:textId="77777777" w:rsidTr="00893161">
        <w:trPr>
          <w:trHeight w:val="20"/>
          <w:jc w:val="center"/>
        </w:trPr>
        <w:tc>
          <w:tcPr>
            <w:tcW w:w="1679" w:type="dxa"/>
            <w:vMerge/>
            <w:tcBorders>
              <w:bottom w:val="single" w:sz="4" w:space="0" w:color="auto"/>
              <w:right w:val="single" w:sz="4" w:space="0" w:color="auto"/>
            </w:tcBorders>
          </w:tcPr>
          <w:p w14:paraId="1289D8ED" w14:textId="77777777" w:rsidR="007D58FF" w:rsidRPr="00531A4E" w:rsidRDefault="007D58FF" w:rsidP="00893161">
            <w:pPr>
              <w:pStyle w:val="Paragraph"/>
              <w:spacing w:after="0"/>
              <w:rPr>
                <w:sz w:val="22"/>
                <w:szCs w:val="22"/>
              </w:rPr>
            </w:pPr>
          </w:p>
        </w:tc>
        <w:tc>
          <w:tcPr>
            <w:tcW w:w="2448" w:type="dxa"/>
            <w:tcBorders>
              <w:left w:val="single" w:sz="4" w:space="0" w:color="auto"/>
              <w:bottom w:val="single" w:sz="4" w:space="0" w:color="auto"/>
              <w:right w:val="single" w:sz="4" w:space="0" w:color="auto"/>
            </w:tcBorders>
            <w:noWrap/>
            <w:vAlign w:val="center"/>
            <w:hideMark/>
          </w:tcPr>
          <w:p w14:paraId="4D53C65A" w14:textId="77777777" w:rsidR="007D58FF" w:rsidRPr="00531A4E" w:rsidRDefault="007D58FF" w:rsidP="00893161">
            <w:pPr>
              <w:pStyle w:val="Paragraph"/>
              <w:spacing w:after="0"/>
              <w:rPr>
                <w:sz w:val="22"/>
                <w:szCs w:val="22"/>
              </w:rPr>
            </w:pPr>
            <m:oMath>
              <m:r>
                <w:rPr>
                  <w:rFonts w:ascii="Cambria Math" w:hAnsi="Cambria Math"/>
                  <w:sz w:val="22"/>
                  <w:szCs w:val="22"/>
                </w:rPr>
                <m:t>Casing ID</m:t>
              </m:r>
            </m:oMath>
            <w:r w:rsidRPr="00531A4E">
              <w:rPr>
                <w:sz w:val="22"/>
                <w:szCs w:val="22"/>
              </w:rPr>
              <w:t xml:space="preserve"> (cm)</w:t>
            </w:r>
          </w:p>
        </w:tc>
        <w:tc>
          <w:tcPr>
            <w:tcW w:w="1296" w:type="dxa"/>
            <w:tcBorders>
              <w:left w:val="single" w:sz="4" w:space="0" w:color="auto"/>
              <w:bottom w:val="single" w:sz="4" w:space="0" w:color="auto"/>
              <w:right w:val="single" w:sz="4" w:space="0" w:color="auto"/>
            </w:tcBorders>
            <w:noWrap/>
            <w:vAlign w:val="center"/>
          </w:tcPr>
          <w:p w14:paraId="21ED44C3" w14:textId="77777777" w:rsidR="007D58FF" w:rsidRPr="00531A4E" w:rsidRDefault="007D58FF" w:rsidP="00893161">
            <w:pPr>
              <w:pStyle w:val="Paragraph"/>
              <w:spacing w:after="0"/>
              <w:jc w:val="center"/>
              <w:rPr>
                <w:sz w:val="22"/>
                <w:szCs w:val="22"/>
              </w:rPr>
            </w:pPr>
            <w:r w:rsidRPr="00531A4E">
              <w:rPr>
                <w:sz w:val="22"/>
                <w:szCs w:val="22"/>
              </w:rPr>
              <w:t>21.68</w:t>
            </w:r>
          </w:p>
        </w:tc>
        <w:tc>
          <w:tcPr>
            <w:tcW w:w="705" w:type="dxa"/>
            <w:tcBorders>
              <w:left w:val="single" w:sz="4" w:space="0" w:color="auto"/>
              <w:bottom w:val="single" w:sz="4" w:space="0" w:color="auto"/>
            </w:tcBorders>
            <w:noWrap/>
          </w:tcPr>
          <w:p w14:paraId="2673AD0E" w14:textId="77777777" w:rsidR="007D58FF" w:rsidRPr="00610B0A" w:rsidRDefault="007D58FF" w:rsidP="00893161">
            <w:pPr>
              <w:pStyle w:val="Paragraph"/>
              <w:spacing w:after="0"/>
              <w:jc w:val="center"/>
              <w:rPr>
                <w:sz w:val="22"/>
                <w:szCs w:val="22"/>
                <w:vertAlign w:val="superscript"/>
              </w:rPr>
            </w:pPr>
            <w:r w:rsidRPr="00610B0A">
              <w:rPr>
                <w:sz w:val="22"/>
                <w:szCs w:val="22"/>
                <w:vertAlign w:val="superscript"/>
              </w:rPr>
              <w:t>1</w:t>
            </w:r>
          </w:p>
        </w:tc>
      </w:tr>
      <w:tr w:rsidR="007D58FF" w:rsidRPr="003249A2" w14:paraId="713C1A69" w14:textId="77777777" w:rsidTr="00893161">
        <w:trPr>
          <w:trHeight w:val="20"/>
          <w:jc w:val="center"/>
        </w:trPr>
        <w:tc>
          <w:tcPr>
            <w:tcW w:w="1679" w:type="dxa"/>
            <w:vMerge w:val="restart"/>
            <w:tcBorders>
              <w:top w:val="single" w:sz="4" w:space="0" w:color="auto"/>
              <w:right w:val="single" w:sz="4" w:space="0" w:color="auto"/>
            </w:tcBorders>
            <w:vAlign w:val="center"/>
          </w:tcPr>
          <w:p w14:paraId="502A8AE2" w14:textId="77777777" w:rsidR="007D58FF" w:rsidRPr="00531A4E" w:rsidRDefault="007D58FF" w:rsidP="00893161">
            <w:pPr>
              <w:pStyle w:val="Paragraph"/>
              <w:spacing w:after="0"/>
              <w:jc w:val="center"/>
              <w:rPr>
                <w:sz w:val="22"/>
                <w:szCs w:val="22"/>
              </w:rPr>
            </w:pPr>
            <w:r w:rsidRPr="00531A4E">
              <w:rPr>
                <w:sz w:val="22"/>
                <w:szCs w:val="22"/>
              </w:rPr>
              <w:t>In-Situ Stresses</w:t>
            </w:r>
          </w:p>
        </w:tc>
        <w:tc>
          <w:tcPr>
            <w:tcW w:w="2448" w:type="dxa"/>
            <w:tcBorders>
              <w:top w:val="single" w:sz="4" w:space="0" w:color="auto"/>
              <w:left w:val="single" w:sz="4" w:space="0" w:color="auto"/>
              <w:right w:val="single" w:sz="4" w:space="0" w:color="auto"/>
            </w:tcBorders>
            <w:noWrap/>
            <w:vAlign w:val="center"/>
          </w:tcPr>
          <w:p w14:paraId="0B1EE7A8" w14:textId="77777777" w:rsidR="007D58FF" w:rsidRPr="00531A4E" w:rsidRDefault="00077C0B" w:rsidP="00893161">
            <w:pPr>
              <w:pStyle w:val="Paragraph"/>
              <w:spacing w:after="0"/>
              <w:rPr>
                <w:sz w:val="22"/>
                <w:szCs w:val="22"/>
              </w:rPr>
            </w:pPr>
            <m:oMath>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H</m:t>
                  </m:r>
                </m:sub>
              </m:sSub>
            </m:oMath>
            <w:r w:rsidR="007D58FF" w:rsidRPr="00531A4E">
              <w:rPr>
                <w:sz w:val="22"/>
                <w:szCs w:val="22"/>
              </w:rPr>
              <w:t xml:space="preserve"> (MPa)</w:t>
            </w:r>
          </w:p>
        </w:tc>
        <w:tc>
          <w:tcPr>
            <w:tcW w:w="1296" w:type="dxa"/>
            <w:tcBorders>
              <w:top w:val="single" w:sz="4" w:space="0" w:color="auto"/>
              <w:left w:val="single" w:sz="4" w:space="0" w:color="auto"/>
              <w:right w:val="single" w:sz="4" w:space="0" w:color="auto"/>
            </w:tcBorders>
            <w:noWrap/>
            <w:vAlign w:val="center"/>
          </w:tcPr>
          <w:p w14:paraId="3BA9CC8E" w14:textId="77777777" w:rsidR="007D58FF" w:rsidRPr="00531A4E" w:rsidRDefault="007D58FF" w:rsidP="00893161">
            <w:pPr>
              <w:pStyle w:val="Paragraph"/>
              <w:spacing w:after="0"/>
              <w:jc w:val="center"/>
              <w:rPr>
                <w:sz w:val="22"/>
                <w:szCs w:val="22"/>
              </w:rPr>
            </w:pPr>
            <w:r w:rsidRPr="00531A4E">
              <w:rPr>
                <w:sz w:val="22"/>
                <w:szCs w:val="22"/>
              </w:rPr>
              <w:t>38.99</w:t>
            </w:r>
          </w:p>
        </w:tc>
        <w:tc>
          <w:tcPr>
            <w:tcW w:w="705" w:type="dxa"/>
            <w:tcBorders>
              <w:top w:val="single" w:sz="4" w:space="0" w:color="auto"/>
              <w:left w:val="single" w:sz="4" w:space="0" w:color="auto"/>
            </w:tcBorders>
            <w:noWrap/>
            <w:vAlign w:val="center"/>
          </w:tcPr>
          <w:p w14:paraId="7C194A16" w14:textId="77777777" w:rsidR="007D58FF" w:rsidRPr="00610B0A" w:rsidRDefault="007D58FF" w:rsidP="00893161">
            <w:pPr>
              <w:pStyle w:val="Paragraph"/>
              <w:spacing w:after="0"/>
              <w:jc w:val="center"/>
              <w:rPr>
                <w:sz w:val="22"/>
                <w:szCs w:val="22"/>
                <w:vertAlign w:val="superscript"/>
              </w:rPr>
            </w:pPr>
          </w:p>
        </w:tc>
      </w:tr>
      <w:tr w:rsidR="007D58FF" w:rsidRPr="003249A2" w14:paraId="5C739991" w14:textId="77777777" w:rsidTr="00893161">
        <w:trPr>
          <w:trHeight w:val="20"/>
          <w:jc w:val="center"/>
        </w:trPr>
        <w:tc>
          <w:tcPr>
            <w:tcW w:w="1679" w:type="dxa"/>
            <w:vMerge/>
            <w:tcBorders>
              <w:right w:val="single" w:sz="4" w:space="0" w:color="auto"/>
            </w:tcBorders>
          </w:tcPr>
          <w:p w14:paraId="29CE280E" w14:textId="77777777" w:rsidR="007D58FF" w:rsidRPr="00531A4E" w:rsidRDefault="007D58FF" w:rsidP="00893161">
            <w:pPr>
              <w:pStyle w:val="Paragraph"/>
              <w:spacing w:after="0"/>
              <w:rPr>
                <w:sz w:val="22"/>
                <w:szCs w:val="22"/>
              </w:rPr>
            </w:pPr>
          </w:p>
        </w:tc>
        <w:tc>
          <w:tcPr>
            <w:tcW w:w="2448" w:type="dxa"/>
            <w:tcBorders>
              <w:left w:val="single" w:sz="4" w:space="0" w:color="auto"/>
              <w:right w:val="single" w:sz="4" w:space="0" w:color="auto"/>
            </w:tcBorders>
            <w:noWrap/>
            <w:vAlign w:val="center"/>
          </w:tcPr>
          <w:p w14:paraId="64E368F1" w14:textId="77777777" w:rsidR="007D58FF" w:rsidRPr="00531A4E" w:rsidRDefault="00077C0B" w:rsidP="00893161">
            <w:pPr>
              <w:pStyle w:val="Paragraph"/>
              <w:spacing w:after="0"/>
              <w:rPr>
                <w:sz w:val="22"/>
                <w:szCs w:val="22"/>
              </w:rPr>
            </w:pPr>
            <m:oMath>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h</m:t>
                  </m:r>
                </m:sub>
              </m:sSub>
            </m:oMath>
            <w:r w:rsidR="007D58FF" w:rsidRPr="00531A4E">
              <w:rPr>
                <w:sz w:val="22"/>
                <w:szCs w:val="22"/>
              </w:rPr>
              <w:t xml:space="preserve"> (MPa)</w:t>
            </w:r>
          </w:p>
        </w:tc>
        <w:tc>
          <w:tcPr>
            <w:tcW w:w="1296" w:type="dxa"/>
            <w:tcBorders>
              <w:left w:val="single" w:sz="4" w:space="0" w:color="auto"/>
              <w:right w:val="single" w:sz="4" w:space="0" w:color="auto"/>
            </w:tcBorders>
            <w:noWrap/>
            <w:vAlign w:val="center"/>
          </w:tcPr>
          <w:p w14:paraId="033DC6D0" w14:textId="77777777" w:rsidR="007D58FF" w:rsidRPr="00531A4E" w:rsidRDefault="007D58FF" w:rsidP="00893161">
            <w:pPr>
              <w:pStyle w:val="Paragraph"/>
              <w:spacing w:after="0"/>
              <w:jc w:val="center"/>
              <w:rPr>
                <w:sz w:val="22"/>
                <w:szCs w:val="22"/>
              </w:rPr>
            </w:pPr>
            <w:r w:rsidRPr="00531A4E">
              <w:rPr>
                <w:sz w:val="22"/>
                <w:szCs w:val="22"/>
              </w:rPr>
              <w:t>36.98</w:t>
            </w:r>
          </w:p>
        </w:tc>
        <w:tc>
          <w:tcPr>
            <w:tcW w:w="705" w:type="dxa"/>
            <w:tcBorders>
              <w:left w:val="single" w:sz="4" w:space="0" w:color="auto"/>
            </w:tcBorders>
            <w:noWrap/>
            <w:vAlign w:val="center"/>
          </w:tcPr>
          <w:p w14:paraId="7400C432" w14:textId="77777777" w:rsidR="007D58FF" w:rsidRPr="00610B0A" w:rsidRDefault="007D58FF" w:rsidP="00893161">
            <w:pPr>
              <w:pStyle w:val="Paragraph"/>
              <w:spacing w:after="0"/>
              <w:jc w:val="center"/>
              <w:rPr>
                <w:sz w:val="22"/>
                <w:szCs w:val="22"/>
                <w:vertAlign w:val="superscript"/>
              </w:rPr>
            </w:pPr>
            <w:r w:rsidRPr="00610B0A">
              <w:rPr>
                <w:sz w:val="22"/>
                <w:szCs w:val="22"/>
                <w:vertAlign w:val="superscript"/>
              </w:rPr>
              <w:t>1,2,3</w:t>
            </w:r>
          </w:p>
        </w:tc>
      </w:tr>
      <w:tr w:rsidR="007D58FF" w:rsidRPr="003249A2" w14:paraId="62A3B9A5" w14:textId="77777777" w:rsidTr="00893161">
        <w:trPr>
          <w:trHeight w:val="20"/>
          <w:jc w:val="center"/>
        </w:trPr>
        <w:tc>
          <w:tcPr>
            <w:tcW w:w="1679" w:type="dxa"/>
            <w:vMerge/>
            <w:tcBorders>
              <w:bottom w:val="single" w:sz="4" w:space="0" w:color="auto"/>
              <w:right w:val="single" w:sz="4" w:space="0" w:color="auto"/>
            </w:tcBorders>
          </w:tcPr>
          <w:p w14:paraId="59D733B4" w14:textId="77777777" w:rsidR="007D58FF" w:rsidRPr="00531A4E" w:rsidRDefault="007D58FF" w:rsidP="00893161">
            <w:pPr>
              <w:pStyle w:val="Paragraph"/>
              <w:spacing w:after="0"/>
              <w:rPr>
                <w:sz w:val="22"/>
                <w:szCs w:val="22"/>
              </w:rPr>
            </w:pPr>
          </w:p>
        </w:tc>
        <w:tc>
          <w:tcPr>
            <w:tcW w:w="2448" w:type="dxa"/>
            <w:tcBorders>
              <w:left w:val="single" w:sz="4" w:space="0" w:color="auto"/>
              <w:bottom w:val="single" w:sz="4" w:space="0" w:color="auto"/>
              <w:right w:val="single" w:sz="4" w:space="0" w:color="auto"/>
            </w:tcBorders>
            <w:noWrap/>
            <w:vAlign w:val="center"/>
          </w:tcPr>
          <w:p w14:paraId="2FE76D0A" w14:textId="77777777" w:rsidR="007D58FF" w:rsidRPr="00531A4E" w:rsidRDefault="00077C0B" w:rsidP="00893161">
            <w:pPr>
              <w:pStyle w:val="Paragraph"/>
              <w:spacing w:after="0"/>
              <w:rPr>
                <w:sz w:val="22"/>
                <w:szCs w:val="22"/>
              </w:rPr>
            </w:pPr>
            <m:oMath>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v</m:t>
                  </m:r>
                </m:sub>
              </m:sSub>
            </m:oMath>
            <w:r w:rsidR="007D58FF" w:rsidRPr="00531A4E">
              <w:rPr>
                <w:sz w:val="22"/>
                <w:szCs w:val="22"/>
              </w:rPr>
              <w:t xml:space="preserve"> (MPa)</w:t>
            </w:r>
          </w:p>
        </w:tc>
        <w:tc>
          <w:tcPr>
            <w:tcW w:w="1296" w:type="dxa"/>
            <w:tcBorders>
              <w:left w:val="single" w:sz="4" w:space="0" w:color="auto"/>
              <w:bottom w:val="single" w:sz="4" w:space="0" w:color="auto"/>
              <w:right w:val="single" w:sz="4" w:space="0" w:color="auto"/>
            </w:tcBorders>
            <w:noWrap/>
            <w:vAlign w:val="center"/>
          </w:tcPr>
          <w:p w14:paraId="5C4EDAA5" w14:textId="77777777" w:rsidR="007D58FF" w:rsidRPr="00531A4E" w:rsidRDefault="007D58FF" w:rsidP="00893161">
            <w:pPr>
              <w:pStyle w:val="Paragraph"/>
              <w:spacing w:after="0"/>
              <w:jc w:val="center"/>
              <w:rPr>
                <w:sz w:val="22"/>
                <w:szCs w:val="22"/>
              </w:rPr>
            </w:pPr>
            <w:r w:rsidRPr="00531A4E">
              <w:rPr>
                <w:sz w:val="22"/>
                <w:szCs w:val="22"/>
              </w:rPr>
              <w:t>41.00</w:t>
            </w:r>
          </w:p>
        </w:tc>
        <w:tc>
          <w:tcPr>
            <w:tcW w:w="705" w:type="dxa"/>
            <w:tcBorders>
              <w:left w:val="single" w:sz="4" w:space="0" w:color="auto"/>
              <w:bottom w:val="single" w:sz="4" w:space="0" w:color="auto"/>
            </w:tcBorders>
            <w:noWrap/>
            <w:vAlign w:val="center"/>
          </w:tcPr>
          <w:p w14:paraId="5826C6C1" w14:textId="77777777" w:rsidR="007D58FF" w:rsidRPr="00610B0A" w:rsidRDefault="007D58FF" w:rsidP="00893161">
            <w:pPr>
              <w:pStyle w:val="Paragraph"/>
              <w:spacing w:after="0"/>
              <w:jc w:val="center"/>
              <w:rPr>
                <w:sz w:val="22"/>
                <w:szCs w:val="22"/>
                <w:vertAlign w:val="superscript"/>
              </w:rPr>
            </w:pPr>
            <w:r w:rsidRPr="00610B0A">
              <w:rPr>
                <w:sz w:val="22"/>
                <w:szCs w:val="22"/>
                <w:vertAlign w:val="superscript"/>
              </w:rPr>
              <w:t>4</w:t>
            </w:r>
          </w:p>
        </w:tc>
      </w:tr>
      <w:tr w:rsidR="007D58FF" w:rsidRPr="003249A2" w14:paraId="29449AC9" w14:textId="77777777" w:rsidTr="00893161">
        <w:trPr>
          <w:trHeight w:val="20"/>
          <w:jc w:val="center"/>
        </w:trPr>
        <w:tc>
          <w:tcPr>
            <w:tcW w:w="1679" w:type="dxa"/>
            <w:vMerge w:val="restart"/>
            <w:tcBorders>
              <w:top w:val="single" w:sz="4" w:space="0" w:color="auto"/>
              <w:right w:val="single" w:sz="4" w:space="0" w:color="auto"/>
            </w:tcBorders>
            <w:vAlign w:val="center"/>
          </w:tcPr>
          <w:p w14:paraId="3E15DF7C" w14:textId="77777777" w:rsidR="007D58FF" w:rsidRPr="00531A4E" w:rsidRDefault="007D58FF" w:rsidP="00893161">
            <w:pPr>
              <w:pStyle w:val="Paragraph"/>
              <w:spacing w:after="0"/>
              <w:jc w:val="center"/>
              <w:rPr>
                <w:sz w:val="22"/>
                <w:szCs w:val="22"/>
              </w:rPr>
            </w:pPr>
            <w:r w:rsidRPr="00531A4E">
              <w:rPr>
                <w:sz w:val="22"/>
                <w:szCs w:val="22"/>
              </w:rPr>
              <w:t>Casing</w:t>
            </w:r>
          </w:p>
        </w:tc>
        <w:tc>
          <w:tcPr>
            <w:tcW w:w="2448" w:type="dxa"/>
            <w:tcBorders>
              <w:top w:val="single" w:sz="4" w:space="0" w:color="auto"/>
              <w:left w:val="single" w:sz="4" w:space="0" w:color="auto"/>
              <w:right w:val="single" w:sz="4" w:space="0" w:color="auto"/>
            </w:tcBorders>
            <w:noWrap/>
            <w:vAlign w:val="center"/>
            <w:hideMark/>
          </w:tcPr>
          <w:p w14:paraId="682B6B24" w14:textId="77777777" w:rsidR="007D58FF" w:rsidRPr="00531A4E" w:rsidRDefault="007D58FF" w:rsidP="00893161">
            <w:pPr>
              <w:pStyle w:val="Paragraph"/>
              <w:spacing w:after="0"/>
              <w:rPr>
                <w:sz w:val="22"/>
                <w:szCs w:val="22"/>
              </w:rPr>
            </w:pPr>
            <m:oMath>
              <m:r>
                <w:rPr>
                  <w:rFonts w:ascii="Cambria Math" w:hAnsi="Cambria Math"/>
                  <w:sz w:val="22"/>
                  <w:szCs w:val="22"/>
                </w:rPr>
                <m:t>v</m:t>
              </m:r>
            </m:oMath>
            <w:r w:rsidRPr="00531A4E">
              <w:rPr>
                <w:sz w:val="22"/>
                <w:szCs w:val="22"/>
              </w:rPr>
              <w:t xml:space="preserve"> </w:t>
            </w:r>
          </w:p>
        </w:tc>
        <w:tc>
          <w:tcPr>
            <w:tcW w:w="1296" w:type="dxa"/>
            <w:tcBorders>
              <w:top w:val="single" w:sz="4" w:space="0" w:color="auto"/>
              <w:left w:val="single" w:sz="4" w:space="0" w:color="auto"/>
              <w:right w:val="single" w:sz="4" w:space="0" w:color="auto"/>
            </w:tcBorders>
            <w:noWrap/>
            <w:vAlign w:val="center"/>
          </w:tcPr>
          <w:p w14:paraId="64BA2EC6" w14:textId="77777777" w:rsidR="007D58FF" w:rsidRPr="00531A4E" w:rsidRDefault="007D58FF" w:rsidP="00893161">
            <w:pPr>
              <w:pStyle w:val="Paragraph"/>
              <w:spacing w:after="0"/>
              <w:jc w:val="center"/>
              <w:rPr>
                <w:sz w:val="22"/>
                <w:szCs w:val="22"/>
              </w:rPr>
            </w:pPr>
            <w:r w:rsidRPr="00531A4E">
              <w:rPr>
                <w:sz w:val="22"/>
                <w:szCs w:val="22"/>
              </w:rPr>
              <w:t>0.30</w:t>
            </w:r>
          </w:p>
        </w:tc>
        <w:tc>
          <w:tcPr>
            <w:tcW w:w="705" w:type="dxa"/>
            <w:tcBorders>
              <w:top w:val="single" w:sz="4" w:space="0" w:color="auto"/>
              <w:left w:val="single" w:sz="4" w:space="0" w:color="auto"/>
            </w:tcBorders>
            <w:noWrap/>
            <w:vAlign w:val="center"/>
          </w:tcPr>
          <w:p w14:paraId="55A154F2" w14:textId="77777777" w:rsidR="007D58FF" w:rsidRPr="00610B0A" w:rsidRDefault="007D58FF" w:rsidP="00893161">
            <w:pPr>
              <w:pStyle w:val="Paragraph"/>
              <w:spacing w:after="0"/>
              <w:jc w:val="center"/>
              <w:rPr>
                <w:sz w:val="22"/>
                <w:szCs w:val="22"/>
                <w:vertAlign w:val="superscript"/>
              </w:rPr>
            </w:pPr>
            <w:r w:rsidRPr="00610B0A">
              <w:rPr>
                <w:sz w:val="22"/>
                <w:szCs w:val="22"/>
                <w:vertAlign w:val="superscript"/>
              </w:rPr>
              <w:t>5</w:t>
            </w:r>
          </w:p>
        </w:tc>
      </w:tr>
      <w:tr w:rsidR="007D58FF" w:rsidRPr="003249A2" w14:paraId="1DB72289" w14:textId="77777777" w:rsidTr="00893161">
        <w:trPr>
          <w:trHeight w:val="20"/>
          <w:jc w:val="center"/>
        </w:trPr>
        <w:tc>
          <w:tcPr>
            <w:tcW w:w="1679" w:type="dxa"/>
            <w:vMerge/>
            <w:tcBorders>
              <w:right w:val="single" w:sz="4" w:space="0" w:color="auto"/>
            </w:tcBorders>
          </w:tcPr>
          <w:p w14:paraId="47F2E6D0" w14:textId="77777777" w:rsidR="007D58FF" w:rsidRPr="00531A4E" w:rsidRDefault="007D58FF" w:rsidP="00893161">
            <w:pPr>
              <w:pStyle w:val="Paragraph"/>
              <w:spacing w:after="0"/>
              <w:rPr>
                <w:sz w:val="22"/>
                <w:szCs w:val="22"/>
              </w:rPr>
            </w:pPr>
          </w:p>
        </w:tc>
        <w:tc>
          <w:tcPr>
            <w:tcW w:w="2448" w:type="dxa"/>
            <w:tcBorders>
              <w:left w:val="single" w:sz="4" w:space="0" w:color="auto"/>
              <w:right w:val="single" w:sz="4" w:space="0" w:color="auto"/>
            </w:tcBorders>
            <w:noWrap/>
            <w:vAlign w:val="center"/>
            <w:hideMark/>
          </w:tcPr>
          <w:p w14:paraId="4C8D9294" w14:textId="77777777" w:rsidR="007D58FF" w:rsidRPr="00531A4E" w:rsidRDefault="007D58FF" w:rsidP="00893161">
            <w:pPr>
              <w:pStyle w:val="Paragraph"/>
              <w:spacing w:after="0"/>
              <w:rPr>
                <w:sz w:val="22"/>
                <w:szCs w:val="22"/>
              </w:rPr>
            </w:pPr>
            <m:oMath>
              <m:r>
                <w:rPr>
                  <w:rFonts w:ascii="Cambria Math" w:hAnsi="Cambria Math"/>
                  <w:sz w:val="22"/>
                  <w:szCs w:val="22"/>
                </w:rPr>
                <m:t>E</m:t>
              </m:r>
            </m:oMath>
            <w:r w:rsidRPr="00531A4E">
              <w:rPr>
                <w:sz w:val="22"/>
                <w:szCs w:val="22"/>
              </w:rPr>
              <w:t xml:space="preserve"> (GPa)</w:t>
            </w:r>
          </w:p>
        </w:tc>
        <w:tc>
          <w:tcPr>
            <w:tcW w:w="1296" w:type="dxa"/>
            <w:tcBorders>
              <w:left w:val="single" w:sz="4" w:space="0" w:color="auto"/>
              <w:right w:val="single" w:sz="4" w:space="0" w:color="auto"/>
            </w:tcBorders>
            <w:noWrap/>
            <w:vAlign w:val="center"/>
          </w:tcPr>
          <w:p w14:paraId="6E3D0983" w14:textId="77777777" w:rsidR="007D58FF" w:rsidRPr="00531A4E" w:rsidRDefault="007D58FF" w:rsidP="00893161">
            <w:pPr>
              <w:pStyle w:val="Paragraph"/>
              <w:spacing w:after="0"/>
              <w:jc w:val="center"/>
              <w:rPr>
                <w:sz w:val="22"/>
                <w:szCs w:val="22"/>
              </w:rPr>
            </w:pPr>
            <w:r w:rsidRPr="00531A4E">
              <w:rPr>
                <w:sz w:val="22"/>
                <w:szCs w:val="22"/>
              </w:rPr>
              <w:t>200.00</w:t>
            </w:r>
          </w:p>
        </w:tc>
        <w:tc>
          <w:tcPr>
            <w:tcW w:w="705" w:type="dxa"/>
            <w:tcBorders>
              <w:left w:val="single" w:sz="4" w:space="0" w:color="auto"/>
            </w:tcBorders>
            <w:noWrap/>
            <w:vAlign w:val="center"/>
          </w:tcPr>
          <w:p w14:paraId="36A2C6F3" w14:textId="77777777" w:rsidR="007D58FF" w:rsidRPr="00610B0A" w:rsidRDefault="007D58FF" w:rsidP="00893161">
            <w:pPr>
              <w:pStyle w:val="Paragraph"/>
              <w:spacing w:after="0"/>
              <w:jc w:val="center"/>
              <w:rPr>
                <w:sz w:val="22"/>
                <w:szCs w:val="22"/>
                <w:vertAlign w:val="superscript"/>
              </w:rPr>
            </w:pPr>
            <w:r w:rsidRPr="00610B0A">
              <w:rPr>
                <w:sz w:val="22"/>
                <w:szCs w:val="22"/>
                <w:vertAlign w:val="superscript"/>
              </w:rPr>
              <w:t>5</w:t>
            </w:r>
          </w:p>
        </w:tc>
      </w:tr>
      <w:tr w:rsidR="007D58FF" w:rsidRPr="003249A2" w14:paraId="4411063D" w14:textId="77777777" w:rsidTr="00893161">
        <w:trPr>
          <w:trHeight w:val="20"/>
          <w:jc w:val="center"/>
        </w:trPr>
        <w:tc>
          <w:tcPr>
            <w:tcW w:w="1679" w:type="dxa"/>
            <w:vMerge/>
            <w:tcBorders>
              <w:right w:val="single" w:sz="4" w:space="0" w:color="auto"/>
            </w:tcBorders>
          </w:tcPr>
          <w:p w14:paraId="15B49579" w14:textId="77777777" w:rsidR="007D58FF" w:rsidRPr="00531A4E" w:rsidRDefault="007D58FF" w:rsidP="00893161">
            <w:pPr>
              <w:pStyle w:val="Paragraph"/>
              <w:spacing w:after="0"/>
              <w:rPr>
                <w:sz w:val="22"/>
                <w:szCs w:val="22"/>
              </w:rPr>
            </w:pPr>
          </w:p>
        </w:tc>
        <w:tc>
          <w:tcPr>
            <w:tcW w:w="2448" w:type="dxa"/>
            <w:tcBorders>
              <w:left w:val="single" w:sz="4" w:space="0" w:color="auto"/>
              <w:right w:val="single" w:sz="4" w:space="0" w:color="auto"/>
            </w:tcBorders>
            <w:noWrap/>
            <w:vAlign w:val="center"/>
          </w:tcPr>
          <w:p w14:paraId="4BD7032C" w14:textId="77777777" w:rsidR="007D58FF" w:rsidRPr="00531A4E" w:rsidRDefault="007D58FF" w:rsidP="00893161">
            <w:pPr>
              <w:pStyle w:val="Paragraph"/>
              <w:spacing w:after="0"/>
              <w:rPr>
                <w:sz w:val="22"/>
                <w:szCs w:val="22"/>
              </w:rPr>
            </w:pPr>
            <m:oMath>
              <m:r>
                <w:rPr>
                  <w:rFonts w:ascii="Cambria Math" w:hAnsi="Cambria Math"/>
                  <w:sz w:val="22"/>
                  <w:szCs w:val="22"/>
                </w:rPr>
                <m:t>ρ</m:t>
              </m:r>
            </m:oMath>
            <w:r w:rsidRPr="00531A4E">
              <w:rPr>
                <w:sz w:val="22"/>
                <w:szCs w:val="22"/>
              </w:rPr>
              <w:t xml:space="preserve"> (kg/m</w:t>
            </w:r>
            <w:r w:rsidRPr="00531A4E">
              <w:rPr>
                <w:sz w:val="22"/>
                <w:szCs w:val="22"/>
                <w:vertAlign w:val="superscript"/>
              </w:rPr>
              <w:t>3</w:t>
            </w:r>
            <w:r w:rsidRPr="00531A4E">
              <w:rPr>
                <w:sz w:val="22"/>
                <w:szCs w:val="22"/>
              </w:rPr>
              <w:t xml:space="preserve">) </w:t>
            </w:r>
          </w:p>
        </w:tc>
        <w:tc>
          <w:tcPr>
            <w:tcW w:w="1296" w:type="dxa"/>
            <w:tcBorders>
              <w:left w:val="single" w:sz="4" w:space="0" w:color="auto"/>
              <w:right w:val="single" w:sz="4" w:space="0" w:color="auto"/>
            </w:tcBorders>
            <w:noWrap/>
            <w:vAlign w:val="center"/>
          </w:tcPr>
          <w:p w14:paraId="12A17C04" w14:textId="77777777" w:rsidR="007D58FF" w:rsidRPr="00531A4E" w:rsidRDefault="007D58FF" w:rsidP="00893161">
            <w:pPr>
              <w:pStyle w:val="Paragraph"/>
              <w:spacing w:after="0"/>
              <w:jc w:val="center"/>
              <w:rPr>
                <w:sz w:val="22"/>
                <w:szCs w:val="22"/>
              </w:rPr>
            </w:pPr>
            <w:r w:rsidRPr="00531A4E">
              <w:rPr>
                <w:sz w:val="22"/>
                <w:szCs w:val="22"/>
              </w:rPr>
              <w:t>7,938.00</w:t>
            </w:r>
          </w:p>
        </w:tc>
        <w:tc>
          <w:tcPr>
            <w:tcW w:w="705" w:type="dxa"/>
            <w:tcBorders>
              <w:left w:val="single" w:sz="4" w:space="0" w:color="auto"/>
            </w:tcBorders>
            <w:noWrap/>
          </w:tcPr>
          <w:p w14:paraId="581F4E70" w14:textId="77777777" w:rsidR="007D58FF" w:rsidRPr="00610B0A" w:rsidRDefault="007D58FF" w:rsidP="00893161">
            <w:pPr>
              <w:pStyle w:val="Paragraph"/>
              <w:spacing w:after="0"/>
              <w:jc w:val="center"/>
              <w:rPr>
                <w:sz w:val="22"/>
                <w:szCs w:val="22"/>
                <w:vertAlign w:val="superscript"/>
              </w:rPr>
            </w:pPr>
            <w:r w:rsidRPr="00610B0A">
              <w:rPr>
                <w:sz w:val="22"/>
                <w:szCs w:val="22"/>
                <w:vertAlign w:val="superscript"/>
              </w:rPr>
              <w:t>1</w:t>
            </w:r>
          </w:p>
        </w:tc>
      </w:tr>
      <w:tr w:rsidR="007D58FF" w:rsidRPr="003249A2" w14:paraId="4B710203" w14:textId="77777777" w:rsidTr="00893161">
        <w:trPr>
          <w:trHeight w:val="20"/>
          <w:jc w:val="center"/>
        </w:trPr>
        <w:tc>
          <w:tcPr>
            <w:tcW w:w="1679" w:type="dxa"/>
            <w:vMerge/>
            <w:tcBorders>
              <w:right w:val="single" w:sz="4" w:space="0" w:color="auto"/>
            </w:tcBorders>
          </w:tcPr>
          <w:p w14:paraId="5C292D0C" w14:textId="77777777" w:rsidR="007D58FF" w:rsidRPr="00531A4E" w:rsidRDefault="007D58FF" w:rsidP="00893161">
            <w:pPr>
              <w:pStyle w:val="Paragraph"/>
              <w:spacing w:after="0"/>
              <w:rPr>
                <w:sz w:val="22"/>
                <w:szCs w:val="22"/>
              </w:rPr>
            </w:pPr>
          </w:p>
        </w:tc>
        <w:tc>
          <w:tcPr>
            <w:tcW w:w="2448" w:type="dxa"/>
            <w:tcBorders>
              <w:left w:val="single" w:sz="4" w:space="0" w:color="auto"/>
              <w:right w:val="single" w:sz="4" w:space="0" w:color="auto"/>
            </w:tcBorders>
            <w:noWrap/>
            <w:vAlign w:val="center"/>
          </w:tcPr>
          <w:p w14:paraId="32B20BDD" w14:textId="77777777" w:rsidR="007D58FF" w:rsidRPr="00531A4E" w:rsidRDefault="007D58FF" w:rsidP="00893161">
            <w:pPr>
              <w:pStyle w:val="Paragraph"/>
              <w:spacing w:after="0"/>
              <w:rPr>
                <w:sz w:val="22"/>
                <w:szCs w:val="22"/>
              </w:rPr>
            </w:pPr>
            <m:oMath>
              <m:r>
                <w:rPr>
                  <w:rFonts w:ascii="Cambria Math" w:hAnsi="Cambria Math"/>
                  <w:sz w:val="22"/>
                  <w:szCs w:val="22"/>
                </w:rPr>
                <m:t>α</m:t>
              </m:r>
            </m:oMath>
            <w:r w:rsidRPr="00531A4E">
              <w:rPr>
                <w:sz w:val="22"/>
                <w:szCs w:val="22"/>
              </w:rPr>
              <w:t xml:space="preserve"> (K</w:t>
            </w:r>
            <w:r w:rsidRPr="00531A4E">
              <w:rPr>
                <w:sz w:val="22"/>
                <w:szCs w:val="22"/>
                <w:vertAlign w:val="superscript"/>
              </w:rPr>
              <w:t>-1</w:t>
            </w:r>
            <w:r w:rsidRPr="00531A4E">
              <w:rPr>
                <w:sz w:val="22"/>
                <w:szCs w:val="22"/>
              </w:rPr>
              <w:t>)</w:t>
            </w:r>
          </w:p>
        </w:tc>
        <w:tc>
          <w:tcPr>
            <w:tcW w:w="1296" w:type="dxa"/>
            <w:tcBorders>
              <w:left w:val="single" w:sz="4" w:space="0" w:color="auto"/>
              <w:right w:val="single" w:sz="4" w:space="0" w:color="auto"/>
            </w:tcBorders>
            <w:noWrap/>
            <w:vAlign w:val="center"/>
          </w:tcPr>
          <w:p w14:paraId="737DE357" w14:textId="77777777" w:rsidR="007D58FF" w:rsidRPr="00531A4E" w:rsidRDefault="007D58FF" w:rsidP="00893161">
            <w:pPr>
              <w:pStyle w:val="Paragraph"/>
              <w:spacing w:after="0"/>
              <w:jc w:val="center"/>
              <w:rPr>
                <w:sz w:val="22"/>
                <w:szCs w:val="22"/>
              </w:rPr>
            </w:pPr>
            <w:r w:rsidRPr="00531A4E">
              <w:rPr>
                <w:sz w:val="22"/>
                <w:szCs w:val="22"/>
              </w:rPr>
              <w:t>1.14E-05</w:t>
            </w:r>
          </w:p>
        </w:tc>
        <w:tc>
          <w:tcPr>
            <w:tcW w:w="705" w:type="dxa"/>
            <w:tcBorders>
              <w:left w:val="single" w:sz="4" w:space="0" w:color="auto"/>
            </w:tcBorders>
            <w:noWrap/>
          </w:tcPr>
          <w:p w14:paraId="3F877A70" w14:textId="77777777" w:rsidR="007D58FF" w:rsidRPr="00610B0A" w:rsidRDefault="007D58FF" w:rsidP="00893161">
            <w:pPr>
              <w:pStyle w:val="Paragraph"/>
              <w:spacing w:after="0"/>
              <w:jc w:val="center"/>
              <w:rPr>
                <w:sz w:val="22"/>
                <w:szCs w:val="22"/>
                <w:vertAlign w:val="superscript"/>
              </w:rPr>
            </w:pPr>
            <w:r w:rsidRPr="00610B0A">
              <w:rPr>
                <w:sz w:val="22"/>
                <w:szCs w:val="22"/>
                <w:vertAlign w:val="superscript"/>
              </w:rPr>
              <w:t>5</w:t>
            </w:r>
          </w:p>
        </w:tc>
      </w:tr>
      <w:tr w:rsidR="007D58FF" w:rsidRPr="003249A2" w14:paraId="0B2A8526" w14:textId="77777777" w:rsidTr="00893161">
        <w:trPr>
          <w:trHeight w:val="20"/>
          <w:jc w:val="center"/>
        </w:trPr>
        <w:tc>
          <w:tcPr>
            <w:tcW w:w="1679" w:type="dxa"/>
            <w:vMerge/>
            <w:tcBorders>
              <w:right w:val="single" w:sz="4" w:space="0" w:color="auto"/>
            </w:tcBorders>
          </w:tcPr>
          <w:p w14:paraId="49671970" w14:textId="77777777" w:rsidR="007D58FF" w:rsidRPr="00531A4E" w:rsidRDefault="007D58FF" w:rsidP="00893161">
            <w:pPr>
              <w:pStyle w:val="Paragraph"/>
              <w:spacing w:after="0"/>
              <w:rPr>
                <w:sz w:val="22"/>
                <w:szCs w:val="22"/>
              </w:rPr>
            </w:pPr>
          </w:p>
        </w:tc>
        <w:tc>
          <w:tcPr>
            <w:tcW w:w="2448" w:type="dxa"/>
            <w:tcBorders>
              <w:left w:val="single" w:sz="4" w:space="0" w:color="auto"/>
              <w:right w:val="single" w:sz="4" w:space="0" w:color="auto"/>
            </w:tcBorders>
            <w:noWrap/>
            <w:vAlign w:val="center"/>
          </w:tcPr>
          <w:p w14:paraId="1347AA31" w14:textId="77777777" w:rsidR="007D58FF" w:rsidRPr="00531A4E" w:rsidRDefault="007D58FF" w:rsidP="00893161">
            <w:pPr>
              <w:pStyle w:val="Paragraph"/>
              <w:spacing w:after="0"/>
              <w:rPr>
                <w:sz w:val="22"/>
                <w:szCs w:val="22"/>
              </w:rPr>
            </w:pPr>
            <m:oMath>
              <m:r>
                <w:rPr>
                  <w:rFonts w:ascii="Cambria Math" w:hAnsi="Cambria Math"/>
                  <w:sz w:val="22"/>
                  <w:szCs w:val="22"/>
                </w:rPr>
                <m:t>κ</m:t>
              </m:r>
            </m:oMath>
            <w:r w:rsidRPr="00531A4E">
              <w:rPr>
                <w:sz w:val="22"/>
                <w:szCs w:val="22"/>
              </w:rPr>
              <w:t xml:space="preserve"> (W/m∙K)</w:t>
            </w:r>
          </w:p>
        </w:tc>
        <w:tc>
          <w:tcPr>
            <w:tcW w:w="1296" w:type="dxa"/>
            <w:tcBorders>
              <w:left w:val="single" w:sz="4" w:space="0" w:color="auto"/>
              <w:right w:val="single" w:sz="4" w:space="0" w:color="auto"/>
            </w:tcBorders>
            <w:noWrap/>
            <w:vAlign w:val="center"/>
          </w:tcPr>
          <w:p w14:paraId="3F58DEBC" w14:textId="77777777" w:rsidR="007D58FF" w:rsidRPr="00531A4E" w:rsidRDefault="007D58FF" w:rsidP="00893161">
            <w:pPr>
              <w:pStyle w:val="Paragraph"/>
              <w:spacing w:after="0"/>
              <w:jc w:val="center"/>
              <w:rPr>
                <w:sz w:val="22"/>
                <w:szCs w:val="22"/>
              </w:rPr>
            </w:pPr>
            <w:r w:rsidRPr="00531A4E">
              <w:rPr>
                <w:sz w:val="22"/>
                <w:szCs w:val="22"/>
              </w:rPr>
              <w:t>43.00</w:t>
            </w:r>
          </w:p>
        </w:tc>
        <w:tc>
          <w:tcPr>
            <w:tcW w:w="705" w:type="dxa"/>
            <w:tcBorders>
              <w:left w:val="single" w:sz="4" w:space="0" w:color="auto"/>
            </w:tcBorders>
            <w:noWrap/>
            <w:vAlign w:val="center"/>
          </w:tcPr>
          <w:p w14:paraId="4F65B055" w14:textId="77777777" w:rsidR="007D58FF" w:rsidRPr="00610B0A" w:rsidRDefault="007D58FF" w:rsidP="00893161">
            <w:pPr>
              <w:pStyle w:val="Paragraph"/>
              <w:spacing w:after="0"/>
              <w:jc w:val="center"/>
              <w:rPr>
                <w:sz w:val="22"/>
                <w:szCs w:val="22"/>
                <w:vertAlign w:val="superscript"/>
              </w:rPr>
            </w:pPr>
            <w:r w:rsidRPr="00610B0A">
              <w:rPr>
                <w:sz w:val="22"/>
                <w:szCs w:val="22"/>
                <w:vertAlign w:val="superscript"/>
              </w:rPr>
              <w:t>5</w:t>
            </w:r>
          </w:p>
        </w:tc>
      </w:tr>
      <w:tr w:rsidR="007D58FF" w:rsidRPr="003249A2" w14:paraId="47565050" w14:textId="77777777" w:rsidTr="00893161">
        <w:trPr>
          <w:trHeight w:val="20"/>
          <w:jc w:val="center"/>
        </w:trPr>
        <w:tc>
          <w:tcPr>
            <w:tcW w:w="1679" w:type="dxa"/>
            <w:vMerge/>
            <w:tcBorders>
              <w:bottom w:val="single" w:sz="4" w:space="0" w:color="auto"/>
              <w:right w:val="single" w:sz="4" w:space="0" w:color="auto"/>
            </w:tcBorders>
          </w:tcPr>
          <w:p w14:paraId="7942B53A" w14:textId="77777777" w:rsidR="007D58FF" w:rsidRPr="00531A4E" w:rsidRDefault="007D58FF" w:rsidP="00893161">
            <w:pPr>
              <w:pStyle w:val="Paragraph"/>
              <w:spacing w:after="0"/>
              <w:rPr>
                <w:sz w:val="22"/>
                <w:szCs w:val="22"/>
              </w:rPr>
            </w:pPr>
          </w:p>
        </w:tc>
        <w:tc>
          <w:tcPr>
            <w:tcW w:w="2448" w:type="dxa"/>
            <w:tcBorders>
              <w:left w:val="single" w:sz="4" w:space="0" w:color="auto"/>
              <w:bottom w:val="single" w:sz="4" w:space="0" w:color="auto"/>
              <w:right w:val="single" w:sz="4" w:space="0" w:color="auto"/>
            </w:tcBorders>
            <w:noWrap/>
            <w:vAlign w:val="center"/>
          </w:tcPr>
          <w:p w14:paraId="0F2F7BA4" w14:textId="77777777" w:rsidR="007D58FF" w:rsidRPr="00531A4E" w:rsidRDefault="007D58FF" w:rsidP="00893161">
            <w:pPr>
              <w:pStyle w:val="Paragraph"/>
              <w:spacing w:after="0"/>
              <w:rPr>
                <w:sz w:val="22"/>
                <w:szCs w:val="22"/>
              </w:rPr>
            </w:pPr>
            <m:oMath>
              <m:r>
                <w:rPr>
                  <w:rFonts w:ascii="Cambria Math" w:hAnsi="Cambria Math"/>
                  <w:sz w:val="22"/>
                  <w:szCs w:val="22"/>
                </w:rPr>
                <m:t>c</m:t>
              </m:r>
            </m:oMath>
            <w:r w:rsidRPr="00531A4E">
              <w:rPr>
                <w:sz w:val="22"/>
                <w:szCs w:val="22"/>
              </w:rPr>
              <w:t xml:space="preserve"> (J/kg∙K)</w:t>
            </w:r>
          </w:p>
        </w:tc>
        <w:tc>
          <w:tcPr>
            <w:tcW w:w="1296" w:type="dxa"/>
            <w:tcBorders>
              <w:left w:val="single" w:sz="4" w:space="0" w:color="auto"/>
              <w:bottom w:val="single" w:sz="4" w:space="0" w:color="auto"/>
              <w:right w:val="single" w:sz="4" w:space="0" w:color="auto"/>
            </w:tcBorders>
            <w:noWrap/>
            <w:vAlign w:val="center"/>
          </w:tcPr>
          <w:p w14:paraId="2BA708F0" w14:textId="77777777" w:rsidR="007D58FF" w:rsidRPr="00531A4E" w:rsidRDefault="007D58FF" w:rsidP="00893161">
            <w:pPr>
              <w:pStyle w:val="Paragraph"/>
              <w:spacing w:after="0"/>
              <w:jc w:val="center"/>
              <w:rPr>
                <w:sz w:val="22"/>
                <w:szCs w:val="22"/>
              </w:rPr>
            </w:pPr>
            <w:r w:rsidRPr="00531A4E">
              <w:rPr>
                <w:sz w:val="22"/>
                <w:szCs w:val="22"/>
              </w:rPr>
              <w:t>490.00</w:t>
            </w:r>
          </w:p>
        </w:tc>
        <w:tc>
          <w:tcPr>
            <w:tcW w:w="705" w:type="dxa"/>
            <w:tcBorders>
              <w:left w:val="single" w:sz="4" w:space="0" w:color="auto"/>
              <w:bottom w:val="single" w:sz="4" w:space="0" w:color="auto"/>
            </w:tcBorders>
            <w:noWrap/>
            <w:vAlign w:val="center"/>
          </w:tcPr>
          <w:p w14:paraId="420EA82B" w14:textId="77777777" w:rsidR="007D58FF" w:rsidRPr="00610B0A" w:rsidRDefault="007D58FF" w:rsidP="00893161">
            <w:pPr>
              <w:pStyle w:val="Paragraph"/>
              <w:spacing w:after="0"/>
              <w:jc w:val="center"/>
              <w:rPr>
                <w:sz w:val="22"/>
                <w:szCs w:val="22"/>
                <w:vertAlign w:val="superscript"/>
              </w:rPr>
            </w:pPr>
            <w:r w:rsidRPr="00610B0A">
              <w:rPr>
                <w:sz w:val="22"/>
                <w:szCs w:val="22"/>
                <w:vertAlign w:val="superscript"/>
              </w:rPr>
              <w:t>5</w:t>
            </w:r>
          </w:p>
        </w:tc>
      </w:tr>
      <w:tr w:rsidR="007D58FF" w:rsidRPr="003249A2" w14:paraId="1CFEE741" w14:textId="77777777" w:rsidTr="00893161">
        <w:trPr>
          <w:trHeight w:val="20"/>
          <w:jc w:val="center"/>
        </w:trPr>
        <w:tc>
          <w:tcPr>
            <w:tcW w:w="1679" w:type="dxa"/>
            <w:vMerge w:val="restart"/>
            <w:tcBorders>
              <w:top w:val="single" w:sz="4" w:space="0" w:color="auto"/>
              <w:right w:val="single" w:sz="4" w:space="0" w:color="auto"/>
            </w:tcBorders>
            <w:vAlign w:val="center"/>
          </w:tcPr>
          <w:p w14:paraId="5553ECF8" w14:textId="77777777" w:rsidR="007D58FF" w:rsidRPr="00531A4E" w:rsidRDefault="007D58FF" w:rsidP="00893161">
            <w:pPr>
              <w:pStyle w:val="Paragraph"/>
              <w:spacing w:after="0"/>
              <w:jc w:val="center"/>
              <w:rPr>
                <w:sz w:val="22"/>
                <w:szCs w:val="22"/>
              </w:rPr>
            </w:pPr>
            <w:r w:rsidRPr="00531A4E">
              <w:rPr>
                <w:sz w:val="22"/>
                <w:szCs w:val="22"/>
              </w:rPr>
              <w:t>Cement</w:t>
            </w:r>
          </w:p>
        </w:tc>
        <w:tc>
          <w:tcPr>
            <w:tcW w:w="2448" w:type="dxa"/>
            <w:tcBorders>
              <w:top w:val="single" w:sz="4" w:space="0" w:color="auto"/>
              <w:left w:val="single" w:sz="4" w:space="0" w:color="auto"/>
              <w:right w:val="single" w:sz="4" w:space="0" w:color="auto"/>
            </w:tcBorders>
            <w:noWrap/>
            <w:vAlign w:val="center"/>
          </w:tcPr>
          <w:p w14:paraId="0FB6D31E" w14:textId="77777777" w:rsidR="007D58FF" w:rsidRPr="00531A4E" w:rsidRDefault="007D58FF" w:rsidP="00893161">
            <w:pPr>
              <w:pStyle w:val="Paragraph"/>
              <w:spacing w:after="0"/>
              <w:rPr>
                <w:sz w:val="22"/>
                <w:szCs w:val="22"/>
              </w:rPr>
            </w:pPr>
            <m:oMath>
              <m:r>
                <w:rPr>
                  <w:rFonts w:ascii="Cambria Math" w:hAnsi="Cambria Math"/>
                  <w:sz w:val="22"/>
                  <w:szCs w:val="22"/>
                </w:rPr>
                <m:t>Pp</m:t>
              </m:r>
            </m:oMath>
            <w:r w:rsidRPr="00531A4E">
              <w:rPr>
                <w:sz w:val="22"/>
                <w:szCs w:val="22"/>
              </w:rPr>
              <w:t xml:space="preserve"> (g/cc)</w:t>
            </w:r>
          </w:p>
        </w:tc>
        <w:tc>
          <w:tcPr>
            <w:tcW w:w="1296" w:type="dxa"/>
            <w:tcBorders>
              <w:top w:val="single" w:sz="4" w:space="0" w:color="auto"/>
              <w:left w:val="single" w:sz="4" w:space="0" w:color="auto"/>
              <w:right w:val="single" w:sz="4" w:space="0" w:color="auto"/>
            </w:tcBorders>
            <w:noWrap/>
            <w:vAlign w:val="center"/>
          </w:tcPr>
          <w:p w14:paraId="73CDE463" w14:textId="77777777" w:rsidR="007D58FF" w:rsidRPr="00531A4E" w:rsidRDefault="007D58FF" w:rsidP="00893161">
            <w:pPr>
              <w:pStyle w:val="Paragraph"/>
              <w:spacing w:after="0"/>
              <w:jc w:val="center"/>
              <w:rPr>
                <w:sz w:val="22"/>
                <w:szCs w:val="22"/>
              </w:rPr>
            </w:pPr>
            <w:r w:rsidRPr="00531A4E">
              <w:rPr>
                <w:sz w:val="22"/>
                <w:szCs w:val="22"/>
              </w:rPr>
              <w:t>1.56</w:t>
            </w:r>
          </w:p>
        </w:tc>
        <w:tc>
          <w:tcPr>
            <w:tcW w:w="705" w:type="dxa"/>
            <w:tcBorders>
              <w:top w:val="single" w:sz="4" w:space="0" w:color="auto"/>
              <w:left w:val="single" w:sz="4" w:space="0" w:color="auto"/>
            </w:tcBorders>
            <w:noWrap/>
            <w:vAlign w:val="center"/>
          </w:tcPr>
          <w:p w14:paraId="3CBF9689" w14:textId="77777777" w:rsidR="007D58FF" w:rsidRPr="00610B0A" w:rsidRDefault="007D58FF" w:rsidP="00893161">
            <w:pPr>
              <w:pStyle w:val="Paragraph"/>
              <w:spacing w:after="0"/>
              <w:jc w:val="center"/>
              <w:rPr>
                <w:sz w:val="22"/>
                <w:szCs w:val="22"/>
                <w:vertAlign w:val="superscript"/>
              </w:rPr>
            </w:pPr>
          </w:p>
        </w:tc>
      </w:tr>
      <w:tr w:rsidR="007D58FF" w:rsidRPr="003249A2" w14:paraId="40949AED" w14:textId="77777777" w:rsidTr="00893161">
        <w:trPr>
          <w:trHeight w:val="20"/>
          <w:jc w:val="center"/>
        </w:trPr>
        <w:tc>
          <w:tcPr>
            <w:tcW w:w="1679" w:type="dxa"/>
            <w:vMerge/>
            <w:tcBorders>
              <w:right w:val="single" w:sz="4" w:space="0" w:color="auto"/>
            </w:tcBorders>
            <w:vAlign w:val="center"/>
          </w:tcPr>
          <w:p w14:paraId="79FA6826" w14:textId="77777777" w:rsidR="007D58FF" w:rsidRPr="00531A4E" w:rsidRDefault="007D58FF" w:rsidP="00893161">
            <w:pPr>
              <w:pStyle w:val="Paragraph"/>
              <w:spacing w:after="0"/>
              <w:jc w:val="center"/>
              <w:rPr>
                <w:sz w:val="22"/>
                <w:szCs w:val="22"/>
              </w:rPr>
            </w:pPr>
          </w:p>
        </w:tc>
        <w:tc>
          <w:tcPr>
            <w:tcW w:w="2448" w:type="dxa"/>
            <w:tcBorders>
              <w:left w:val="single" w:sz="4" w:space="0" w:color="auto"/>
              <w:right w:val="single" w:sz="4" w:space="0" w:color="auto"/>
            </w:tcBorders>
            <w:noWrap/>
            <w:vAlign w:val="center"/>
          </w:tcPr>
          <w:p w14:paraId="167A7B35" w14:textId="77777777" w:rsidR="007D58FF" w:rsidRPr="00531A4E" w:rsidRDefault="00077C0B" w:rsidP="00893161">
            <w:pPr>
              <w:pStyle w:val="Paragraph"/>
              <w:spacing w:after="0"/>
              <w:rPr>
                <w:sz w:val="22"/>
                <w:szCs w:val="22"/>
              </w:rPr>
            </w:pPr>
            <m:oMath>
              <m:sSub>
                <m:sSubPr>
                  <m:ctrlPr>
                    <w:rPr>
                      <w:rFonts w:ascii="Cambria Math" w:hAnsi="Cambria Math"/>
                      <w:i/>
                      <w:sz w:val="22"/>
                      <w:szCs w:val="22"/>
                    </w:rPr>
                  </m:ctrlPr>
                </m:sSubPr>
                <m:e>
                  <m:r>
                    <w:rPr>
                      <w:rFonts w:ascii="Cambria Math" w:hAnsi="Cambria Math"/>
                      <w:sz w:val="22"/>
                      <w:szCs w:val="22"/>
                    </w:rPr>
                    <m:t>ρ</m:t>
                  </m:r>
                </m:e>
                <m:sub>
                  <m:r>
                    <w:rPr>
                      <w:rFonts w:ascii="Cambria Math" w:hAnsi="Cambria Math"/>
                      <w:sz w:val="22"/>
                      <w:szCs w:val="22"/>
                    </w:rPr>
                    <m:t>slurry</m:t>
                  </m:r>
                </m:sub>
              </m:sSub>
            </m:oMath>
            <w:r w:rsidR="007D58FF" w:rsidRPr="00531A4E">
              <w:rPr>
                <w:sz w:val="22"/>
                <w:szCs w:val="22"/>
              </w:rPr>
              <w:t xml:space="preserve"> (g/cc)</w:t>
            </w:r>
          </w:p>
        </w:tc>
        <w:tc>
          <w:tcPr>
            <w:tcW w:w="1296" w:type="dxa"/>
            <w:tcBorders>
              <w:left w:val="single" w:sz="4" w:space="0" w:color="auto"/>
              <w:right w:val="single" w:sz="4" w:space="0" w:color="auto"/>
            </w:tcBorders>
            <w:noWrap/>
            <w:vAlign w:val="center"/>
          </w:tcPr>
          <w:p w14:paraId="73D56E67" w14:textId="77777777" w:rsidR="007D58FF" w:rsidRPr="00531A4E" w:rsidRDefault="007D58FF" w:rsidP="00893161">
            <w:pPr>
              <w:pStyle w:val="Paragraph"/>
              <w:spacing w:after="0"/>
              <w:jc w:val="center"/>
              <w:rPr>
                <w:sz w:val="22"/>
                <w:szCs w:val="22"/>
              </w:rPr>
            </w:pPr>
            <w:r w:rsidRPr="00531A4E">
              <w:rPr>
                <w:sz w:val="22"/>
                <w:szCs w:val="22"/>
              </w:rPr>
              <w:t>1.68</w:t>
            </w:r>
          </w:p>
        </w:tc>
        <w:tc>
          <w:tcPr>
            <w:tcW w:w="705" w:type="dxa"/>
            <w:tcBorders>
              <w:left w:val="single" w:sz="4" w:space="0" w:color="auto"/>
            </w:tcBorders>
            <w:noWrap/>
            <w:vAlign w:val="center"/>
          </w:tcPr>
          <w:p w14:paraId="5DF95090" w14:textId="77777777" w:rsidR="007D58FF" w:rsidRPr="00610B0A" w:rsidRDefault="007D58FF" w:rsidP="00893161">
            <w:pPr>
              <w:pStyle w:val="Paragraph"/>
              <w:spacing w:after="0"/>
              <w:jc w:val="center"/>
              <w:rPr>
                <w:sz w:val="22"/>
                <w:szCs w:val="22"/>
                <w:vertAlign w:val="superscript"/>
              </w:rPr>
            </w:pPr>
            <w:r w:rsidRPr="00610B0A">
              <w:rPr>
                <w:sz w:val="22"/>
                <w:szCs w:val="22"/>
                <w:vertAlign w:val="superscript"/>
              </w:rPr>
              <w:t>1</w:t>
            </w:r>
          </w:p>
        </w:tc>
      </w:tr>
      <w:tr w:rsidR="007D58FF" w:rsidRPr="003249A2" w14:paraId="725FBF2E" w14:textId="77777777" w:rsidTr="00893161">
        <w:trPr>
          <w:trHeight w:val="20"/>
          <w:jc w:val="center"/>
        </w:trPr>
        <w:tc>
          <w:tcPr>
            <w:tcW w:w="1679" w:type="dxa"/>
            <w:vMerge/>
            <w:tcBorders>
              <w:right w:val="single" w:sz="4" w:space="0" w:color="auto"/>
            </w:tcBorders>
            <w:vAlign w:val="center"/>
          </w:tcPr>
          <w:p w14:paraId="20083E2E" w14:textId="77777777" w:rsidR="007D58FF" w:rsidRPr="00531A4E" w:rsidRDefault="007D58FF" w:rsidP="00893161">
            <w:pPr>
              <w:pStyle w:val="Paragraph"/>
              <w:spacing w:after="0"/>
              <w:jc w:val="center"/>
              <w:rPr>
                <w:sz w:val="22"/>
                <w:szCs w:val="22"/>
              </w:rPr>
            </w:pPr>
          </w:p>
        </w:tc>
        <w:tc>
          <w:tcPr>
            <w:tcW w:w="2448" w:type="dxa"/>
            <w:tcBorders>
              <w:left w:val="single" w:sz="4" w:space="0" w:color="auto"/>
              <w:right w:val="single" w:sz="4" w:space="0" w:color="auto"/>
            </w:tcBorders>
            <w:noWrap/>
            <w:vAlign w:val="center"/>
          </w:tcPr>
          <w:p w14:paraId="77463A82" w14:textId="77777777" w:rsidR="007D58FF" w:rsidRPr="00531A4E" w:rsidRDefault="00077C0B" w:rsidP="00893161">
            <w:pPr>
              <w:pStyle w:val="Paragraph"/>
              <w:spacing w:after="0"/>
              <w:rPr>
                <w:sz w:val="22"/>
                <w:szCs w:val="22"/>
              </w:rPr>
            </w:pPr>
            <m:oMath>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cement</m:t>
                  </m:r>
                </m:sub>
              </m:sSub>
            </m:oMath>
            <w:r w:rsidR="007D58FF" w:rsidRPr="00531A4E">
              <w:rPr>
                <w:sz w:val="22"/>
                <w:szCs w:val="22"/>
              </w:rPr>
              <w:t xml:space="preserve"> (MPa)</w:t>
            </w:r>
          </w:p>
        </w:tc>
        <w:tc>
          <w:tcPr>
            <w:tcW w:w="1296" w:type="dxa"/>
            <w:tcBorders>
              <w:left w:val="single" w:sz="4" w:space="0" w:color="auto"/>
              <w:right w:val="single" w:sz="4" w:space="0" w:color="auto"/>
            </w:tcBorders>
            <w:noWrap/>
            <w:vAlign w:val="center"/>
          </w:tcPr>
          <w:p w14:paraId="5C3F7839" w14:textId="77777777" w:rsidR="007D58FF" w:rsidRPr="00531A4E" w:rsidRDefault="007D58FF" w:rsidP="00893161">
            <w:pPr>
              <w:pStyle w:val="Paragraph"/>
              <w:spacing w:after="0"/>
              <w:jc w:val="center"/>
              <w:rPr>
                <w:sz w:val="22"/>
                <w:szCs w:val="22"/>
              </w:rPr>
            </w:pPr>
            <w:r w:rsidRPr="00531A4E">
              <w:rPr>
                <w:sz w:val="22"/>
                <w:szCs w:val="22"/>
              </w:rPr>
              <w:t>31.73</w:t>
            </w:r>
          </w:p>
        </w:tc>
        <w:tc>
          <w:tcPr>
            <w:tcW w:w="705" w:type="dxa"/>
            <w:tcBorders>
              <w:left w:val="single" w:sz="4" w:space="0" w:color="auto"/>
            </w:tcBorders>
            <w:noWrap/>
            <w:vAlign w:val="center"/>
          </w:tcPr>
          <w:p w14:paraId="09F40B3C" w14:textId="77777777" w:rsidR="007D58FF" w:rsidRPr="00610B0A" w:rsidRDefault="007D58FF" w:rsidP="00893161">
            <w:pPr>
              <w:pStyle w:val="Paragraph"/>
              <w:spacing w:after="0"/>
              <w:jc w:val="center"/>
              <w:rPr>
                <w:sz w:val="22"/>
                <w:szCs w:val="22"/>
                <w:vertAlign w:val="superscript"/>
              </w:rPr>
            </w:pPr>
          </w:p>
        </w:tc>
      </w:tr>
      <w:tr w:rsidR="007D58FF" w:rsidRPr="003249A2" w14:paraId="65C3E077" w14:textId="77777777" w:rsidTr="00893161">
        <w:trPr>
          <w:trHeight w:val="20"/>
          <w:jc w:val="center"/>
        </w:trPr>
        <w:tc>
          <w:tcPr>
            <w:tcW w:w="1679" w:type="dxa"/>
            <w:vMerge/>
            <w:tcBorders>
              <w:right w:val="single" w:sz="4" w:space="0" w:color="auto"/>
            </w:tcBorders>
            <w:vAlign w:val="center"/>
          </w:tcPr>
          <w:p w14:paraId="5E36455D" w14:textId="77777777" w:rsidR="007D58FF" w:rsidRPr="00531A4E" w:rsidRDefault="007D58FF" w:rsidP="00893161">
            <w:pPr>
              <w:pStyle w:val="Paragraph"/>
              <w:spacing w:after="0"/>
              <w:jc w:val="center"/>
              <w:rPr>
                <w:sz w:val="22"/>
                <w:szCs w:val="22"/>
              </w:rPr>
            </w:pPr>
          </w:p>
        </w:tc>
        <w:tc>
          <w:tcPr>
            <w:tcW w:w="2448" w:type="dxa"/>
            <w:tcBorders>
              <w:left w:val="single" w:sz="4" w:space="0" w:color="auto"/>
              <w:right w:val="single" w:sz="4" w:space="0" w:color="auto"/>
            </w:tcBorders>
            <w:noWrap/>
            <w:vAlign w:val="center"/>
          </w:tcPr>
          <w:p w14:paraId="630FF226" w14:textId="77777777" w:rsidR="007D58FF" w:rsidRPr="00531A4E" w:rsidRDefault="007D58FF" w:rsidP="00893161">
            <w:pPr>
              <w:pStyle w:val="Paragraph"/>
              <w:spacing w:after="0"/>
              <w:rPr>
                <w:sz w:val="22"/>
                <w:szCs w:val="22"/>
              </w:rPr>
            </w:pPr>
            <m:oMath>
              <m:r>
                <w:rPr>
                  <w:rFonts w:ascii="Cambria Math" w:hAnsi="Cambria Math"/>
                  <w:sz w:val="22"/>
                  <w:szCs w:val="22"/>
                </w:rPr>
                <m:t>v</m:t>
              </m:r>
            </m:oMath>
            <w:r w:rsidRPr="00531A4E">
              <w:rPr>
                <w:sz w:val="22"/>
                <w:szCs w:val="22"/>
              </w:rPr>
              <w:t xml:space="preserve"> </w:t>
            </w:r>
          </w:p>
        </w:tc>
        <w:tc>
          <w:tcPr>
            <w:tcW w:w="1296" w:type="dxa"/>
            <w:tcBorders>
              <w:left w:val="single" w:sz="4" w:space="0" w:color="auto"/>
              <w:right w:val="single" w:sz="4" w:space="0" w:color="auto"/>
            </w:tcBorders>
            <w:noWrap/>
            <w:vAlign w:val="center"/>
          </w:tcPr>
          <w:p w14:paraId="75C99530" w14:textId="77777777" w:rsidR="007D58FF" w:rsidRPr="00531A4E" w:rsidRDefault="007D58FF" w:rsidP="00893161">
            <w:pPr>
              <w:pStyle w:val="Paragraph"/>
              <w:spacing w:after="0"/>
              <w:jc w:val="center"/>
              <w:rPr>
                <w:sz w:val="22"/>
                <w:szCs w:val="22"/>
              </w:rPr>
            </w:pPr>
            <w:r w:rsidRPr="00531A4E">
              <w:rPr>
                <w:sz w:val="22"/>
                <w:szCs w:val="22"/>
              </w:rPr>
              <w:t>0.18</w:t>
            </w:r>
          </w:p>
        </w:tc>
        <w:tc>
          <w:tcPr>
            <w:tcW w:w="705" w:type="dxa"/>
            <w:tcBorders>
              <w:left w:val="single" w:sz="4" w:space="0" w:color="auto"/>
            </w:tcBorders>
            <w:noWrap/>
            <w:vAlign w:val="center"/>
          </w:tcPr>
          <w:p w14:paraId="516D362B" w14:textId="77777777" w:rsidR="007D58FF" w:rsidRPr="00610B0A" w:rsidRDefault="007D58FF" w:rsidP="00893161">
            <w:pPr>
              <w:pStyle w:val="Paragraph"/>
              <w:spacing w:after="0"/>
              <w:jc w:val="center"/>
              <w:rPr>
                <w:sz w:val="22"/>
                <w:szCs w:val="22"/>
                <w:vertAlign w:val="superscript"/>
              </w:rPr>
            </w:pPr>
            <w:r w:rsidRPr="00610B0A">
              <w:rPr>
                <w:sz w:val="22"/>
                <w:szCs w:val="22"/>
                <w:vertAlign w:val="superscript"/>
              </w:rPr>
              <w:t>6</w:t>
            </w:r>
          </w:p>
        </w:tc>
      </w:tr>
      <w:tr w:rsidR="007D58FF" w:rsidRPr="003249A2" w14:paraId="2772627A" w14:textId="77777777" w:rsidTr="00893161">
        <w:trPr>
          <w:trHeight w:val="20"/>
          <w:jc w:val="center"/>
        </w:trPr>
        <w:tc>
          <w:tcPr>
            <w:tcW w:w="1679" w:type="dxa"/>
            <w:vMerge/>
            <w:tcBorders>
              <w:right w:val="single" w:sz="4" w:space="0" w:color="auto"/>
            </w:tcBorders>
          </w:tcPr>
          <w:p w14:paraId="2687350F" w14:textId="77777777" w:rsidR="007D58FF" w:rsidRPr="00531A4E" w:rsidRDefault="007D58FF" w:rsidP="00893161">
            <w:pPr>
              <w:pStyle w:val="Paragraph"/>
              <w:spacing w:after="0"/>
              <w:rPr>
                <w:sz w:val="22"/>
                <w:szCs w:val="22"/>
              </w:rPr>
            </w:pPr>
          </w:p>
        </w:tc>
        <w:tc>
          <w:tcPr>
            <w:tcW w:w="2448" w:type="dxa"/>
            <w:tcBorders>
              <w:left w:val="single" w:sz="4" w:space="0" w:color="auto"/>
              <w:right w:val="single" w:sz="4" w:space="0" w:color="auto"/>
            </w:tcBorders>
            <w:noWrap/>
            <w:vAlign w:val="center"/>
          </w:tcPr>
          <w:p w14:paraId="2C0B55A5" w14:textId="77777777" w:rsidR="007D58FF" w:rsidRPr="00531A4E" w:rsidRDefault="007D58FF" w:rsidP="00893161">
            <w:pPr>
              <w:pStyle w:val="Paragraph"/>
              <w:spacing w:after="0"/>
              <w:rPr>
                <w:sz w:val="22"/>
                <w:szCs w:val="22"/>
              </w:rPr>
            </w:pPr>
            <m:oMath>
              <m:r>
                <w:rPr>
                  <w:rFonts w:ascii="Cambria Math" w:hAnsi="Cambria Math"/>
                  <w:sz w:val="22"/>
                  <w:szCs w:val="22"/>
                </w:rPr>
                <m:t>E</m:t>
              </m:r>
            </m:oMath>
            <w:r w:rsidRPr="00531A4E">
              <w:rPr>
                <w:sz w:val="22"/>
                <w:szCs w:val="22"/>
              </w:rPr>
              <w:t xml:space="preserve"> (GPa)</w:t>
            </w:r>
          </w:p>
        </w:tc>
        <w:tc>
          <w:tcPr>
            <w:tcW w:w="1296" w:type="dxa"/>
            <w:tcBorders>
              <w:left w:val="single" w:sz="4" w:space="0" w:color="auto"/>
              <w:right w:val="single" w:sz="4" w:space="0" w:color="auto"/>
            </w:tcBorders>
            <w:noWrap/>
            <w:vAlign w:val="center"/>
          </w:tcPr>
          <w:p w14:paraId="49E16293" w14:textId="77777777" w:rsidR="007D58FF" w:rsidRPr="00531A4E" w:rsidRDefault="007D58FF" w:rsidP="00893161">
            <w:pPr>
              <w:pStyle w:val="Paragraph"/>
              <w:spacing w:after="0"/>
              <w:jc w:val="center"/>
              <w:rPr>
                <w:sz w:val="22"/>
                <w:szCs w:val="22"/>
              </w:rPr>
            </w:pPr>
            <w:r w:rsidRPr="00531A4E">
              <w:rPr>
                <w:sz w:val="22"/>
                <w:szCs w:val="22"/>
              </w:rPr>
              <w:t>6.38</w:t>
            </w:r>
          </w:p>
        </w:tc>
        <w:tc>
          <w:tcPr>
            <w:tcW w:w="705" w:type="dxa"/>
            <w:tcBorders>
              <w:left w:val="single" w:sz="4" w:space="0" w:color="auto"/>
            </w:tcBorders>
            <w:noWrap/>
            <w:vAlign w:val="center"/>
          </w:tcPr>
          <w:p w14:paraId="668F6DC1" w14:textId="77777777" w:rsidR="007D58FF" w:rsidRPr="00610B0A" w:rsidRDefault="007D58FF" w:rsidP="00893161">
            <w:pPr>
              <w:pStyle w:val="Paragraph"/>
              <w:spacing w:after="0"/>
              <w:jc w:val="center"/>
              <w:rPr>
                <w:sz w:val="22"/>
                <w:szCs w:val="22"/>
                <w:vertAlign w:val="superscript"/>
              </w:rPr>
            </w:pPr>
            <w:r w:rsidRPr="00610B0A">
              <w:rPr>
                <w:sz w:val="22"/>
                <w:szCs w:val="22"/>
                <w:vertAlign w:val="superscript"/>
              </w:rPr>
              <w:t>6</w:t>
            </w:r>
          </w:p>
        </w:tc>
      </w:tr>
      <w:tr w:rsidR="007D58FF" w:rsidRPr="003249A2" w14:paraId="28975580" w14:textId="77777777" w:rsidTr="00893161">
        <w:trPr>
          <w:trHeight w:val="20"/>
          <w:jc w:val="center"/>
        </w:trPr>
        <w:tc>
          <w:tcPr>
            <w:tcW w:w="1679" w:type="dxa"/>
            <w:vMerge/>
            <w:tcBorders>
              <w:right w:val="single" w:sz="4" w:space="0" w:color="auto"/>
            </w:tcBorders>
          </w:tcPr>
          <w:p w14:paraId="6A38A23B" w14:textId="77777777" w:rsidR="007D58FF" w:rsidRPr="00531A4E" w:rsidRDefault="007D58FF" w:rsidP="00893161">
            <w:pPr>
              <w:pStyle w:val="Paragraph"/>
              <w:spacing w:after="0"/>
              <w:rPr>
                <w:sz w:val="22"/>
                <w:szCs w:val="22"/>
              </w:rPr>
            </w:pPr>
          </w:p>
        </w:tc>
        <w:tc>
          <w:tcPr>
            <w:tcW w:w="2448" w:type="dxa"/>
            <w:tcBorders>
              <w:left w:val="single" w:sz="4" w:space="0" w:color="auto"/>
              <w:right w:val="single" w:sz="4" w:space="0" w:color="auto"/>
            </w:tcBorders>
            <w:noWrap/>
            <w:vAlign w:val="center"/>
          </w:tcPr>
          <w:p w14:paraId="19B4AF51" w14:textId="77777777" w:rsidR="007D58FF" w:rsidRPr="00531A4E" w:rsidRDefault="00077C0B" w:rsidP="00893161">
            <w:pPr>
              <w:pStyle w:val="Paragraph"/>
              <w:spacing w:after="0"/>
              <w:rPr>
                <w:sz w:val="22"/>
                <w:szCs w:val="22"/>
              </w:rPr>
            </w:pPr>
            <m:oMath>
              <m:sSub>
                <m:sSubPr>
                  <m:ctrlPr>
                    <w:rPr>
                      <w:rFonts w:ascii="Cambria Math" w:hAnsi="Cambria Math"/>
                      <w:i/>
                      <w:sz w:val="22"/>
                      <w:szCs w:val="22"/>
                    </w:rPr>
                  </m:ctrlPr>
                </m:sSubPr>
                <m:e>
                  <m:r>
                    <w:rPr>
                      <w:rFonts w:ascii="Cambria Math" w:hAnsi="Cambria Math"/>
                      <w:sz w:val="22"/>
                      <w:szCs w:val="22"/>
                    </w:rPr>
                    <m:t>ρ</m:t>
                  </m:r>
                </m:e>
                <m:sub>
                  <m:r>
                    <w:rPr>
                      <w:rFonts w:ascii="Cambria Math" w:hAnsi="Cambria Math"/>
                      <w:sz w:val="22"/>
                      <w:szCs w:val="22"/>
                    </w:rPr>
                    <m:t>dry</m:t>
                  </m:r>
                </m:sub>
              </m:sSub>
            </m:oMath>
            <w:r w:rsidR="007D58FF" w:rsidRPr="00531A4E">
              <w:rPr>
                <w:sz w:val="22"/>
                <w:szCs w:val="22"/>
              </w:rPr>
              <w:t xml:space="preserve"> (kg/m</w:t>
            </w:r>
            <w:r w:rsidR="007D58FF" w:rsidRPr="00531A4E">
              <w:rPr>
                <w:sz w:val="22"/>
                <w:szCs w:val="22"/>
                <w:vertAlign w:val="superscript"/>
              </w:rPr>
              <w:t>3</w:t>
            </w:r>
            <w:r w:rsidR="007D58FF" w:rsidRPr="00531A4E">
              <w:rPr>
                <w:sz w:val="22"/>
                <w:szCs w:val="22"/>
              </w:rPr>
              <w:t xml:space="preserve">) </w:t>
            </w:r>
          </w:p>
        </w:tc>
        <w:tc>
          <w:tcPr>
            <w:tcW w:w="1296" w:type="dxa"/>
            <w:tcBorders>
              <w:left w:val="single" w:sz="4" w:space="0" w:color="auto"/>
              <w:right w:val="single" w:sz="4" w:space="0" w:color="auto"/>
            </w:tcBorders>
            <w:noWrap/>
            <w:vAlign w:val="center"/>
          </w:tcPr>
          <w:p w14:paraId="43B66FE5" w14:textId="77777777" w:rsidR="007D58FF" w:rsidRPr="00531A4E" w:rsidRDefault="007D58FF" w:rsidP="00893161">
            <w:pPr>
              <w:pStyle w:val="Paragraph"/>
              <w:spacing w:after="0"/>
              <w:jc w:val="center"/>
              <w:rPr>
                <w:sz w:val="22"/>
                <w:szCs w:val="22"/>
              </w:rPr>
            </w:pPr>
            <w:r w:rsidRPr="00531A4E">
              <w:rPr>
                <w:sz w:val="22"/>
                <w:szCs w:val="22"/>
              </w:rPr>
              <w:t>1,965.00</w:t>
            </w:r>
          </w:p>
        </w:tc>
        <w:tc>
          <w:tcPr>
            <w:tcW w:w="705" w:type="dxa"/>
            <w:tcBorders>
              <w:left w:val="single" w:sz="4" w:space="0" w:color="auto"/>
            </w:tcBorders>
            <w:noWrap/>
          </w:tcPr>
          <w:p w14:paraId="48EF8A3E" w14:textId="77777777" w:rsidR="007D58FF" w:rsidRPr="00610B0A" w:rsidRDefault="007D58FF" w:rsidP="00893161">
            <w:pPr>
              <w:pStyle w:val="Paragraph"/>
              <w:spacing w:after="0"/>
              <w:jc w:val="center"/>
              <w:rPr>
                <w:sz w:val="22"/>
                <w:szCs w:val="22"/>
                <w:vertAlign w:val="superscript"/>
              </w:rPr>
            </w:pPr>
            <w:r w:rsidRPr="00610B0A">
              <w:rPr>
                <w:sz w:val="22"/>
                <w:szCs w:val="22"/>
                <w:vertAlign w:val="superscript"/>
              </w:rPr>
              <w:t>1</w:t>
            </w:r>
          </w:p>
        </w:tc>
      </w:tr>
      <w:tr w:rsidR="007D58FF" w:rsidRPr="003249A2" w14:paraId="19FB3035" w14:textId="77777777" w:rsidTr="00893161">
        <w:trPr>
          <w:trHeight w:val="20"/>
          <w:jc w:val="center"/>
        </w:trPr>
        <w:tc>
          <w:tcPr>
            <w:tcW w:w="1679" w:type="dxa"/>
            <w:vMerge/>
            <w:tcBorders>
              <w:right w:val="single" w:sz="4" w:space="0" w:color="auto"/>
            </w:tcBorders>
          </w:tcPr>
          <w:p w14:paraId="50B7D555" w14:textId="77777777" w:rsidR="007D58FF" w:rsidRPr="00531A4E" w:rsidRDefault="007D58FF" w:rsidP="00893161">
            <w:pPr>
              <w:pStyle w:val="Paragraph"/>
              <w:spacing w:after="0"/>
              <w:rPr>
                <w:sz w:val="22"/>
                <w:szCs w:val="22"/>
              </w:rPr>
            </w:pPr>
          </w:p>
        </w:tc>
        <w:tc>
          <w:tcPr>
            <w:tcW w:w="2448" w:type="dxa"/>
            <w:tcBorders>
              <w:left w:val="single" w:sz="4" w:space="0" w:color="auto"/>
              <w:right w:val="single" w:sz="4" w:space="0" w:color="auto"/>
            </w:tcBorders>
            <w:noWrap/>
            <w:vAlign w:val="center"/>
          </w:tcPr>
          <w:p w14:paraId="378002CF" w14:textId="77777777" w:rsidR="007D58FF" w:rsidRPr="00531A4E" w:rsidRDefault="007D58FF" w:rsidP="00893161">
            <w:pPr>
              <w:pStyle w:val="Paragraph"/>
              <w:spacing w:after="0"/>
              <w:rPr>
                <w:sz w:val="22"/>
                <w:szCs w:val="22"/>
              </w:rPr>
            </w:pPr>
            <m:oMath>
              <m:r>
                <w:rPr>
                  <w:rFonts w:ascii="Cambria Math" w:hAnsi="Cambria Math"/>
                  <w:sz w:val="22"/>
                  <w:szCs w:val="22"/>
                </w:rPr>
                <m:t>α</m:t>
              </m:r>
            </m:oMath>
            <w:r w:rsidRPr="00531A4E">
              <w:rPr>
                <w:sz w:val="22"/>
                <w:szCs w:val="22"/>
              </w:rPr>
              <w:t xml:space="preserve"> (K</w:t>
            </w:r>
            <w:r w:rsidRPr="00531A4E">
              <w:rPr>
                <w:sz w:val="22"/>
                <w:szCs w:val="22"/>
                <w:vertAlign w:val="superscript"/>
              </w:rPr>
              <w:t>-1</w:t>
            </w:r>
            <w:r w:rsidRPr="00531A4E">
              <w:rPr>
                <w:sz w:val="22"/>
                <w:szCs w:val="22"/>
              </w:rPr>
              <w:t>)</w:t>
            </w:r>
          </w:p>
        </w:tc>
        <w:tc>
          <w:tcPr>
            <w:tcW w:w="1296" w:type="dxa"/>
            <w:tcBorders>
              <w:left w:val="single" w:sz="4" w:space="0" w:color="auto"/>
              <w:right w:val="single" w:sz="4" w:space="0" w:color="auto"/>
            </w:tcBorders>
            <w:noWrap/>
            <w:vAlign w:val="center"/>
          </w:tcPr>
          <w:p w14:paraId="44F88C60" w14:textId="77777777" w:rsidR="007D58FF" w:rsidRPr="00531A4E" w:rsidRDefault="007D58FF" w:rsidP="00893161">
            <w:pPr>
              <w:pStyle w:val="Paragraph"/>
              <w:spacing w:after="0"/>
              <w:jc w:val="center"/>
              <w:rPr>
                <w:sz w:val="22"/>
                <w:szCs w:val="22"/>
              </w:rPr>
            </w:pPr>
            <w:r w:rsidRPr="00531A4E">
              <w:rPr>
                <w:sz w:val="22"/>
                <w:szCs w:val="22"/>
              </w:rPr>
              <w:t>8.64E-06</w:t>
            </w:r>
          </w:p>
        </w:tc>
        <w:tc>
          <w:tcPr>
            <w:tcW w:w="705" w:type="dxa"/>
            <w:tcBorders>
              <w:left w:val="single" w:sz="4" w:space="0" w:color="auto"/>
            </w:tcBorders>
            <w:noWrap/>
          </w:tcPr>
          <w:p w14:paraId="0E2E1C2A" w14:textId="77777777" w:rsidR="007D58FF" w:rsidRPr="00610B0A" w:rsidRDefault="007D58FF" w:rsidP="00893161">
            <w:pPr>
              <w:pStyle w:val="Paragraph"/>
              <w:spacing w:after="0"/>
              <w:jc w:val="center"/>
              <w:rPr>
                <w:sz w:val="22"/>
                <w:szCs w:val="22"/>
                <w:vertAlign w:val="superscript"/>
              </w:rPr>
            </w:pPr>
            <w:r w:rsidRPr="00610B0A">
              <w:rPr>
                <w:sz w:val="22"/>
                <w:szCs w:val="22"/>
                <w:vertAlign w:val="superscript"/>
              </w:rPr>
              <w:t>6</w:t>
            </w:r>
          </w:p>
        </w:tc>
      </w:tr>
      <w:tr w:rsidR="007D58FF" w:rsidRPr="003249A2" w14:paraId="4B35A939" w14:textId="77777777" w:rsidTr="00893161">
        <w:trPr>
          <w:trHeight w:val="20"/>
          <w:jc w:val="center"/>
        </w:trPr>
        <w:tc>
          <w:tcPr>
            <w:tcW w:w="1679" w:type="dxa"/>
            <w:vMerge/>
            <w:tcBorders>
              <w:right w:val="single" w:sz="4" w:space="0" w:color="auto"/>
            </w:tcBorders>
          </w:tcPr>
          <w:p w14:paraId="54751687" w14:textId="77777777" w:rsidR="007D58FF" w:rsidRPr="00531A4E" w:rsidRDefault="007D58FF" w:rsidP="00893161">
            <w:pPr>
              <w:pStyle w:val="Paragraph"/>
              <w:spacing w:after="0"/>
              <w:rPr>
                <w:sz w:val="22"/>
                <w:szCs w:val="22"/>
              </w:rPr>
            </w:pPr>
          </w:p>
        </w:tc>
        <w:tc>
          <w:tcPr>
            <w:tcW w:w="2448" w:type="dxa"/>
            <w:tcBorders>
              <w:left w:val="single" w:sz="4" w:space="0" w:color="auto"/>
              <w:right w:val="single" w:sz="4" w:space="0" w:color="auto"/>
            </w:tcBorders>
            <w:noWrap/>
            <w:vAlign w:val="center"/>
          </w:tcPr>
          <w:p w14:paraId="2AEE1881" w14:textId="77777777" w:rsidR="007D58FF" w:rsidRPr="00531A4E" w:rsidRDefault="007D58FF" w:rsidP="00893161">
            <w:pPr>
              <w:pStyle w:val="Paragraph"/>
              <w:spacing w:after="0"/>
              <w:rPr>
                <w:sz w:val="22"/>
                <w:szCs w:val="22"/>
              </w:rPr>
            </w:pPr>
            <m:oMath>
              <m:r>
                <w:rPr>
                  <w:rFonts w:ascii="Cambria Math" w:hAnsi="Cambria Math"/>
                  <w:sz w:val="22"/>
                  <w:szCs w:val="22"/>
                </w:rPr>
                <m:t>κ</m:t>
              </m:r>
            </m:oMath>
            <w:r w:rsidRPr="00531A4E">
              <w:rPr>
                <w:sz w:val="22"/>
                <w:szCs w:val="22"/>
              </w:rPr>
              <w:t xml:space="preserve"> (W/m∙K)</w:t>
            </w:r>
          </w:p>
        </w:tc>
        <w:tc>
          <w:tcPr>
            <w:tcW w:w="1296" w:type="dxa"/>
            <w:tcBorders>
              <w:left w:val="single" w:sz="4" w:space="0" w:color="auto"/>
              <w:right w:val="single" w:sz="4" w:space="0" w:color="auto"/>
            </w:tcBorders>
            <w:noWrap/>
            <w:vAlign w:val="center"/>
          </w:tcPr>
          <w:p w14:paraId="0B2ED014" w14:textId="77777777" w:rsidR="007D58FF" w:rsidRPr="00531A4E" w:rsidRDefault="007D58FF" w:rsidP="00893161">
            <w:pPr>
              <w:pStyle w:val="Paragraph"/>
              <w:spacing w:after="0"/>
              <w:jc w:val="center"/>
              <w:rPr>
                <w:sz w:val="22"/>
                <w:szCs w:val="22"/>
              </w:rPr>
            </w:pPr>
            <w:r w:rsidRPr="00531A4E">
              <w:rPr>
                <w:sz w:val="22"/>
                <w:szCs w:val="22"/>
              </w:rPr>
              <w:t>0.41</w:t>
            </w:r>
          </w:p>
        </w:tc>
        <w:tc>
          <w:tcPr>
            <w:tcW w:w="705" w:type="dxa"/>
            <w:tcBorders>
              <w:left w:val="single" w:sz="4" w:space="0" w:color="auto"/>
            </w:tcBorders>
            <w:noWrap/>
            <w:vAlign w:val="center"/>
          </w:tcPr>
          <w:p w14:paraId="1DF1401F" w14:textId="77777777" w:rsidR="007D58FF" w:rsidRPr="00610B0A" w:rsidRDefault="007D58FF" w:rsidP="00893161">
            <w:pPr>
              <w:pStyle w:val="Paragraph"/>
              <w:spacing w:after="0"/>
              <w:jc w:val="center"/>
              <w:rPr>
                <w:sz w:val="22"/>
                <w:szCs w:val="22"/>
                <w:vertAlign w:val="superscript"/>
              </w:rPr>
            </w:pPr>
            <w:r w:rsidRPr="00610B0A">
              <w:rPr>
                <w:sz w:val="22"/>
                <w:szCs w:val="22"/>
                <w:vertAlign w:val="superscript"/>
              </w:rPr>
              <w:t>6</w:t>
            </w:r>
          </w:p>
        </w:tc>
      </w:tr>
      <w:tr w:rsidR="007D58FF" w:rsidRPr="003249A2" w14:paraId="5F7CA765" w14:textId="77777777" w:rsidTr="00893161">
        <w:trPr>
          <w:trHeight w:val="20"/>
          <w:jc w:val="center"/>
        </w:trPr>
        <w:tc>
          <w:tcPr>
            <w:tcW w:w="1679" w:type="dxa"/>
            <w:vMerge/>
            <w:tcBorders>
              <w:bottom w:val="single" w:sz="4" w:space="0" w:color="auto"/>
              <w:right w:val="single" w:sz="4" w:space="0" w:color="auto"/>
            </w:tcBorders>
          </w:tcPr>
          <w:p w14:paraId="64A9BFE1" w14:textId="77777777" w:rsidR="007D58FF" w:rsidRPr="00531A4E" w:rsidRDefault="007D58FF" w:rsidP="00893161">
            <w:pPr>
              <w:pStyle w:val="Paragraph"/>
              <w:spacing w:after="0"/>
              <w:rPr>
                <w:sz w:val="22"/>
                <w:szCs w:val="22"/>
              </w:rPr>
            </w:pPr>
          </w:p>
        </w:tc>
        <w:tc>
          <w:tcPr>
            <w:tcW w:w="2448" w:type="dxa"/>
            <w:tcBorders>
              <w:left w:val="single" w:sz="4" w:space="0" w:color="auto"/>
              <w:bottom w:val="single" w:sz="4" w:space="0" w:color="auto"/>
              <w:right w:val="single" w:sz="4" w:space="0" w:color="auto"/>
            </w:tcBorders>
            <w:noWrap/>
            <w:vAlign w:val="center"/>
          </w:tcPr>
          <w:p w14:paraId="5F330236" w14:textId="77777777" w:rsidR="007D58FF" w:rsidRPr="00531A4E" w:rsidRDefault="007D58FF" w:rsidP="00893161">
            <w:pPr>
              <w:pStyle w:val="Paragraph"/>
              <w:spacing w:after="0"/>
              <w:rPr>
                <w:sz w:val="22"/>
                <w:szCs w:val="22"/>
              </w:rPr>
            </w:pPr>
            <m:oMath>
              <m:r>
                <w:rPr>
                  <w:rFonts w:ascii="Cambria Math" w:hAnsi="Cambria Math"/>
                  <w:sz w:val="22"/>
                  <w:szCs w:val="22"/>
                </w:rPr>
                <m:t>c</m:t>
              </m:r>
            </m:oMath>
            <w:r w:rsidRPr="00531A4E">
              <w:rPr>
                <w:sz w:val="22"/>
                <w:szCs w:val="22"/>
              </w:rPr>
              <w:t xml:space="preserve"> (J/kg∙K)</w:t>
            </w:r>
          </w:p>
        </w:tc>
        <w:tc>
          <w:tcPr>
            <w:tcW w:w="1296" w:type="dxa"/>
            <w:tcBorders>
              <w:left w:val="single" w:sz="4" w:space="0" w:color="auto"/>
              <w:bottom w:val="single" w:sz="4" w:space="0" w:color="auto"/>
              <w:right w:val="single" w:sz="4" w:space="0" w:color="auto"/>
            </w:tcBorders>
            <w:noWrap/>
            <w:vAlign w:val="center"/>
          </w:tcPr>
          <w:p w14:paraId="42E8CBE6" w14:textId="77777777" w:rsidR="007D58FF" w:rsidRPr="00531A4E" w:rsidRDefault="007D58FF" w:rsidP="00893161">
            <w:pPr>
              <w:pStyle w:val="Paragraph"/>
              <w:spacing w:after="0"/>
              <w:jc w:val="center"/>
              <w:rPr>
                <w:sz w:val="22"/>
                <w:szCs w:val="22"/>
              </w:rPr>
            </w:pPr>
            <w:r w:rsidRPr="00531A4E">
              <w:rPr>
                <w:sz w:val="22"/>
                <w:szCs w:val="22"/>
              </w:rPr>
              <w:t>490</w:t>
            </w:r>
          </w:p>
        </w:tc>
        <w:tc>
          <w:tcPr>
            <w:tcW w:w="705" w:type="dxa"/>
            <w:tcBorders>
              <w:left w:val="single" w:sz="4" w:space="0" w:color="auto"/>
              <w:bottom w:val="single" w:sz="4" w:space="0" w:color="auto"/>
            </w:tcBorders>
            <w:noWrap/>
            <w:vAlign w:val="center"/>
          </w:tcPr>
          <w:p w14:paraId="77E3212D" w14:textId="77777777" w:rsidR="007D58FF" w:rsidRPr="00610B0A" w:rsidRDefault="007D58FF" w:rsidP="00893161">
            <w:pPr>
              <w:pStyle w:val="Paragraph"/>
              <w:spacing w:after="0"/>
              <w:jc w:val="center"/>
              <w:rPr>
                <w:sz w:val="22"/>
                <w:szCs w:val="22"/>
                <w:vertAlign w:val="superscript"/>
              </w:rPr>
            </w:pPr>
            <w:r w:rsidRPr="00610B0A">
              <w:rPr>
                <w:sz w:val="22"/>
                <w:szCs w:val="22"/>
                <w:vertAlign w:val="superscript"/>
              </w:rPr>
              <w:t>6</w:t>
            </w:r>
          </w:p>
        </w:tc>
      </w:tr>
      <w:tr w:rsidR="007D58FF" w:rsidRPr="003249A2" w14:paraId="1E348373" w14:textId="77777777" w:rsidTr="00893161">
        <w:trPr>
          <w:trHeight w:val="20"/>
          <w:jc w:val="center"/>
        </w:trPr>
        <w:tc>
          <w:tcPr>
            <w:tcW w:w="1679" w:type="dxa"/>
            <w:vMerge w:val="restart"/>
            <w:tcBorders>
              <w:top w:val="single" w:sz="4" w:space="0" w:color="auto"/>
              <w:right w:val="single" w:sz="4" w:space="0" w:color="auto"/>
            </w:tcBorders>
            <w:vAlign w:val="center"/>
          </w:tcPr>
          <w:p w14:paraId="4C2EA4D5" w14:textId="77777777" w:rsidR="007D58FF" w:rsidRPr="00531A4E" w:rsidRDefault="007D58FF" w:rsidP="00893161">
            <w:pPr>
              <w:pStyle w:val="Paragraph"/>
              <w:spacing w:after="0"/>
              <w:jc w:val="center"/>
              <w:rPr>
                <w:sz w:val="22"/>
                <w:szCs w:val="22"/>
              </w:rPr>
            </w:pPr>
            <w:r w:rsidRPr="00531A4E">
              <w:rPr>
                <w:sz w:val="22"/>
                <w:szCs w:val="22"/>
              </w:rPr>
              <w:t>Rock</w:t>
            </w:r>
          </w:p>
        </w:tc>
        <w:tc>
          <w:tcPr>
            <w:tcW w:w="2448" w:type="dxa"/>
            <w:tcBorders>
              <w:top w:val="single" w:sz="4" w:space="0" w:color="auto"/>
              <w:left w:val="single" w:sz="4" w:space="0" w:color="auto"/>
              <w:right w:val="single" w:sz="4" w:space="0" w:color="auto"/>
            </w:tcBorders>
            <w:noWrap/>
            <w:vAlign w:val="center"/>
          </w:tcPr>
          <w:p w14:paraId="347662BC" w14:textId="77777777" w:rsidR="007D58FF" w:rsidRPr="00531A4E" w:rsidRDefault="007D58FF" w:rsidP="00893161">
            <w:pPr>
              <w:pStyle w:val="Paragraph"/>
              <w:spacing w:after="0"/>
              <w:rPr>
                <w:sz w:val="22"/>
                <w:szCs w:val="22"/>
              </w:rPr>
            </w:pPr>
            <m:oMath>
              <m:r>
                <w:rPr>
                  <w:rFonts w:ascii="Cambria Math" w:hAnsi="Cambria Math"/>
                  <w:sz w:val="22"/>
                  <w:szCs w:val="22"/>
                </w:rPr>
                <m:t>Pp</m:t>
              </m:r>
            </m:oMath>
            <w:r w:rsidRPr="00531A4E">
              <w:rPr>
                <w:sz w:val="22"/>
                <w:szCs w:val="22"/>
              </w:rPr>
              <w:t xml:space="preserve"> (g/cc)</w:t>
            </w:r>
          </w:p>
        </w:tc>
        <w:tc>
          <w:tcPr>
            <w:tcW w:w="1296" w:type="dxa"/>
            <w:tcBorders>
              <w:top w:val="single" w:sz="4" w:space="0" w:color="auto"/>
              <w:left w:val="single" w:sz="4" w:space="0" w:color="auto"/>
              <w:right w:val="single" w:sz="4" w:space="0" w:color="auto"/>
            </w:tcBorders>
            <w:noWrap/>
            <w:vAlign w:val="center"/>
          </w:tcPr>
          <w:p w14:paraId="3CB69A97" w14:textId="77777777" w:rsidR="007D58FF" w:rsidRPr="00531A4E" w:rsidRDefault="007D58FF" w:rsidP="00893161">
            <w:pPr>
              <w:pStyle w:val="Paragraph"/>
              <w:spacing w:after="0"/>
              <w:jc w:val="center"/>
              <w:rPr>
                <w:sz w:val="22"/>
                <w:szCs w:val="22"/>
              </w:rPr>
            </w:pPr>
            <w:r w:rsidRPr="00531A4E">
              <w:rPr>
                <w:sz w:val="22"/>
                <w:szCs w:val="22"/>
              </w:rPr>
              <w:t>1.56</w:t>
            </w:r>
          </w:p>
        </w:tc>
        <w:tc>
          <w:tcPr>
            <w:tcW w:w="705" w:type="dxa"/>
            <w:tcBorders>
              <w:top w:val="single" w:sz="4" w:space="0" w:color="auto"/>
              <w:left w:val="single" w:sz="4" w:space="0" w:color="auto"/>
            </w:tcBorders>
            <w:noWrap/>
            <w:vAlign w:val="center"/>
          </w:tcPr>
          <w:p w14:paraId="445579F5" w14:textId="77777777" w:rsidR="007D58FF" w:rsidRPr="00610B0A" w:rsidRDefault="007D58FF" w:rsidP="00893161">
            <w:pPr>
              <w:pStyle w:val="Paragraph"/>
              <w:spacing w:after="0"/>
              <w:jc w:val="center"/>
              <w:rPr>
                <w:sz w:val="22"/>
                <w:szCs w:val="22"/>
                <w:vertAlign w:val="superscript"/>
              </w:rPr>
            </w:pPr>
            <w:r w:rsidRPr="00610B0A">
              <w:rPr>
                <w:sz w:val="22"/>
                <w:szCs w:val="22"/>
                <w:vertAlign w:val="superscript"/>
              </w:rPr>
              <w:t>1</w:t>
            </w:r>
          </w:p>
        </w:tc>
      </w:tr>
      <w:tr w:rsidR="007D58FF" w:rsidRPr="003249A2" w14:paraId="2A4E210B" w14:textId="77777777" w:rsidTr="00893161">
        <w:trPr>
          <w:trHeight w:val="20"/>
          <w:jc w:val="center"/>
        </w:trPr>
        <w:tc>
          <w:tcPr>
            <w:tcW w:w="1679" w:type="dxa"/>
            <w:vMerge/>
            <w:tcBorders>
              <w:right w:val="single" w:sz="4" w:space="0" w:color="auto"/>
            </w:tcBorders>
            <w:vAlign w:val="center"/>
          </w:tcPr>
          <w:p w14:paraId="5FA38547" w14:textId="77777777" w:rsidR="007D58FF" w:rsidRPr="00531A4E" w:rsidRDefault="007D58FF" w:rsidP="00893161">
            <w:pPr>
              <w:pStyle w:val="Paragraph"/>
              <w:spacing w:after="0"/>
              <w:jc w:val="center"/>
              <w:rPr>
                <w:sz w:val="22"/>
                <w:szCs w:val="22"/>
              </w:rPr>
            </w:pPr>
          </w:p>
        </w:tc>
        <w:tc>
          <w:tcPr>
            <w:tcW w:w="2448" w:type="dxa"/>
            <w:tcBorders>
              <w:left w:val="single" w:sz="4" w:space="0" w:color="auto"/>
              <w:right w:val="single" w:sz="4" w:space="0" w:color="auto"/>
            </w:tcBorders>
            <w:noWrap/>
            <w:vAlign w:val="center"/>
          </w:tcPr>
          <w:p w14:paraId="1F3CDEF8" w14:textId="77777777" w:rsidR="007D58FF" w:rsidRPr="00531A4E" w:rsidRDefault="007D58FF" w:rsidP="00893161">
            <w:pPr>
              <w:pStyle w:val="Paragraph"/>
              <w:spacing w:after="0"/>
              <w:rPr>
                <w:sz w:val="22"/>
                <w:szCs w:val="22"/>
              </w:rPr>
            </w:pPr>
            <m:oMath>
              <m:r>
                <w:rPr>
                  <w:rFonts w:ascii="Cambria Math" w:hAnsi="Cambria Math"/>
                  <w:sz w:val="22"/>
                  <w:szCs w:val="22"/>
                </w:rPr>
                <m:t>v</m:t>
              </m:r>
            </m:oMath>
            <w:r w:rsidRPr="00531A4E">
              <w:rPr>
                <w:sz w:val="22"/>
                <w:szCs w:val="22"/>
              </w:rPr>
              <w:t xml:space="preserve"> </w:t>
            </w:r>
          </w:p>
        </w:tc>
        <w:tc>
          <w:tcPr>
            <w:tcW w:w="1296" w:type="dxa"/>
            <w:tcBorders>
              <w:left w:val="single" w:sz="4" w:space="0" w:color="auto"/>
              <w:right w:val="single" w:sz="4" w:space="0" w:color="auto"/>
            </w:tcBorders>
            <w:noWrap/>
            <w:vAlign w:val="center"/>
          </w:tcPr>
          <w:p w14:paraId="7D429254" w14:textId="77777777" w:rsidR="007D58FF" w:rsidRPr="00531A4E" w:rsidRDefault="007D58FF" w:rsidP="00893161">
            <w:pPr>
              <w:pStyle w:val="Paragraph"/>
              <w:spacing w:after="0"/>
              <w:jc w:val="center"/>
              <w:rPr>
                <w:sz w:val="22"/>
                <w:szCs w:val="22"/>
              </w:rPr>
            </w:pPr>
            <w:r w:rsidRPr="00531A4E">
              <w:rPr>
                <w:sz w:val="22"/>
                <w:szCs w:val="22"/>
              </w:rPr>
              <w:t>0.34</w:t>
            </w:r>
          </w:p>
        </w:tc>
        <w:tc>
          <w:tcPr>
            <w:tcW w:w="705" w:type="dxa"/>
            <w:tcBorders>
              <w:left w:val="single" w:sz="4" w:space="0" w:color="auto"/>
            </w:tcBorders>
            <w:noWrap/>
            <w:vAlign w:val="center"/>
          </w:tcPr>
          <w:p w14:paraId="7DF4903B" w14:textId="77777777" w:rsidR="007D58FF" w:rsidRPr="00610B0A" w:rsidRDefault="007D58FF" w:rsidP="00893161">
            <w:pPr>
              <w:pStyle w:val="Paragraph"/>
              <w:spacing w:after="0"/>
              <w:jc w:val="center"/>
              <w:rPr>
                <w:sz w:val="22"/>
                <w:szCs w:val="22"/>
                <w:vertAlign w:val="superscript"/>
              </w:rPr>
            </w:pPr>
            <w:r w:rsidRPr="00610B0A">
              <w:rPr>
                <w:sz w:val="22"/>
                <w:szCs w:val="22"/>
                <w:vertAlign w:val="superscript"/>
              </w:rPr>
              <w:t>7</w:t>
            </w:r>
          </w:p>
        </w:tc>
      </w:tr>
      <w:tr w:rsidR="007D58FF" w:rsidRPr="003249A2" w14:paraId="64163282" w14:textId="77777777" w:rsidTr="00893161">
        <w:trPr>
          <w:trHeight w:val="20"/>
          <w:jc w:val="center"/>
        </w:trPr>
        <w:tc>
          <w:tcPr>
            <w:tcW w:w="1679" w:type="dxa"/>
            <w:vMerge/>
            <w:tcBorders>
              <w:right w:val="single" w:sz="4" w:space="0" w:color="auto"/>
            </w:tcBorders>
            <w:vAlign w:val="center"/>
          </w:tcPr>
          <w:p w14:paraId="12567558" w14:textId="77777777" w:rsidR="007D58FF" w:rsidRPr="00531A4E" w:rsidRDefault="007D58FF" w:rsidP="00893161">
            <w:pPr>
              <w:pStyle w:val="Paragraph"/>
              <w:spacing w:after="0"/>
              <w:jc w:val="center"/>
              <w:rPr>
                <w:sz w:val="22"/>
                <w:szCs w:val="22"/>
              </w:rPr>
            </w:pPr>
          </w:p>
        </w:tc>
        <w:tc>
          <w:tcPr>
            <w:tcW w:w="2448" w:type="dxa"/>
            <w:tcBorders>
              <w:left w:val="single" w:sz="4" w:space="0" w:color="auto"/>
              <w:right w:val="single" w:sz="4" w:space="0" w:color="auto"/>
            </w:tcBorders>
            <w:noWrap/>
            <w:vAlign w:val="center"/>
          </w:tcPr>
          <w:p w14:paraId="19E07C59" w14:textId="77777777" w:rsidR="007D58FF" w:rsidRPr="00531A4E" w:rsidRDefault="007D58FF" w:rsidP="00893161">
            <w:pPr>
              <w:pStyle w:val="Paragraph"/>
              <w:spacing w:after="0"/>
              <w:rPr>
                <w:sz w:val="22"/>
                <w:szCs w:val="22"/>
              </w:rPr>
            </w:pPr>
            <m:oMath>
              <m:r>
                <w:rPr>
                  <w:rFonts w:ascii="Cambria Math" w:hAnsi="Cambria Math"/>
                  <w:sz w:val="22"/>
                  <w:szCs w:val="22"/>
                </w:rPr>
                <m:t>E</m:t>
              </m:r>
            </m:oMath>
            <w:r w:rsidRPr="00531A4E">
              <w:rPr>
                <w:sz w:val="22"/>
                <w:szCs w:val="22"/>
              </w:rPr>
              <w:t xml:space="preserve"> (GPa)</w:t>
            </w:r>
          </w:p>
        </w:tc>
        <w:tc>
          <w:tcPr>
            <w:tcW w:w="1296" w:type="dxa"/>
            <w:tcBorders>
              <w:left w:val="single" w:sz="4" w:space="0" w:color="auto"/>
              <w:right w:val="single" w:sz="4" w:space="0" w:color="auto"/>
            </w:tcBorders>
            <w:noWrap/>
            <w:vAlign w:val="center"/>
          </w:tcPr>
          <w:p w14:paraId="540F31D4" w14:textId="77777777" w:rsidR="007D58FF" w:rsidRPr="00531A4E" w:rsidRDefault="007D58FF" w:rsidP="00893161">
            <w:pPr>
              <w:pStyle w:val="Paragraph"/>
              <w:spacing w:after="0"/>
              <w:jc w:val="center"/>
              <w:rPr>
                <w:sz w:val="22"/>
                <w:szCs w:val="22"/>
              </w:rPr>
            </w:pPr>
            <w:r w:rsidRPr="00531A4E">
              <w:rPr>
                <w:sz w:val="22"/>
                <w:szCs w:val="22"/>
              </w:rPr>
              <w:t>3.9</w:t>
            </w:r>
          </w:p>
        </w:tc>
        <w:tc>
          <w:tcPr>
            <w:tcW w:w="705" w:type="dxa"/>
            <w:tcBorders>
              <w:left w:val="single" w:sz="4" w:space="0" w:color="auto"/>
            </w:tcBorders>
            <w:noWrap/>
            <w:vAlign w:val="center"/>
          </w:tcPr>
          <w:p w14:paraId="65F78780" w14:textId="77777777" w:rsidR="007D58FF" w:rsidRPr="00610B0A" w:rsidRDefault="007D58FF" w:rsidP="00893161">
            <w:pPr>
              <w:pStyle w:val="Paragraph"/>
              <w:spacing w:after="0"/>
              <w:jc w:val="center"/>
              <w:rPr>
                <w:sz w:val="22"/>
                <w:szCs w:val="22"/>
                <w:vertAlign w:val="superscript"/>
              </w:rPr>
            </w:pPr>
            <w:r w:rsidRPr="00610B0A">
              <w:rPr>
                <w:sz w:val="22"/>
                <w:szCs w:val="22"/>
                <w:vertAlign w:val="superscript"/>
              </w:rPr>
              <w:t>7</w:t>
            </w:r>
          </w:p>
        </w:tc>
      </w:tr>
      <w:tr w:rsidR="007D58FF" w:rsidRPr="003249A2" w14:paraId="1E4E79A1" w14:textId="77777777" w:rsidTr="00893161">
        <w:trPr>
          <w:trHeight w:val="20"/>
          <w:jc w:val="center"/>
        </w:trPr>
        <w:tc>
          <w:tcPr>
            <w:tcW w:w="1679" w:type="dxa"/>
            <w:vMerge/>
            <w:tcBorders>
              <w:right w:val="single" w:sz="4" w:space="0" w:color="auto"/>
            </w:tcBorders>
            <w:vAlign w:val="center"/>
          </w:tcPr>
          <w:p w14:paraId="429C8C7A" w14:textId="77777777" w:rsidR="007D58FF" w:rsidRPr="00531A4E" w:rsidRDefault="007D58FF" w:rsidP="00893161">
            <w:pPr>
              <w:pStyle w:val="Paragraph"/>
              <w:spacing w:after="0"/>
              <w:jc w:val="center"/>
              <w:rPr>
                <w:sz w:val="22"/>
                <w:szCs w:val="22"/>
              </w:rPr>
            </w:pPr>
          </w:p>
        </w:tc>
        <w:tc>
          <w:tcPr>
            <w:tcW w:w="2448" w:type="dxa"/>
            <w:tcBorders>
              <w:left w:val="single" w:sz="4" w:space="0" w:color="auto"/>
              <w:right w:val="single" w:sz="4" w:space="0" w:color="auto"/>
            </w:tcBorders>
            <w:noWrap/>
            <w:vAlign w:val="center"/>
          </w:tcPr>
          <w:p w14:paraId="0AC609B4" w14:textId="77777777" w:rsidR="007D58FF" w:rsidRPr="00531A4E" w:rsidRDefault="007D58FF" w:rsidP="00893161">
            <w:pPr>
              <w:pStyle w:val="Paragraph"/>
              <w:spacing w:after="0"/>
              <w:rPr>
                <w:sz w:val="22"/>
                <w:szCs w:val="22"/>
              </w:rPr>
            </w:pPr>
            <m:oMath>
              <m:r>
                <w:rPr>
                  <w:rFonts w:ascii="Cambria Math" w:hAnsi="Cambria Math"/>
                  <w:sz w:val="22"/>
                  <w:szCs w:val="22"/>
                </w:rPr>
                <m:t>ρ</m:t>
              </m:r>
            </m:oMath>
            <w:r w:rsidRPr="00531A4E">
              <w:rPr>
                <w:sz w:val="22"/>
                <w:szCs w:val="22"/>
              </w:rPr>
              <w:t xml:space="preserve"> (kg/m</w:t>
            </w:r>
            <w:r w:rsidRPr="00531A4E">
              <w:rPr>
                <w:sz w:val="22"/>
                <w:szCs w:val="22"/>
                <w:vertAlign w:val="superscript"/>
              </w:rPr>
              <w:t>3</w:t>
            </w:r>
            <w:r w:rsidRPr="00531A4E">
              <w:rPr>
                <w:sz w:val="22"/>
                <w:szCs w:val="22"/>
              </w:rPr>
              <w:t xml:space="preserve">) </w:t>
            </w:r>
          </w:p>
        </w:tc>
        <w:tc>
          <w:tcPr>
            <w:tcW w:w="1296" w:type="dxa"/>
            <w:tcBorders>
              <w:left w:val="single" w:sz="4" w:space="0" w:color="auto"/>
              <w:right w:val="single" w:sz="4" w:space="0" w:color="auto"/>
            </w:tcBorders>
            <w:noWrap/>
            <w:vAlign w:val="center"/>
          </w:tcPr>
          <w:p w14:paraId="6A6EE8A6" w14:textId="77777777" w:rsidR="007D58FF" w:rsidRPr="00531A4E" w:rsidRDefault="007D58FF" w:rsidP="00893161">
            <w:pPr>
              <w:pStyle w:val="Paragraph"/>
              <w:spacing w:after="0"/>
              <w:jc w:val="center"/>
              <w:rPr>
                <w:sz w:val="22"/>
                <w:szCs w:val="22"/>
              </w:rPr>
            </w:pPr>
            <w:r w:rsidRPr="00531A4E">
              <w:rPr>
                <w:sz w:val="22"/>
                <w:szCs w:val="22"/>
              </w:rPr>
              <w:t>2,600.00</w:t>
            </w:r>
          </w:p>
        </w:tc>
        <w:tc>
          <w:tcPr>
            <w:tcW w:w="705" w:type="dxa"/>
            <w:tcBorders>
              <w:left w:val="single" w:sz="4" w:space="0" w:color="auto"/>
            </w:tcBorders>
            <w:noWrap/>
          </w:tcPr>
          <w:p w14:paraId="3BE0133A" w14:textId="77777777" w:rsidR="007D58FF" w:rsidRPr="00610B0A" w:rsidRDefault="007D58FF" w:rsidP="00893161">
            <w:pPr>
              <w:pStyle w:val="Paragraph"/>
              <w:spacing w:after="0"/>
              <w:jc w:val="center"/>
              <w:rPr>
                <w:sz w:val="22"/>
                <w:szCs w:val="22"/>
                <w:vertAlign w:val="superscript"/>
              </w:rPr>
            </w:pPr>
            <w:r w:rsidRPr="00610B0A">
              <w:rPr>
                <w:sz w:val="22"/>
                <w:szCs w:val="22"/>
                <w:vertAlign w:val="superscript"/>
              </w:rPr>
              <w:t>7</w:t>
            </w:r>
          </w:p>
        </w:tc>
      </w:tr>
      <w:tr w:rsidR="007D58FF" w:rsidRPr="003249A2" w14:paraId="3E2850F2" w14:textId="77777777" w:rsidTr="00893161">
        <w:trPr>
          <w:trHeight w:val="20"/>
          <w:jc w:val="center"/>
        </w:trPr>
        <w:tc>
          <w:tcPr>
            <w:tcW w:w="1679" w:type="dxa"/>
            <w:vMerge/>
            <w:tcBorders>
              <w:right w:val="single" w:sz="4" w:space="0" w:color="auto"/>
            </w:tcBorders>
            <w:vAlign w:val="center"/>
          </w:tcPr>
          <w:p w14:paraId="439CDBFF" w14:textId="77777777" w:rsidR="007D58FF" w:rsidRPr="00531A4E" w:rsidRDefault="007D58FF" w:rsidP="00893161">
            <w:pPr>
              <w:pStyle w:val="Paragraph"/>
              <w:spacing w:after="0"/>
              <w:jc w:val="center"/>
              <w:rPr>
                <w:sz w:val="22"/>
                <w:szCs w:val="22"/>
              </w:rPr>
            </w:pPr>
          </w:p>
        </w:tc>
        <w:tc>
          <w:tcPr>
            <w:tcW w:w="2448" w:type="dxa"/>
            <w:tcBorders>
              <w:left w:val="single" w:sz="4" w:space="0" w:color="auto"/>
              <w:right w:val="single" w:sz="4" w:space="0" w:color="auto"/>
            </w:tcBorders>
            <w:noWrap/>
            <w:vAlign w:val="center"/>
          </w:tcPr>
          <w:p w14:paraId="73B09C8D" w14:textId="77777777" w:rsidR="007D58FF" w:rsidRPr="00531A4E" w:rsidRDefault="007D58FF" w:rsidP="00893161">
            <w:pPr>
              <w:pStyle w:val="Paragraph"/>
              <w:spacing w:after="0"/>
              <w:rPr>
                <w:sz w:val="22"/>
                <w:szCs w:val="22"/>
              </w:rPr>
            </w:pPr>
            <m:oMath>
              <m:r>
                <w:rPr>
                  <w:rFonts w:ascii="Cambria Math" w:hAnsi="Cambria Math"/>
                  <w:sz w:val="22"/>
                  <w:szCs w:val="22"/>
                </w:rPr>
                <m:t>α</m:t>
              </m:r>
            </m:oMath>
            <w:r w:rsidRPr="00531A4E">
              <w:rPr>
                <w:sz w:val="22"/>
                <w:szCs w:val="22"/>
              </w:rPr>
              <w:t xml:space="preserve"> (K</w:t>
            </w:r>
            <w:r w:rsidRPr="00531A4E">
              <w:rPr>
                <w:sz w:val="22"/>
                <w:szCs w:val="22"/>
                <w:vertAlign w:val="superscript"/>
              </w:rPr>
              <w:t>-1</w:t>
            </w:r>
            <w:r w:rsidRPr="00531A4E">
              <w:rPr>
                <w:sz w:val="22"/>
                <w:szCs w:val="22"/>
              </w:rPr>
              <w:t>)</w:t>
            </w:r>
          </w:p>
        </w:tc>
        <w:tc>
          <w:tcPr>
            <w:tcW w:w="1296" w:type="dxa"/>
            <w:tcBorders>
              <w:left w:val="single" w:sz="4" w:space="0" w:color="auto"/>
              <w:right w:val="single" w:sz="4" w:space="0" w:color="auto"/>
            </w:tcBorders>
            <w:noWrap/>
            <w:vAlign w:val="center"/>
          </w:tcPr>
          <w:p w14:paraId="5972C209" w14:textId="77777777" w:rsidR="007D58FF" w:rsidRPr="00531A4E" w:rsidRDefault="007D58FF" w:rsidP="00893161">
            <w:pPr>
              <w:pStyle w:val="Paragraph"/>
              <w:spacing w:after="0"/>
              <w:jc w:val="center"/>
              <w:rPr>
                <w:sz w:val="22"/>
                <w:szCs w:val="22"/>
              </w:rPr>
            </w:pPr>
            <w:r w:rsidRPr="00531A4E">
              <w:rPr>
                <w:sz w:val="22"/>
                <w:szCs w:val="22"/>
              </w:rPr>
              <w:t>1.00E-05</w:t>
            </w:r>
          </w:p>
        </w:tc>
        <w:tc>
          <w:tcPr>
            <w:tcW w:w="705" w:type="dxa"/>
            <w:tcBorders>
              <w:left w:val="single" w:sz="4" w:space="0" w:color="auto"/>
            </w:tcBorders>
            <w:noWrap/>
          </w:tcPr>
          <w:p w14:paraId="228AB401" w14:textId="77777777" w:rsidR="007D58FF" w:rsidRPr="00610B0A" w:rsidRDefault="007D58FF" w:rsidP="00893161">
            <w:pPr>
              <w:pStyle w:val="Paragraph"/>
              <w:spacing w:after="0"/>
              <w:jc w:val="center"/>
              <w:rPr>
                <w:sz w:val="22"/>
                <w:szCs w:val="22"/>
                <w:vertAlign w:val="superscript"/>
              </w:rPr>
            </w:pPr>
            <w:r w:rsidRPr="00610B0A">
              <w:rPr>
                <w:sz w:val="22"/>
                <w:szCs w:val="22"/>
                <w:vertAlign w:val="superscript"/>
              </w:rPr>
              <w:t>5</w:t>
            </w:r>
          </w:p>
        </w:tc>
      </w:tr>
      <w:tr w:rsidR="007D58FF" w:rsidRPr="003249A2" w14:paraId="3305BE31" w14:textId="77777777" w:rsidTr="00893161">
        <w:trPr>
          <w:trHeight w:val="20"/>
          <w:jc w:val="center"/>
        </w:trPr>
        <w:tc>
          <w:tcPr>
            <w:tcW w:w="1679" w:type="dxa"/>
            <w:vMerge/>
            <w:tcBorders>
              <w:right w:val="single" w:sz="4" w:space="0" w:color="auto"/>
            </w:tcBorders>
            <w:vAlign w:val="center"/>
          </w:tcPr>
          <w:p w14:paraId="2BB631CD" w14:textId="77777777" w:rsidR="007D58FF" w:rsidRPr="00531A4E" w:rsidRDefault="007D58FF" w:rsidP="00893161">
            <w:pPr>
              <w:pStyle w:val="Paragraph"/>
              <w:spacing w:after="0"/>
              <w:jc w:val="center"/>
              <w:rPr>
                <w:sz w:val="22"/>
                <w:szCs w:val="22"/>
              </w:rPr>
            </w:pPr>
          </w:p>
        </w:tc>
        <w:tc>
          <w:tcPr>
            <w:tcW w:w="2448" w:type="dxa"/>
            <w:tcBorders>
              <w:left w:val="single" w:sz="4" w:space="0" w:color="auto"/>
              <w:right w:val="single" w:sz="4" w:space="0" w:color="auto"/>
            </w:tcBorders>
            <w:noWrap/>
            <w:vAlign w:val="center"/>
          </w:tcPr>
          <w:p w14:paraId="07A14FCE" w14:textId="77777777" w:rsidR="007D58FF" w:rsidRPr="00531A4E" w:rsidRDefault="007D58FF" w:rsidP="00893161">
            <w:pPr>
              <w:pStyle w:val="Paragraph"/>
              <w:spacing w:after="0"/>
              <w:rPr>
                <w:sz w:val="22"/>
                <w:szCs w:val="22"/>
              </w:rPr>
            </w:pPr>
            <m:oMath>
              <m:r>
                <w:rPr>
                  <w:rFonts w:ascii="Cambria Math" w:hAnsi="Cambria Math"/>
                  <w:sz w:val="22"/>
                  <w:szCs w:val="22"/>
                </w:rPr>
                <m:t>κ</m:t>
              </m:r>
            </m:oMath>
            <w:r w:rsidRPr="00531A4E">
              <w:rPr>
                <w:sz w:val="22"/>
                <w:szCs w:val="22"/>
              </w:rPr>
              <w:t xml:space="preserve"> (W/m∙K)</w:t>
            </w:r>
          </w:p>
        </w:tc>
        <w:tc>
          <w:tcPr>
            <w:tcW w:w="1296" w:type="dxa"/>
            <w:tcBorders>
              <w:left w:val="single" w:sz="4" w:space="0" w:color="auto"/>
              <w:right w:val="single" w:sz="4" w:space="0" w:color="auto"/>
            </w:tcBorders>
            <w:noWrap/>
            <w:vAlign w:val="center"/>
          </w:tcPr>
          <w:p w14:paraId="527F4C81" w14:textId="77777777" w:rsidR="007D58FF" w:rsidRPr="00531A4E" w:rsidRDefault="007D58FF" w:rsidP="00893161">
            <w:pPr>
              <w:pStyle w:val="Paragraph"/>
              <w:spacing w:after="0"/>
              <w:jc w:val="center"/>
              <w:rPr>
                <w:sz w:val="22"/>
                <w:szCs w:val="22"/>
              </w:rPr>
            </w:pPr>
            <w:r w:rsidRPr="00531A4E">
              <w:rPr>
                <w:sz w:val="22"/>
                <w:szCs w:val="22"/>
              </w:rPr>
              <w:t>2.40</w:t>
            </w:r>
          </w:p>
        </w:tc>
        <w:tc>
          <w:tcPr>
            <w:tcW w:w="705" w:type="dxa"/>
            <w:tcBorders>
              <w:left w:val="single" w:sz="4" w:space="0" w:color="auto"/>
            </w:tcBorders>
            <w:noWrap/>
            <w:vAlign w:val="center"/>
          </w:tcPr>
          <w:p w14:paraId="78A6D351" w14:textId="77777777" w:rsidR="007D58FF" w:rsidRPr="00610B0A" w:rsidRDefault="007D58FF" w:rsidP="00893161">
            <w:pPr>
              <w:pStyle w:val="Paragraph"/>
              <w:spacing w:after="0"/>
              <w:jc w:val="center"/>
              <w:rPr>
                <w:sz w:val="22"/>
                <w:szCs w:val="22"/>
                <w:vertAlign w:val="superscript"/>
              </w:rPr>
            </w:pPr>
            <w:r w:rsidRPr="00610B0A">
              <w:rPr>
                <w:sz w:val="22"/>
                <w:szCs w:val="22"/>
                <w:vertAlign w:val="superscript"/>
              </w:rPr>
              <w:t>5</w:t>
            </w:r>
          </w:p>
        </w:tc>
      </w:tr>
      <w:tr w:rsidR="007D58FF" w:rsidRPr="003249A2" w14:paraId="09491CD4" w14:textId="77777777" w:rsidTr="00893161">
        <w:trPr>
          <w:trHeight w:val="20"/>
          <w:jc w:val="center"/>
        </w:trPr>
        <w:tc>
          <w:tcPr>
            <w:tcW w:w="1679" w:type="dxa"/>
            <w:vMerge/>
            <w:tcBorders>
              <w:bottom w:val="single" w:sz="4" w:space="0" w:color="auto"/>
              <w:right w:val="single" w:sz="4" w:space="0" w:color="auto"/>
            </w:tcBorders>
            <w:vAlign w:val="center"/>
          </w:tcPr>
          <w:p w14:paraId="7E5E29B3" w14:textId="77777777" w:rsidR="007D58FF" w:rsidRPr="00531A4E" w:rsidRDefault="007D58FF" w:rsidP="00893161">
            <w:pPr>
              <w:pStyle w:val="Paragraph"/>
              <w:spacing w:after="0"/>
              <w:jc w:val="center"/>
              <w:rPr>
                <w:sz w:val="22"/>
                <w:szCs w:val="22"/>
              </w:rPr>
            </w:pPr>
          </w:p>
        </w:tc>
        <w:tc>
          <w:tcPr>
            <w:tcW w:w="2448" w:type="dxa"/>
            <w:tcBorders>
              <w:left w:val="single" w:sz="4" w:space="0" w:color="auto"/>
              <w:bottom w:val="single" w:sz="4" w:space="0" w:color="auto"/>
              <w:right w:val="single" w:sz="4" w:space="0" w:color="auto"/>
            </w:tcBorders>
            <w:noWrap/>
            <w:vAlign w:val="center"/>
          </w:tcPr>
          <w:p w14:paraId="7D72B84D" w14:textId="77777777" w:rsidR="007D58FF" w:rsidRPr="00531A4E" w:rsidRDefault="007D58FF" w:rsidP="00893161">
            <w:pPr>
              <w:pStyle w:val="Paragraph"/>
              <w:spacing w:after="0"/>
              <w:rPr>
                <w:sz w:val="22"/>
                <w:szCs w:val="22"/>
              </w:rPr>
            </w:pPr>
            <m:oMath>
              <m:r>
                <w:rPr>
                  <w:rFonts w:ascii="Cambria Math" w:hAnsi="Cambria Math"/>
                  <w:sz w:val="22"/>
                  <w:szCs w:val="22"/>
                </w:rPr>
                <m:t>c</m:t>
              </m:r>
            </m:oMath>
            <w:r w:rsidRPr="00531A4E">
              <w:rPr>
                <w:sz w:val="22"/>
                <w:szCs w:val="22"/>
              </w:rPr>
              <w:t xml:space="preserve"> (J/kg∙K)</w:t>
            </w:r>
          </w:p>
        </w:tc>
        <w:tc>
          <w:tcPr>
            <w:tcW w:w="1296" w:type="dxa"/>
            <w:tcBorders>
              <w:left w:val="single" w:sz="4" w:space="0" w:color="auto"/>
              <w:bottom w:val="single" w:sz="4" w:space="0" w:color="auto"/>
              <w:right w:val="single" w:sz="4" w:space="0" w:color="auto"/>
            </w:tcBorders>
            <w:noWrap/>
            <w:vAlign w:val="center"/>
          </w:tcPr>
          <w:p w14:paraId="351560FA" w14:textId="77777777" w:rsidR="007D58FF" w:rsidRPr="00531A4E" w:rsidRDefault="007D58FF" w:rsidP="00893161">
            <w:pPr>
              <w:pStyle w:val="Paragraph"/>
              <w:spacing w:after="0"/>
              <w:jc w:val="center"/>
              <w:rPr>
                <w:sz w:val="22"/>
                <w:szCs w:val="22"/>
              </w:rPr>
            </w:pPr>
            <w:r w:rsidRPr="00531A4E">
              <w:rPr>
                <w:sz w:val="22"/>
                <w:szCs w:val="22"/>
              </w:rPr>
              <w:t>900.00</w:t>
            </w:r>
          </w:p>
        </w:tc>
        <w:tc>
          <w:tcPr>
            <w:tcW w:w="705" w:type="dxa"/>
            <w:tcBorders>
              <w:left w:val="single" w:sz="4" w:space="0" w:color="auto"/>
              <w:bottom w:val="single" w:sz="4" w:space="0" w:color="auto"/>
            </w:tcBorders>
            <w:noWrap/>
            <w:vAlign w:val="center"/>
          </w:tcPr>
          <w:p w14:paraId="10362C2B" w14:textId="77777777" w:rsidR="007D58FF" w:rsidRPr="00610B0A" w:rsidRDefault="007D58FF" w:rsidP="00893161">
            <w:pPr>
              <w:pStyle w:val="Paragraph"/>
              <w:spacing w:after="0"/>
              <w:jc w:val="center"/>
              <w:rPr>
                <w:sz w:val="22"/>
                <w:szCs w:val="22"/>
                <w:vertAlign w:val="superscript"/>
              </w:rPr>
            </w:pPr>
            <w:r w:rsidRPr="00610B0A">
              <w:rPr>
                <w:sz w:val="22"/>
                <w:szCs w:val="22"/>
                <w:vertAlign w:val="superscript"/>
              </w:rPr>
              <w:t>5</w:t>
            </w:r>
          </w:p>
        </w:tc>
      </w:tr>
      <w:tr w:rsidR="007D58FF" w:rsidRPr="003249A2" w14:paraId="63970F7B" w14:textId="77777777" w:rsidTr="00893161">
        <w:trPr>
          <w:trHeight w:val="20"/>
          <w:jc w:val="center"/>
        </w:trPr>
        <w:tc>
          <w:tcPr>
            <w:tcW w:w="1679" w:type="dxa"/>
            <w:vMerge w:val="restart"/>
            <w:tcBorders>
              <w:top w:val="single" w:sz="4" w:space="0" w:color="auto"/>
              <w:right w:val="single" w:sz="4" w:space="0" w:color="auto"/>
            </w:tcBorders>
            <w:vAlign w:val="center"/>
          </w:tcPr>
          <w:p w14:paraId="54E3B520" w14:textId="77777777" w:rsidR="007D58FF" w:rsidRPr="00531A4E" w:rsidRDefault="007D58FF" w:rsidP="00893161">
            <w:pPr>
              <w:pStyle w:val="Paragraph"/>
              <w:spacing w:after="0"/>
              <w:jc w:val="center"/>
              <w:rPr>
                <w:sz w:val="22"/>
                <w:szCs w:val="22"/>
              </w:rPr>
            </w:pPr>
            <w:r w:rsidRPr="00531A4E">
              <w:rPr>
                <w:sz w:val="22"/>
                <w:szCs w:val="22"/>
              </w:rPr>
              <w:t>Casing/Cement</w:t>
            </w:r>
          </w:p>
        </w:tc>
        <w:tc>
          <w:tcPr>
            <w:tcW w:w="2448" w:type="dxa"/>
            <w:tcBorders>
              <w:top w:val="single" w:sz="4" w:space="0" w:color="auto"/>
              <w:left w:val="single" w:sz="4" w:space="0" w:color="auto"/>
              <w:right w:val="single" w:sz="4" w:space="0" w:color="auto"/>
            </w:tcBorders>
            <w:noWrap/>
            <w:vAlign w:val="center"/>
          </w:tcPr>
          <w:p w14:paraId="3EA86ABC" w14:textId="77777777" w:rsidR="007D58FF" w:rsidRPr="00531A4E" w:rsidRDefault="00077C0B" w:rsidP="00893161">
            <w:pPr>
              <w:pStyle w:val="Paragraph"/>
              <w:spacing w:after="0"/>
              <w:rPr>
                <w:sz w:val="22"/>
                <w:szCs w:val="22"/>
              </w:rPr>
            </w:pPr>
            <m:oMath>
              <m:sSup>
                <m:sSupPr>
                  <m:ctrlPr>
                    <w:rPr>
                      <w:rFonts w:ascii="Cambria Math" w:hAnsi="Cambria Math"/>
                      <w:i/>
                      <w:sz w:val="22"/>
                      <w:szCs w:val="22"/>
                    </w:rPr>
                  </m:ctrlPr>
                </m:sSupPr>
                <m:e>
                  <m:r>
                    <w:rPr>
                      <w:rFonts w:ascii="Cambria Math" w:hAnsi="Cambria Math"/>
                      <w:sz w:val="22"/>
                      <w:szCs w:val="22"/>
                    </w:rPr>
                    <m:t>τ</m:t>
                  </m:r>
                </m:e>
                <m:sup>
                  <m:r>
                    <w:rPr>
                      <w:rFonts w:ascii="Cambria Math" w:hAnsi="Cambria Math"/>
                      <w:sz w:val="22"/>
                      <w:szCs w:val="22"/>
                    </w:rPr>
                    <m:t>o</m:t>
                  </m:r>
                </m:sup>
              </m:sSup>
            </m:oMath>
            <w:r w:rsidR="007D58FF" w:rsidRPr="00531A4E">
              <w:rPr>
                <w:sz w:val="22"/>
                <w:szCs w:val="22"/>
              </w:rPr>
              <w:t xml:space="preserve"> (MPa)</w:t>
            </w:r>
          </w:p>
        </w:tc>
        <w:tc>
          <w:tcPr>
            <w:tcW w:w="1296" w:type="dxa"/>
            <w:tcBorders>
              <w:top w:val="single" w:sz="4" w:space="0" w:color="auto"/>
              <w:left w:val="single" w:sz="4" w:space="0" w:color="auto"/>
              <w:right w:val="single" w:sz="4" w:space="0" w:color="auto"/>
            </w:tcBorders>
            <w:noWrap/>
            <w:vAlign w:val="center"/>
          </w:tcPr>
          <w:p w14:paraId="5E138D87" w14:textId="77777777" w:rsidR="007D58FF" w:rsidRPr="00531A4E" w:rsidRDefault="007D58FF" w:rsidP="00893161">
            <w:pPr>
              <w:pStyle w:val="Paragraph"/>
              <w:spacing w:after="0"/>
              <w:jc w:val="center"/>
              <w:rPr>
                <w:sz w:val="22"/>
                <w:szCs w:val="22"/>
              </w:rPr>
            </w:pPr>
            <w:r w:rsidRPr="00531A4E">
              <w:rPr>
                <w:sz w:val="22"/>
                <w:szCs w:val="22"/>
              </w:rPr>
              <w:t>0.50</w:t>
            </w:r>
          </w:p>
        </w:tc>
        <w:tc>
          <w:tcPr>
            <w:tcW w:w="705" w:type="dxa"/>
            <w:tcBorders>
              <w:top w:val="single" w:sz="4" w:space="0" w:color="auto"/>
              <w:left w:val="single" w:sz="4" w:space="0" w:color="auto"/>
            </w:tcBorders>
            <w:noWrap/>
            <w:vAlign w:val="center"/>
          </w:tcPr>
          <w:p w14:paraId="2F296F14" w14:textId="77777777" w:rsidR="007D58FF" w:rsidRPr="00610B0A" w:rsidRDefault="007D58FF" w:rsidP="00893161">
            <w:pPr>
              <w:pStyle w:val="Paragraph"/>
              <w:spacing w:after="0"/>
              <w:jc w:val="center"/>
              <w:rPr>
                <w:sz w:val="22"/>
                <w:szCs w:val="22"/>
                <w:vertAlign w:val="superscript"/>
              </w:rPr>
            </w:pPr>
            <w:r w:rsidRPr="00610B0A">
              <w:rPr>
                <w:sz w:val="22"/>
                <w:szCs w:val="22"/>
                <w:vertAlign w:val="superscript"/>
              </w:rPr>
              <w:t>8</w:t>
            </w:r>
          </w:p>
        </w:tc>
      </w:tr>
      <w:tr w:rsidR="007D58FF" w:rsidRPr="003249A2" w14:paraId="6175C7BD" w14:textId="77777777" w:rsidTr="00893161">
        <w:trPr>
          <w:trHeight w:val="20"/>
          <w:jc w:val="center"/>
        </w:trPr>
        <w:tc>
          <w:tcPr>
            <w:tcW w:w="1679" w:type="dxa"/>
            <w:vMerge/>
            <w:tcBorders>
              <w:bottom w:val="single" w:sz="4" w:space="0" w:color="auto"/>
              <w:right w:val="single" w:sz="4" w:space="0" w:color="auto"/>
            </w:tcBorders>
            <w:vAlign w:val="center"/>
          </w:tcPr>
          <w:p w14:paraId="3539CAE2" w14:textId="77777777" w:rsidR="007D58FF" w:rsidRPr="00531A4E" w:rsidRDefault="007D58FF" w:rsidP="00893161">
            <w:pPr>
              <w:pStyle w:val="Paragraph"/>
              <w:spacing w:after="0"/>
              <w:jc w:val="center"/>
              <w:rPr>
                <w:sz w:val="22"/>
                <w:szCs w:val="22"/>
              </w:rPr>
            </w:pPr>
          </w:p>
        </w:tc>
        <w:tc>
          <w:tcPr>
            <w:tcW w:w="2448" w:type="dxa"/>
            <w:tcBorders>
              <w:left w:val="single" w:sz="4" w:space="0" w:color="auto"/>
              <w:bottom w:val="single" w:sz="4" w:space="0" w:color="auto"/>
              <w:right w:val="single" w:sz="4" w:space="0" w:color="auto"/>
            </w:tcBorders>
            <w:noWrap/>
            <w:vAlign w:val="center"/>
          </w:tcPr>
          <w:p w14:paraId="05291AD8" w14:textId="77777777" w:rsidR="007D58FF" w:rsidRPr="00531A4E" w:rsidRDefault="00077C0B" w:rsidP="00893161">
            <w:pPr>
              <w:pStyle w:val="Paragraph"/>
              <w:spacing w:after="0"/>
              <w:rPr>
                <w:sz w:val="22"/>
                <w:szCs w:val="22"/>
              </w:rPr>
            </w:pP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C</m:t>
                  </m:r>
                </m:sub>
              </m:sSub>
            </m:oMath>
            <w:r w:rsidR="007D58FF" w:rsidRPr="00531A4E">
              <w:rPr>
                <w:sz w:val="22"/>
                <w:szCs w:val="22"/>
              </w:rPr>
              <w:t xml:space="preserve"> (J/m</w:t>
            </w:r>
            <w:r w:rsidR="007D58FF" w:rsidRPr="00531A4E">
              <w:rPr>
                <w:sz w:val="22"/>
                <w:szCs w:val="22"/>
                <w:vertAlign w:val="superscript"/>
              </w:rPr>
              <w:t>2</w:t>
            </w:r>
            <w:r w:rsidR="007D58FF" w:rsidRPr="00531A4E">
              <w:rPr>
                <w:sz w:val="22"/>
                <w:szCs w:val="22"/>
              </w:rPr>
              <w:t>)</w:t>
            </w:r>
          </w:p>
        </w:tc>
        <w:tc>
          <w:tcPr>
            <w:tcW w:w="1296" w:type="dxa"/>
            <w:tcBorders>
              <w:left w:val="single" w:sz="4" w:space="0" w:color="auto"/>
              <w:bottom w:val="single" w:sz="4" w:space="0" w:color="auto"/>
              <w:right w:val="single" w:sz="4" w:space="0" w:color="auto"/>
            </w:tcBorders>
            <w:noWrap/>
            <w:vAlign w:val="center"/>
          </w:tcPr>
          <w:p w14:paraId="14F782AC" w14:textId="77777777" w:rsidR="007D58FF" w:rsidRPr="00531A4E" w:rsidRDefault="007D58FF" w:rsidP="00893161">
            <w:pPr>
              <w:pStyle w:val="Paragraph"/>
              <w:spacing w:after="0"/>
              <w:jc w:val="center"/>
              <w:rPr>
                <w:sz w:val="22"/>
                <w:szCs w:val="22"/>
              </w:rPr>
            </w:pPr>
            <w:r w:rsidRPr="00531A4E">
              <w:rPr>
                <w:sz w:val="22"/>
                <w:szCs w:val="22"/>
              </w:rPr>
              <w:t>100.00</w:t>
            </w:r>
          </w:p>
        </w:tc>
        <w:tc>
          <w:tcPr>
            <w:tcW w:w="705" w:type="dxa"/>
            <w:tcBorders>
              <w:left w:val="single" w:sz="4" w:space="0" w:color="auto"/>
              <w:bottom w:val="single" w:sz="4" w:space="0" w:color="auto"/>
            </w:tcBorders>
            <w:noWrap/>
          </w:tcPr>
          <w:p w14:paraId="765CCEC8" w14:textId="77777777" w:rsidR="007D58FF" w:rsidRPr="00610B0A" w:rsidRDefault="007D58FF" w:rsidP="00893161">
            <w:pPr>
              <w:pStyle w:val="Paragraph"/>
              <w:spacing w:after="0"/>
              <w:jc w:val="center"/>
              <w:rPr>
                <w:sz w:val="22"/>
                <w:szCs w:val="22"/>
                <w:vertAlign w:val="superscript"/>
              </w:rPr>
            </w:pPr>
            <w:r w:rsidRPr="00610B0A">
              <w:rPr>
                <w:sz w:val="22"/>
                <w:szCs w:val="22"/>
                <w:vertAlign w:val="superscript"/>
              </w:rPr>
              <w:t>8</w:t>
            </w:r>
          </w:p>
        </w:tc>
      </w:tr>
      <w:tr w:rsidR="007D58FF" w:rsidRPr="003249A2" w14:paraId="0F780659" w14:textId="77777777" w:rsidTr="00893161">
        <w:trPr>
          <w:trHeight w:val="20"/>
          <w:jc w:val="center"/>
        </w:trPr>
        <w:tc>
          <w:tcPr>
            <w:tcW w:w="1679" w:type="dxa"/>
            <w:vMerge w:val="restart"/>
            <w:tcBorders>
              <w:top w:val="single" w:sz="4" w:space="0" w:color="auto"/>
              <w:right w:val="single" w:sz="4" w:space="0" w:color="auto"/>
            </w:tcBorders>
            <w:vAlign w:val="center"/>
          </w:tcPr>
          <w:p w14:paraId="7E7C8BE0" w14:textId="77777777" w:rsidR="007D58FF" w:rsidRPr="00531A4E" w:rsidRDefault="007D58FF" w:rsidP="00893161">
            <w:pPr>
              <w:pStyle w:val="Paragraph"/>
              <w:spacing w:after="0"/>
              <w:jc w:val="center"/>
              <w:rPr>
                <w:sz w:val="22"/>
                <w:szCs w:val="22"/>
              </w:rPr>
            </w:pPr>
            <w:r w:rsidRPr="00531A4E">
              <w:rPr>
                <w:sz w:val="22"/>
                <w:szCs w:val="22"/>
              </w:rPr>
              <w:t>Cement/Rock</w:t>
            </w:r>
          </w:p>
        </w:tc>
        <w:tc>
          <w:tcPr>
            <w:tcW w:w="2448" w:type="dxa"/>
            <w:tcBorders>
              <w:top w:val="single" w:sz="4" w:space="0" w:color="auto"/>
              <w:left w:val="single" w:sz="4" w:space="0" w:color="auto"/>
              <w:right w:val="single" w:sz="4" w:space="0" w:color="auto"/>
            </w:tcBorders>
            <w:noWrap/>
            <w:vAlign w:val="center"/>
          </w:tcPr>
          <w:p w14:paraId="0B0F1800" w14:textId="77777777" w:rsidR="007D58FF" w:rsidRPr="00531A4E" w:rsidRDefault="00077C0B" w:rsidP="00893161">
            <w:pPr>
              <w:pStyle w:val="Paragraph"/>
              <w:spacing w:after="0"/>
              <w:rPr>
                <w:sz w:val="22"/>
                <w:szCs w:val="22"/>
              </w:rPr>
            </w:pPr>
            <m:oMath>
              <m:sSup>
                <m:sSupPr>
                  <m:ctrlPr>
                    <w:rPr>
                      <w:rFonts w:ascii="Cambria Math" w:hAnsi="Cambria Math"/>
                      <w:i/>
                      <w:sz w:val="22"/>
                      <w:szCs w:val="22"/>
                    </w:rPr>
                  </m:ctrlPr>
                </m:sSupPr>
                <m:e>
                  <m:r>
                    <w:rPr>
                      <w:rFonts w:ascii="Cambria Math" w:hAnsi="Cambria Math"/>
                      <w:sz w:val="22"/>
                      <w:szCs w:val="22"/>
                    </w:rPr>
                    <m:t>τ</m:t>
                  </m:r>
                </m:e>
                <m:sup>
                  <m:r>
                    <w:rPr>
                      <w:rFonts w:ascii="Cambria Math" w:hAnsi="Cambria Math"/>
                      <w:sz w:val="22"/>
                      <w:szCs w:val="22"/>
                    </w:rPr>
                    <m:t>o</m:t>
                  </m:r>
                </m:sup>
              </m:sSup>
            </m:oMath>
            <w:r w:rsidR="007D58FF" w:rsidRPr="00531A4E">
              <w:rPr>
                <w:sz w:val="22"/>
                <w:szCs w:val="22"/>
              </w:rPr>
              <w:t xml:space="preserve"> (MPa)</w:t>
            </w:r>
          </w:p>
        </w:tc>
        <w:tc>
          <w:tcPr>
            <w:tcW w:w="1296" w:type="dxa"/>
            <w:tcBorders>
              <w:top w:val="single" w:sz="4" w:space="0" w:color="auto"/>
              <w:left w:val="single" w:sz="4" w:space="0" w:color="auto"/>
              <w:right w:val="single" w:sz="4" w:space="0" w:color="auto"/>
            </w:tcBorders>
            <w:noWrap/>
            <w:vAlign w:val="center"/>
          </w:tcPr>
          <w:p w14:paraId="5D1862C8" w14:textId="77777777" w:rsidR="007D58FF" w:rsidRPr="00531A4E" w:rsidRDefault="007D58FF" w:rsidP="00893161">
            <w:pPr>
              <w:pStyle w:val="Paragraph"/>
              <w:spacing w:after="0"/>
              <w:jc w:val="center"/>
              <w:rPr>
                <w:sz w:val="22"/>
                <w:szCs w:val="22"/>
              </w:rPr>
            </w:pPr>
            <w:r w:rsidRPr="00531A4E">
              <w:rPr>
                <w:sz w:val="22"/>
                <w:szCs w:val="22"/>
              </w:rPr>
              <w:t>0.42</w:t>
            </w:r>
          </w:p>
        </w:tc>
        <w:tc>
          <w:tcPr>
            <w:tcW w:w="705" w:type="dxa"/>
            <w:tcBorders>
              <w:top w:val="single" w:sz="4" w:space="0" w:color="auto"/>
              <w:left w:val="single" w:sz="4" w:space="0" w:color="auto"/>
            </w:tcBorders>
            <w:noWrap/>
          </w:tcPr>
          <w:p w14:paraId="0B9287FF" w14:textId="77777777" w:rsidR="007D58FF" w:rsidRPr="00610B0A" w:rsidRDefault="007D58FF" w:rsidP="00893161">
            <w:pPr>
              <w:pStyle w:val="Paragraph"/>
              <w:spacing w:after="0"/>
              <w:jc w:val="center"/>
              <w:rPr>
                <w:sz w:val="22"/>
                <w:szCs w:val="22"/>
                <w:vertAlign w:val="superscript"/>
              </w:rPr>
            </w:pPr>
            <w:r w:rsidRPr="00610B0A">
              <w:rPr>
                <w:sz w:val="22"/>
                <w:szCs w:val="22"/>
                <w:vertAlign w:val="superscript"/>
              </w:rPr>
              <w:t>8</w:t>
            </w:r>
          </w:p>
        </w:tc>
      </w:tr>
      <w:tr w:rsidR="007D58FF" w:rsidRPr="003249A2" w14:paraId="4A014955" w14:textId="77777777" w:rsidTr="00893161">
        <w:trPr>
          <w:trHeight w:val="20"/>
          <w:jc w:val="center"/>
        </w:trPr>
        <w:tc>
          <w:tcPr>
            <w:tcW w:w="1679" w:type="dxa"/>
            <w:vMerge/>
            <w:tcBorders>
              <w:bottom w:val="single" w:sz="4" w:space="0" w:color="auto"/>
              <w:right w:val="single" w:sz="4" w:space="0" w:color="auto"/>
            </w:tcBorders>
            <w:vAlign w:val="center"/>
          </w:tcPr>
          <w:p w14:paraId="0A984D77" w14:textId="77777777" w:rsidR="007D58FF" w:rsidRPr="00531A4E" w:rsidRDefault="007D58FF" w:rsidP="00893161">
            <w:pPr>
              <w:pStyle w:val="Paragraph"/>
              <w:spacing w:after="0"/>
              <w:jc w:val="center"/>
              <w:rPr>
                <w:sz w:val="22"/>
                <w:szCs w:val="22"/>
              </w:rPr>
            </w:pPr>
          </w:p>
        </w:tc>
        <w:tc>
          <w:tcPr>
            <w:tcW w:w="2448" w:type="dxa"/>
            <w:tcBorders>
              <w:left w:val="single" w:sz="4" w:space="0" w:color="auto"/>
              <w:bottom w:val="single" w:sz="4" w:space="0" w:color="auto"/>
              <w:right w:val="single" w:sz="4" w:space="0" w:color="auto"/>
            </w:tcBorders>
            <w:noWrap/>
            <w:vAlign w:val="center"/>
          </w:tcPr>
          <w:p w14:paraId="0FE08C80" w14:textId="77777777" w:rsidR="007D58FF" w:rsidRPr="00531A4E" w:rsidRDefault="00077C0B" w:rsidP="00893161">
            <w:pPr>
              <w:pStyle w:val="Paragraph"/>
              <w:spacing w:after="0"/>
              <w:rPr>
                <w:sz w:val="22"/>
                <w:szCs w:val="22"/>
              </w:rPr>
            </w:pPr>
            <m:oMath>
              <m:sSub>
                <m:sSubPr>
                  <m:ctrlPr>
                    <w:rPr>
                      <w:rFonts w:ascii="Cambria Math" w:hAnsi="Cambria Math"/>
                      <w:i/>
                      <w:sz w:val="22"/>
                      <w:szCs w:val="22"/>
                    </w:rPr>
                  </m:ctrlPr>
                </m:sSubPr>
                <m:e>
                  <m:r>
                    <w:rPr>
                      <w:rFonts w:ascii="Cambria Math" w:hAnsi="Cambria Math"/>
                      <w:sz w:val="22"/>
                      <w:szCs w:val="22"/>
                    </w:rPr>
                    <m:t>G</m:t>
                  </m:r>
                </m:e>
                <m:sub>
                  <m:r>
                    <w:rPr>
                      <w:rFonts w:ascii="Cambria Math" w:hAnsi="Cambria Math"/>
                      <w:sz w:val="22"/>
                      <w:szCs w:val="22"/>
                    </w:rPr>
                    <m:t>C</m:t>
                  </m:r>
                </m:sub>
              </m:sSub>
            </m:oMath>
            <w:r w:rsidR="007D58FF" w:rsidRPr="00531A4E">
              <w:rPr>
                <w:sz w:val="22"/>
                <w:szCs w:val="22"/>
              </w:rPr>
              <w:t xml:space="preserve"> (J/m</w:t>
            </w:r>
            <w:r w:rsidR="007D58FF" w:rsidRPr="00531A4E">
              <w:rPr>
                <w:sz w:val="22"/>
                <w:szCs w:val="22"/>
                <w:vertAlign w:val="superscript"/>
              </w:rPr>
              <w:t>2</w:t>
            </w:r>
            <w:r w:rsidR="007D58FF" w:rsidRPr="00531A4E">
              <w:rPr>
                <w:sz w:val="22"/>
                <w:szCs w:val="22"/>
              </w:rPr>
              <w:t>)</w:t>
            </w:r>
          </w:p>
        </w:tc>
        <w:tc>
          <w:tcPr>
            <w:tcW w:w="1296" w:type="dxa"/>
            <w:tcBorders>
              <w:left w:val="single" w:sz="4" w:space="0" w:color="auto"/>
              <w:bottom w:val="single" w:sz="4" w:space="0" w:color="auto"/>
              <w:right w:val="single" w:sz="4" w:space="0" w:color="auto"/>
            </w:tcBorders>
            <w:noWrap/>
            <w:vAlign w:val="center"/>
          </w:tcPr>
          <w:p w14:paraId="347ABBCE" w14:textId="77777777" w:rsidR="007D58FF" w:rsidRPr="00531A4E" w:rsidRDefault="007D58FF" w:rsidP="00893161">
            <w:pPr>
              <w:pStyle w:val="Paragraph"/>
              <w:spacing w:after="0"/>
              <w:jc w:val="center"/>
              <w:rPr>
                <w:sz w:val="22"/>
                <w:szCs w:val="22"/>
              </w:rPr>
            </w:pPr>
            <w:r w:rsidRPr="00531A4E">
              <w:rPr>
                <w:sz w:val="22"/>
                <w:szCs w:val="22"/>
              </w:rPr>
              <w:t>100.00</w:t>
            </w:r>
          </w:p>
        </w:tc>
        <w:tc>
          <w:tcPr>
            <w:tcW w:w="705" w:type="dxa"/>
            <w:tcBorders>
              <w:left w:val="single" w:sz="4" w:space="0" w:color="auto"/>
              <w:bottom w:val="single" w:sz="4" w:space="0" w:color="auto"/>
            </w:tcBorders>
            <w:noWrap/>
            <w:vAlign w:val="center"/>
          </w:tcPr>
          <w:p w14:paraId="6383953E" w14:textId="77777777" w:rsidR="007D58FF" w:rsidRPr="00610B0A" w:rsidRDefault="007D58FF" w:rsidP="00893161">
            <w:pPr>
              <w:pStyle w:val="Paragraph"/>
              <w:spacing w:after="0"/>
              <w:jc w:val="center"/>
              <w:rPr>
                <w:sz w:val="22"/>
                <w:szCs w:val="22"/>
                <w:vertAlign w:val="superscript"/>
              </w:rPr>
            </w:pPr>
            <w:r w:rsidRPr="00610B0A">
              <w:rPr>
                <w:sz w:val="22"/>
                <w:szCs w:val="22"/>
                <w:vertAlign w:val="superscript"/>
              </w:rPr>
              <w:t>8</w:t>
            </w:r>
          </w:p>
        </w:tc>
      </w:tr>
      <w:tr w:rsidR="007D58FF" w:rsidRPr="003249A2" w14:paraId="0EDB5226" w14:textId="77777777" w:rsidTr="00893161">
        <w:trPr>
          <w:trHeight w:val="20"/>
          <w:jc w:val="center"/>
        </w:trPr>
        <w:tc>
          <w:tcPr>
            <w:tcW w:w="1679" w:type="dxa"/>
            <w:vMerge w:val="restart"/>
            <w:tcBorders>
              <w:top w:val="single" w:sz="4" w:space="0" w:color="auto"/>
              <w:right w:val="single" w:sz="4" w:space="0" w:color="auto"/>
            </w:tcBorders>
            <w:vAlign w:val="center"/>
          </w:tcPr>
          <w:p w14:paraId="2E672B9B" w14:textId="77777777" w:rsidR="007D58FF" w:rsidRPr="00531A4E" w:rsidRDefault="007D58FF" w:rsidP="00893161">
            <w:pPr>
              <w:pStyle w:val="Paragraph"/>
              <w:spacing w:after="0"/>
              <w:jc w:val="center"/>
              <w:rPr>
                <w:sz w:val="22"/>
                <w:szCs w:val="22"/>
              </w:rPr>
            </w:pPr>
            <w:r w:rsidRPr="00531A4E">
              <w:rPr>
                <w:sz w:val="22"/>
                <w:szCs w:val="22"/>
              </w:rPr>
              <w:t>Loads</w:t>
            </w:r>
          </w:p>
        </w:tc>
        <w:tc>
          <w:tcPr>
            <w:tcW w:w="2448" w:type="dxa"/>
            <w:tcBorders>
              <w:top w:val="single" w:sz="4" w:space="0" w:color="auto"/>
              <w:left w:val="single" w:sz="4" w:space="0" w:color="auto"/>
              <w:right w:val="single" w:sz="4" w:space="0" w:color="auto"/>
            </w:tcBorders>
            <w:noWrap/>
            <w:vAlign w:val="center"/>
          </w:tcPr>
          <w:p w14:paraId="47009819" w14:textId="77777777" w:rsidR="007D58FF" w:rsidRPr="00531A4E" w:rsidRDefault="007D58FF" w:rsidP="00893161">
            <w:pPr>
              <w:pStyle w:val="Paragraph"/>
              <w:spacing w:after="0"/>
              <w:rPr>
                <w:sz w:val="22"/>
                <w:szCs w:val="22"/>
              </w:rPr>
            </w:pPr>
            <m:oMath>
              <m:r>
                <w:rPr>
                  <w:rFonts w:ascii="Cambria Math" w:hAnsi="Cambria Math"/>
                  <w:sz w:val="22"/>
                  <w:szCs w:val="22"/>
                </w:rPr>
                <m:t>MW</m:t>
              </m:r>
            </m:oMath>
            <w:r w:rsidRPr="00531A4E">
              <w:rPr>
                <w:sz w:val="22"/>
                <w:szCs w:val="22"/>
              </w:rPr>
              <w:t xml:space="preserve"> (g/cc)</w:t>
            </w:r>
          </w:p>
        </w:tc>
        <w:tc>
          <w:tcPr>
            <w:tcW w:w="1296" w:type="dxa"/>
            <w:tcBorders>
              <w:top w:val="single" w:sz="4" w:space="0" w:color="auto"/>
              <w:left w:val="single" w:sz="4" w:space="0" w:color="auto"/>
              <w:right w:val="single" w:sz="4" w:space="0" w:color="auto"/>
            </w:tcBorders>
            <w:noWrap/>
            <w:vAlign w:val="center"/>
          </w:tcPr>
          <w:p w14:paraId="7CD7D929" w14:textId="77777777" w:rsidR="007D58FF" w:rsidRPr="00531A4E" w:rsidRDefault="007D58FF" w:rsidP="00893161">
            <w:pPr>
              <w:pStyle w:val="Paragraph"/>
              <w:spacing w:after="0"/>
              <w:jc w:val="center"/>
              <w:rPr>
                <w:sz w:val="22"/>
                <w:szCs w:val="22"/>
              </w:rPr>
            </w:pPr>
            <w:r w:rsidRPr="00531A4E">
              <w:rPr>
                <w:sz w:val="22"/>
                <w:szCs w:val="22"/>
              </w:rPr>
              <w:t>30.49</w:t>
            </w:r>
          </w:p>
        </w:tc>
        <w:tc>
          <w:tcPr>
            <w:tcW w:w="705" w:type="dxa"/>
            <w:tcBorders>
              <w:top w:val="single" w:sz="4" w:space="0" w:color="auto"/>
              <w:left w:val="single" w:sz="4" w:space="0" w:color="auto"/>
            </w:tcBorders>
            <w:noWrap/>
            <w:vAlign w:val="center"/>
          </w:tcPr>
          <w:p w14:paraId="7FB2F12D" w14:textId="77777777" w:rsidR="007D58FF" w:rsidRPr="00610B0A" w:rsidRDefault="007D58FF" w:rsidP="00893161">
            <w:pPr>
              <w:pStyle w:val="Paragraph"/>
              <w:spacing w:after="0"/>
              <w:jc w:val="center"/>
              <w:rPr>
                <w:sz w:val="22"/>
                <w:szCs w:val="22"/>
                <w:vertAlign w:val="superscript"/>
              </w:rPr>
            </w:pPr>
            <w:r w:rsidRPr="00610B0A">
              <w:rPr>
                <w:sz w:val="22"/>
                <w:szCs w:val="22"/>
                <w:vertAlign w:val="superscript"/>
              </w:rPr>
              <w:t>1</w:t>
            </w:r>
          </w:p>
        </w:tc>
      </w:tr>
      <w:tr w:rsidR="007D58FF" w:rsidRPr="003249A2" w14:paraId="3A7D298C" w14:textId="77777777" w:rsidTr="00893161">
        <w:trPr>
          <w:trHeight w:val="20"/>
          <w:jc w:val="center"/>
        </w:trPr>
        <w:tc>
          <w:tcPr>
            <w:tcW w:w="1679" w:type="dxa"/>
            <w:vMerge/>
            <w:tcBorders>
              <w:bottom w:val="single" w:sz="4" w:space="0" w:color="auto"/>
              <w:right w:val="single" w:sz="4" w:space="0" w:color="auto"/>
            </w:tcBorders>
          </w:tcPr>
          <w:p w14:paraId="0EEB2698" w14:textId="77777777" w:rsidR="007D58FF" w:rsidRPr="00531A4E" w:rsidRDefault="007D58FF" w:rsidP="00893161">
            <w:pPr>
              <w:pStyle w:val="Paragraph"/>
              <w:spacing w:after="0"/>
              <w:rPr>
                <w:sz w:val="22"/>
                <w:szCs w:val="22"/>
              </w:rPr>
            </w:pPr>
          </w:p>
        </w:tc>
        <w:tc>
          <w:tcPr>
            <w:tcW w:w="2448" w:type="dxa"/>
            <w:tcBorders>
              <w:left w:val="single" w:sz="4" w:space="0" w:color="auto"/>
              <w:bottom w:val="single" w:sz="4" w:space="0" w:color="auto"/>
              <w:right w:val="single" w:sz="4" w:space="0" w:color="auto"/>
            </w:tcBorders>
            <w:noWrap/>
            <w:vAlign w:val="center"/>
          </w:tcPr>
          <w:p w14:paraId="6E343DD4" w14:textId="77777777" w:rsidR="007D58FF" w:rsidRPr="00531A4E" w:rsidRDefault="00077C0B" w:rsidP="00893161">
            <w:pPr>
              <w:pStyle w:val="Paragraph"/>
              <w:spacing w:after="0"/>
              <w:rPr>
                <w:sz w:val="22"/>
                <w:szCs w:val="22"/>
              </w:rPr>
            </w:pPr>
            <m:oMath>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i</m:t>
                  </m:r>
                </m:sub>
              </m:sSub>
            </m:oMath>
            <w:r w:rsidR="007D58FF" w:rsidRPr="00531A4E">
              <w:rPr>
                <w:sz w:val="22"/>
                <w:szCs w:val="22"/>
              </w:rPr>
              <w:t xml:space="preserve"> (°C)</w:t>
            </w:r>
          </w:p>
        </w:tc>
        <w:tc>
          <w:tcPr>
            <w:tcW w:w="1296" w:type="dxa"/>
            <w:tcBorders>
              <w:left w:val="single" w:sz="4" w:space="0" w:color="auto"/>
              <w:bottom w:val="single" w:sz="4" w:space="0" w:color="auto"/>
              <w:right w:val="single" w:sz="4" w:space="0" w:color="auto"/>
            </w:tcBorders>
            <w:noWrap/>
            <w:vAlign w:val="center"/>
          </w:tcPr>
          <w:p w14:paraId="6534D916" w14:textId="77777777" w:rsidR="007D58FF" w:rsidRPr="00531A4E" w:rsidRDefault="007D58FF" w:rsidP="00893161">
            <w:pPr>
              <w:pStyle w:val="Paragraph"/>
              <w:spacing w:after="0"/>
              <w:jc w:val="center"/>
              <w:rPr>
                <w:sz w:val="22"/>
                <w:szCs w:val="22"/>
              </w:rPr>
            </w:pPr>
            <w:r w:rsidRPr="00531A4E">
              <w:rPr>
                <w:sz w:val="22"/>
                <w:szCs w:val="22"/>
              </w:rPr>
              <w:t>58.93</w:t>
            </w:r>
          </w:p>
        </w:tc>
        <w:tc>
          <w:tcPr>
            <w:tcW w:w="705" w:type="dxa"/>
            <w:tcBorders>
              <w:left w:val="single" w:sz="4" w:space="0" w:color="auto"/>
              <w:bottom w:val="single" w:sz="4" w:space="0" w:color="auto"/>
            </w:tcBorders>
            <w:noWrap/>
            <w:vAlign w:val="center"/>
          </w:tcPr>
          <w:p w14:paraId="37791090" w14:textId="77777777" w:rsidR="007D58FF" w:rsidRPr="00610B0A" w:rsidRDefault="007D58FF" w:rsidP="00893161">
            <w:pPr>
              <w:pStyle w:val="Paragraph"/>
              <w:spacing w:after="0"/>
              <w:jc w:val="center"/>
              <w:rPr>
                <w:sz w:val="22"/>
                <w:szCs w:val="22"/>
                <w:vertAlign w:val="superscript"/>
              </w:rPr>
            </w:pPr>
            <w:r w:rsidRPr="00610B0A">
              <w:rPr>
                <w:sz w:val="22"/>
                <w:szCs w:val="22"/>
                <w:vertAlign w:val="superscript"/>
              </w:rPr>
              <w:t>1</w:t>
            </w:r>
          </w:p>
        </w:tc>
      </w:tr>
      <w:tr w:rsidR="003A21F0" w:rsidRPr="00531A4E" w14:paraId="29464B86" w14:textId="77777777" w:rsidTr="00B406A1">
        <w:trPr>
          <w:trHeight w:val="20"/>
          <w:jc w:val="center"/>
        </w:trPr>
        <w:tc>
          <w:tcPr>
            <w:tcW w:w="1679" w:type="dxa"/>
            <w:vMerge w:val="restart"/>
            <w:tcBorders>
              <w:right w:val="single" w:sz="4" w:space="0" w:color="auto"/>
            </w:tcBorders>
            <w:vAlign w:val="center"/>
          </w:tcPr>
          <w:p w14:paraId="1B23F557" w14:textId="7B177A84" w:rsidR="003A21F0" w:rsidRPr="00531A4E" w:rsidRDefault="003A21F0" w:rsidP="003A21F0">
            <w:pPr>
              <w:pStyle w:val="Paragraph"/>
              <w:spacing w:after="0"/>
              <w:rPr>
                <w:sz w:val="22"/>
                <w:szCs w:val="22"/>
              </w:rPr>
            </w:pPr>
            <w:r w:rsidRPr="00531A4E">
              <w:rPr>
                <w:sz w:val="22"/>
                <w:szCs w:val="22"/>
              </w:rPr>
              <w:t>Fluid Properties</w:t>
            </w:r>
          </w:p>
        </w:tc>
        <w:tc>
          <w:tcPr>
            <w:tcW w:w="2448" w:type="dxa"/>
            <w:tcBorders>
              <w:left w:val="single" w:sz="4" w:space="0" w:color="auto"/>
              <w:right w:val="single" w:sz="4" w:space="0" w:color="auto"/>
            </w:tcBorders>
            <w:noWrap/>
            <w:vAlign w:val="center"/>
          </w:tcPr>
          <w:p w14:paraId="4D87C486" w14:textId="77777777" w:rsidR="003A21F0" w:rsidRPr="00531A4E" w:rsidRDefault="00077C0B" w:rsidP="003A21F0">
            <w:pPr>
              <w:pStyle w:val="Paragraph"/>
              <w:spacing w:after="0"/>
              <w:rPr>
                <w:sz w:val="22"/>
                <w:szCs w:val="22"/>
              </w:rPr>
            </w:pPr>
            <m:oMath>
              <m:sSub>
                <m:sSubPr>
                  <m:ctrlPr>
                    <w:rPr>
                      <w:rFonts w:ascii="Cambria Math" w:hAnsi="Cambria Math"/>
                      <w:i/>
                      <w:sz w:val="22"/>
                      <w:szCs w:val="22"/>
                    </w:rPr>
                  </m:ctrlPr>
                </m:sSubPr>
                <m:e>
                  <m:r>
                    <w:rPr>
                      <w:rFonts w:ascii="Cambria Math" w:hAnsi="Cambria Math"/>
                      <w:sz w:val="22"/>
                      <w:szCs w:val="22"/>
                    </w:rPr>
                    <m:t>μ</m:t>
                  </m:r>
                </m:e>
                <m:sub>
                  <m:r>
                    <w:rPr>
                      <w:rFonts w:ascii="Cambria Math" w:hAnsi="Cambria Math"/>
                      <w:sz w:val="22"/>
                      <w:szCs w:val="22"/>
                    </w:rPr>
                    <m:t>methane</m:t>
                  </m:r>
                </m:sub>
              </m:sSub>
            </m:oMath>
            <w:r w:rsidR="003A21F0" w:rsidRPr="00531A4E">
              <w:rPr>
                <w:rFonts w:eastAsiaTheme="minorEastAsia"/>
                <w:sz w:val="22"/>
                <w:szCs w:val="22"/>
              </w:rPr>
              <w:t xml:space="preserve"> (Pa∙s)</w:t>
            </w:r>
          </w:p>
        </w:tc>
        <w:tc>
          <w:tcPr>
            <w:tcW w:w="1296" w:type="dxa"/>
            <w:tcBorders>
              <w:left w:val="single" w:sz="4" w:space="0" w:color="auto"/>
              <w:right w:val="single" w:sz="4" w:space="0" w:color="auto"/>
            </w:tcBorders>
            <w:noWrap/>
            <w:vAlign w:val="center"/>
          </w:tcPr>
          <w:p w14:paraId="6C8B322D" w14:textId="77777777" w:rsidR="003A21F0" w:rsidRPr="00531A4E" w:rsidRDefault="003A21F0" w:rsidP="003A21F0">
            <w:pPr>
              <w:pStyle w:val="Paragraph"/>
              <w:spacing w:after="0"/>
              <w:jc w:val="center"/>
              <w:rPr>
                <w:sz w:val="22"/>
                <w:szCs w:val="22"/>
              </w:rPr>
            </w:pPr>
            <w:r w:rsidRPr="00531A4E">
              <w:rPr>
                <w:sz w:val="22"/>
                <w:szCs w:val="22"/>
              </w:rPr>
              <w:t>2.20E-05</w:t>
            </w:r>
          </w:p>
        </w:tc>
        <w:tc>
          <w:tcPr>
            <w:tcW w:w="705" w:type="dxa"/>
            <w:tcBorders>
              <w:left w:val="single" w:sz="4" w:space="0" w:color="auto"/>
            </w:tcBorders>
            <w:noWrap/>
            <w:vAlign w:val="center"/>
          </w:tcPr>
          <w:p w14:paraId="3310DEF6" w14:textId="77777777" w:rsidR="003A21F0" w:rsidRPr="00531A4E" w:rsidRDefault="003A21F0" w:rsidP="003A21F0">
            <w:pPr>
              <w:pStyle w:val="Paragraph"/>
              <w:spacing w:after="0"/>
              <w:jc w:val="center"/>
              <w:rPr>
                <w:sz w:val="22"/>
                <w:szCs w:val="22"/>
              </w:rPr>
            </w:pPr>
            <w:r w:rsidRPr="00531A4E">
              <w:rPr>
                <w:sz w:val="22"/>
                <w:szCs w:val="22"/>
              </w:rPr>
              <w:t>NIST</w:t>
            </w:r>
          </w:p>
        </w:tc>
      </w:tr>
      <w:tr w:rsidR="003A21F0" w:rsidRPr="00531A4E" w14:paraId="50B37D26" w14:textId="77777777" w:rsidTr="00893161">
        <w:trPr>
          <w:trHeight w:val="20"/>
          <w:jc w:val="center"/>
        </w:trPr>
        <w:tc>
          <w:tcPr>
            <w:tcW w:w="1679" w:type="dxa"/>
            <w:vMerge/>
            <w:tcBorders>
              <w:bottom w:val="single" w:sz="4" w:space="0" w:color="auto"/>
              <w:right w:val="single" w:sz="4" w:space="0" w:color="auto"/>
            </w:tcBorders>
          </w:tcPr>
          <w:p w14:paraId="08CC2A73" w14:textId="77777777" w:rsidR="003A21F0" w:rsidRPr="00531A4E" w:rsidRDefault="003A21F0" w:rsidP="003A21F0">
            <w:pPr>
              <w:pStyle w:val="Paragraph"/>
              <w:spacing w:after="0"/>
              <w:rPr>
                <w:sz w:val="22"/>
                <w:szCs w:val="22"/>
              </w:rPr>
            </w:pPr>
          </w:p>
        </w:tc>
        <w:tc>
          <w:tcPr>
            <w:tcW w:w="2448" w:type="dxa"/>
            <w:tcBorders>
              <w:left w:val="single" w:sz="4" w:space="0" w:color="auto"/>
              <w:right w:val="single" w:sz="4" w:space="0" w:color="auto"/>
            </w:tcBorders>
            <w:noWrap/>
            <w:vAlign w:val="center"/>
          </w:tcPr>
          <w:p w14:paraId="1B853E4B" w14:textId="77777777" w:rsidR="003A21F0" w:rsidRPr="00531A4E" w:rsidRDefault="00077C0B" w:rsidP="003A21F0">
            <w:pPr>
              <w:pStyle w:val="Paragraph"/>
              <w:spacing w:after="0"/>
              <w:rPr>
                <w:sz w:val="22"/>
                <w:szCs w:val="22"/>
              </w:rPr>
            </w:pPr>
            <m:oMath>
              <m:sSub>
                <m:sSubPr>
                  <m:ctrlPr>
                    <w:rPr>
                      <w:rFonts w:ascii="Cambria Math" w:hAnsi="Cambria Math"/>
                      <w:i/>
                      <w:sz w:val="22"/>
                      <w:szCs w:val="22"/>
                    </w:rPr>
                  </m:ctrlPr>
                </m:sSubPr>
                <m:e>
                  <m:r>
                    <w:rPr>
                      <w:rFonts w:ascii="Cambria Math" w:hAnsi="Cambria Math"/>
                      <w:sz w:val="22"/>
                      <w:szCs w:val="22"/>
                    </w:rPr>
                    <m:t>ρ</m:t>
                  </m:r>
                </m:e>
                <m:sub>
                  <m:r>
                    <w:rPr>
                      <w:rFonts w:ascii="Cambria Math" w:hAnsi="Cambria Math"/>
                      <w:sz w:val="22"/>
                      <w:szCs w:val="22"/>
                    </w:rPr>
                    <m:t>methane</m:t>
                  </m:r>
                </m:sub>
              </m:sSub>
            </m:oMath>
            <w:r w:rsidR="003A21F0" w:rsidRPr="00531A4E">
              <w:rPr>
                <w:rFonts w:eastAsiaTheme="minorEastAsia"/>
                <w:sz w:val="22"/>
                <w:szCs w:val="22"/>
              </w:rPr>
              <w:t xml:space="preserve"> (kg/m</w:t>
            </w:r>
            <w:r w:rsidR="003A21F0" w:rsidRPr="00531A4E">
              <w:rPr>
                <w:rFonts w:eastAsiaTheme="minorEastAsia"/>
                <w:sz w:val="22"/>
                <w:szCs w:val="22"/>
                <w:vertAlign w:val="superscript"/>
              </w:rPr>
              <w:t>3</w:t>
            </w:r>
            <w:r w:rsidR="003A21F0" w:rsidRPr="00531A4E">
              <w:rPr>
                <w:rFonts w:eastAsiaTheme="minorEastAsia"/>
                <w:sz w:val="22"/>
                <w:szCs w:val="22"/>
              </w:rPr>
              <w:t>)</w:t>
            </w:r>
          </w:p>
        </w:tc>
        <w:tc>
          <w:tcPr>
            <w:tcW w:w="1296" w:type="dxa"/>
            <w:tcBorders>
              <w:left w:val="single" w:sz="4" w:space="0" w:color="auto"/>
              <w:right w:val="single" w:sz="4" w:space="0" w:color="auto"/>
            </w:tcBorders>
            <w:noWrap/>
            <w:vAlign w:val="center"/>
          </w:tcPr>
          <w:p w14:paraId="61B385C8" w14:textId="77777777" w:rsidR="003A21F0" w:rsidRPr="00531A4E" w:rsidRDefault="003A21F0" w:rsidP="003A21F0">
            <w:pPr>
              <w:pStyle w:val="Paragraph"/>
              <w:spacing w:after="0"/>
              <w:jc w:val="center"/>
              <w:rPr>
                <w:sz w:val="22"/>
                <w:szCs w:val="22"/>
              </w:rPr>
            </w:pPr>
            <w:r w:rsidRPr="00531A4E">
              <w:rPr>
                <w:sz w:val="22"/>
                <w:szCs w:val="22"/>
              </w:rPr>
              <w:t>174.25</w:t>
            </w:r>
          </w:p>
        </w:tc>
        <w:tc>
          <w:tcPr>
            <w:tcW w:w="705" w:type="dxa"/>
            <w:tcBorders>
              <w:left w:val="single" w:sz="4" w:space="0" w:color="auto"/>
            </w:tcBorders>
            <w:noWrap/>
            <w:vAlign w:val="center"/>
          </w:tcPr>
          <w:p w14:paraId="3F202EE2" w14:textId="77777777" w:rsidR="003A21F0" w:rsidRPr="00531A4E" w:rsidRDefault="003A21F0" w:rsidP="003A21F0">
            <w:pPr>
              <w:pStyle w:val="Paragraph"/>
              <w:spacing w:after="0"/>
              <w:jc w:val="center"/>
              <w:rPr>
                <w:sz w:val="22"/>
                <w:szCs w:val="22"/>
              </w:rPr>
            </w:pPr>
            <w:r w:rsidRPr="00531A4E">
              <w:rPr>
                <w:sz w:val="22"/>
                <w:szCs w:val="22"/>
              </w:rPr>
              <w:t>NIST</w:t>
            </w:r>
          </w:p>
        </w:tc>
      </w:tr>
      <w:tr w:rsidR="003A21F0" w:rsidRPr="00531A4E" w14:paraId="5885C3E6" w14:textId="77777777" w:rsidTr="00893161">
        <w:trPr>
          <w:trHeight w:val="20"/>
          <w:jc w:val="center"/>
        </w:trPr>
        <w:tc>
          <w:tcPr>
            <w:tcW w:w="6128" w:type="dxa"/>
            <w:gridSpan w:val="4"/>
            <w:tcBorders>
              <w:top w:val="single" w:sz="4" w:space="0" w:color="auto"/>
            </w:tcBorders>
            <w:vAlign w:val="center"/>
          </w:tcPr>
          <w:p w14:paraId="10D50DF9" w14:textId="77777777" w:rsidR="003A21F0" w:rsidRPr="00531A4E" w:rsidRDefault="003A21F0" w:rsidP="003A21F0">
            <w:pPr>
              <w:pStyle w:val="Paragraph"/>
              <w:spacing w:after="0"/>
              <w:rPr>
                <w:sz w:val="22"/>
                <w:szCs w:val="22"/>
              </w:rPr>
            </w:pPr>
            <w:r w:rsidRPr="00531A4E">
              <w:rPr>
                <w:sz w:val="22"/>
                <w:szCs w:val="22"/>
                <w:vertAlign w:val="superscript"/>
                <w:lang w:val="nb-NO"/>
              </w:rPr>
              <w:t>1</w:t>
            </w:r>
            <w:r w:rsidRPr="00531A4E">
              <w:rPr>
                <w:sz w:val="22"/>
                <w:szCs w:val="22"/>
                <w:lang w:val="nb-NO"/>
              </w:rPr>
              <w:t xml:space="preserve">Log, </w:t>
            </w:r>
            <w:r w:rsidRPr="00531A4E">
              <w:rPr>
                <w:sz w:val="22"/>
                <w:szCs w:val="22"/>
                <w:vertAlign w:val="superscript"/>
                <w:lang w:val="nb-NO"/>
              </w:rPr>
              <w:t>2</w:t>
            </w:r>
            <w:r w:rsidRPr="00531A4E">
              <w:rPr>
                <w:sz w:val="22"/>
                <w:szCs w:val="22"/>
                <w:lang w:val="nb-NO"/>
              </w:rPr>
              <w:t xml:space="preserve">Breckels and van Eekelen (1982), </w:t>
            </w:r>
            <w:r w:rsidRPr="00531A4E">
              <w:rPr>
                <w:sz w:val="22"/>
                <w:szCs w:val="22"/>
                <w:vertAlign w:val="superscript"/>
                <w:lang w:val="nb-NO"/>
              </w:rPr>
              <w:t>3</w:t>
            </w:r>
            <w:r w:rsidRPr="00531A4E">
              <w:rPr>
                <w:sz w:val="22"/>
                <w:szCs w:val="22"/>
                <w:lang w:val="nb-NO"/>
              </w:rPr>
              <w:t xml:space="preserve">Wojtanowicz et al. (2000), </w:t>
            </w:r>
            <w:r w:rsidRPr="00531A4E">
              <w:rPr>
                <w:sz w:val="22"/>
                <w:szCs w:val="22"/>
                <w:vertAlign w:val="superscript"/>
                <w:lang w:val="nb-NO"/>
              </w:rPr>
              <w:t>4</w:t>
            </w:r>
            <w:r w:rsidRPr="00531A4E">
              <w:rPr>
                <w:sz w:val="22"/>
                <w:szCs w:val="22"/>
                <w:lang w:val="nb-NO"/>
              </w:rPr>
              <w:t xml:space="preserve">Meng et al. </w:t>
            </w:r>
            <w:r w:rsidRPr="00531A4E">
              <w:rPr>
                <w:sz w:val="22"/>
                <w:szCs w:val="22"/>
              </w:rPr>
              <w:t xml:space="preserve">(2018), </w:t>
            </w:r>
            <w:r w:rsidRPr="00531A4E">
              <w:rPr>
                <w:sz w:val="22"/>
                <w:szCs w:val="22"/>
                <w:vertAlign w:val="superscript"/>
              </w:rPr>
              <w:t>5</w:t>
            </w:r>
            <w:r w:rsidRPr="00531A4E">
              <w:rPr>
                <w:sz w:val="22"/>
                <w:szCs w:val="22"/>
              </w:rPr>
              <w:t xml:space="preserve">Weideman (2014), </w:t>
            </w:r>
            <w:r w:rsidRPr="00531A4E">
              <w:rPr>
                <w:sz w:val="22"/>
                <w:szCs w:val="22"/>
                <w:vertAlign w:val="superscript"/>
              </w:rPr>
              <w:t>6</w:t>
            </w:r>
            <w:r w:rsidRPr="00531A4E">
              <w:rPr>
                <w:sz w:val="22"/>
                <w:szCs w:val="22"/>
              </w:rPr>
              <w:t xml:space="preserve">Cement Database, </w:t>
            </w:r>
            <w:r w:rsidRPr="00531A4E">
              <w:rPr>
                <w:sz w:val="22"/>
                <w:szCs w:val="22"/>
                <w:vertAlign w:val="superscript"/>
              </w:rPr>
              <w:t>7</w:t>
            </w:r>
            <w:r w:rsidRPr="00531A4E">
              <w:rPr>
                <w:sz w:val="22"/>
                <w:szCs w:val="22"/>
              </w:rPr>
              <w:t xml:space="preserve">High Island Log Analysis, </w:t>
            </w:r>
            <w:r w:rsidRPr="00531A4E">
              <w:rPr>
                <w:sz w:val="22"/>
                <w:szCs w:val="22"/>
                <w:vertAlign w:val="superscript"/>
              </w:rPr>
              <w:t>8</w:t>
            </w:r>
            <w:r w:rsidRPr="00531A4E">
              <w:rPr>
                <w:sz w:val="22"/>
                <w:szCs w:val="22"/>
              </w:rPr>
              <w:t>Wang and Taleghani (2014)</w:t>
            </w:r>
          </w:p>
        </w:tc>
      </w:tr>
    </w:tbl>
    <w:p w14:paraId="1EB94279" w14:textId="77777777" w:rsidR="007D58FF" w:rsidRDefault="007D58FF" w:rsidP="007D58FF"/>
    <w:p w14:paraId="4437CF5C" w14:textId="67324859" w:rsidR="007D58FF" w:rsidRDefault="007D58FF" w:rsidP="007D58FF">
      <w:pPr>
        <w:ind w:firstLine="720"/>
      </w:pPr>
      <w:r>
        <w:lastRenderedPageBreak/>
        <w:t>A</w:t>
      </w:r>
      <w:r w:rsidRPr="007D5F9B">
        <w:t xml:space="preserve"> parametric analysis of parameters with uncertainties (in-situ stresses, cement mechanical and thermal properties, rock mechanical and t</w:t>
      </w:r>
      <w:r>
        <w:t>hermal properties, and softening traction</w:t>
      </w:r>
      <w:r w:rsidR="002B017A">
        <w:t xml:space="preserve"> </w:t>
      </w:r>
      <w:r w:rsidRPr="007D5F9B">
        <w:t xml:space="preserve">separation law properties) as well as parameters that are easily changeable from </w:t>
      </w:r>
      <w:r>
        <w:t>an</w:t>
      </w:r>
      <w:r w:rsidRPr="007D5F9B">
        <w:t xml:space="preserve"> engineering perspective (wellbore dimensions</w:t>
      </w:r>
      <w:r w:rsidRPr="00B92BF4">
        <w:t>) will be been simulated. The upper and lower bounds of the sensitivity analysis are shown in Table 4.</w:t>
      </w:r>
      <w:r w:rsidR="00B92BF4">
        <w:t>7</w:t>
      </w:r>
      <w:r w:rsidRPr="00B92BF4">
        <w:t>.</w:t>
      </w:r>
    </w:p>
    <w:p w14:paraId="2C1AC720" w14:textId="18113243" w:rsidR="007D58FF" w:rsidRDefault="007D58FF" w:rsidP="00BC23AD">
      <w:pPr>
        <w:pStyle w:val="Caption"/>
      </w:pPr>
      <w:bookmarkStart w:id="113" w:name="_Toc67566095"/>
      <w:r>
        <w:t xml:space="preserve">Table </w:t>
      </w:r>
      <w:r w:rsidR="00077C0B">
        <w:fldChar w:fldCharType="begin"/>
      </w:r>
      <w:r w:rsidR="00077C0B">
        <w:instrText xml:space="preserve"> STYLEREF 1 \s </w:instrText>
      </w:r>
      <w:r w:rsidR="00077C0B">
        <w:fldChar w:fldCharType="separate"/>
      </w:r>
      <w:r w:rsidR="0006023A">
        <w:rPr>
          <w:noProof/>
        </w:rPr>
        <w:t>4</w:t>
      </w:r>
      <w:r w:rsidR="00077C0B">
        <w:rPr>
          <w:noProof/>
        </w:rPr>
        <w:fldChar w:fldCharType="end"/>
      </w:r>
      <w:r w:rsidR="00DD1F74">
        <w:t>.</w:t>
      </w:r>
      <w:r w:rsidR="00077C0B">
        <w:fldChar w:fldCharType="begin"/>
      </w:r>
      <w:r w:rsidR="00077C0B">
        <w:instrText xml:space="preserve"> SEQ Table \* ARABIC \s 1 </w:instrText>
      </w:r>
      <w:r w:rsidR="00077C0B">
        <w:fldChar w:fldCharType="separate"/>
      </w:r>
      <w:r w:rsidR="0006023A">
        <w:rPr>
          <w:noProof/>
        </w:rPr>
        <w:t>7</w:t>
      </w:r>
      <w:r w:rsidR="00077C0B">
        <w:rPr>
          <w:noProof/>
        </w:rPr>
        <w:fldChar w:fldCharType="end"/>
      </w:r>
      <w:r>
        <w:t>: High and low values for the parametric study. These values apply for all three well depth parameters.</w:t>
      </w:r>
      <w:bookmarkEnd w:id="113"/>
    </w:p>
    <w:tbl>
      <w:tblPr>
        <w:tblStyle w:val="TableGrid"/>
        <w:tblW w:w="60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8"/>
        <w:gridCol w:w="2160"/>
        <w:gridCol w:w="2160"/>
      </w:tblGrid>
      <w:tr w:rsidR="007D58FF" w:rsidRPr="00F00FB7" w14:paraId="65684002" w14:textId="77777777" w:rsidTr="00893161">
        <w:trPr>
          <w:trHeight w:val="201"/>
          <w:jc w:val="center"/>
        </w:trPr>
        <w:tc>
          <w:tcPr>
            <w:tcW w:w="1728" w:type="dxa"/>
            <w:tcBorders>
              <w:bottom w:val="single" w:sz="4" w:space="0" w:color="auto"/>
              <w:right w:val="single" w:sz="4" w:space="0" w:color="auto"/>
            </w:tcBorders>
            <w:vAlign w:val="center"/>
            <w:hideMark/>
          </w:tcPr>
          <w:p w14:paraId="1A55F423" w14:textId="77777777" w:rsidR="007D58FF" w:rsidRPr="00F00FB7" w:rsidRDefault="007D58FF" w:rsidP="00893161">
            <w:pPr>
              <w:pStyle w:val="Paragraph"/>
              <w:jc w:val="center"/>
              <w:rPr>
                <w:sz w:val="22"/>
                <w:szCs w:val="22"/>
              </w:rPr>
            </w:pPr>
            <w:r w:rsidRPr="00F00FB7">
              <w:rPr>
                <w:sz w:val="22"/>
                <w:szCs w:val="22"/>
              </w:rPr>
              <w:t>Parameter</w:t>
            </w:r>
          </w:p>
        </w:tc>
        <w:tc>
          <w:tcPr>
            <w:tcW w:w="2160" w:type="dxa"/>
            <w:tcBorders>
              <w:left w:val="single" w:sz="4" w:space="0" w:color="auto"/>
              <w:bottom w:val="single" w:sz="4" w:space="0" w:color="auto"/>
              <w:right w:val="single" w:sz="4" w:space="0" w:color="auto"/>
            </w:tcBorders>
            <w:noWrap/>
            <w:vAlign w:val="center"/>
            <w:hideMark/>
          </w:tcPr>
          <w:p w14:paraId="6E83B090" w14:textId="77777777" w:rsidR="007D58FF" w:rsidRPr="00F00FB7" w:rsidRDefault="007D58FF" w:rsidP="00893161">
            <w:pPr>
              <w:pStyle w:val="Paragraph"/>
              <w:jc w:val="center"/>
              <w:rPr>
                <w:sz w:val="22"/>
                <w:szCs w:val="22"/>
              </w:rPr>
            </w:pPr>
            <w:r w:rsidRPr="00F00FB7">
              <w:rPr>
                <w:sz w:val="22"/>
                <w:szCs w:val="22"/>
              </w:rPr>
              <w:t>Low</w:t>
            </w:r>
          </w:p>
        </w:tc>
        <w:tc>
          <w:tcPr>
            <w:tcW w:w="2160" w:type="dxa"/>
            <w:tcBorders>
              <w:left w:val="single" w:sz="4" w:space="0" w:color="auto"/>
              <w:bottom w:val="single" w:sz="4" w:space="0" w:color="auto"/>
            </w:tcBorders>
            <w:noWrap/>
            <w:vAlign w:val="center"/>
            <w:hideMark/>
          </w:tcPr>
          <w:p w14:paraId="4D1979F3" w14:textId="77777777" w:rsidR="007D58FF" w:rsidRPr="00F00FB7" w:rsidRDefault="007D58FF" w:rsidP="00893161">
            <w:pPr>
              <w:pStyle w:val="Paragraph"/>
              <w:jc w:val="center"/>
              <w:rPr>
                <w:sz w:val="22"/>
                <w:szCs w:val="22"/>
              </w:rPr>
            </w:pPr>
            <w:r w:rsidRPr="00F00FB7">
              <w:rPr>
                <w:sz w:val="22"/>
                <w:szCs w:val="22"/>
              </w:rPr>
              <w:t>High</w:t>
            </w:r>
          </w:p>
        </w:tc>
      </w:tr>
      <w:tr w:rsidR="007D58FF" w:rsidRPr="00F00FB7" w14:paraId="3DF64802" w14:textId="77777777" w:rsidTr="00893161">
        <w:trPr>
          <w:trHeight w:val="290"/>
          <w:jc w:val="center"/>
        </w:trPr>
        <w:tc>
          <w:tcPr>
            <w:tcW w:w="1728" w:type="dxa"/>
            <w:tcBorders>
              <w:top w:val="single" w:sz="4" w:space="0" w:color="auto"/>
              <w:right w:val="single" w:sz="4" w:space="0" w:color="auto"/>
            </w:tcBorders>
            <w:noWrap/>
            <w:vAlign w:val="center"/>
          </w:tcPr>
          <w:p w14:paraId="6B6C79AC" w14:textId="77777777" w:rsidR="007D58FF" w:rsidRPr="00F00FB7" w:rsidRDefault="007D58FF" w:rsidP="00893161">
            <w:pPr>
              <w:pStyle w:val="Paragraph"/>
              <w:jc w:val="center"/>
              <w:rPr>
                <w:sz w:val="22"/>
                <w:szCs w:val="22"/>
              </w:rPr>
            </w:pPr>
            <w:r w:rsidRPr="00F00FB7">
              <w:rPr>
                <w:sz w:val="22"/>
                <w:szCs w:val="22"/>
              </w:rPr>
              <w:t>Dimensions</w:t>
            </w:r>
          </w:p>
        </w:tc>
        <w:tc>
          <w:tcPr>
            <w:tcW w:w="2160" w:type="dxa"/>
            <w:tcBorders>
              <w:top w:val="single" w:sz="4" w:space="0" w:color="auto"/>
              <w:left w:val="single" w:sz="4" w:space="0" w:color="auto"/>
              <w:right w:val="single" w:sz="4" w:space="0" w:color="auto"/>
            </w:tcBorders>
            <w:noWrap/>
            <w:vAlign w:val="center"/>
          </w:tcPr>
          <w:p w14:paraId="3B84995F" w14:textId="77777777" w:rsidR="007D58FF" w:rsidRPr="00F00FB7" w:rsidRDefault="007D58FF" w:rsidP="00893161">
            <w:pPr>
              <w:pStyle w:val="Paragraph"/>
              <w:jc w:val="center"/>
              <w:rPr>
                <w:sz w:val="22"/>
                <w:szCs w:val="22"/>
              </w:rPr>
            </w:pPr>
            <m:oMathPara>
              <m:oMath>
                <m:r>
                  <w:rPr>
                    <w:rFonts w:ascii="Cambria Math" w:hAnsi="Cambria Math"/>
                    <w:sz w:val="22"/>
                    <w:szCs w:val="22"/>
                  </w:rPr>
                  <m:t>-40%</m:t>
                </m:r>
              </m:oMath>
            </m:oMathPara>
          </w:p>
        </w:tc>
        <w:tc>
          <w:tcPr>
            <w:tcW w:w="2160" w:type="dxa"/>
            <w:tcBorders>
              <w:top w:val="single" w:sz="4" w:space="0" w:color="auto"/>
              <w:left w:val="single" w:sz="4" w:space="0" w:color="auto"/>
            </w:tcBorders>
            <w:noWrap/>
            <w:vAlign w:val="center"/>
          </w:tcPr>
          <w:p w14:paraId="68FC9BEA" w14:textId="77777777" w:rsidR="007D58FF" w:rsidRPr="00F00FB7" w:rsidRDefault="007D58FF" w:rsidP="00893161">
            <w:pPr>
              <w:pStyle w:val="Paragraph"/>
              <w:jc w:val="center"/>
              <w:rPr>
                <w:sz w:val="22"/>
                <w:szCs w:val="22"/>
              </w:rPr>
            </w:pPr>
            <m:oMathPara>
              <m:oMath>
                <m:r>
                  <w:rPr>
                    <w:rFonts w:ascii="Cambria Math" w:hAnsi="Cambria Math"/>
                    <w:sz w:val="22"/>
                    <w:szCs w:val="22"/>
                  </w:rPr>
                  <m:t>+40%</m:t>
                </m:r>
              </m:oMath>
            </m:oMathPara>
          </w:p>
        </w:tc>
      </w:tr>
      <w:tr w:rsidR="007D58FF" w:rsidRPr="00F00FB7" w14:paraId="2BFED89A" w14:textId="77777777" w:rsidTr="00893161">
        <w:trPr>
          <w:trHeight w:val="209"/>
          <w:jc w:val="center"/>
        </w:trPr>
        <w:tc>
          <w:tcPr>
            <w:tcW w:w="1728" w:type="dxa"/>
            <w:vMerge w:val="restart"/>
            <w:tcBorders>
              <w:top w:val="single" w:sz="4" w:space="0" w:color="auto"/>
              <w:right w:val="single" w:sz="4" w:space="0" w:color="auto"/>
            </w:tcBorders>
            <w:noWrap/>
            <w:vAlign w:val="center"/>
            <w:hideMark/>
          </w:tcPr>
          <w:p w14:paraId="2C355310" w14:textId="77777777" w:rsidR="007D58FF" w:rsidRPr="00F00FB7" w:rsidRDefault="007D58FF" w:rsidP="00893161">
            <w:pPr>
              <w:pStyle w:val="Paragraph"/>
              <w:jc w:val="center"/>
              <w:rPr>
                <w:sz w:val="22"/>
                <w:szCs w:val="22"/>
              </w:rPr>
            </w:pPr>
            <w:r w:rsidRPr="00F00FB7">
              <w:rPr>
                <w:sz w:val="22"/>
                <w:szCs w:val="22"/>
              </w:rPr>
              <w:t>Isotropic Horizontal Stress Variation</w:t>
            </w:r>
          </w:p>
        </w:tc>
        <w:tc>
          <w:tcPr>
            <w:tcW w:w="2160" w:type="dxa"/>
            <w:tcBorders>
              <w:top w:val="single" w:sz="4" w:space="0" w:color="auto"/>
              <w:left w:val="single" w:sz="4" w:space="0" w:color="auto"/>
              <w:right w:val="single" w:sz="4" w:space="0" w:color="auto"/>
            </w:tcBorders>
            <w:noWrap/>
            <w:vAlign w:val="center"/>
            <w:hideMark/>
          </w:tcPr>
          <w:p w14:paraId="14C05A97" w14:textId="77777777" w:rsidR="007D58FF" w:rsidRPr="00F00FB7" w:rsidRDefault="00077C0B" w:rsidP="00893161">
            <w:pPr>
              <w:pStyle w:val="Paragraph"/>
              <w:jc w:val="center"/>
              <w:rPr>
                <w:sz w:val="22"/>
                <w:szCs w:val="22"/>
              </w:rPr>
            </w:pPr>
            <m:oMathPara>
              <m:oMath>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v</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v, base</m:t>
                    </m:r>
                  </m:sub>
                </m:sSub>
              </m:oMath>
            </m:oMathPara>
          </w:p>
        </w:tc>
        <w:tc>
          <w:tcPr>
            <w:tcW w:w="2160" w:type="dxa"/>
            <w:tcBorders>
              <w:top w:val="single" w:sz="4" w:space="0" w:color="auto"/>
              <w:left w:val="single" w:sz="4" w:space="0" w:color="auto"/>
            </w:tcBorders>
            <w:noWrap/>
            <w:vAlign w:val="center"/>
            <w:hideMark/>
          </w:tcPr>
          <w:p w14:paraId="32601B2A" w14:textId="77777777" w:rsidR="007D58FF" w:rsidRPr="00F00FB7" w:rsidRDefault="00077C0B" w:rsidP="00893161">
            <w:pPr>
              <w:pStyle w:val="Paragraph"/>
              <w:jc w:val="center"/>
              <w:rPr>
                <w:sz w:val="22"/>
                <w:szCs w:val="22"/>
              </w:rPr>
            </w:pPr>
            <m:oMathPara>
              <m:oMath>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v</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v, base</m:t>
                    </m:r>
                  </m:sub>
                </m:sSub>
              </m:oMath>
            </m:oMathPara>
          </w:p>
        </w:tc>
      </w:tr>
      <w:tr w:rsidR="007D58FF" w:rsidRPr="00F00FB7" w14:paraId="06C0A56F" w14:textId="77777777" w:rsidTr="00893161">
        <w:trPr>
          <w:trHeight w:val="210"/>
          <w:jc w:val="center"/>
        </w:trPr>
        <w:tc>
          <w:tcPr>
            <w:tcW w:w="1728" w:type="dxa"/>
            <w:vMerge/>
            <w:tcBorders>
              <w:right w:val="single" w:sz="4" w:space="0" w:color="auto"/>
            </w:tcBorders>
            <w:vAlign w:val="center"/>
            <w:hideMark/>
          </w:tcPr>
          <w:p w14:paraId="6AC84437" w14:textId="77777777" w:rsidR="007D58FF" w:rsidRPr="00F00FB7" w:rsidRDefault="007D58FF" w:rsidP="00893161">
            <w:pPr>
              <w:pStyle w:val="Paragraph"/>
              <w:jc w:val="center"/>
              <w:rPr>
                <w:sz w:val="22"/>
                <w:szCs w:val="22"/>
              </w:rPr>
            </w:pPr>
          </w:p>
        </w:tc>
        <w:tc>
          <w:tcPr>
            <w:tcW w:w="2160" w:type="dxa"/>
            <w:tcBorders>
              <w:left w:val="single" w:sz="4" w:space="0" w:color="auto"/>
              <w:right w:val="single" w:sz="4" w:space="0" w:color="auto"/>
            </w:tcBorders>
            <w:noWrap/>
            <w:vAlign w:val="center"/>
            <w:hideMark/>
          </w:tcPr>
          <w:p w14:paraId="1FEDDBA2" w14:textId="77777777" w:rsidR="007D58FF" w:rsidRPr="00F00FB7" w:rsidRDefault="00077C0B" w:rsidP="00893161">
            <w:pPr>
              <w:pStyle w:val="Paragraph"/>
              <w:jc w:val="center"/>
              <w:rPr>
                <w:sz w:val="22"/>
                <w:szCs w:val="22"/>
              </w:rPr>
            </w:pPr>
            <m:oMathPara>
              <m:oMath>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H</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h, base</m:t>
                    </m:r>
                  </m:sub>
                </m:sSub>
              </m:oMath>
            </m:oMathPara>
          </w:p>
        </w:tc>
        <w:tc>
          <w:tcPr>
            <w:tcW w:w="2160" w:type="dxa"/>
            <w:tcBorders>
              <w:left w:val="single" w:sz="4" w:space="0" w:color="auto"/>
            </w:tcBorders>
            <w:noWrap/>
            <w:vAlign w:val="center"/>
            <w:hideMark/>
          </w:tcPr>
          <w:p w14:paraId="030F8DD4" w14:textId="77777777" w:rsidR="007D58FF" w:rsidRPr="00F00FB7" w:rsidRDefault="00077C0B" w:rsidP="00893161">
            <w:pPr>
              <w:pStyle w:val="Paragraph"/>
              <w:jc w:val="center"/>
              <w:rPr>
                <w:sz w:val="22"/>
                <w:szCs w:val="22"/>
              </w:rPr>
            </w:pPr>
            <m:oMathPara>
              <m:oMath>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H</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v, base</m:t>
                    </m:r>
                  </m:sub>
                </m:sSub>
              </m:oMath>
            </m:oMathPara>
          </w:p>
        </w:tc>
      </w:tr>
      <w:tr w:rsidR="007D58FF" w:rsidRPr="00F00FB7" w14:paraId="6F500173" w14:textId="77777777" w:rsidTr="00893161">
        <w:trPr>
          <w:trHeight w:val="210"/>
          <w:jc w:val="center"/>
        </w:trPr>
        <w:tc>
          <w:tcPr>
            <w:tcW w:w="1728" w:type="dxa"/>
            <w:vMerge/>
            <w:tcBorders>
              <w:bottom w:val="single" w:sz="4" w:space="0" w:color="auto"/>
              <w:right w:val="single" w:sz="4" w:space="0" w:color="auto"/>
            </w:tcBorders>
            <w:vAlign w:val="center"/>
            <w:hideMark/>
          </w:tcPr>
          <w:p w14:paraId="27973545" w14:textId="77777777" w:rsidR="007D58FF" w:rsidRPr="00F00FB7" w:rsidRDefault="007D58FF" w:rsidP="00893161">
            <w:pPr>
              <w:pStyle w:val="Paragraph"/>
              <w:jc w:val="center"/>
              <w:rPr>
                <w:sz w:val="22"/>
                <w:szCs w:val="22"/>
              </w:rPr>
            </w:pPr>
          </w:p>
        </w:tc>
        <w:tc>
          <w:tcPr>
            <w:tcW w:w="2160" w:type="dxa"/>
            <w:tcBorders>
              <w:left w:val="single" w:sz="4" w:space="0" w:color="auto"/>
              <w:bottom w:val="single" w:sz="4" w:space="0" w:color="auto"/>
              <w:right w:val="single" w:sz="4" w:space="0" w:color="auto"/>
            </w:tcBorders>
            <w:noWrap/>
            <w:vAlign w:val="center"/>
            <w:hideMark/>
          </w:tcPr>
          <w:p w14:paraId="6EE36D66" w14:textId="77777777" w:rsidR="007D58FF" w:rsidRPr="00F00FB7" w:rsidRDefault="00077C0B" w:rsidP="00893161">
            <w:pPr>
              <w:pStyle w:val="Paragraph"/>
              <w:jc w:val="center"/>
              <w:rPr>
                <w:sz w:val="22"/>
                <w:szCs w:val="22"/>
              </w:rPr>
            </w:pPr>
            <m:oMathPara>
              <m:oMath>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h</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h, base</m:t>
                    </m:r>
                  </m:sub>
                </m:sSub>
              </m:oMath>
            </m:oMathPara>
          </w:p>
        </w:tc>
        <w:tc>
          <w:tcPr>
            <w:tcW w:w="2160" w:type="dxa"/>
            <w:tcBorders>
              <w:left w:val="single" w:sz="4" w:space="0" w:color="auto"/>
              <w:bottom w:val="single" w:sz="4" w:space="0" w:color="auto"/>
            </w:tcBorders>
            <w:noWrap/>
            <w:vAlign w:val="center"/>
            <w:hideMark/>
          </w:tcPr>
          <w:p w14:paraId="25E8CEBD" w14:textId="77777777" w:rsidR="007D58FF" w:rsidRPr="00F00FB7" w:rsidRDefault="00077C0B" w:rsidP="00893161">
            <w:pPr>
              <w:pStyle w:val="Paragraph"/>
              <w:jc w:val="center"/>
              <w:rPr>
                <w:sz w:val="22"/>
                <w:szCs w:val="22"/>
              </w:rPr>
            </w:pPr>
            <m:oMathPara>
              <m:oMath>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h</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v, base</m:t>
                    </m:r>
                  </m:sub>
                </m:sSub>
              </m:oMath>
            </m:oMathPara>
          </w:p>
        </w:tc>
      </w:tr>
      <w:tr w:rsidR="007D58FF" w:rsidRPr="00F00FB7" w14:paraId="64DEF1E7" w14:textId="77777777" w:rsidTr="00893161">
        <w:trPr>
          <w:trHeight w:val="200"/>
          <w:jc w:val="center"/>
        </w:trPr>
        <w:tc>
          <w:tcPr>
            <w:tcW w:w="1728" w:type="dxa"/>
            <w:vMerge w:val="restart"/>
            <w:tcBorders>
              <w:top w:val="single" w:sz="4" w:space="0" w:color="auto"/>
              <w:right w:val="single" w:sz="4" w:space="0" w:color="auto"/>
            </w:tcBorders>
            <w:noWrap/>
            <w:vAlign w:val="center"/>
            <w:hideMark/>
          </w:tcPr>
          <w:p w14:paraId="6B547BFB" w14:textId="77777777" w:rsidR="007D58FF" w:rsidRPr="00F00FB7" w:rsidRDefault="007D58FF" w:rsidP="00893161">
            <w:pPr>
              <w:pStyle w:val="Paragraph"/>
              <w:jc w:val="center"/>
              <w:rPr>
                <w:sz w:val="22"/>
                <w:szCs w:val="22"/>
              </w:rPr>
            </w:pPr>
            <w:r w:rsidRPr="00F00FB7">
              <w:rPr>
                <w:sz w:val="22"/>
                <w:szCs w:val="22"/>
              </w:rPr>
              <w:t>Anisotropic Stress Variation</w:t>
            </w:r>
          </w:p>
        </w:tc>
        <w:tc>
          <w:tcPr>
            <w:tcW w:w="2160" w:type="dxa"/>
            <w:tcBorders>
              <w:top w:val="single" w:sz="4" w:space="0" w:color="auto"/>
              <w:left w:val="single" w:sz="4" w:space="0" w:color="auto"/>
              <w:right w:val="single" w:sz="4" w:space="0" w:color="auto"/>
            </w:tcBorders>
            <w:noWrap/>
            <w:vAlign w:val="center"/>
            <w:hideMark/>
          </w:tcPr>
          <w:p w14:paraId="232538E8" w14:textId="77777777" w:rsidR="007D58FF" w:rsidRPr="00F00FB7" w:rsidRDefault="00077C0B" w:rsidP="00893161">
            <w:pPr>
              <w:pStyle w:val="Paragraph"/>
              <w:jc w:val="center"/>
              <w:rPr>
                <w:sz w:val="22"/>
                <w:szCs w:val="22"/>
              </w:rPr>
            </w:pPr>
            <m:oMathPara>
              <m:oMath>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v</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v, base</m:t>
                    </m:r>
                  </m:sub>
                </m:sSub>
              </m:oMath>
            </m:oMathPara>
          </w:p>
        </w:tc>
        <w:tc>
          <w:tcPr>
            <w:tcW w:w="2160" w:type="dxa"/>
            <w:tcBorders>
              <w:top w:val="single" w:sz="4" w:space="0" w:color="auto"/>
              <w:left w:val="single" w:sz="4" w:space="0" w:color="auto"/>
            </w:tcBorders>
            <w:noWrap/>
            <w:vAlign w:val="center"/>
            <w:hideMark/>
          </w:tcPr>
          <w:p w14:paraId="6604E556" w14:textId="77777777" w:rsidR="007D58FF" w:rsidRPr="00F00FB7" w:rsidRDefault="00077C0B" w:rsidP="00893161">
            <w:pPr>
              <w:pStyle w:val="Paragraph"/>
              <w:jc w:val="center"/>
              <w:rPr>
                <w:sz w:val="22"/>
                <w:szCs w:val="22"/>
              </w:rPr>
            </w:pPr>
            <m:oMathPara>
              <m:oMath>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v</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v, base</m:t>
                    </m:r>
                  </m:sub>
                </m:sSub>
              </m:oMath>
            </m:oMathPara>
          </w:p>
        </w:tc>
      </w:tr>
      <w:tr w:rsidR="007D58FF" w:rsidRPr="00F00FB7" w14:paraId="434A08A9" w14:textId="77777777" w:rsidTr="00893161">
        <w:trPr>
          <w:trHeight w:val="201"/>
          <w:jc w:val="center"/>
        </w:trPr>
        <w:tc>
          <w:tcPr>
            <w:tcW w:w="1728" w:type="dxa"/>
            <w:vMerge/>
            <w:tcBorders>
              <w:right w:val="single" w:sz="4" w:space="0" w:color="auto"/>
            </w:tcBorders>
            <w:vAlign w:val="center"/>
            <w:hideMark/>
          </w:tcPr>
          <w:p w14:paraId="57F306B4" w14:textId="77777777" w:rsidR="007D58FF" w:rsidRPr="00F00FB7" w:rsidRDefault="007D58FF" w:rsidP="00893161">
            <w:pPr>
              <w:pStyle w:val="Paragraph"/>
              <w:jc w:val="center"/>
              <w:rPr>
                <w:sz w:val="22"/>
                <w:szCs w:val="22"/>
              </w:rPr>
            </w:pPr>
          </w:p>
        </w:tc>
        <w:tc>
          <w:tcPr>
            <w:tcW w:w="2160" w:type="dxa"/>
            <w:tcBorders>
              <w:left w:val="single" w:sz="4" w:space="0" w:color="auto"/>
              <w:right w:val="single" w:sz="4" w:space="0" w:color="auto"/>
            </w:tcBorders>
            <w:noWrap/>
            <w:vAlign w:val="center"/>
            <w:hideMark/>
          </w:tcPr>
          <w:p w14:paraId="215514CA" w14:textId="77777777" w:rsidR="007D58FF" w:rsidRPr="00F00FB7" w:rsidRDefault="00077C0B" w:rsidP="00893161">
            <w:pPr>
              <w:pStyle w:val="Paragraph"/>
              <w:jc w:val="center"/>
              <w:rPr>
                <w:sz w:val="22"/>
                <w:szCs w:val="22"/>
              </w:rPr>
            </w:pPr>
            <m:oMathPara>
              <m:oMath>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H</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h, base</m:t>
                    </m:r>
                  </m:sub>
                </m:sSub>
              </m:oMath>
            </m:oMathPara>
          </w:p>
        </w:tc>
        <w:tc>
          <w:tcPr>
            <w:tcW w:w="2160" w:type="dxa"/>
            <w:tcBorders>
              <w:left w:val="single" w:sz="4" w:space="0" w:color="auto"/>
            </w:tcBorders>
            <w:noWrap/>
            <w:vAlign w:val="center"/>
            <w:hideMark/>
          </w:tcPr>
          <w:p w14:paraId="580B445A" w14:textId="77777777" w:rsidR="007D58FF" w:rsidRPr="00F00FB7" w:rsidRDefault="00077C0B" w:rsidP="00893161">
            <w:pPr>
              <w:pStyle w:val="Paragraph"/>
              <w:jc w:val="center"/>
              <w:rPr>
                <w:sz w:val="22"/>
                <w:szCs w:val="22"/>
              </w:rPr>
            </w:pPr>
            <m:oMathPara>
              <m:oMath>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H</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v, base</m:t>
                    </m:r>
                  </m:sub>
                </m:sSub>
              </m:oMath>
            </m:oMathPara>
          </w:p>
        </w:tc>
      </w:tr>
      <w:tr w:rsidR="007D58FF" w:rsidRPr="00F00FB7" w14:paraId="21EEFF53" w14:textId="77777777" w:rsidTr="00893161">
        <w:trPr>
          <w:trHeight w:val="201"/>
          <w:jc w:val="center"/>
        </w:trPr>
        <w:tc>
          <w:tcPr>
            <w:tcW w:w="1728" w:type="dxa"/>
            <w:vMerge/>
            <w:tcBorders>
              <w:bottom w:val="single" w:sz="4" w:space="0" w:color="auto"/>
              <w:right w:val="single" w:sz="4" w:space="0" w:color="auto"/>
            </w:tcBorders>
            <w:vAlign w:val="center"/>
            <w:hideMark/>
          </w:tcPr>
          <w:p w14:paraId="0A3B1EAE" w14:textId="77777777" w:rsidR="007D58FF" w:rsidRPr="00F00FB7" w:rsidRDefault="007D58FF" w:rsidP="00893161">
            <w:pPr>
              <w:pStyle w:val="Paragraph"/>
              <w:jc w:val="center"/>
              <w:rPr>
                <w:sz w:val="22"/>
                <w:szCs w:val="22"/>
              </w:rPr>
            </w:pPr>
          </w:p>
        </w:tc>
        <w:tc>
          <w:tcPr>
            <w:tcW w:w="2160" w:type="dxa"/>
            <w:tcBorders>
              <w:left w:val="single" w:sz="4" w:space="0" w:color="auto"/>
              <w:bottom w:val="single" w:sz="4" w:space="0" w:color="auto"/>
              <w:right w:val="single" w:sz="4" w:space="0" w:color="auto"/>
            </w:tcBorders>
            <w:noWrap/>
            <w:vAlign w:val="center"/>
            <w:hideMark/>
          </w:tcPr>
          <w:p w14:paraId="1914A02D" w14:textId="77777777" w:rsidR="007D58FF" w:rsidRPr="00F00FB7" w:rsidRDefault="00077C0B" w:rsidP="00893161">
            <w:pPr>
              <w:pStyle w:val="Paragraph"/>
              <w:jc w:val="center"/>
              <w:rPr>
                <w:sz w:val="22"/>
                <w:szCs w:val="22"/>
              </w:rPr>
            </w:pPr>
            <m:oMathPara>
              <m:oMath>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h</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h, base</m:t>
                    </m:r>
                  </m:sub>
                </m:sSub>
              </m:oMath>
            </m:oMathPara>
          </w:p>
        </w:tc>
        <w:tc>
          <w:tcPr>
            <w:tcW w:w="2160" w:type="dxa"/>
            <w:tcBorders>
              <w:left w:val="single" w:sz="4" w:space="0" w:color="auto"/>
              <w:bottom w:val="single" w:sz="4" w:space="0" w:color="auto"/>
            </w:tcBorders>
            <w:noWrap/>
            <w:vAlign w:val="center"/>
            <w:hideMark/>
          </w:tcPr>
          <w:p w14:paraId="4751A335" w14:textId="77777777" w:rsidR="007D58FF" w:rsidRPr="00F00FB7" w:rsidRDefault="00077C0B" w:rsidP="00893161">
            <w:pPr>
              <w:pStyle w:val="Paragraph"/>
              <w:jc w:val="center"/>
              <w:rPr>
                <w:sz w:val="22"/>
                <w:szCs w:val="22"/>
              </w:rPr>
            </w:pPr>
            <m:oMathPara>
              <m:oMath>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h</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h, base</m:t>
                    </m:r>
                  </m:sub>
                </m:sSub>
              </m:oMath>
            </m:oMathPara>
          </w:p>
        </w:tc>
      </w:tr>
      <w:tr w:rsidR="007D58FF" w:rsidRPr="00F00FB7" w14:paraId="180D8BA4" w14:textId="77777777" w:rsidTr="00893161">
        <w:trPr>
          <w:trHeight w:val="281"/>
          <w:jc w:val="center"/>
        </w:trPr>
        <w:tc>
          <w:tcPr>
            <w:tcW w:w="1728" w:type="dxa"/>
            <w:vMerge w:val="restart"/>
            <w:tcBorders>
              <w:top w:val="single" w:sz="4" w:space="0" w:color="auto"/>
              <w:right w:val="single" w:sz="4" w:space="0" w:color="auto"/>
            </w:tcBorders>
            <w:noWrap/>
            <w:vAlign w:val="center"/>
            <w:hideMark/>
          </w:tcPr>
          <w:p w14:paraId="68C5C92C" w14:textId="77777777" w:rsidR="007D58FF" w:rsidRPr="00F00FB7" w:rsidRDefault="007D58FF" w:rsidP="00893161">
            <w:pPr>
              <w:pStyle w:val="Paragraph"/>
              <w:jc w:val="center"/>
              <w:rPr>
                <w:sz w:val="22"/>
                <w:szCs w:val="22"/>
              </w:rPr>
            </w:pPr>
            <w:r w:rsidRPr="00F00FB7">
              <w:rPr>
                <w:sz w:val="22"/>
                <w:szCs w:val="22"/>
              </w:rPr>
              <w:t>Vertical Stress Variation</w:t>
            </w:r>
          </w:p>
        </w:tc>
        <w:tc>
          <w:tcPr>
            <w:tcW w:w="2160" w:type="dxa"/>
            <w:tcBorders>
              <w:top w:val="single" w:sz="4" w:space="0" w:color="auto"/>
              <w:left w:val="single" w:sz="4" w:space="0" w:color="auto"/>
              <w:right w:val="single" w:sz="4" w:space="0" w:color="auto"/>
            </w:tcBorders>
            <w:noWrap/>
            <w:vAlign w:val="center"/>
            <w:hideMark/>
          </w:tcPr>
          <w:p w14:paraId="06C39BC4" w14:textId="77777777" w:rsidR="007D58FF" w:rsidRPr="00F00FB7" w:rsidRDefault="00077C0B" w:rsidP="00893161">
            <w:pPr>
              <w:pStyle w:val="Paragraph"/>
              <w:jc w:val="center"/>
              <w:rPr>
                <w:sz w:val="22"/>
                <w:szCs w:val="22"/>
              </w:rPr>
            </w:pPr>
            <m:oMathPara>
              <m:oMath>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v</m:t>
                    </m:r>
                  </m:sub>
                </m:sSub>
                <m:r>
                  <w:rPr>
                    <w:rFonts w:ascii="Cambria Math" w:hAnsi="Cambria Math"/>
                    <w:sz w:val="22"/>
                    <w:szCs w:val="22"/>
                  </w:rPr>
                  <m:t>=-5%∙</m:t>
                </m:r>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v, base</m:t>
                    </m:r>
                  </m:sub>
                </m:sSub>
              </m:oMath>
            </m:oMathPara>
          </w:p>
        </w:tc>
        <w:tc>
          <w:tcPr>
            <w:tcW w:w="2160" w:type="dxa"/>
            <w:tcBorders>
              <w:top w:val="single" w:sz="4" w:space="0" w:color="auto"/>
              <w:left w:val="single" w:sz="4" w:space="0" w:color="auto"/>
            </w:tcBorders>
            <w:noWrap/>
            <w:vAlign w:val="center"/>
            <w:hideMark/>
          </w:tcPr>
          <w:p w14:paraId="193B6E92" w14:textId="77777777" w:rsidR="007D58FF" w:rsidRPr="00F00FB7" w:rsidRDefault="00077C0B" w:rsidP="00893161">
            <w:pPr>
              <w:pStyle w:val="Paragraph"/>
              <w:jc w:val="center"/>
              <w:rPr>
                <w:sz w:val="22"/>
                <w:szCs w:val="22"/>
              </w:rPr>
            </w:pPr>
            <m:oMathPara>
              <m:oMath>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v</m:t>
                    </m:r>
                  </m:sub>
                </m:sSub>
                <m:r>
                  <w:rPr>
                    <w:rFonts w:ascii="Cambria Math" w:hAnsi="Cambria Math"/>
                    <w:sz w:val="22"/>
                    <w:szCs w:val="22"/>
                  </w:rPr>
                  <m:t>=+5%∙</m:t>
                </m:r>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v, base</m:t>
                    </m:r>
                  </m:sub>
                </m:sSub>
              </m:oMath>
            </m:oMathPara>
          </w:p>
        </w:tc>
      </w:tr>
      <w:tr w:rsidR="007D58FF" w:rsidRPr="00F00FB7" w14:paraId="0C0A1F00" w14:textId="77777777" w:rsidTr="00893161">
        <w:trPr>
          <w:trHeight w:val="246"/>
          <w:jc w:val="center"/>
        </w:trPr>
        <w:tc>
          <w:tcPr>
            <w:tcW w:w="1728" w:type="dxa"/>
            <w:vMerge/>
            <w:tcBorders>
              <w:right w:val="single" w:sz="4" w:space="0" w:color="auto"/>
            </w:tcBorders>
            <w:vAlign w:val="center"/>
            <w:hideMark/>
          </w:tcPr>
          <w:p w14:paraId="5AB2D9AF" w14:textId="77777777" w:rsidR="007D58FF" w:rsidRPr="00F00FB7" w:rsidRDefault="007D58FF" w:rsidP="00893161">
            <w:pPr>
              <w:pStyle w:val="Paragraph"/>
              <w:jc w:val="center"/>
              <w:rPr>
                <w:sz w:val="22"/>
                <w:szCs w:val="22"/>
              </w:rPr>
            </w:pPr>
          </w:p>
        </w:tc>
        <w:tc>
          <w:tcPr>
            <w:tcW w:w="2160" w:type="dxa"/>
            <w:tcBorders>
              <w:left w:val="single" w:sz="4" w:space="0" w:color="auto"/>
              <w:right w:val="single" w:sz="4" w:space="0" w:color="auto"/>
            </w:tcBorders>
            <w:noWrap/>
            <w:vAlign w:val="center"/>
            <w:hideMark/>
          </w:tcPr>
          <w:p w14:paraId="1A55F6E1" w14:textId="77777777" w:rsidR="007D58FF" w:rsidRPr="00F00FB7" w:rsidRDefault="00077C0B" w:rsidP="00893161">
            <w:pPr>
              <w:pStyle w:val="Paragraph"/>
              <w:jc w:val="center"/>
              <w:rPr>
                <w:sz w:val="22"/>
                <w:szCs w:val="22"/>
              </w:rPr>
            </w:pPr>
            <m:oMathPara>
              <m:oMath>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H</m:t>
                    </m:r>
                  </m:sub>
                </m:sSub>
                <m:r>
                  <w:rPr>
                    <w:rFonts w:ascii="Cambria Math" w:hAnsi="Cambria Math"/>
                    <w:sz w:val="22"/>
                    <w:szCs w:val="22"/>
                  </w:rPr>
                  <m:t>=</m:t>
                </m:r>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v</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h</m:t>
                        </m:r>
                      </m:sub>
                    </m:sSub>
                  </m:num>
                  <m:den>
                    <m:r>
                      <w:rPr>
                        <w:rFonts w:ascii="Cambria Math" w:hAnsi="Cambria Math"/>
                        <w:sz w:val="22"/>
                        <w:szCs w:val="22"/>
                      </w:rPr>
                      <m:t>2</m:t>
                    </m:r>
                  </m:den>
                </m:f>
              </m:oMath>
            </m:oMathPara>
          </w:p>
        </w:tc>
        <w:tc>
          <w:tcPr>
            <w:tcW w:w="2160" w:type="dxa"/>
            <w:tcBorders>
              <w:left w:val="single" w:sz="4" w:space="0" w:color="auto"/>
            </w:tcBorders>
            <w:noWrap/>
            <w:vAlign w:val="center"/>
            <w:hideMark/>
          </w:tcPr>
          <w:p w14:paraId="6EECC338" w14:textId="77777777" w:rsidR="007D58FF" w:rsidRPr="00F00FB7" w:rsidRDefault="00077C0B" w:rsidP="00893161">
            <w:pPr>
              <w:pStyle w:val="Paragraph"/>
              <w:jc w:val="center"/>
              <w:rPr>
                <w:sz w:val="22"/>
                <w:szCs w:val="22"/>
              </w:rPr>
            </w:pPr>
            <m:oMathPara>
              <m:oMath>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H</m:t>
                    </m:r>
                  </m:sub>
                </m:sSub>
                <m:r>
                  <w:rPr>
                    <w:rFonts w:ascii="Cambria Math" w:hAnsi="Cambria Math"/>
                    <w:sz w:val="22"/>
                    <w:szCs w:val="22"/>
                  </w:rPr>
                  <m:t>=</m:t>
                </m:r>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v</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h</m:t>
                        </m:r>
                      </m:sub>
                    </m:sSub>
                  </m:num>
                  <m:den>
                    <m:r>
                      <w:rPr>
                        <w:rFonts w:ascii="Cambria Math" w:hAnsi="Cambria Math"/>
                        <w:sz w:val="22"/>
                        <w:szCs w:val="22"/>
                      </w:rPr>
                      <m:t>2</m:t>
                    </m:r>
                  </m:den>
                </m:f>
              </m:oMath>
            </m:oMathPara>
          </w:p>
        </w:tc>
      </w:tr>
      <w:tr w:rsidR="007D58FF" w:rsidRPr="00F00FB7" w14:paraId="1362188F" w14:textId="77777777" w:rsidTr="00893161">
        <w:trPr>
          <w:trHeight w:val="120"/>
          <w:jc w:val="center"/>
        </w:trPr>
        <w:tc>
          <w:tcPr>
            <w:tcW w:w="1728" w:type="dxa"/>
            <w:vMerge/>
            <w:tcBorders>
              <w:bottom w:val="single" w:sz="4" w:space="0" w:color="auto"/>
              <w:right w:val="single" w:sz="4" w:space="0" w:color="auto"/>
            </w:tcBorders>
            <w:vAlign w:val="center"/>
            <w:hideMark/>
          </w:tcPr>
          <w:p w14:paraId="7B540CF3" w14:textId="77777777" w:rsidR="007D58FF" w:rsidRPr="00F00FB7" w:rsidRDefault="007D58FF" w:rsidP="00893161">
            <w:pPr>
              <w:pStyle w:val="Paragraph"/>
              <w:jc w:val="center"/>
              <w:rPr>
                <w:sz w:val="22"/>
                <w:szCs w:val="22"/>
              </w:rPr>
            </w:pPr>
          </w:p>
        </w:tc>
        <w:tc>
          <w:tcPr>
            <w:tcW w:w="2160" w:type="dxa"/>
            <w:tcBorders>
              <w:left w:val="single" w:sz="4" w:space="0" w:color="auto"/>
              <w:bottom w:val="single" w:sz="4" w:space="0" w:color="auto"/>
              <w:right w:val="single" w:sz="4" w:space="0" w:color="auto"/>
            </w:tcBorders>
            <w:noWrap/>
            <w:vAlign w:val="center"/>
            <w:hideMark/>
          </w:tcPr>
          <w:p w14:paraId="6281D131" w14:textId="77777777" w:rsidR="007D58FF" w:rsidRPr="00F00FB7" w:rsidRDefault="00077C0B" w:rsidP="00893161">
            <w:pPr>
              <w:pStyle w:val="Paragraph"/>
              <w:jc w:val="center"/>
              <w:rPr>
                <w:sz w:val="22"/>
                <w:szCs w:val="22"/>
              </w:rPr>
            </w:pPr>
            <m:oMathPara>
              <m:oMath>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h</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h, base</m:t>
                    </m:r>
                  </m:sub>
                </m:sSub>
              </m:oMath>
            </m:oMathPara>
          </w:p>
        </w:tc>
        <w:tc>
          <w:tcPr>
            <w:tcW w:w="2160" w:type="dxa"/>
            <w:tcBorders>
              <w:left w:val="single" w:sz="4" w:space="0" w:color="auto"/>
              <w:bottom w:val="single" w:sz="4" w:space="0" w:color="auto"/>
            </w:tcBorders>
            <w:noWrap/>
            <w:vAlign w:val="center"/>
            <w:hideMark/>
          </w:tcPr>
          <w:p w14:paraId="29433C03" w14:textId="77777777" w:rsidR="007D58FF" w:rsidRPr="00F00FB7" w:rsidRDefault="00077C0B" w:rsidP="00893161">
            <w:pPr>
              <w:pStyle w:val="Paragraph"/>
              <w:jc w:val="center"/>
              <w:rPr>
                <w:sz w:val="22"/>
                <w:szCs w:val="22"/>
              </w:rPr>
            </w:pPr>
            <m:oMathPara>
              <m:oMath>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h</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h, base</m:t>
                    </m:r>
                  </m:sub>
                </m:sSub>
              </m:oMath>
            </m:oMathPara>
          </w:p>
        </w:tc>
      </w:tr>
      <w:tr w:rsidR="007D58FF" w:rsidRPr="00F00FB7" w14:paraId="2F0E3629" w14:textId="77777777" w:rsidTr="00893161">
        <w:trPr>
          <w:trHeight w:val="120"/>
          <w:jc w:val="center"/>
        </w:trPr>
        <w:tc>
          <w:tcPr>
            <w:tcW w:w="1728" w:type="dxa"/>
            <w:tcBorders>
              <w:top w:val="single" w:sz="4" w:space="0" w:color="auto"/>
              <w:right w:val="single" w:sz="4" w:space="0" w:color="auto"/>
            </w:tcBorders>
            <w:vAlign w:val="center"/>
          </w:tcPr>
          <w:p w14:paraId="3554D4C8" w14:textId="77777777" w:rsidR="007D58FF" w:rsidRPr="00F00FB7" w:rsidRDefault="007D58FF" w:rsidP="00893161">
            <w:pPr>
              <w:pStyle w:val="Paragraph"/>
              <w:jc w:val="center"/>
              <w:rPr>
                <w:sz w:val="22"/>
                <w:szCs w:val="22"/>
              </w:rPr>
            </w:pPr>
            <w:r w:rsidRPr="00F00FB7">
              <w:rPr>
                <w:sz w:val="22"/>
                <w:szCs w:val="22"/>
              </w:rPr>
              <w:t>Cement Stress (MPa)</w:t>
            </w:r>
          </w:p>
        </w:tc>
        <w:tc>
          <w:tcPr>
            <w:tcW w:w="2160" w:type="dxa"/>
            <w:tcBorders>
              <w:top w:val="single" w:sz="4" w:space="0" w:color="auto"/>
              <w:left w:val="single" w:sz="4" w:space="0" w:color="auto"/>
              <w:right w:val="single" w:sz="4" w:space="0" w:color="auto"/>
            </w:tcBorders>
            <w:noWrap/>
            <w:vAlign w:val="center"/>
          </w:tcPr>
          <w:p w14:paraId="1273C44A" w14:textId="77777777" w:rsidR="007D58FF" w:rsidRPr="00F00FB7" w:rsidRDefault="007D58FF" w:rsidP="00893161">
            <w:pPr>
              <w:pStyle w:val="Paragraph"/>
              <w:jc w:val="center"/>
              <w:rPr>
                <w:sz w:val="22"/>
                <w:szCs w:val="22"/>
              </w:rPr>
            </w:pPr>
            <m:oMathPara>
              <m:oMath>
                <m:r>
                  <w:rPr>
                    <w:rFonts w:ascii="Cambria Math" w:hAnsi="Cambria Math"/>
                    <w:sz w:val="22"/>
                    <w:szCs w:val="22"/>
                  </w:rPr>
                  <m:t>MW</m:t>
                </m:r>
              </m:oMath>
            </m:oMathPara>
          </w:p>
        </w:tc>
        <w:tc>
          <w:tcPr>
            <w:tcW w:w="2160" w:type="dxa"/>
            <w:tcBorders>
              <w:top w:val="single" w:sz="4" w:space="0" w:color="auto"/>
              <w:left w:val="single" w:sz="4" w:space="0" w:color="auto"/>
            </w:tcBorders>
            <w:noWrap/>
            <w:vAlign w:val="center"/>
          </w:tcPr>
          <w:p w14:paraId="7E3E173B" w14:textId="77777777" w:rsidR="007D58FF" w:rsidRPr="00F00FB7" w:rsidRDefault="00077C0B" w:rsidP="00893161">
            <w:pPr>
              <w:pStyle w:val="Paragraph"/>
              <w:jc w:val="center"/>
              <w:rPr>
                <w:sz w:val="22"/>
                <w:szCs w:val="22"/>
              </w:rPr>
            </w:pPr>
            <m:oMathPara>
              <m:oMath>
                <m:sSub>
                  <m:sSubPr>
                    <m:ctrlPr>
                      <w:rPr>
                        <w:rFonts w:ascii="Cambria Math" w:hAnsi="Cambria Math"/>
                        <w:i/>
                        <w:sz w:val="22"/>
                        <w:szCs w:val="22"/>
                      </w:rPr>
                    </m:ctrlPr>
                  </m:sSubPr>
                  <m:e>
                    <m:r>
                      <w:rPr>
                        <w:rFonts w:ascii="Cambria Math" w:hAnsi="Cambria Math"/>
                        <w:sz w:val="22"/>
                        <w:szCs w:val="22"/>
                      </w:rPr>
                      <m:t>P</m:t>
                    </m:r>
                  </m:e>
                  <m:sub>
                    <m:r>
                      <w:rPr>
                        <w:rFonts w:ascii="Cambria Math" w:hAnsi="Cambria Math"/>
                        <w:sz w:val="22"/>
                        <w:szCs w:val="22"/>
                      </w:rPr>
                      <m:t>fracture</m:t>
                    </m:r>
                  </m:sub>
                </m:sSub>
              </m:oMath>
            </m:oMathPara>
          </w:p>
        </w:tc>
      </w:tr>
      <w:tr w:rsidR="007D58FF" w:rsidRPr="00F00FB7" w14:paraId="6D4B6598" w14:textId="77777777" w:rsidTr="00893161">
        <w:trPr>
          <w:trHeight w:val="120"/>
          <w:jc w:val="center"/>
        </w:trPr>
        <w:tc>
          <w:tcPr>
            <w:tcW w:w="1728" w:type="dxa"/>
            <w:tcBorders>
              <w:bottom w:val="single" w:sz="4" w:space="0" w:color="auto"/>
              <w:right w:val="single" w:sz="4" w:space="0" w:color="auto"/>
            </w:tcBorders>
            <w:vAlign w:val="center"/>
          </w:tcPr>
          <w:p w14:paraId="4F4082F5" w14:textId="77777777" w:rsidR="007D58FF" w:rsidRPr="00F00FB7" w:rsidRDefault="007D58FF" w:rsidP="00893161">
            <w:pPr>
              <w:pStyle w:val="Paragraph"/>
              <w:jc w:val="center"/>
              <w:rPr>
                <w:sz w:val="22"/>
                <w:szCs w:val="22"/>
              </w:rPr>
            </w:pPr>
            <w:r w:rsidRPr="00F00FB7">
              <w:rPr>
                <w:sz w:val="22"/>
                <w:szCs w:val="22"/>
              </w:rPr>
              <w:t>Cement Mechanical and Thermal Properties</w:t>
            </w:r>
          </w:p>
        </w:tc>
        <w:tc>
          <w:tcPr>
            <w:tcW w:w="2160" w:type="dxa"/>
            <w:tcBorders>
              <w:left w:val="single" w:sz="4" w:space="0" w:color="auto"/>
              <w:bottom w:val="single" w:sz="4" w:space="0" w:color="auto"/>
              <w:right w:val="single" w:sz="4" w:space="0" w:color="auto"/>
            </w:tcBorders>
            <w:noWrap/>
            <w:vAlign w:val="center"/>
          </w:tcPr>
          <w:p w14:paraId="78ECD674" w14:textId="77777777" w:rsidR="007D58FF" w:rsidRPr="00F00FB7" w:rsidRDefault="007D58FF" w:rsidP="00893161">
            <w:pPr>
              <w:pStyle w:val="Paragraph"/>
              <w:jc w:val="center"/>
              <w:rPr>
                <w:sz w:val="22"/>
                <w:szCs w:val="22"/>
              </w:rPr>
            </w:pPr>
            <m:oMathPara>
              <m:oMath>
                <m:r>
                  <w:rPr>
                    <w:rFonts w:ascii="Cambria Math" w:hAnsi="Cambria Math"/>
                    <w:sz w:val="22"/>
                    <w:szCs w:val="22"/>
                  </w:rPr>
                  <m:t>25% Quartile</m:t>
                </m:r>
              </m:oMath>
            </m:oMathPara>
          </w:p>
        </w:tc>
        <w:tc>
          <w:tcPr>
            <w:tcW w:w="2160" w:type="dxa"/>
            <w:tcBorders>
              <w:left w:val="single" w:sz="4" w:space="0" w:color="auto"/>
              <w:bottom w:val="single" w:sz="4" w:space="0" w:color="auto"/>
            </w:tcBorders>
            <w:noWrap/>
            <w:vAlign w:val="center"/>
          </w:tcPr>
          <w:p w14:paraId="30EC1E19" w14:textId="77777777" w:rsidR="007D58FF" w:rsidRPr="00F00FB7" w:rsidRDefault="007D58FF" w:rsidP="00893161">
            <w:pPr>
              <w:pStyle w:val="Paragraph"/>
              <w:jc w:val="center"/>
              <w:rPr>
                <w:sz w:val="22"/>
                <w:szCs w:val="22"/>
              </w:rPr>
            </w:pPr>
            <m:oMathPara>
              <m:oMath>
                <m:r>
                  <w:rPr>
                    <w:rFonts w:ascii="Cambria Math" w:hAnsi="Cambria Math"/>
                    <w:sz w:val="22"/>
                    <w:szCs w:val="22"/>
                  </w:rPr>
                  <m:t>75% Quartile</m:t>
                </m:r>
              </m:oMath>
            </m:oMathPara>
          </w:p>
        </w:tc>
      </w:tr>
      <w:tr w:rsidR="007D58FF" w:rsidRPr="00F00FB7" w14:paraId="6E2B9226" w14:textId="77777777" w:rsidTr="00893161">
        <w:trPr>
          <w:trHeight w:val="120"/>
          <w:jc w:val="center"/>
        </w:trPr>
        <w:tc>
          <w:tcPr>
            <w:tcW w:w="1728" w:type="dxa"/>
            <w:tcBorders>
              <w:top w:val="single" w:sz="4" w:space="0" w:color="auto"/>
              <w:right w:val="single" w:sz="4" w:space="0" w:color="auto"/>
            </w:tcBorders>
            <w:vAlign w:val="center"/>
          </w:tcPr>
          <w:p w14:paraId="0085611F" w14:textId="77777777" w:rsidR="007D58FF" w:rsidRPr="00F00FB7" w:rsidRDefault="007D58FF" w:rsidP="00893161">
            <w:pPr>
              <w:pStyle w:val="Paragraph"/>
              <w:jc w:val="center"/>
              <w:rPr>
                <w:sz w:val="22"/>
                <w:szCs w:val="22"/>
              </w:rPr>
            </w:pPr>
            <w:r w:rsidRPr="00F00FB7">
              <w:rPr>
                <w:sz w:val="22"/>
                <w:szCs w:val="22"/>
              </w:rPr>
              <w:t>Rock Mechanical Properties</w:t>
            </w:r>
          </w:p>
        </w:tc>
        <w:tc>
          <w:tcPr>
            <w:tcW w:w="2160" w:type="dxa"/>
            <w:tcBorders>
              <w:top w:val="single" w:sz="4" w:space="0" w:color="auto"/>
              <w:left w:val="single" w:sz="4" w:space="0" w:color="auto"/>
              <w:right w:val="single" w:sz="4" w:space="0" w:color="auto"/>
            </w:tcBorders>
            <w:noWrap/>
            <w:vAlign w:val="center"/>
          </w:tcPr>
          <w:p w14:paraId="17EBA121" w14:textId="77777777" w:rsidR="007D58FF" w:rsidRPr="00F00FB7" w:rsidRDefault="007D58FF" w:rsidP="00893161">
            <w:pPr>
              <w:pStyle w:val="Paragraph"/>
              <w:jc w:val="center"/>
              <w:rPr>
                <w:sz w:val="22"/>
                <w:szCs w:val="22"/>
              </w:rPr>
            </w:pPr>
            <w:r w:rsidRPr="00F00FB7">
              <w:rPr>
                <w:sz w:val="22"/>
                <w:szCs w:val="22"/>
              </w:rPr>
              <w:t>Min from Log Data</w:t>
            </w:r>
          </w:p>
        </w:tc>
        <w:tc>
          <w:tcPr>
            <w:tcW w:w="2160" w:type="dxa"/>
            <w:tcBorders>
              <w:top w:val="single" w:sz="4" w:space="0" w:color="auto"/>
              <w:left w:val="single" w:sz="4" w:space="0" w:color="auto"/>
            </w:tcBorders>
            <w:noWrap/>
            <w:vAlign w:val="center"/>
          </w:tcPr>
          <w:p w14:paraId="459131AD" w14:textId="77777777" w:rsidR="007D58FF" w:rsidRPr="00F00FB7" w:rsidRDefault="007D58FF" w:rsidP="00893161">
            <w:pPr>
              <w:pStyle w:val="Paragraph"/>
              <w:jc w:val="center"/>
              <w:rPr>
                <w:sz w:val="22"/>
                <w:szCs w:val="22"/>
              </w:rPr>
            </w:pPr>
            <w:r w:rsidRPr="00F00FB7">
              <w:rPr>
                <w:sz w:val="22"/>
                <w:szCs w:val="22"/>
              </w:rPr>
              <w:t>Max from Log Data</w:t>
            </w:r>
          </w:p>
        </w:tc>
      </w:tr>
      <w:tr w:rsidR="007D58FF" w:rsidRPr="00F00FB7" w14:paraId="22189A6D" w14:textId="77777777" w:rsidTr="00893161">
        <w:trPr>
          <w:trHeight w:val="120"/>
          <w:jc w:val="center"/>
        </w:trPr>
        <w:tc>
          <w:tcPr>
            <w:tcW w:w="1728" w:type="dxa"/>
            <w:tcBorders>
              <w:bottom w:val="single" w:sz="4" w:space="0" w:color="auto"/>
              <w:right w:val="single" w:sz="4" w:space="0" w:color="auto"/>
            </w:tcBorders>
            <w:vAlign w:val="center"/>
          </w:tcPr>
          <w:p w14:paraId="1892AB4D" w14:textId="77777777" w:rsidR="007D58FF" w:rsidRPr="00F00FB7" w:rsidRDefault="007D58FF" w:rsidP="00893161">
            <w:pPr>
              <w:pStyle w:val="Paragraph"/>
              <w:jc w:val="center"/>
              <w:rPr>
                <w:sz w:val="22"/>
                <w:szCs w:val="22"/>
              </w:rPr>
            </w:pPr>
            <w:r w:rsidRPr="00F00FB7">
              <w:rPr>
                <w:sz w:val="22"/>
                <w:szCs w:val="22"/>
              </w:rPr>
              <w:t>Rock Thermal Properties</w:t>
            </w:r>
          </w:p>
        </w:tc>
        <w:tc>
          <w:tcPr>
            <w:tcW w:w="2160" w:type="dxa"/>
            <w:tcBorders>
              <w:left w:val="single" w:sz="4" w:space="0" w:color="auto"/>
              <w:bottom w:val="single" w:sz="4" w:space="0" w:color="auto"/>
              <w:right w:val="single" w:sz="4" w:space="0" w:color="auto"/>
            </w:tcBorders>
            <w:noWrap/>
            <w:vAlign w:val="center"/>
          </w:tcPr>
          <w:p w14:paraId="4DC2673D" w14:textId="77777777" w:rsidR="007D58FF" w:rsidRPr="00F00FB7" w:rsidRDefault="007D58FF" w:rsidP="00893161">
            <w:pPr>
              <w:pStyle w:val="Paragraph"/>
              <w:jc w:val="center"/>
              <w:rPr>
                <w:sz w:val="22"/>
                <w:szCs w:val="22"/>
              </w:rPr>
            </w:pPr>
            <m:oMathPara>
              <m:oMath>
                <m:r>
                  <w:rPr>
                    <w:rFonts w:ascii="Cambria Math" w:hAnsi="Cambria Math"/>
                    <w:sz w:val="22"/>
                    <w:szCs w:val="22"/>
                  </w:rPr>
                  <m:t>-40%</m:t>
                </m:r>
              </m:oMath>
            </m:oMathPara>
          </w:p>
        </w:tc>
        <w:tc>
          <w:tcPr>
            <w:tcW w:w="2160" w:type="dxa"/>
            <w:tcBorders>
              <w:left w:val="single" w:sz="4" w:space="0" w:color="auto"/>
              <w:bottom w:val="single" w:sz="4" w:space="0" w:color="auto"/>
            </w:tcBorders>
            <w:noWrap/>
            <w:vAlign w:val="center"/>
          </w:tcPr>
          <w:p w14:paraId="35FF66D4" w14:textId="77777777" w:rsidR="007D58FF" w:rsidRPr="00F00FB7" w:rsidRDefault="007D58FF" w:rsidP="00893161">
            <w:pPr>
              <w:pStyle w:val="Paragraph"/>
              <w:jc w:val="center"/>
              <w:rPr>
                <w:sz w:val="22"/>
                <w:szCs w:val="22"/>
              </w:rPr>
            </w:pPr>
            <m:oMathPara>
              <m:oMath>
                <m:r>
                  <w:rPr>
                    <w:rFonts w:ascii="Cambria Math" w:hAnsi="Cambria Math"/>
                    <w:sz w:val="22"/>
                    <w:szCs w:val="22"/>
                  </w:rPr>
                  <m:t>+40%</m:t>
                </m:r>
              </m:oMath>
            </m:oMathPara>
          </w:p>
        </w:tc>
      </w:tr>
      <w:tr w:rsidR="007D58FF" w:rsidRPr="00F00FB7" w14:paraId="165695B9" w14:textId="77777777" w:rsidTr="00893161">
        <w:trPr>
          <w:trHeight w:val="120"/>
          <w:jc w:val="center"/>
        </w:trPr>
        <w:tc>
          <w:tcPr>
            <w:tcW w:w="1728" w:type="dxa"/>
            <w:tcBorders>
              <w:top w:val="single" w:sz="4" w:space="0" w:color="auto"/>
              <w:right w:val="single" w:sz="4" w:space="0" w:color="auto"/>
            </w:tcBorders>
            <w:vAlign w:val="center"/>
          </w:tcPr>
          <w:p w14:paraId="24E8FF0C" w14:textId="77777777" w:rsidR="007D58FF" w:rsidRPr="00F00FB7" w:rsidRDefault="007D58FF" w:rsidP="00893161">
            <w:pPr>
              <w:pStyle w:val="Paragraph"/>
              <w:jc w:val="center"/>
              <w:rPr>
                <w:sz w:val="22"/>
                <w:szCs w:val="22"/>
              </w:rPr>
            </w:pPr>
            <w:r w:rsidRPr="00F00FB7">
              <w:rPr>
                <w:sz w:val="22"/>
                <w:szCs w:val="22"/>
              </w:rPr>
              <w:t>Traction Law Properties</w:t>
            </w:r>
          </w:p>
        </w:tc>
        <w:tc>
          <w:tcPr>
            <w:tcW w:w="2160" w:type="dxa"/>
            <w:tcBorders>
              <w:top w:val="single" w:sz="4" w:space="0" w:color="auto"/>
              <w:left w:val="single" w:sz="4" w:space="0" w:color="auto"/>
              <w:right w:val="single" w:sz="4" w:space="0" w:color="auto"/>
            </w:tcBorders>
            <w:noWrap/>
            <w:vAlign w:val="center"/>
          </w:tcPr>
          <w:p w14:paraId="198D32B9" w14:textId="77777777" w:rsidR="007D58FF" w:rsidRPr="00F00FB7" w:rsidRDefault="007D58FF" w:rsidP="00893161">
            <w:pPr>
              <w:pStyle w:val="Paragraph"/>
              <w:jc w:val="center"/>
              <w:rPr>
                <w:sz w:val="22"/>
                <w:szCs w:val="22"/>
              </w:rPr>
            </w:pPr>
            <m:oMathPara>
              <m:oMath>
                <m:r>
                  <w:rPr>
                    <w:rFonts w:ascii="Cambria Math" w:hAnsi="Cambria Math"/>
                    <w:sz w:val="22"/>
                    <w:szCs w:val="22"/>
                  </w:rPr>
                  <m:t>-40%</m:t>
                </m:r>
              </m:oMath>
            </m:oMathPara>
          </w:p>
        </w:tc>
        <w:tc>
          <w:tcPr>
            <w:tcW w:w="2160" w:type="dxa"/>
            <w:tcBorders>
              <w:top w:val="single" w:sz="4" w:space="0" w:color="auto"/>
              <w:left w:val="single" w:sz="4" w:space="0" w:color="auto"/>
            </w:tcBorders>
            <w:noWrap/>
            <w:vAlign w:val="center"/>
          </w:tcPr>
          <w:p w14:paraId="58DFA1FF" w14:textId="77777777" w:rsidR="007D58FF" w:rsidRPr="00F00FB7" w:rsidRDefault="007D58FF" w:rsidP="00893161">
            <w:pPr>
              <w:pStyle w:val="Paragraph"/>
              <w:jc w:val="center"/>
              <w:rPr>
                <w:sz w:val="22"/>
                <w:szCs w:val="22"/>
              </w:rPr>
            </w:pPr>
            <m:oMathPara>
              <m:oMath>
                <m:r>
                  <w:rPr>
                    <w:rFonts w:ascii="Cambria Math" w:hAnsi="Cambria Math"/>
                    <w:sz w:val="22"/>
                    <w:szCs w:val="22"/>
                  </w:rPr>
                  <m:t>+40%</m:t>
                </m:r>
              </m:oMath>
            </m:oMathPara>
          </w:p>
        </w:tc>
      </w:tr>
    </w:tbl>
    <w:p w14:paraId="12BA84C5" w14:textId="77777777" w:rsidR="007D58FF" w:rsidRPr="007D5F9B" w:rsidRDefault="007D58FF" w:rsidP="007D58FF">
      <w:pPr>
        <w:ind w:firstLine="720"/>
      </w:pPr>
    </w:p>
    <w:p w14:paraId="188433A3" w14:textId="0DD8ECD2" w:rsidR="007D58FF" w:rsidRDefault="007D58FF" w:rsidP="007D58FF">
      <w:pPr>
        <w:ind w:firstLine="720"/>
      </w:pPr>
      <w:r>
        <w:lastRenderedPageBreak/>
        <w:t xml:space="preserve">The results are reported in terms </w:t>
      </w:r>
      <w:r w:rsidRPr="00B92BF4">
        <w:t>of changes in pressure (</w:t>
      </w:r>
      <m:oMath>
        <m:r>
          <w:rPr>
            <w:rFonts w:ascii="Cambria Math" w:hAnsi="Cambria Math"/>
          </w:rPr>
          <m:t>ΔP</m:t>
        </m:r>
      </m:oMath>
      <w:r w:rsidRPr="00B92BF4">
        <w:t>) and temperature (</w:t>
      </w:r>
      <m:oMath>
        <m:r>
          <w:rPr>
            <w:rFonts w:ascii="Cambria Math" w:hAnsi="Cambria Math"/>
          </w:rPr>
          <m:t>ΔT</m:t>
        </m:r>
      </m:oMath>
      <w:r w:rsidRPr="00B92BF4">
        <w:t xml:space="preserve">) and are normalized with respect to initial conditions in Equations </w:t>
      </w:r>
      <w:r w:rsidR="00090030" w:rsidRPr="00B92BF4">
        <w:t>4.5</w:t>
      </w:r>
      <w:r w:rsidR="002375FE" w:rsidRPr="00B92BF4">
        <w:t>5</w:t>
      </w:r>
      <w:r w:rsidRPr="00B92BF4">
        <w:t xml:space="preserve"> and </w:t>
      </w:r>
      <w:r w:rsidR="00090030" w:rsidRPr="00B92BF4">
        <w:t>4.5</w:t>
      </w:r>
      <w:r w:rsidR="002375FE" w:rsidRPr="00B92BF4">
        <w:t>6</w:t>
      </w:r>
      <w:r w:rsidRPr="00B92BF4">
        <w:t xml:space="preserve"> respectively. As defined, a positive </w:t>
      </w:r>
      <m:oMath>
        <m:r>
          <w:rPr>
            <w:rFonts w:ascii="Cambria Math" w:hAnsi="Cambria Math"/>
          </w:rPr>
          <m:t>Δ</m:t>
        </m:r>
      </m:oMath>
      <w:r w:rsidRPr="00B92BF4">
        <w:t xml:space="preserve"> indicates a reduction in pressure or temperature, and a negative </w:t>
      </w:r>
      <m:oMath>
        <m:r>
          <w:rPr>
            <w:rFonts w:ascii="Cambria Math" w:hAnsi="Cambria Math"/>
          </w:rPr>
          <m:t>Δ</m:t>
        </m:r>
      </m:oMath>
      <w:r w:rsidRPr="00B92BF4">
        <w:t xml:space="preserve"> indicates</w:t>
      </w:r>
      <w:r>
        <w:t xml:space="preserve"> an increase in pressure or temperature. It is important to note that the pressure load is referred to as “internal casing pressure” (</w:t>
      </w:r>
      <m:oMath>
        <m:r>
          <w:rPr>
            <w:rFonts w:ascii="Cambria Math" w:hAnsi="Cambria Math"/>
          </w:rPr>
          <m:t>ICP</m:t>
        </m:r>
      </m:oMath>
      <w:r>
        <w:t>) in other sections.</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7D58FF" w14:paraId="48868A26" w14:textId="77777777" w:rsidTr="00893161">
        <w:trPr>
          <w:trHeight w:val="576"/>
        </w:trPr>
        <w:tc>
          <w:tcPr>
            <w:tcW w:w="720" w:type="dxa"/>
            <w:vAlign w:val="center"/>
          </w:tcPr>
          <w:p w14:paraId="22BDC54A" w14:textId="433D7556" w:rsidR="007D58FF" w:rsidRDefault="007D58FF" w:rsidP="00893161">
            <w:pPr>
              <w:spacing w:line="240" w:lineRule="auto"/>
              <w:jc w:val="center"/>
            </w:pPr>
          </w:p>
        </w:tc>
        <w:tc>
          <w:tcPr>
            <w:tcW w:w="7920" w:type="dxa"/>
            <w:vAlign w:val="center"/>
          </w:tcPr>
          <w:p w14:paraId="65466FE3" w14:textId="77777777" w:rsidR="007D58FF" w:rsidRPr="003E4C6A" w:rsidRDefault="007D58FF" w:rsidP="00893161">
            <w:pPr>
              <w:spacing w:line="240" w:lineRule="auto"/>
              <w:jc w:val="center"/>
            </w:pPr>
            <m:oMathPara>
              <m:oMath>
                <m:r>
                  <m:rPr>
                    <m:sty m:val="p"/>
                  </m:rPr>
                  <w:rPr>
                    <w:rFonts w:ascii="Cambria Math" w:hAnsi="Cambria Math"/>
                  </w:rPr>
                  <m:t>Δ</m:t>
                </m:r>
                <m:r>
                  <w:rPr>
                    <w:rFonts w:ascii="Cambria Math" w:hAnsi="Cambria Math"/>
                  </w:rPr>
                  <m:t>P=1-</m:t>
                </m:r>
                <m:f>
                  <m:fPr>
                    <m:ctrlPr>
                      <w:rPr>
                        <w:rFonts w:ascii="Cambria Math" w:hAnsi="Cambria Math"/>
                        <w:i/>
                      </w:rPr>
                    </m:ctrlPr>
                  </m:fPr>
                  <m:num>
                    <m:r>
                      <w:rPr>
                        <w:rFonts w:ascii="Cambria Math" w:hAnsi="Cambria Math"/>
                      </w:rPr>
                      <m:t>Pressure Load</m:t>
                    </m:r>
                  </m:num>
                  <m:den>
                    <m:r>
                      <w:rPr>
                        <w:rFonts w:ascii="Cambria Math" w:hAnsi="Cambria Math"/>
                      </w:rPr>
                      <m:t>MW</m:t>
                    </m:r>
                  </m:den>
                </m:f>
                <m:r>
                  <w:rPr>
                    <w:rFonts w:ascii="Cambria Math" w:hAnsi="Cambria Math"/>
                  </w:rPr>
                  <m:t xml:space="preserve"> ∙100%</m:t>
                </m:r>
              </m:oMath>
            </m:oMathPara>
          </w:p>
        </w:tc>
        <w:tc>
          <w:tcPr>
            <w:tcW w:w="720" w:type="dxa"/>
            <w:vAlign w:val="bottom"/>
          </w:tcPr>
          <w:p w14:paraId="5A3F46A8" w14:textId="39A3F581" w:rsidR="007D58FF" w:rsidRPr="00470CB5" w:rsidRDefault="00077C0B" w:rsidP="00BC23AD">
            <w:pPr>
              <w:pStyle w:val="Caption"/>
              <w:rPr>
                <w:i/>
              </w:rPr>
            </w:pPr>
            <w:r>
              <w:fldChar w:fldCharType="begin"/>
            </w:r>
            <w:r>
              <w:instrText xml:space="preserve"> STYLEREF 1 \s </w:instrText>
            </w:r>
            <w:r>
              <w:fldChar w:fldCharType="separate"/>
            </w:r>
            <w:r w:rsidR="0006023A">
              <w:rPr>
                <w:noProof/>
              </w:rPr>
              <w:t>4</w:t>
            </w:r>
            <w:r>
              <w:rPr>
                <w:noProof/>
              </w:rPr>
              <w:fldChar w:fldCharType="end"/>
            </w:r>
            <w:r w:rsidR="007D58FF">
              <w:t>.</w:t>
            </w:r>
            <w:r>
              <w:fldChar w:fldCharType="begin"/>
            </w:r>
            <w:r>
              <w:instrText xml:space="preserve"> SEQ Equation \* ARABIC \s 1 </w:instrText>
            </w:r>
            <w:r>
              <w:fldChar w:fldCharType="separate"/>
            </w:r>
            <w:r w:rsidR="0006023A">
              <w:rPr>
                <w:noProof/>
              </w:rPr>
              <w:t>55</w:t>
            </w:r>
            <w:r>
              <w:rPr>
                <w:noProof/>
              </w:rPr>
              <w:fldChar w:fldCharType="end"/>
            </w:r>
          </w:p>
        </w:tc>
      </w:tr>
    </w:tbl>
    <w:p w14:paraId="6C6EBBF4" w14:textId="77777777" w:rsidR="007D58FF" w:rsidRDefault="007D58FF" w:rsidP="007D58FF">
      <w:pPr>
        <w:ind w:firstLine="720"/>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7D58FF" w14:paraId="0DF76EA6" w14:textId="77777777" w:rsidTr="00893161">
        <w:trPr>
          <w:trHeight w:val="576"/>
        </w:trPr>
        <w:tc>
          <w:tcPr>
            <w:tcW w:w="720" w:type="dxa"/>
            <w:vAlign w:val="center"/>
          </w:tcPr>
          <w:p w14:paraId="6F2D6BE9" w14:textId="5A3D7CD3" w:rsidR="007D58FF" w:rsidRDefault="007D58FF" w:rsidP="00893161">
            <w:pPr>
              <w:spacing w:line="240" w:lineRule="auto"/>
              <w:jc w:val="center"/>
            </w:pPr>
          </w:p>
        </w:tc>
        <w:tc>
          <w:tcPr>
            <w:tcW w:w="7920" w:type="dxa"/>
            <w:vAlign w:val="center"/>
          </w:tcPr>
          <w:p w14:paraId="3C91B59E" w14:textId="77777777" w:rsidR="007D58FF" w:rsidRPr="003E4C6A" w:rsidRDefault="007D58FF" w:rsidP="00893161">
            <w:pPr>
              <w:spacing w:line="240" w:lineRule="auto"/>
              <w:jc w:val="center"/>
            </w:pPr>
            <m:oMathPara>
              <m:oMath>
                <m:r>
                  <m:rPr>
                    <m:sty m:val="p"/>
                  </m:rPr>
                  <w:rPr>
                    <w:rFonts w:ascii="Cambria Math" w:hAnsi="Cambria Math"/>
                  </w:rPr>
                  <m:t>Δ</m:t>
                </m:r>
                <m:r>
                  <w:rPr>
                    <w:rFonts w:ascii="Cambria Math" w:hAnsi="Cambria Math"/>
                  </w:rPr>
                  <m:t>T=1-</m:t>
                </m:r>
                <m:f>
                  <m:fPr>
                    <m:ctrlPr>
                      <w:rPr>
                        <w:rFonts w:ascii="Cambria Math" w:hAnsi="Cambria Math"/>
                        <w:i/>
                      </w:rPr>
                    </m:ctrlPr>
                  </m:fPr>
                  <m:num>
                    <m:r>
                      <w:rPr>
                        <w:rFonts w:ascii="Cambria Math" w:hAnsi="Cambria Math"/>
                      </w:rPr>
                      <m:t>Temperature Load</m:t>
                    </m:r>
                  </m:num>
                  <m:den>
                    <m:sSub>
                      <m:sSubPr>
                        <m:ctrlPr>
                          <w:rPr>
                            <w:rFonts w:ascii="Cambria Math" w:hAnsi="Cambria Math"/>
                            <w:i/>
                          </w:rPr>
                        </m:ctrlPr>
                      </m:sSubPr>
                      <m:e>
                        <m:r>
                          <w:rPr>
                            <w:rFonts w:ascii="Cambria Math" w:hAnsi="Cambria Math"/>
                          </w:rPr>
                          <m:t>T</m:t>
                        </m:r>
                      </m:e>
                      <m:sub>
                        <m:r>
                          <w:rPr>
                            <w:rFonts w:ascii="Cambria Math" w:hAnsi="Cambria Math"/>
                          </w:rPr>
                          <m:t>i</m:t>
                        </m:r>
                      </m:sub>
                    </m:sSub>
                  </m:den>
                </m:f>
                <m:r>
                  <w:rPr>
                    <w:rFonts w:ascii="Cambria Math" w:hAnsi="Cambria Math"/>
                  </w:rPr>
                  <m:t xml:space="preserve"> ∙100%</m:t>
                </m:r>
              </m:oMath>
            </m:oMathPara>
          </w:p>
        </w:tc>
        <w:tc>
          <w:tcPr>
            <w:tcW w:w="720" w:type="dxa"/>
            <w:vAlign w:val="bottom"/>
          </w:tcPr>
          <w:p w14:paraId="3CF13E7F" w14:textId="5047576C" w:rsidR="007D58FF" w:rsidRPr="00470CB5" w:rsidRDefault="00077C0B" w:rsidP="00BC23AD">
            <w:pPr>
              <w:pStyle w:val="Caption"/>
              <w:rPr>
                <w:i/>
              </w:rPr>
            </w:pPr>
            <w:r>
              <w:fldChar w:fldCharType="begin"/>
            </w:r>
            <w:r>
              <w:instrText xml:space="preserve"> STYLEREF 1 \s </w:instrText>
            </w:r>
            <w:r>
              <w:fldChar w:fldCharType="separate"/>
            </w:r>
            <w:r w:rsidR="0006023A">
              <w:rPr>
                <w:noProof/>
              </w:rPr>
              <w:t>4</w:t>
            </w:r>
            <w:r>
              <w:rPr>
                <w:noProof/>
              </w:rPr>
              <w:fldChar w:fldCharType="end"/>
            </w:r>
            <w:r w:rsidR="007D58FF">
              <w:t>.</w:t>
            </w:r>
            <w:r>
              <w:fldChar w:fldCharType="begin"/>
            </w:r>
            <w:r>
              <w:instrText xml:space="preserve"> SEQ Equation \* ARABIC \s 1 </w:instrText>
            </w:r>
            <w:r>
              <w:fldChar w:fldCharType="separate"/>
            </w:r>
            <w:r w:rsidR="0006023A">
              <w:rPr>
                <w:noProof/>
              </w:rPr>
              <w:t>56</w:t>
            </w:r>
            <w:r>
              <w:rPr>
                <w:noProof/>
              </w:rPr>
              <w:fldChar w:fldCharType="end"/>
            </w:r>
          </w:p>
        </w:tc>
      </w:tr>
    </w:tbl>
    <w:p w14:paraId="685C87FB" w14:textId="77777777" w:rsidR="007D58FF" w:rsidRDefault="007D58FF" w:rsidP="007D58FF">
      <w:pPr>
        <w:ind w:firstLine="720"/>
      </w:pPr>
    </w:p>
    <w:p w14:paraId="40D9926F" w14:textId="7AC3AA70" w:rsidR="007D58FF" w:rsidRDefault="007D58FF" w:rsidP="007D58FF">
      <w:r>
        <w:tab/>
        <w:t xml:space="preserve">The </w:t>
      </w:r>
      <w:r w:rsidRPr="00B92BF4">
        <w:t>leakage rate estimate is calculated using a modified approach used by Lavrov and Torsaeter (201</w:t>
      </w:r>
      <w:r w:rsidR="00EF1323" w:rsidRPr="00B92BF4">
        <w:t>8</w:t>
      </w:r>
      <w:r w:rsidRPr="00B92BF4">
        <w:t xml:space="preserve">) which summates the leakage volume for a non-constant microannuli using the </w:t>
      </w:r>
      <w:r w:rsidR="0079044E" w:rsidRPr="00B92BF4">
        <w:t>annular</w:t>
      </w:r>
      <w:r w:rsidR="00090030" w:rsidRPr="00B92BF4">
        <w:t xml:space="preserve"> ideal gas (Equation 4.5</w:t>
      </w:r>
      <w:r w:rsidR="002375FE" w:rsidRPr="00B92BF4">
        <w:t>7</w:t>
      </w:r>
      <w:r w:rsidR="00837E17" w:rsidRPr="00B92BF4">
        <w:t xml:space="preserve">) and real gas (Equation </w:t>
      </w:r>
      <w:r w:rsidR="00090030" w:rsidRPr="00B92BF4">
        <w:t>4.</w:t>
      </w:r>
      <w:r w:rsidR="002375FE" w:rsidRPr="00B92BF4">
        <w:t>58</w:t>
      </w:r>
      <w:r w:rsidR="00837E17" w:rsidRPr="00B92BF4">
        <w:t>)</w:t>
      </w:r>
      <w:r w:rsidRPr="00B92BF4">
        <w:t xml:space="preserve"> flow equation</w:t>
      </w:r>
      <w:r w:rsidR="00837E17" w:rsidRPr="00B92BF4">
        <w:t>s</w:t>
      </w:r>
      <w:r w:rsidRPr="00B92BF4">
        <w:t>.</w:t>
      </w:r>
      <w:r w:rsidR="00090030" w:rsidRPr="00B92BF4">
        <w:t xml:space="preserve"> A description for performing a Riemann sum integral to determine the summation of the fracture volume </w:t>
      </w:r>
      <m:oMath>
        <m:d>
          <m:dPr>
            <m:ctrlPr>
              <w:rPr>
                <w:rFonts w:ascii="Cambria Math" w:eastAsiaTheme="minorEastAsia" w:hAnsi="Cambria Math"/>
                <w:i/>
              </w:rPr>
            </m:ctrlPr>
          </m:dPr>
          <m:e>
            <m:nary>
              <m:naryPr>
                <m:chr m:val="∑"/>
                <m:limLoc m:val="subSup"/>
                <m:supHide m:val="1"/>
                <m:ctrlPr>
                  <w:rPr>
                    <w:rFonts w:ascii="Cambria Math" w:hAnsi="Cambria Math"/>
                    <w:i/>
                  </w:rPr>
                </m:ctrlPr>
              </m:naryPr>
              <m:sub>
                <m:r>
                  <w:rPr>
                    <w:rFonts w:ascii="Cambria Math" w:hAnsi="Cambria Math"/>
                  </w:rPr>
                  <m:t>i</m:t>
                </m:r>
              </m:sub>
              <m:sup/>
              <m:e>
                <m:r>
                  <m:rPr>
                    <m:sty m:val="p"/>
                  </m:rPr>
                  <w:rPr>
                    <w:rFonts w:ascii="Cambria Math" w:hAnsi="Cambria Math"/>
                  </w:rPr>
                  <m:t>Δ</m:t>
                </m:r>
                <m:sSub>
                  <m:sSubPr>
                    <m:ctrlPr>
                      <w:rPr>
                        <w:rFonts w:ascii="Cambria Math" w:hAnsi="Cambria Math"/>
                        <w:i/>
                      </w:rPr>
                    </m:ctrlPr>
                  </m:sSubPr>
                  <m:e>
                    <m:r>
                      <w:rPr>
                        <w:rFonts w:ascii="Cambria Math" w:hAnsi="Cambria Math"/>
                      </w:rPr>
                      <m:t>L</m:t>
                    </m:r>
                  </m:e>
                  <m:sub>
                    <m:r>
                      <w:rPr>
                        <w:rFonts w:ascii="Cambria Math" w:hAnsi="Cambria Math"/>
                      </w:rPr>
                      <m:t>i</m:t>
                    </m:r>
                  </m:sub>
                </m:sSub>
                <m:sSubSup>
                  <m:sSubSupPr>
                    <m:ctrlPr>
                      <w:rPr>
                        <w:rFonts w:ascii="Cambria Math" w:hAnsi="Cambria Math"/>
                        <w:i/>
                      </w:rPr>
                    </m:ctrlPr>
                  </m:sSubSupPr>
                  <m:e>
                    <m:r>
                      <w:rPr>
                        <w:rFonts w:ascii="Cambria Math" w:hAnsi="Cambria Math"/>
                      </w:rPr>
                      <m:t>w</m:t>
                    </m:r>
                  </m:e>
                  <m:sub>
                    <m:r>
                      <w:rPr>
                        <w:rFonts w:ascii="Cambria Math" w:hAnsi="Cambria Math"/>
                      </w:rPr>
                      <m:t>i</m:t>
                    </m:r>
                  </m:sub>
                  <m:sup>
                    <m:r>
                      <w:rPr>
                        <w:rFonts w:ascii="Cambria Math" w:hAnsi="Cambria Math"/>
                      </w:rPr>
                      <m:t>-3</m:t>
                    </m:r>
                  </m:sup>
                </m:sSubSup>
              </m:e>
            </m:nary>
          </m:e>
        </m:d>
      </m:oMath>
      <w:r w:rsidR="00090030" w:rsidRPr="00B92BF4">
        <w:rPr>
          <w:rFonts w:eastAsiaTheme="minorEastAsia"/>
        </w:rPr>
        <w:t xml:space="preserve"> is discussed</w:t>
      </w:r>
      <w:r w:rsidR="001F05FC" w:rsidRPr="00B92BF4">
        <w:rPr>
          <w:rFonts w:eastAsiaTheme="minorEastAsia"/>
        </w:rPr>
        <w:t xml:space="preserve"> in greater detail</w:t>
      </w:r>
      <w:r w:rsidR="00090030" w:rsidRPr="00B92BF4">
        <w:rPr>
          <w:rFonts w:eastAsiaTheme="minorEastAsia"/>
        </w:rPr>
        <w:t xml:space="preserve"> and validated in Appendix G.</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7D58FF" w14:paraId="14901D69" w14:textId="77777777" w:rsidTr="00893161">
        <w:trPr>
          <w:trHeight w:val="576"/>
        </w:trPr>
        <w:tc>
          <w:tcPr>
            <w:tcW w:w="720" w:type="dxa"/>
            <w:vAlign w:val="center"/>
          </w:tcPr>
          <w:p w14:paraId="75D37587" w14:textId="0BA554E8" w:rsidR="007D58FF" w:rsidRDefault="007D58FF" w:rsidP="00893161">
            <w:pPr>
              <w:spacing w:line="240" w:lineRule="auto"/>
              <w:jc w:val="center"/>
            </w:pPr>
            <w:r>
              <w:t xml:space="preserve"> </w:t>
            </w:r>
          </w:p>
        </w:tc>
        <w:tc>
          <w:tcPr>
            <w:tcW w:w="7920" w:type="dxa"/>
            <w:vAlign w:val="center"/>
          </w:tcPr>
          <w:p w14:paraId="4C50A7A4" w14:textId="163FA8F3" w:rsidR="007D58FF" w:rsidRPr="00E27461" w:rsidRDefault="00077C0B" w:rsidP="00A36C35">
            <w:pPr>
              <w:spacing w:line="240" w:lineRule="auto"/>
              <w:jc w:val="center"/>
              <w:rPr>
                <w:i/>
              </w:rPr>
            </w:pPr>
            <m:oMathPara>
              <m:oMath>
                <m:sSub>
                  <m:sSubPr>
                    <m:ctrlPr>
                      <w:rPr>
                        <w:rFonts w:ascii="Cambria Math" w:hAnsi="Cambria Math"/>
                        <w:i/>
                      </w:rPr>
                    </m:ctrlPr>
                  </m:sSubPr>
                  <m:e>
                    <m:r>
                      <w:rPr>
                        <w:rFonts w:ascii="Cambria Math" w:hAnsi="Cambria Math"/>
                      </w:rPr>
                      <m:t>Q</m:t>
                    </m:r>
                  </m:e>
                  <m:sub>
                    <m:r>
                      <w:rPr>
                        <w:rFonts w:ascii="Cambria Math" w:hAnsi="Cambria Math"/>
                      </w:rPr>
                      <m:t>2</m:t>
                    </m:r>
                  </m:sub>
                </m:sSub>
                <m:r>
                  <w:rPr>
                    <w:rFonts w:ascii="Cambria Math" w:hAnsi="Cambria Math"/>
                  </w:rPr>
                  <m:t>=</m:t>
                </m:r>
                <m:f>
                  <m:fPr>
                    <m:ctrlPr>
                      <w:rPr>
                        <w:rFonts w:ascii="Cambria Math" w:hAnsi="Cambria Math"/>
                        <w:i/>
                      </w:rPr>
                    </m:ctrlPr>
                  </m:fPr>
                  <m:num>
                    <m:r>
                      <m:rPr>
                        <m:sty m:val="p"/>
                      </m:rPr>
                      <w:rPr>
                        <w:rFonts w:ascii="Cambria Math" w:hAnsi="Cambria Math"/>
                      </w:rPr>
                      <m:t>πDΔ</m:t>
                    </m:r>
                    <m:r>
                      <w:rPr>
                        <w:rFonts w:ascii="Cambria Math" w:hAnsi="Cambria Math"/>
                      </w:rPr>
                      <m:t>P</m:t>
                    </m:r>
                  </m:num>
                  <m:den>
                    <m:r>
                      <w:rPr>
                        <w:rFonts w:ascii="Cambria Math" w:hAnsi="Cambria Math"/>
                      </w:rPr>
                      <m:t>12μ</m:t>
                    </m:r>
                    <m:nary>
                      <m:naryPr>
                        <m:chr m:val="∑"/>
                        <m:limLoc m:val="subSup"/>
                        <m:supHide m:val="1"/>
                        <m:ctrlPr>
                          <w:rPr>
                            <w:rFonts w:ascii="Cambria Math" w:hAnsi="Cambria Math"/>
                            <w:i/>
                          </w:rPr>
                        </m:ctrlPr>
                      </m:naryPr>
                      <m:sub>
                        <m:r>
                          <w:rPr>
                            <w:rFonts w:ascii="Cambria Math" w:hAnsi="Cambria Math"/>
                          </w:rPr>
                          <m:t>i</m:t>
                        </m:r>
                      </m:sub>
                      <m:sup/>
                      <m:e>
                        <m:r>
                          <m:rPr>
                            <m:sty m:val="p"/>
                          </m:rPr>
                          <w:rPr>
                            <w:rFonts w:ascii="Cambria Math" w:hAnsi="Cambria Math"/>
                          </w:rPr>
                          <m:t>Δ</m:t>
                        </m:r>
                        <m:sSub>
                          <m:sSubPr>
                            <m:ctrlPr>
                              <w:rPr>
                                <w:rFonts w:ascii="Cambria Math" w:hAnsi="Cambria Math"/>
                                <w:i/>
                              </w:rPr>
                            </m:ctrlPr>
                          </m:sSubPr>
                          <m:e>
                            <m:r>
                              <w:rPr>
                                <w:rFonts w:ascii="Cambria Math" w:hAnsi="Cambria Math"/>
                              </w:rPr>
                              <m:t>L</m:t>
                            </m:r>
                          </m:e>
                          <m:sub>
                            <m:r>
                              <w:rPr>
                                <w:rFonts w:ascii="Cambria Math" w:hAnsi="Cambria Math"/>
                              </w:rPr>
                              <m:t>i</m:t>
                            </m:r>
                          </m:sub>
                        </m:sSub>
                        <m:sSubSup>
                          <m:sSubSupPr>
                            <m:ctrlPr>
                              <w:rPr>
                                <w:rFonts w:ascii="Cambria Math" w:hAnsi="Cambria Math"/>
                                <w:i/>
                              </w:rPr>
                            </m:ctrlPr>
                          </m:sSubSupPr>
                          <m:e>
                            <m:r>
                              <w:rPr>
                                <w:rFonts w:ascii="Cambria Math" w:hAnsi="Cambria Math"/>
                              </w:rPr>
                              <m:t>w</m:t>
                            </m:r>
                          </m:e>
                          <m:sub>
                            <m:r>
                              <w:rPr>
                                <w:rFonts w:ascii="Cambria Math" w:hAnsi="Cambria Math"/>
                              </w:rPr>
                              <m:t>i</m:t>
                            </m:r>
                          </m:sub>
                          <m:sup>
                            <m:r>
                              <w:rPr>
                                <w:rFonts w:ascii="Cambria Math" w:hAnsi="Cambria Math"/>
                              </w:rPr>
                              <m:t>-3</m:t>
                            </m:r>
                          </m:sup>
                        </m:sSubSup>
                      </m:e>
                    </m:nary>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2</m:t>
                        </m:r>
                      </m:sub>
                    </m:sSub>
                  </m:num>
                  <m:den>
                    <m:r>
                      <w:rPr>
                        <w:rFonts w:ascii="Cambria Math" w:hAnsi="Cambria Math"/>
                      </w:rPr>
                      <m:t>2</m:t>
                    </m:r>
                    <m:sSub>
                      <m:sSubPr>
                        <m:ctrlPr>
                          <w:rPr>
                            <w:rFonts w:ascii="Cambria Math" w:hAnsi="Cambria Math"/>
                            <w:i/>
                          </w:rPr>
                        </m:ctrlPr>
                      </m:sSubPr>
                      <m:e>
                        <m:r>
                          <w:rPr>
                            <w:rFonts w:ascii="Cambria Math" w:hAnsi="Cambria Math"/>
                          </w:rPr>
                          <m:t>P</m:t>
                        </m:r>
                      </m:e>
                      <m:sub>
                        <m:r>
                          <w:rPr>
                            <w:rFonts w:ascii="Cambria Math" w:hAnsi="Cambria Math"/>
                          </w:rPr>
                          <m:t>2</m:t>
                        </m:r>
                      </m:sub>
                    </m:sSub>
                  </m:den>
                </m:f>
              </m:oMath>
            </m:oMathPara>
          </w:p>
        </w:tc>
        <w:tc>
          <w:tcPr>
            <w:tcW w:w="720" w:type="dxa"/>
            <w:vAlign w:val="bottom"/>
          </w:tcPr>
          <w:p w14:paraId="4D3C121F" w14:textId="54CD0B56" w:rsidR="007D58FF" w:rsidRPr="00470CB5" w:rsidRDefault="00077C0B" w:rsidP="00BC23AD">
            <w:pPr>
              <w:pStyle w:val="Caption"/>
              <w:rPr>
                <w:i/>
              </w:rPr>
            </w:pPr>
            <w:r>
              <w:fldChar w:fldCharType="begin"/>
            </w:r>
            <w:r>
              <w:instrText xml:space="preserve"> STYLEREF 1 \s </w:instrText>
            </w:r>
            <w:r>
              <w:fldChar w:fldCharType="separate"/>
            </w:r>
            <w:r w:rsidR="0006023A">
              <w:rPr>
                <w:noProof/>
              </w:rPr>
              <w:t>4</w:t>
            </w:r>
            <w:r>
              <w:rPr>
                <w:noProof/>
              </w:rPr>
              <w:fldChar w:fldCharType="end"/>
            </w:r>
            <w:r w:rsidR="007D58FF">
              <w:t>.</w:t>
            </w:r>
            <w:r>
              <w:fldChar w:fldCharType="begin"/>
            </w:r>
            <w:r>
              <w:instrText xml:space="preserve"> SEQ Equation \* ARABIC \s 1 </w:instrText>
            </w:r>
            <w:r>
              <w:fldChar w:fldCharType="separate"/>
            </w:r>
            <w:r w:rsidR="0006023A">
              <w:rPr>
                <w:noProof/>
              </w:rPr>
              <w:t>57</w:t>
            </w:r>
            <w:r>
              <w:rPr>
                <w:noProof/>
              </w:rPr>
              <w:fldChar w:fldCharType="end"/>
            </w:r>
          </w:p>
        </w:tc>
      </w:tr>
    </w:tbl>
    <w:p w14:paraId="77C4F911" w14:textId="77777777" w:rsidR="007D58FF" w:rsidRDefault="007D58FF" w:rsidP="007D58FF">
      <w:pPr>
        <w:ind w:firstLine="720"/>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A36C35" w14:paraId="504578B3" w14:textId="77777777" w:rsidTr="00057EA5">
        <w:trPr>
          <w:trHeight w:val="576"/>
        </w:trPr>
        <w:tc>
          <w:tcPr>
            <w:tcW w:w="720" w:type="dxa"/>
            <w:vAlign w:val="center"/>
          </w:tcPr>
          <w:p w14:paraId="151CE262" w14:textId="556AC15B" w:rsidR="00A36C35" w:rsidRDefault="00A36C35" w:rsidP="00057EA5">
            <w:pPr>
              <w:spacing w:line="240" w:lineRule="auto"/>
              <w:jc w:val="center"/>
            </w:pPr>
          </w:p>
        </w:tc>
        <w:tc>
          <w:tcPr>
            <w:tcW w:w="7920" w:type="dxa"/>
            <w:vAlign w:val="center"/>
          </w:tcPr>
          <w:p w14:paraId="102594FC" w14:textId="75BD45F2" w:rsidR="00A36C35" w:rsidRPr="00E27461" w:rsidRDefault="00077C0B" w:rsidP="00A36C35">
            <w:pPr>
              <w:spacing w:line="240" w:lineRule="auto"/>
              <w:jc w:val="center"/>
              <w:rPr>
                <w:i/>
              </w:rPr>
            </w:pPr>
            <m:oMathPara>
              <m:oMath>
                <m:sSub>
                  <m:sSubPr>
                    <m:ctrlPr>
                      <w:rPr>
                        <w:rFonts w:ascii="Cambria Math" w:hAnsi="Cambria Math"/>
                        <w:i/>
                      </w:rPr>
                    </m:ctrlPr>
                  </m:sSubPr>
                  <m:e>
                    <m:r>
                      <w:rPr>
                        <w:rFonts w:ascii="Cambria Math" w:hAnsi="Cambria Math"/>
                      </w:rPr>
                      <m:t>Q</m:t>
                    </m:r>
                  </m:e>
                  <m:sub>
                    <m:r>
                      <w:rPr>
                        <w:rFonts w:ascii="Cambria Math" w:hAnsi="Cambria Math"/>
                      </w:rPr>
                      <m:t>2</m:t>
                    </m:r>
                  </m:sub>
                </m:sSub>
                <m:r>
                  <w:rPr>
                    <w:rFonts w:ascii="Cambria Math" w:hAnsi="Cambria Math"/>
                  </w:rPr>
                  <m:t>=</m:t>
                </m:r>
                <m:f>
                  <m:fPr>
                    <m:ctrlPr>
                      <w:rPr>
                        <w:rFonts w:ascii="Cambria Math" w:hAnsi="Cambria Math"/>
                        <w:i/>
                      </w:rPr>
                    </m:ctrlPr>
                  </m:fPr>
                  <m:num>
                    <m:r>
                      <m:rPr>
                        <m:sty m:val="p"/>
                      </m:rPr>
                      <w:rPr>
                        <w:rFonts w:ascii="Cambria Math" w:hAnsi="Cambria Math"/>
                      </w:rPr>
                      <m:t>π</m:t>
                    </m:r>
                    <m:sSub>
                      <m:sSubPr>
                        <m:ctrlPr>
                          <w:rPr>
                            <w:rFonts w:ascii="Cambria Math" w:hAnsi="Cambria Math"/>
                          </w:rPr>
                        </m:ctrlPr>
                      </m:sSubPr>
                      <m:e>
                        <m:r>
                          <m:rPr>
                            <m:sty m:val="p"/>
                          </m:rPr>
                          <w:rPr>
                            <w:rFonts w:ascii="Cambria Math" w:hAnsi="Cambria Math"/>
                          </w:rPr>
                          <m:t>Dz</m:t>
                        </m:r>
                      </m:e>
                      <m:sub>
                        <m:r>
                          <m:rPr>
                            <m:sty m:val="p"/>
                          </m:rPr>
                          <w:rPr>
                            <w:rFonts w:ascii="Cambria Math" w:hAnsi="Cambria Math"/>
                          </w:rPr>
                          <m:t>2</m:t>
                        </m:r>
                      </m:sub>
                    </m:sSub>
                  </m:num>
                  <m:den>
                    <m:r>
                      <w:rPr>
                        <w:rFonts w:ascii="Cambria Math" w:hAnsi="Cambria Math"/>
                      </w:rPr>
                      <m:t>12μ</m:t>
                    </m:r>
                    <m:sSub>
                      <m:sSubPr>
                        <m:ctrlPr>
                          <w:rPr>
                            <w:rFonts w:ascii="Cambria Math" w:hAnsi="Cambria Math"/>
                            <w:i/>
                          </w:rPr>
                        </m:ctrlPr>
                      </m:sSubPr>
                      <m:e>
                        <m:r>
                          <w:rPr>
                            <w:rFonts w:ascii="Cambria Math" w:hAnsi="Cambria Math"/>
                          </w:rPr>
                          <m:t>P</m:t>
                        </m:r>
                      </m:e>
                      <m:sub>
                        <m:r>
                          <w:rPr>
                            <w:rFonts w:ascii="Cambria Math" w:hAnsi="Cambria Math"/>
                          </w:rPr>
                          <m:t>2</m:t>
                        </m:r>
                      </m:sub>
                    </m:sSub>
                    <m:nary>
                      <m:naryPr>
                        <m:chr m:val="∑"/>
                        <m:limLoc m:val="subSup"/>
                        <m:supHide m:val="1"/>
                        <m:ctrlPr>
                          <w:rPr>
                            <w:rFonts w:ascii="Cambria Math" w:hAnsi="Cambria Math"/>
                            <w:i/>
                          </w:rPr>
                        </m:ctrlPr>
                      </m:naryPr>
                      <m:sub>
                        <m:r>
                          <w:rPr>
                            <w:rFonts w:ascii="Cambria Math" w:hAnsi="Cambria Math"/>
                          </w:rPr>
                          <m:t>i</m:t>
                        </m:r>
                      </m:sub>
                      <m:sup/>
                      <m:e>
                        <m:r>
                          <m:rPr>
                            <m:sty m:val="p"/>
                          </m:rPr>
                          <w:rPr>
                            <w:rFonts w:ascii="Cambria Math" w:hAnsi="Cambria Math"/>
                          </w:rPr>
                          <m:t>Δ</m:t>
                        </m:r>
                        <m:sSub>
                          <m:sSubPr>
                            <m:ctrlPr>
                              <w:rPr>
                                <w:rFonts w:ascii="Cambria Math" w:hAnsi="Cambria Math"/>
                                <w:i/>
                              </w:rPr>
                            </m:ctrlPr>
                          </m:sSubPr>
                          <m:e>
                            <m:r>
                              <w:rPr>
                                <w:rFonts w:ascii="Cambria Math" w:hAnsi="Cambria Math"/>
                              </w:rPr>
                              <m:t>L</m:t>
                            </m:r>
                          </m:e>
                          <m:sub>
                            <m:r>
                              <w:rPr>
                                <w:rFonts w:ascii="Cambria Math" w:hAnsi="Cambria Math"/>
                              </w:rPr>
                              <m:t>i</m:t>
                            </m:r>
                          </m:sub>
                        </m:sSub>
                        <m:sSubSup>
                          <m:sSubSupPr>
                            <m:ctrlPr>
                              <w:rPr>
                                <w:rFonts w:ascii="Cambria Math" w:hAnsi="Cambria Math"/>
                                <w:i/>
                              </w:rPr>
                            </m:ctrlPr>
                          </m:sSubSupPr>
                          <m:e>
                            <m:r>
                              <w:rPr>
                                <w:rFonts w:ascii="Cambria Math" w:hAnsi="Cambria Math"/>
                              </w:rPr>
                              <m:t>w</m:t>
                            </m:r>
                          </m:e>
                          <m:sub>
                            <m:r>
                              <w:rPr>
                                <w:rFonts w:ascii="Cambria Math" w:hAnsi="Cambria Math"/>
                              </w:rPr>
                              <m:t>i</m:t>
                            </m:r>
                          </m:sub>
                          <m:sup>
                            <m:r>
                              <w:rPr>
                                <w:rFonts w:ascii="Cambria Math" w:hAnsi="Cambria Math"/>
                              </w:rPr>
                              <m:t>-3</m:t>
                            </m:r>
                          </m:sup>
                        </m:sSubSup>
                      </m:e>
                    </m:nary>
                  </m:den>
                </m:f>
                <m:r>
                  <w:rPr>
                    <w:rFonts w:ascii="Cambria Math" w:hAnsi="Cambria Math"/>
                  </w:rPr>
                  <m:t>∙</m:t>
                </m:r>
                <m:d>
                  <m:dPr>
                    <m:ctrlPr>
                      <w:rPr>
                        <w:rFonts w:ascii="Cambria Math" w:hAnsi="Cambria Math"/>
                        <w:i/>
                      </w:rPr>
                    </m:ctrlPr>
                  </m:dPr>
                  <m:e>
                    <m:f>
                      <m:fPr>
                        <m:ctrlPr>
                          <w:rPr>
                            <w:rFonts w:ascii="Cambria Math" w:hAnsi="Cambria Math"/>
                            <w:i/>
                          </w:rPr>
                        </m:ctrlPr>
                      </m:fPr>
                      <m:num>
                        <m:sSubSup>
                          <m:sSubSupPr>
                            <m:ctrlPr>
                              <w:rPr>
                                <w:rFonts w:ascii="Cambria Math" w:hAnsi="Cambria Math"/>
                                <w:i/>
                              </w:rPr>
                            </m:ctrlPr>
                          </m:sSubSupPr>
                          <m:e>
                            <m:r>
                              <w:rPr>
                                <w:rFonts w:ascii="Cambria Math" w:hAnsi="Cambria Math"/>
                              </w:rPr>
                              <m:t>P</m:t>
                            </m:r>
                          </m:e>
                          <m:sub>
                            <m:r>
                              <w:rPr>
                                <w:rFonts w:ascii="Cambria Math" w:hAnsi="Cambria Math"/>
                              </w:rPr>
                              <m:t>1</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P</m:t>
                            </m:r>
                          </m:e>
                          <m:sub>
                            <m:r>
                              <w:rPr>
                                <w:rFonts w:ascii="Cambria Math" w:hAnsi="Cambria Math"/>
                              </w:rPr>
                              <m:t>2</m:t>
                            </m:r>
                          </m:sub>
                          <m:sup>
                            <m:r>
                              <w:rPr>
                                <w:rFonts w:ascii="Cambria Math" w:hAnsi="Cambria Math"/>
                              </w:rPr>
                              <m:t>2</m:t>
                            </m:r>
                          </m:sup>
                        </m:sSubSup>
                      </m:num>
                      <m:den>
                        <m:sSub>
                          <m:sSubPr>
                            <m:ctrlPr>
                              <w:rPr>
                                <w:rFonts w:ascii="Cambria Math" w:hAnsi="Cambria Math"/>
                                <w:i/>
                              </w:rPr>
                            </m:ctrlPr>
                          </m:sSubPr>
                          <m:e>
                            <m:r>
                              <w:rPr>
                                <w:rFonts w:ascii="Cambria Math" w:hAnsi="Cambria Math"/>
                              </w:rPr>
                              <m:t>z</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2</m:t>
                            </m:r>
                          </m:sub>
                        </m:sSub>
                      </m:den>
                    </m:f>
                  </m:e>
                </m:d>
              </m:oMath>
            </m:oMathPara>
          </w:p>
        </w:tc>
        <w:tc>
          <w:tcPr>
            <w:tcW w:w="720" w:type="dxa"/>
            <w:vAlign w:val="bottom"/>
          </w:tcPr>
          <w:p w14:paraId="0CD130B0" w14:textId="277AD350" w:rsidR="00A36C35" w:rsidRPr="00470CB5" w:rsidRDefault="00077C0B" w:rsidP="00BC23AD">
            <w:pPr>
              <w:pStyle w:val="Caption"/>
              <w:rPr>
                <w:i/>
              </w:rPr>
            </w:pPr>
            <w:r>
              <w:fldChar w:fldCharType="begin"/>
            </w:r>
            <w:r>
              <w:instrText xml:space="preserve"> STYLEREF 1 \s </w:instrText>
            </w:r>
            <w:r>
              <w:fldChar w:fldCharType="separate"/>
            </w:r>
            <w:r w:rsidR="0006023A">
              <w:rPr>
                <w:noProof/>
              </w:rPr>
              <w:t>4</w:t>
            </w:r>
            <w:r>
              <w:rPr>
                <w:noProof/>
              </w:rPr>
              <w:fldChar w:fldCharType="end"/>
            </w:r>
            <w:r w:rsidR="00A36C35">
              <w:t>.</w:t>
            </w:r>
            <w:r>
              <w:fldChar w:fldCharType="begin"/>
            </w:r>
            <w:r>
              <w:instrText xml:space="preserve"> SEQ Equation \* ARABIC \s 1 </w:instrText>
            </w:r>
            <w:r>
              <w:fldChar w:fldCharType="separate"/>
            </w:r>
            <w:r w:rsidR="0006023A">
              <w:rPr>
                <w:noProof/>
              </w:rPr>
              <w:t>58</w:t>
            </w:r>
            <w:r>
              <w:rPr>
                <w:noProof/>
              </w:rPr>
              <w:fldChar w:fldCharType="end"/>
            </w:r>
          </w:p>
        </w:tc>
      </w:tr>
    </w:tbl>
    <w:p w14:paraId="78B6A3DC" w14:textId="77777777" w:rsidR="00A36C35" w:rsidRDefault="00A36C35" w:rsidP="007D58FF">
      <w:pPr>
        <w:ind w:firstLine="720"/>
      </w:pPr>
    </w:p>
    <w:p w14:paraId="5412D072" w14:textId="56BDDF64" w:rsidR="007D58FF" w:rsidRDefault="007D58FF" w:rsidP="007D58FF">
      <w:pPr>
        <w:spacing w:after="160" w:line="259" w:lineRule="auto"/>
        <w:jc w:val="left"/>
      </w:pPr>
    </w:p>
    <w:p w14:paraId="01F65087" w14:textId="1EE0983B" w:rsidR="00C97F18" w:rsidRDefault="00C97F18" w:rsidP="00C97F18">
      <w:pPr>
        <w:pStyle w:val="Heading1"/>
      </w:pPr>
      <w:bookmarkStart w:id="114" w:name="_Toc67566055"/>
      <w:r>
        <w:lastRenderedPageBreak/>
        <w:t>Results</w:t>
      </w:r>
      <w:bookmarkEnd w:id="114"/>
    </w:p>
    <w:p w14:paraId="302E3E3B" w14:textId="27D92D7E" w:rsidR="007E7362" w:rsidRDefault="003A53FC" w:rsidP="003A53FC">
      <w:pPr>
        <w:ind w:firstLine="720"/>
      </w:pPr>
      <w:r>
        <w:t xml:space="preserve">The results for this project are presented in five sections. Section 5.1 compares the fluid flow models developed in Section 4.1 with the Hagen-Poiseulle flow equation. The verification of </w:t>
      </w:r>
      <w:r w:rsidR="00113D0D">
        <w:t xml:space="preserve">the ideal gas flow equation with experimental data, the verification of the </w:t>
      </w:r>
      <w:r w:rsidR="00B92BF4">
        <w:t xml:space="preserve">near wellbore stress distributions of the </w:t>
      </w:r>
      <w:r w:rsidR="00113D0D">
        <w:t>FEA model</w:t>
      </w:r>
      <w:r w:rsidR="00B92BF4">
        <w:t>s</w:t>
      </w:r>
      <w:r>
        <w:t xml:space="preserve"> with</w:t>
      </w:r>
      <w:r w:rsidR="00B92BF4">
        <w:t xml:space="preserve"> the</w:t>
      </w:r>
      <w:r>
        <w:t xml:space="preserve"> analytical</w:t>
      </w:r>
      <w:r w:rsidR="00113D0D">
        <w:t xml:space="preserve"> solution, and the verification of</w:t>
      </w:r>
      <w:r>
        <w:t xml:space="preserve"> </w:t>
      </w:r>
      <w:r w:rsidR="00113D0D">
        <w:t xml:space="preserve">an FEA fluid rheology model with experimental data </w:t>
      </w:r>
      <w:r>
        <w:t>are shown in Section 5.2. Section 5.3 presents the Gulf of Mexico (GoM) parametric study for the three well depths with both the stress continuum and fracture models. The continuous leakage pathway potential for the three GoM wel</w:t>
      </w:r>
      <w:r w:rsidR="00113D0D">
        <w:t>ls is discussed in Section 5.4 while S</w:t>
      </w:r>
      <w:r>
        <w:t>ection 5.5 investigates the leakage potential of a case study well in the High Island OPD in the GoM.</w:t>
      </w:r>
    </w:p>
    <w:p w14:paraId="0B9631C0" w14:textId="3E46761E" w:rsidR="00F04060" w:rsidRDefault="00F04060" w:rsidP="003E1B51">
      <w:pPr>
        <w:pStyle w:val="Heading3"/>
      </w:pPr>
      <w:bookmarkStart w:id="115" w:name="_Toc67566056"/>
      <w:r>
        <w:t>Fluid Flow Model Comparison</w:t>
      </w:r>
      <w:bookmarkEnd w:id="115"/>
    </w:p>
    <w:p w14:paraId="70DFB384" w14:textId="4947470A" w:rsidR="005024BB" w:rsidRDefault="00F203E0" w:rsidP="005024BB">
      <w:pPr>
        <w:ind w:firstLine="720"/>
      </w:pPr>
      <w:r>
        <w:t>A comparison of the developed gas flow equations</w:t>
      </w:r>
      <w:r w:rsidR="006F7F6C">
        <w:t xml:space="preserve"> </w:t>
      </w:r>
      <w:r>
        <w:t>with</w:t>
      </w:r>
      <w:r w:rsidR="006F7F6C">
        <w:t xml:space="preserve"> the Hagen-Poiseulle annular equation is performed in this section. The developed gas flow equations include the ideal gas </w:t>
      </w:r>
      <w:r w:rsidR="00DC72FC">
        <w:t xml:space="preserve">equation </w:t>
      </w:r>
      <w:r w:rsidR="00B92BF4">
        <w:t>(Equation 4.15</w:t>
      </w:r>
      <w:r w:rsidR="006F7F6C">
        <w:t>)</w:t>
      </w:r>
      <w:r w:rsidR="00DC72FC">
        <w:t>,</w:t>
      </w:r>
      <w:r w:rsidR="006F7F6C">
        <w:t xml:space="preserve"> ideal gas with gravity</w:t>
      </w:r>
      <w:r w:rsidR="00DC72FC">
        <w:t xml:space="preserve"> equation</w:t>
      </w:r>
      <w:r w:rsidR="00B92BF4">
        <w:t xml:space="preserve"> (Equation 4.36</w:t>
      </w:r>
      <w:r w:rsidR="006F7F6C">
        <w:t>),</w:t>
      </w:r>
      <w:r w:rsidR="00DC72FC">
        <w:t xml:space="preserve"> </w:t>
      </w:r>
      <w:r w:rsidR="00B92BF4">
        <w:t>real gas equation (Equation 4.31</w:t>
      </w:r>
      <w:r w:rsidR="00DC72FC">
        <w:t>), and real gas with</w:t>
      </w:r>
      <w:r w:rsidR="00B92BF4">
        <w:t xml:space="preserve"> gravity equation (Equation 4.37</w:t>
      </w:r>
      <w:r w:rsidR="00DC72FC">
        <w:t>).</w:t>
      </w:r>
      <w:r w:rsidR="006F7F6C">
        <w:t xml:space="preserve"> </w:t>
      </w:r>
      <w:r w:rsidR="00DC72FC">
        <w:t>T</w:t>
      </w:r>
      <w:r>
        <w:t>he Hagen-Poiseulle flow</w:t>
      </w:r>
      <w:r w:rsidR="00DC72FC">
        <w:t xml:space="preserve"> is analyzed with and </w:t>
      </w:r>
      <w:r w:rsidR="00DC72FC" w:rsidRPr="00B92BF4">
        <w:t>without the effect of gravity (Equation 2.41 and 4.36, respectively).</w:t>
      </w:r>
      <w:r w:rsidR="006F7F6C" w:rsidRPr="00B92BF4">
        <w:t xml:space="preserve"> The </w:t>
      </w:r>
      <w:r w:rsidR="00DC72FC" w:rsidRPr="00B92BF4">
        <w:t xml:space="preserve">comparison </w:t>
      </w:r>
      <w:r w:rsidR="006F7F6C" w:rsidRPr="00B92BF4">
        <w:t>for the six methods is</w:t>
      </w:r>
      <w:r w:rsidRPr="00B92BF4">
        <w:t xml:space="preserve"> shown in Table 5.1.</w:t>
      </w:r>
      <w:r>
        <w:t xml:space="preserve"> </w:t>
      </w:r>
    </w:p>
    <w:p w14:paraId="432012D9" w14:textId="77777777" w:rsidR="00F203E0" w:rsidRDefault="00F203E0" w:rsidP="00F203E0">
      <w:pPr>
        <w:ind w:firstLine="720"/>
      </w:pPr>
    </w:p>
    <w:p w14:paraId="50265D2B" w14:textId="77777777" w:rsidR="00872B64" w:rsidRDefault="00872B64">
      <w:pPr>
        <w:spacing w:after="160" w:line="259" w:lineRule="auto"/>
        <w:jc w:val="left"/>
        <w:rPr>
          <w:b/>
          <w:iCs/>
          <w:color w:val="000000" w:themeColor="text1"/>
          <w:sz w:val="20"/>
          <w:szCs w:val="18"/>
        </w:rPr>
      </w:pPr>
      <w:r>
        <w:br w:type="page"/>
      </w:r>
    </w:p>
    <w:p w14:paraId="50F6BE5F" w14:textId="1CE7A939" w:rsidR="005024BB" w:rsidRDefault="005024BB" w:rsidP="00BC23AD">
      <w:pPr>
        <w:pStyle w:val="Caption"/>
      </w:pPr>
      <w:bookmarkStart w:id="116" w:name="_Toc67566096"/>
      <w:r>
        <w:lastRenderedPageBreak/>
        <w:t xml:space="preserve">Table </w:t>
      </w:r>
      <w:r w:rsidR="00077C0B">
        <w:fldChar w:fldCharType="begin"/>
      </w:r>
      <w:r w:rsidR="00077C0B">
        <w:instrText xml:space="preserve"> STYLEREF 1 \s </w:instrText>
      </w:r>
      <w:r w:rsidR="00077C0B">
        <w:fldChar w:fldCharType="separate"/>
      </w:r>
      <w:r w:rsidR="0006023A">
        <w:rPr>
          <w:noProof/>
        </w:rPr>
        <w:t>5</w:t>
      </w:r>
      <w:r w:rsidR="00077C0B">
        <w:rPr>
          <w:noProof/>
        </w:rPr>
        <w:fldChar w:fldCharType="end"/>
      </w:r>
      <w:r w:rsidR="00DD1F74">
        <w:t>.</w:t>
      </w:r>
      <w:r w:rsidR="00077C0B">
        <w:fldChar w:fldCharType="begin"/>
      </w:r>
      <w:r w:rsidR="00077C0B">
        <w:instrText xml:space="preserve"> SEQ Table \* ARABIC </w:instrText>
      </w:r>
      <w:r w:rsidR="00077C0B">
        <w:instrText xml:space="preserve">\s 1 </w:instrText>
      </w:r>
      <w:r w:rsidR="00077C0B">
        <w:fldChar w:fldCharType="separate"/>
      </w:r>
      <w:r w:rsidR="0006023A">
        <w:rPr>
          <w:noProof/>
        </w:rPr>
        <w:t>1</w:t>
      </w:r>
      <w:r w:rsidR="00077C0B">
        <w:rPr>
          <w:noProof/>
        </w:rPr>
        <w:fldChar w:fldCharType="end"/>
      </w:r>
      <w:r>
        <w:t xml:space="preserve">: Comparison of the six analytical equations for the synthetic well. Note that Hagen-Poiseulle flow </w:t>
      </w:r>
      <w:r w:rsidR="00F203E0">
        <w:t>was</w:t>
      </w:r>
      <w:r>
        <w:t xml:space="preserve"> determined for both water and gas</w:t>
      </w:r>
      <w:r w:rsidR="00F203E0">
        <w:t>.</w:t>
      </w:r>
      <w:r w:rsidR="00E77ED4">
        <w:t xml:space="preserve"> Equation 4.15 resulted in the highest flow rate while Equation 4.34 did not have a flow rate.</w:t>
      </w:r>
      <w:bookmarkEnd w:id="116"/>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3"/>
        <w:gridCol w:w="3597"/>
        <w:gridCol w:w="1439"/>
        <w:gridCol w:w="1439"/>
        <w:gridCol w:w="1074"/>
        <w:gridCol w:w="1008"/>
      </w:tblGrid>
      <w:tr w:rsidR="0037598F" w:rsidRPr="00B1655D" w14:paraId="208A4D5A" w14:textId="77777777" w:rsidTr="00872B64">
        <w:trPr>
          <w:jc w:val="center"/>
        </w:trPr>
        <w:tc>
          <w:tcPr>
            <w:tcW w:w="803" w:type="dxa"/>
            <w:tcBorders>
              <w:bottom w:val="single" w:sz="4" w:space="0" w:color="auto"/>
            </w:tcBorders>
            <w:vAlign w:val="center"/>
          </w:tcPr>
          <w:p w14:paraId="24F22040" w14:textId="77777777" w:rsidR="0037598F" w:rsidRPr="00B1655D" w:rsidRDefault="0037598F" w:rsidP="003A4913">
            <w:pPr>
              <w:spacing w:line="240" w:lineRule="auto"/>
              <w:jc w:val="center"/>
              <w:rPr>
                <w:rFonts w:cs="Times New Roman"/>
                <w:szCs w:val="24"/>
              </w:rPr>
            </w:pPr>
            <w:r w:rsidRPr="00B1655D">
              <w:rPr>
                <w:rFonts w:cs="Times New Roman"/>
                <w:szCs w:val="24"/>
              </w:rPr>
              <w:t>Fluid</w:t>
            </w:r>
          </w:p>
        </w:tc>
        <w:tc>
          <w:tcPr>
            <w:tcW w:w="3597" w:type="dxa"/>
            <w:tcBorders>
              <w:bottom w:val="single" w:sz="4" w:space="0" w:color="auto"/>
            </w:tcBorders>
            <w:vAlign w:val="center"/>
          </w:tcPr>
          <w:p w14:paraId="77CBF3A4" w14:textId="016D57B3" w:rsidR="0037598F" w:rsidRPr="00B1655D" w:rsidRDefault="0037598F" w:rsidP="003A4913">
            <w:pPr>
              <w:spacing w:line="240" w:lineRule="auto"/>
              <w:jc w:val="center"/>
              <w:rPr>
                <w:rFonts w:cs="Times New Roman"/>
                <w:szCs w:val="24"/>
              </w:rPr>
            </w:pPr>
            <w:r w:rsidRPr="00B1655D">
              <w:rPr>
                <w:rFonts w:cs="Times New Roman"/>
                <w:szCs w:val="24"/>
              </w:rPr>
              <w:t xml:space="preserve"> Models </w:t>
            </w:r>
          </w:p>
        </w:tc>
        <w:tc>
          <w:tcPr>
            <w:tcW w:w="1439" w:type="dxa"/>
            <w:tcBorders>
              <w:bottom w:val="single" w:sz="4" w:space="0" w:color="auto"/>
            </w:tcBorders>
          </w:tcPr>
          <w:p w14:paraId="0D983586" w14:textId="09D7DE3B" w:rsidR="0037598F" w:rsidRPr="00B1655D" w:rsidRDefault="0037598F" w:rsidP="003A4913">
            <w:pPr>
              <w:spacing w:line="240" w:lineRule="auto"/>
              <w:jc w:val="center"/>
              <w:rPr>
                <w:rFonts w:eastAsia="Calibri" w:cs="Times New Roman"/>
                <w:szCs w:val="24"/>
              </w:rPr>
            </w:pPr>
            <w:r w:rsidRPr="00B1655D">
              <w:rPr>
                <w:rFonts w:eastAsia="Calibri" w:cs="Times New Roman"/>
                <w:szCs w:val="24"/>
              </w:rPr>
              <w:t>Eq.</w:t>
            </w:r>
          </w:p>
        </w:tc>
        <w:tc>
          <w:tcPr>
            <w:tcW w:w="1439" w:type="dxa"/>
            <w:tcBorders>
              <w:bottom w:val="single" w:sz="4" w:space="0" w:color="auto"/>
            </w:tcBorders>
            <w:vAlign w:val="center"/>
          </w:tcPr>
          <w:p w14:paraId="664EC3DA" w14:textId="29466B89" w:rsidR="0037598F" w:rsidRPr="00B1655D" w:rsidRDefault="00077C0B" w:rsidP="003A4913">
            <w:pPr>
              <w:spacing w:line="240" w:lineRule="auto"/>
              <w:jc w:val="center"/>
              <w:rPr>
                <w:rFonts w:cs="Times New Roman"/>
                <w:szCs w:val="24"/>
              </w:rPr>
            </w:pPr>
            <m:oMathPara>
              <m:oMath>
                <m:f>
                  <m:fPr>
                    <m:type m:val="lin"/>
                    <m:ctrlPr>
                      <w:rPr>
                        <w:rFonts w:ascii="Cambria Math" w:hAnsi="Cambria Math" w:cs="Times New Roman"/>
                        <w:i/>
                        <w:szCs w:val="24"/>
                      </w:rPr>
                    </m:ctrlPr>
                  </m:fPr>
                  <m:num>
                    <m:sSup>
                      <m:sSupPr>
                        <m:ctrlPr>
                          <w:rPr>
                            <w:rFonts w:ascii="Cambria Math" w:hAnsi="Cambria Math" w:cs="Times New Roman"/>
                            <w:i/>
                            <w:szCs w:val="24"/>
                          </w:rPr>
                        </m:ctrlPr>
                      </m:sSupPr>
                      <m:e>
                        <m:r>
                          <w:rPr>
                            <w:rFonts w:ascii="Cambria Math" w:hAnsi="Cambria Math" w:cs="Times New Roman"/>
                            <w:szCs w:val="24"/>
                          </w:rPr>
                          <m:t>m</m:t>
                        </m:r>
                      </m:e>
                      <m:sup>
                        <m:r>
                          <w:rPr>
                            <w:rFonts w:ascii="Cambria Math" w:hAnsi="Cambria Math" w:cs="Times New Roman"/>
                            <w:szCs w:val="24"/>
                          </w:rPr>
                          <m:t>3</m:t>
                        </m:r>
                      </m:sup>
                    </m:sSup>
                  </m:num>
                  <m:den>
                    <m:r>
                      <w:rPr>
                        <w:rFonts w:ascii="Cambria Math" w:hAnsi="Cambria Math" w:cs="Times New Roman"/>
                        <w:szCs w:val="24"/>
                      </w:rPr>
                      <m:t>s</m:t>
                    </m:r>
                  </m:den>
                </m:f>
              </m:oMath>
            </m:oMathPara>
          </w:p>
        </w:tc>
        <w:tc>
          <w:tcPr>
            <w:tcW w:w="1074" w:type="dxa"/>
            <w:tcBorders>
              <w:bottom w:val="single" w:sz="4" w:space="0" w:color="auto"/>
            </w:tcBorders>
            <w:vAlign w:val="center"/>
          </w:tcPr>
          <w:p w14:paraId="76BC63F9" w14:textId="77777777" w:rsidR="0037598F" w:rsidRPr="00B1655D" w:rsidRDefault="00077C0B" w:rsidP="003A4913">
            <w:pPr>
              <w:spacing w:line="240" w:lineRule="auto"/>
              <w:jc w:val="center"/>
              <w:rPr>
                <w:rFonts w:cs="Times New Roman"/>
                <w:szCs w:val="24"/>
              </w:rPr>
            </w:pPr>
            <m:oMathPara>
              <m:oMath>
                <m:f>
                  <m:fPr>
                    <m:type m:val="lin"/>
                    <m:ctrlPr>
                      <w:rPr>
                        <w:rFonts w:ascii="Cambria Math" w:hAnsi="Cambria Math" w:cs="Times New Roman"/>
                        <w:i/>
                        <w:szCs w:val="24"/>
                      </w:rPr>
                    </m:ctrlPr>
                  </m:fPr>
                  <m:num>
                    <m:sSup>
                      <m:sSupPr>
                        <m:ctrlPr>
                          <w:rPr>
                            <w:rFonts w:ascii="Cambria Math" w:hAnsi="Cambria Math" w:cs="Times New Roman"/>
                            <w:i/>
                            <w:szCs w:val="24"/>
                          </w:rPr>
                        </m:ctrlPr>
                      </m:sSupPr>
                      <m:e>
                        <m:r>
                          <w:rPr>
                            <w:rFonts w:ascii="Cambria Math" w:hAnsi="Cambria Math" w:cs="Times New Roman"/>
                            <w:szCs w:val="24"/>
                          </w:rPr>
                          <m:t>m</m:t>
                        </m:r>
                      </m:e>
                      <m:sup>
                        <m:r>
                          <w:rPr>
                            <w:rFonts w:ascii="Cambria Math" w:hAnsi="Cambria Math" w:cs="Times New Roman"/>
                            <w:szCs w:val="24"/>
                          </w:rPr>
                          <m:t>3</m:t>
                        </m:r>
                      </m:sup>
                    </m:sSup>
                  </m:num>
                  <m:den>
                    <m:r>
                      <w:rPr>
                        <w:rFonts w:ascii="Cambria Math" w:hAnsi="Cambria Math" w:cs="Times New Roman"/>
                        <w:szCs w:val="24"/>
                      </w:rPr>
                      <m:t>day</m:t>
                    </m:r>
                  </m:den>
                </m:f>
              </m:oMath>
            </m:oMathPara>
          </w:p>
        </w:tc>
        <w:tc>
          <w:tcPr>
            <w:tcW w:w="1008" w:type="dxa"/>
            <w:tcBorders>
              <w:bottom w:val="single" w:sz="4" w:space="0" w:color="auto"/>
            </w:tcBorders>
            <w:vAlign w:val="center"/>
          </w:tcPr>
          <w:p w14:paraId="3454493C" w14:textId="77777777" w:rsidR="0037598F" w:rsidRPr="00B1655D" w:rsidRDefault="00077C0B" w:rsidP="003A4913">
            <w:pPr>
              <w:spacing w:line="240" w:lineRule="auto"/>
              <w:jc w:val="center"/>
              <w:rPr>
                <w:rFonts w:cs="Times New Roman"/>
                <w:szCs w:val="24"/>
              </w:rPr>
            </w:pPr>
            <m:oMathPara>
              <m:oMath>
                <m:f>
                  <m:fPr>
                    <m:type m:val="lin"/>
                    <m:ctrlPr>
                      <w:rPr>
                        <w:rFonts w:ascii="Cambria Math" w:hAnsi="Cambria Math" w:cs="Times New Roman"/>
                        <w:i/>
                        <w:szCs w:val="24"/>
                      </w:rPr>
                    </m:ctrlPr>
                  </m:fPr>
                  <m:num>
                    <m:r>
                      <w:rPr>
                        <w:rFonts w:ascii="Cambria Math" w:hAnsi="Cambria Math" w:cs="Times New Roman"/>
                        <w:szCs w:val="24"/>
                      </w:rPr>
                      <m:t>L</m:t>
                    </m:r>
                  </m:num>
                  <m:den>
                    <m:r>
                      <w:rPr>
                        <w:rFonts w:ascii="Cambria Math" w:hAnsi="Cambria Math" w:cs="Times New Roman"/>
                        <w:szCs w:val="24"/>
                      </w:rPr>
                      <m:t>day</m:t>
                    </m:r>
                  </m:den>
                </m:f>
              </m:oMath>
            </m:oMathPara>
          </w:p>
        </w:tc>
      </w:tr>
      <w:tr w:rsidR="00B1655D" w:rsidRPr="00B1655D" w14:paraId="2655FE9F" w14:textId="77777777" w:rsidTr="00B1655D">
        <w:trPr>
          <w:jc w:val="center"/>
        </w:trPr>
        <w:tc>
          <w:tcPr>
            <w:tcW w:w="803" w:type="dxa"/>
            <w:vMerge w:val="restart"/>
            <w:tcBorders>
              <w:top w:val="single" w:sz="4" w:space="0" w:color="auto"/>
              <w:right w:val="single" w:sz="4" w:space="0" w:color="auto"/>
            </w:tcBorders>
            <w:vAlign w:val="center"/>
          </w:tcPr>
          <w:p w14:paraId="74C64544" w14:textId="77777777" w:rsidR="00B1655D" w:rsidRPr="00B1655D" w:rsidRDefault="00B1655D" w:rsidP="00B1655D">
            <w:pPr>
              <w:spacing w:line="240" w:lineRule="auto"/>
              <w:jc w:val="center"/>
              <w:rPr>
                <w:rFonts w:cs="Times New Roman"/>
                <w:szCs w:val="24"/>
              </w:rPr>
            </w:pPr>
            <w:r w:rsidRPr="00B1655D">
              <w:rPr>
                <w:rFonts w:cs="Times New Roman"/>
                <w:szCs w:val="24"/>
              </w:rPr>
              <w:t>Water</w:t>
            </w:r>
          </w:p>
        </w:tc>
        <w:tc>
          <w:tcPr>
            <w:tcW w:w="3597" w:type="dxa"/>
            <w:tcBorders>
              <w:top w:val="single" w:sz="4" w:space="0" w:color="auto"/>
              <w:left w:val="single" w:sz="4" w:space="0" w:color="auto"/>
            </w:tcBorders>
            <w:vAlign w:val="center"/>
          </w:tcPr>
          <w:p w14:paraId="755C3E28" w14:textId="32D4413B" w:rsidR="00B1655D" w:rsidRPr="00B1655D" w:rsidRDefault="00B1655D" w:rsidP="00B1655D">
            <w:pPr>
              <w:spacing w:line="240" w:lineRule="auto"/>
              <w:jc w:val="center"/>
              <w:rPr>
                <w:rFonts w:cs="Times New Roman"/>
                <w:szCs w:val="24"/>
              </w:rPr>
            </w:pPr>
            <w:r w:rsidRPr="00B1655D">
              <w:rPr>
                <w:rFonts w:cs="Times New Roman"/>
                <w:szCs w:val="24"/>
              </w:rPr>
              <w:t>Hagen-Poiseulle Flow</w:t>
            </w:r>
          </w:p>
        </w:tc>
        <w:tc>
          <w:tcPr>
            <w:tcW w:w="1439" w:type="dxa"/>
            <w:tcBorders>
              <w:top w:val="single" w:sz="4" w:space="0" w:color="auto"/>
            </w:tcBorders>
          </w:tcPr>
          <w:p w14:paraId="69C13B8A" w14:textId="1BB28F39" w:rsidR="00B1655D" w:rsidRPr="00B1655D" w:rsidRDefault="00B1655D" w:rsidP="00B1655D">
            <w:pPr>
              <w:spacing w:line="240" w:lineRule="auto"/>
              <w:jc w:val="center"/>
              <w:rPr>
                <w:rFonts w:cs="Times New Roman"/>
                <w:szCs w:val="24"/>
              </w:rPr>
            </w:pPr>
            <w:r w:rsidRPr="00B1655D">
              <w:rPr>
                <w:rFonts w:cs="Times New Roman"/>
                <w:szCs w:val="24"/>
              </w:rPr>
              <w:t>2.41</w:t>
            </w:r>
          </w:p>
        </w:tc>
        <w:tc>
          <w:tcPr>
            <w:tcW w:w="1439" w:type="dxa"/>
            <w:tcBorders>
              <w:top w:val="single" w:sz="4" w:space="0" w:color="auto"/>
            </w:tcBorders>
            <w:vAlign w:val="bottom"/>
          </w:tcPr>
          <w:p w14:paraId="6EC9797E" w14:textId="0B464F83" w:rsidR="00B1655D" w:rsidRPr="00B1655D" w:rsidRDefault="00E77ED4" w:rsidP="00B1655D">
            <w:pPr>
              <w:spacing w:line="240" w:lineRule="auto"/>
              <w:jc w:val="center"/>
              <w:rPr>
                <w:rFonts w:cs="Times New Roman"/>
                <w:szCs w:val="24"/>
              </w:rPr>
            </w:pPr>
            <w:r>
              <w:rPr>
                <w:rFonts w:cs="Times New Roman"/>
                <w:szCs w:val="24"/>
              </w:rPr>
              <w:t>1.30E-06</w:t>
            </w:r>
          </w:p>
        </w:tc>
        <w:tc>
          <w:tcPr>
            <w:tcW w:w="1074" w:type="dxa"/>
            <w:tcBorders>
              <w:top w:val="single" w:sz="4" w:space="0" w:color="auto"/>
            </w:tcBorders>
            <w:vAlign w:val="center"/>
          </w:tcPr>
          <w:p w14:paraId="4246C571" w14:textId="0A24FB95" w:rsidR="00B1655D" w:rsidRPr="00B1655D" w:rsidRDefault="00E77ED4" w:rsidP="00B1655D">
            <w:pPr>
              <w:spacing w:line="240" w:lineRule="auto"/>
              <w:jc w:val="center"/>
              <w:rPr>
                <w:rFonts w:cs="Times New Roman"/>
                <w:szCs w:val="24"/>
              </w:rPr>
            </w:pPr>
            <w:r>
              <w:rPr>
                <w:rFonts w:cs="Times New Roman"/>
                <w:szCs w:val="24"/>
              </w:rPr>
              <w:t>0.11</w:t>
            </w:r>
          </w:p>
        </w:tc>
        <w:tc>
          <w:tcPr>
            <w:tcW w:w="1008" w:type="dxa"/>
            <w:tcBorders>
              <w:top w:val="single" w:sz="4" w:space="0" w:color="auto"/>
            </w:tcBorders>
            <w:vAlign w:val="center"/>
          </w:tcPr>
          <w:p w14:paraId="301164D5" w14:textId="56EBE763" w:rsidR="00B1655D" w:rsidRPr="00B1655D" w:rsidRDefault="00E77ED4" w:rsidP="00B1655D">
            <w:pPr>
              <w:spacing w:line="240" w:lineRule="auto"/>
              <w:jc w:val="center"/>
              <w:rPr>
                <w:rFonts w:cs="Times New Roman"/>
                <w:szCs w:val="24"/>
              </w:rPr>
            </w:pPr>
            <w:r>
              <w:rPr>
                <w:rFonts w:cs="Times New Roman"/>
                <w:szCs w:val="24"/>
              </w:rPr>
              <w:t>112</w:t>
            </w:r>
          </w:p>
        </w:tc>
      </w:tr>
      <w:tr w:rsidR="00B1655D" w:rsidRPr="00B1655D" w14:paraId="5950F1C6" w14:textId="77777777" w:rsidTr="00B1655D">
        <w:trPr>
          <w:jc w:val="center"/>
        </w:trPr>
        <w:tc>
          <w:tcPr>
            <w:tcW w:w="803" w:type="dxa"/>
            <w:vMerge/>
            <w:tcBorders>
              <w:right w:val="single" w:sz="4" w:space="0" w:color="auto"/>
            </w:tcBorders>
            <w:vAlign w:val="center"/>
          </w:tcPr>
          <w:p w14:paraId="4C15D8ED" w14:textId="77777777" w:rsidR="00B1655D" w:rsidRPr="00B1655D" w:rsidRDefault="00B1655D" w:rsidP="00B1655D">
            <w:pPr>
              <w:spacing w:line="240" w:lineRule="auto"/>
              <w:jc w:val="center"/>
              <w:rPr>
                <w:rFonts w:cs="Times New Roman"/>
                <w:szCs w:val="24"/>
              </w:rPr>
            </w:pPr>
          </w:p>
        </w:tc>
        <w:tc>
          <w:tcPr>
            <w:tcW w:w="3597" w:type="dxa"/>
            <w:tcBorders>
              <w:left w:val="single" w:sz="4" w:space="0" w:color="auto"/>
              <w:bottom w:val="single" w:sz="4" w:space="0" w:color="auto"/>
            </w:tcBorders>
            <w:vAlign w:val="center"/>
          </w:tcPr>
          <w:p w14:paraId="7D2FDAA7" w14:textId="11AE7372" w:rsidR="00B1655D" w:rsidRPr="00B1655D" w:rsidRDefault="00B1655D" w:rsidP="00B1655D">
            <w:pPr>
              <w:spacing w:line="240" w:lineRule="auto"/>
              <w:jc w:val="center"/>
              <w:rPr>
                <w:rFonts w:cs="Times New Roman"/>
                <w:szCs w:val="24"/>
              </w:rPr>
            </w:pPr>
            <w:r w:rsidRPr="00B1655D">
              <w:rPr>
                <w:rFonts w:cs="Times New Roman"/>
                <w:szCs w:val="24"/>
              </w:rPr>
              <w:t>Hagen-Poiseulle Flow + Gravity</w:t>
            </w:r>
          </w:p>
        </w:tc>
        <w:tc>
          <w:tcPr>
            <w:tcW w:w="1439" w:type="dxa"/>
            <w:tcBorders>
              <w:bottom w:val="single" w:sz="4" w:space="0" w:color="auto"/>
            </w:tcBorders>
          </w:tcPr>
          <w:p w14:paraId="28234F73" w14:textId="20F8739A" w:rsidR="00B1655D" w:rsidRPr="00B1655D" w:rsidRDefault="00B1655D" w:rsidP="00B1655D">
            <w:pPr>
              <w:spacing w:line="240" w:lineRule="auto"/>
              <w:jc w:val="center"/>
              <w:rPr>
                <w:rFonts w:cs="Times New Roman"/>
                <w:szCs w:val="24"/>
              </w:rPr>
            </w:pPr>
            <w:r w:rsidRPr="00B1655D">
              <w:rPr>
                <w:rFonts w:cs="Times New Roman"/>
                <w:szCs w:val="24"/>
              </w:rPr>
              <w:t>4.34</w:t>
            </w:r>
          </w:p>
        </w:tc>
        <w:tc>
          <w:tcPr>
            <w:tcW w:w="1439" w:type="dxa"/>
            <w:tcBorders>
              <w:bottom w:val="single" w:sz="4" w:space="0" w:color="auto"/>
            </w:tcBorders>
            <w:vAlign w:val="bottom"/>
          </w:tcPr>
          <w:p w14:paraId="2FE441B7" w14:textId="7BE3741F" w:rsidR="00B1655D" w:rsidRPr="00B1655D" w:rsidRDefault="00E77ED4" w:rsidP="00B1655D">
            <w:pPr>
              <w:spacing w:line="240" w:lineRule="auto"/>
              <w:jc w:val="center"/>
              <w:rPr>
                <w:rFonts w:cs="Times New Roman"/>
                <w:szCs w:val="24"/>
              </w:rPr>
            </w:pPr>
            <w:r>
              <w:rPr>
                <w:rFonts w:cs="Times New Roman"/>
                <w:szCs w:val="24"/>
              </w:rPr>
              <w:t>0.0</w:t>
            </w:r>
          </w:p>
        </w:tc>
        <w:tc>
          <w:tcPr>
            <w:tcW w:w="1074" w:type="dxa"/>
            <w:tcBorders>
              <w:bottom w:val="single" w:sz="4" w:space="0" w:color="auto"/>
            </w:tcBorders>
            <w:vAlign w:val="center"/>
          </w:tcPr>
          <w:p w14:paraId="62B9C57F" w14:textId="4B890465" w:rsidR="00B1655D" w:rsidRPr="00B1655D" w:rsidRDefault="00E77ED4" w:rsidP="00B1655D">
            <w:pPr>
              <w:spacing w:line="240" w:lineRule="auto"/>
              <w:jc w:val="center"/>
              <w:rPr>
                <w:rFonts w:cs="Times New Roman"/>
                <w:szCs w:val="24"/>
              </w:rPr>
            </w:pPr>
            <w:r>
              <w:rPr>
                <w:rFonts w:cs="Times New Roman"/>
                <w:szCs w:val="24"/>
              </w:rPr>
              <w:t>0.0</w:t>
            </w:r>
          </w:p>
        </w:tc>
        <w:tc>
          <w:tcPr>
            <w:tcW w:w="1008" w:type="dxa"/>
            <w:tcBorders>
              <w:bottom w:val="single" w:sz="4" w:space="0" w:color="auto"/>
            </w:tcBorders>
            <w:vAlign w:val="center"/>
          </w:tcPr>
          <w:p w14:paraId="0BDA85F0" w14:textId="7F374AC5" w:rsidR="00B1655D" w:rsidRPr="00B1655D" w:rsidRDefault="00E77ED4" w:rsidP="00B1655D">
            <w:pPr>
              <w:spacing w:line="240" w:lineRule="auto"/>
              <w:jc w:val="center"/>
              <w:rPr>
                <w:rFonts w:cs="Times New Roman"/>
                <w:szCs w:val="24"/>
              </w:rPr>
            </w:pPr>
            <w:r>
              <w:rPr>
                <w:rFonts w:cs="Times New Roman"/>
                <w:szCs w:val="24"/>
              </w:rPr>
              <w:t>0.0</w:t>
            </w:r>
          </w:p>
        </w:tc>
      </w:tr>
      <w:tr w:rsidR="00E77ED4" w:rsidRPr="00B1655D" w14:paraId="71D4A79B" w14:textId="77777777" w:rsidTr="00B1655D">
        <w:trPr>
          <w:jc w:val="center"/>
        </w:trPr>
        <w:tc>
          <w:tcPr>
            <w:tcW w:w="803" w:type="dxa"/>
            <w:vMerge w:val="restart"/>
            <w:tcBorders>
              <w:top w:val="single" w:sz="4" w:space="0" w:color="auto"/>
              <w:right w:val="single" w:sz="4" w:space="0" w:color="auto"/>
            </w:tcBorders>
            <w:vAlign w:val="center"/>
          </w:tcPr>
          <w:p w14:paraId="11580B81" w14:textId="77777777" w:rsidR="00E77ED4" w:rsidRPr="00B1655D" w:rsidRDefault="00E77ED4" w:rsidP="00E77ED4">
            <w:pPr>
              <w:spacing w:line="240" w:lineRule="auto"/>
              <w:jc w:val="center"/>
              <w:rPr>
                <w:rFonts w:cs="Times New Roman"/>
                <w:szCs w:val="24"/>
              </w:rPr>
            </w:pPr>
            <w:r w:rsidRPr="00B1655D">
              <w:rPr>
                <w:rFonts w:cs="Times New Roman"/>
                <w:szCs w:val="24"/>
              </w:rPr>
              <w:t>Gas</w:t>
            </w:r>
          </w:p>
        </w:tc>
        <w:tc>
          <w:tcPr>
            <w:tcW w:w="3597" w:type="dxa"/>
            <w:tcBorders>
              <w:top w:val="single" w:sz="4" w:space="0" w:color="auto"/>
              <w:left w:val="single" w:sz="4" w:space="0" w:color="auto"/>
            </w:tcBorders>
            <w:vAlign w:val="center"/>
          </w:tcPr>
          <w:p w14:paraId="79BE0DC8" w14:textId="1FB564EC" w:rsidR="00E77ED4" w:rsidRPr="00B1655D" w:rsidRDefault="00E77ED4" w:rsidP="00E77ED4">
            <w:pPr>
              <w:spacing w:line="240" w:lineRule="auto"/>
              <w:jc w:val="center"/>
              <w:rPr>
                <w:rFonts w:cs="Times New Roman"/>
                <w:szCs w:val="24"/>
              </w:rPr>
            </w:pPr>
            <w:r w:rsidRPr="00B1655D">
              <w:rPr>
                <w:rFonts w:cs="Times New Roman"/>
                <w:szCs w:val="24"/>
              </w:rPr>
              <w:t>Hagen-Poiseulle Flow</w:t>
            </w:r>
          </w:p>
        </w:tc>
        <w:tc>
          <w:tcPr>
            <w:tcW w:w="1439" w:type="dxa"/>
            <w:tcBorders>
              <w:top w:val="single" w:sz="4" w:space="0" w:color="auto"/>
            </w:tcBorders>
          </w:tcPr>
          <w:p w14:paraId="6D3D009E" w14:textId="070B6251" w:rsidR="00E77ED4" w:rsidRPr="00B1655D" w:rsidRDefault="00E77ED4" w:rsidP="00E77ED4">
            <w:pPr>
              <w:spacing w:line="240" w:lineRule="auto"/>
              <w:jc w:val="center"/>
              <w:rPr>
                <w:rFonts w:cs="Times New Roman"/>
                <w:szCs w:val="24"/>
              </w:rPr>
            </w:pPr>
            <w:r w:rsidRPr="00B1655D">
              <w:rPr>
                <w:rFonts w:cs="Times New Roman"/>
                <w:szCs w:val="24"/>
              </w:rPr>
              <w:t>2.41</w:t>
            </w:r>
          </w:p>
        </w:tc>
        <w:tc>
          <w:tcPr>
            <w:tcW w:w="1439" w:type="dxa"/>
            <w:tcBorders>
              <w:top w:val="single" w:sz="4" w:space="0" w:color="auto"/>
            </w:tcBorders>
            <w:vAlign w:val="bottom"/>
          </w:tcPr>
          <w:p w14:paraId="0B239B29" w14:textId="3F39980E" w:rsidR="00E77ED4" w:rsidRPr="00B1655D" w:rsidRDefault="00E77ED4" w:rsidP="00E77ED4">
            <w:pPr>
              <w:spacing w:line="240" w:lineRule="auto"/>
              <w:jc w:val="center"/>
              <w:rPr>
                <w:rFonts w:cs="Times New Roman"/>
                <w:szCs w:val="24"/>
              </w:rPr>
            </w:pPr>
            <w:r w:rsidRPr="00B1655D">
              <w:rPr>
                <w:rFonts w:cs="Times New Roman"/>
                <w:color w:val="000000"/>
                <w:szCs w:val="24"/>
              </w:rPr>
              <w:t>2.84E-05</w:t>
            </w:r>
          </w:p>
        </w:tc>
        <w:tc>
          <w:tcPr>
            <w:tcW w:w="1074" w:type="dxa"/>
            <w:tcBorders>
              <w:top w:val="single" w:sz="4" w:space="0" w:color="auto"/>
            </w:tcBorders>
            <w:vAlign w:val="center"/>
          </w:tcPr>
          <w:p w14:paraId="70041DC7" w14:textId="370F0DE3" w:rsidR="00E77ED4" w:rsidRPr="00B1655D" w:rsidRDefault="00E77ED4" w:rsidP="00E77ED4">
            <w:pPr>
              <w:spacing w:line="240" w:lineRule="auto"/>
              <w:jc w:val="center"/>
              <w:rPr>
                <w:rFonts w:cs="Times New Roman"/>
                <w:szCs w:val="24"/>
              </w:rPr>
            </w:pPr>
            <w:r>
              <w:rPr>
                <w:rFonts w:cs="Times New Roman"/>
                <w:szCs w:val="24"/>
              </w:rPr>
              <w:t>2.46</w:t>
            </w:r>
          </w:p>
        </w:tc>
        <w:tc>
          <w:tcPr>
            <w:tcW w:w="1008" w:type="dxa"/>
            <w:tcBorders>
              <w:top w:val="single" w:sz="4" w:space="0" w:color="auto"/>
            </w:tcBorders>
            <w:vAlign w:val="center"/>
          </w:tcPr>
          <w:p w14:paraId="68F749BC" w14:textId="76CBA78E" w:rsidR="00E77ED4" w:rsidRPr="00B1655D" w:rsidRDefault="00E77ED4" w:rsidP="00E77ED4">
            <w:pPr>
              <w:spacing w:line="240" w:lineRule="auto"/>
              <w:jc w:val="center"/>
              <w:rPr>
                <w:rFonts w:cs="Times New Roman"/>
                <w:szCs w:val="24"/>
              </w:rPr>
            </w:pPr>
            <w:r>
              <w:rPr>
                <w:rFonts w:cs="Times New Roman"/>
                <w:szCs w:val="24"/>
              </w:rPr>
              <w:t>2,458</w:t>
            </w:r>
          </w:p>
        </w:tc>
      </w:tr>
      <w:tr w:rsidR="00E77ED4" w:rsidRPr="00B1655D" w14:paraId="67DEF818" w14:textId="77777777" w:rsidTr="00B1655D">
        <w:trPr>
          <w:jc w:val="center"/>
        </w:trPr>
        <w:tc>
          <w:tcPr>
            <w:tcW w:w="803" w:type="dxa"/>
            <w:vMerge/>
            <w:tcBorders>
              <w:right w:val="single" w:sz="4" w:space="0" w:color="auto"/>
            </w:tcBorders>
            <w:vAlign w:val="center"/>
          </w:tcPr>
          <w:p w14:paraId="062EDE3F" w14:textId="77777777" w:rsidR="00E77ED4" w:rsidRPr="00B1655D" w:rsidRDefault="00E77ED4" w:rsidP="00E77ED4">
            <w:pPr>
              <w:spacing w:line="240" w:lineRule="auto"/>
              <w:jc w:val="center"/>
              <w:rPr>
                <w:rFonts w:cs="Times New Roman"/>
                <w:szCs w:val="24"/>
              </w:rPr>
            </w:pPr>
          </w:p>
        </w:tc>
        <w:tc>
          <w:tcPr>
            <w:tcW w:w="3597" w:type="dxa"/>
            <w:tcBorders>
              <w:left w:val="single" w:sz="4" w:space="0" w:color="auto"/>
            </w:tcBorders>
            <w:vAlign w:val="center"/>
          </w:tcPr>
          <w:p w14:paraId="4F10D0F5" w14:textId="21985683" w:rsidR="00E77ED4" w:rsidRPr="00B1655D" w:rsidRDefault="00E77ED4" w:rsidP="00E77ED4">
            <w:pPr>
              <w:spacing w:line="240" w:lineRule="auto"/>
              <w:jc w:val="center"/>
              <w:rPr>
                <w:rFonts w:cs="Times New Roman"/>
                <w:szCs w:val="24"/>
              </w:rPr>
            </w:pPr>
            <w:r w:rsidRPr="00B1655D">
              <w:rPr>
                <w:rFonts w:cs="Times New Roman"/>
                <w:szCs w:val="24"/>
              </w:rPr>
              <w:t>Hagen-Poiseulle Flow + Gravity</w:t>
            </w:r>
          </w:p>
        </w:tc>
        <w:tc>
          <w:tcPr>
            <w:tcW w:w="1439" w:type="dxa"/>
          </w:tcPr>
          <w:p w14:paraId="35D90C67" w14:textId="5AC7630A" w:rsidR="00E77ED4" w:rsidRPr="00B1655D" w:rsidRDefault="00E77ED4" w:rsidP="00E77ED4">
            <w:pPr>
              <w:spacing w:line="240" w:lineRule="auto"/>
              <w:jc w:val="center"/>
              <w:rPr>
                <w:rFonts w:cs="Times New Roman"/>
                <w:szCs w:val="24"/>
              </w:rPr>
            </w:pPr>
            <w:r w:rsidRPr="00B1655D">
              <w:rPr>
                <w:rFonts w:cs="Times New Roman"/>
                <w:szCs w:val="24"/>
              </w:rPr>
              <w:t>4.34</w:t>
            </w:r>
          </w:p>
        </w:tc>
        <w:tc>
          <w:tcPr>
            <w:tcW w:w="1439" w:type="dxa"/>
            <w:vAlign w:val="bottom"/>
          </w:tcPr>
          <w:p w14:paraId="532D1813" w14:textId="42800D6A" w:rsidR="00E77ED4" w:rsidRPr="00B1655D" w:rsidRDefault="00E77ED4" w:rsidP="00E77ED4">
            <w:pPr>
              <w:spacing w:line="240" w:lineRule="auto"/>
              <w:jc w:val="center"/>
              <w:rPr>
                <w:rFonts w:cs="Times New Roman"/>
                <w:szCs w:val="24"/>
              </w:rPr>
            </w:pPr>
            <w:r w:rsidRPr="00B1655D">
              <w:rPr>
                <w:rFonts w:cs="Times New Roman"/>
                <w:color w:val="000000"/>
                <w:szCs w:val="24"/>
              </w:rPr>
              <w:t>2.35E-05</w:t>
            </w:r>
          </w:p>
        </w:tc>
        <w:tc>
          <w:tcPr>
            <w:tcW w:w="1074" w:type="dxa"/>
            <w:vAlign w:val="center"/>
          </w:tcPr>
          <w:p w14:paraId="04017F47" w14:textId="2AA433DE" w:rsidR="00E77ED4" w:rsidRPr="00B1655D" w:rsidRDefault="00E77ED4" w:rsidP="00E77ED4">
            <w:pPr>
              <w:spacing w:line="240" w:lineRule="auto"/>
              <w:jc w:val="center"/>
              <w:rPr>
                <w:rFonts w:cs="Times New Roman"/>
                <w:szCs w:val="24"/>
              </w:rPr>
            </w:pPr>
            <w:r>
              <w:rPr>
                <w:rFonts w:cs="Times New Roman"/>
                <w:szCs w:val="24"/>
              </w:rPr>
              <w:t>2.03</w:t>
            </w:r>
          </w:p>
        </w:tc>
        <w:tc>
          <w:tcPr>
            <w:tcW w:w="1008" w:type="dxa"/>
            <w:vAlign w:val="center"/>
          </w:tcPr>
          <w:p w14:paraId="487C6943" w14:textId="14F8BD4F" w:rsidR="00E77ED4" w:rsidRPr="00B1655D" w:rsidRDefault="00E77ED4" w:rsidP="00E77ED4">
            <w:pPr>
              <w:spacing w:line="240" w:lineRule="auto"/>
              <w:jc w:val="center"/>
              <w:rPr>
                <w:rFonts w:cs="Times New Roman"/>
                <w:szCs w:val="24"/>
              </w:rPr>
            </w:pPr>
            <w:r>
              <w:rPr>
                <w:rFonts w:cs="Times New Roman"/>
                <w:szCs w:val="24"/>
              </w:rPr>
              <w:t>2,028</w:t>
            </w:r>
          </w:p>
        </w:tc>
      </w:tr>
      <w:tr w:rsidR="00B1655D" w:rsidRPr="00B1655D" w14:paraId="59C77AB9" w14:textId="77777777" w:rsidTr="00B1655D">
        <w:trPr>
          <w:jc w:val="center"/>
        </w:trPr>
        <w:tc>
          <w:tcPr>
            <w:tcW w:w="803" w:type="dxa"/>
            <w:vMerge/>
            <w:tcBorders>
              <w:right w:val="single" w:sz="4" w:space="0" w:color="auto"/>
            </w:tcBorders>
            <w:vAlign w:val="center"/>
          </w:tcPr>
          <w:p w14:paraId="6FE098DE" w14:textId="77777777" w:rsidR="00B1655D" w:rsidRPr="00B1655D" w:rsidRDefault="00B1655D" w:rsidP="00B1655D">
            <w:pPr>
              <w:spacing w:line="240" w:lineRule="auto"/>
              <w:jc w:val="center"/>
              <w:rPr>
                <w:rFonts w:cs="Times New Roman"/>
                <w:szCs w:val="24"/>
              </w:rPr>
            </w:pPr>
          </w:p>
        </w:tc>
        <w:tc>
          <w:tcPr>
            <w:tcW w:w="3597" w:type="dxa"/>
            <w:tcBorders>
              <w:left w:val="single" w:sz="4" w:space="0" w:color="auto"/>
            </w:tcBorders>
            <w:vAlign w:val="center"/>
          </w:tcPr>
          <w:p w14:paraId="165568EC" w14:textId="77777777" w:rsidR="00B1655D" w:rsidRPr="00B1655D" w:rsidRDefault="00B1655D" w:rsidP="00B1655D">
            <w:pPr>
              <w:spacing w:line="240" w:lineRule="auto"/>
              <w:jc w:val="center"/>
              <w:rPr>
                <w:rFonts w:cs="Times New Roman"/>
                <w:szCs w:val="24"/>
              </w:rPr>
            </w:pPr>
            <w:r w:rsidRPr="00B1655D">
              <w:rPr>
                <w:rFonts w:cs="Times New Roman"/>
                <w:szCs w:val="24"/>
              </w:rPr>
              <w:t>Ideal Gas</w:t>
            </w:r>
          </w:p>
        </w:tc>
        <w:tc>
          <w:tcPr>
            <w:tcW w:w="1439" w:type="dxa"/>
          </w:tcPr>
          <w:p w14:paraId="1DED2402" w14:textId="2E2F5784" w:rsidR="00B1655D" w:rsidRPr="00B1655D" w:rsidRDefault="00B1655D" w:rsidP="00B1655D">
            <w:pPr>
              <w:spacing w:line="240" w:lineRule="auto"/>
              <w:jc w:val="center"/>
              <w:rPr>
                <w:rFonts w:cs="Times New Roman"/>
                <w:szCs w:val="24"/>
              </w:rPr>
            </w:pPr>
            <w:r w:rsidRPr="00B1655D">
              <w:rPr>
                <w:rFonts w:cs="Times New Roman"/>
                <w:szCs w:val="24"/>
              </w:rPr>
              <w:t>4.15</w:t>
            </w:r>
          </w:p>
        </w:tc>
        <w:tc>
          <w:tcPr>
            <w:tcW w:w="1439" w:type="dxa"/>
            <w:vAlign w:val="bottom"/>
          </w:tcPr>
          <w:p w14:paraId="65A6EB57" w14:textId="2310A1FE" w:rsidR="00B1655D" w:rsidRPr="00B1655D" w:rsidRDefault="00B1655D" w:rsidP="00B1655D">
            <w:pPr>
              <w:spacing w:line="240" w:lineRule="auto"/>
              <w:jc w:val="center"/>
              <w:rPr>
                <w:rFonts w:cs="Times New Roman"/>
                <w:szCs w:val="24"/>
              </w:rPr>
            </w:pPr>
            <w:r w:rsidRPr="00B1655D">
              <w:rPr>
                <w:rFonts w:cs="Times New Roman"/>
                <w:color w:val="000000"/>
                <w:szCs w:val="24"/>
              </w:rPr>
              <w:t>3.70E-05</w:t>
            </w:r>
          </w:p>
        </w:tc>
        <w:tc>
          <w:tcPr>
            <w:tcW w:w="1074" w:type="dxa"/>
            <w:vAlign w:val="center"/>
          </w:tcPr>
          <w:p w14:paraId="4F9F5EFE" w14:textId="1AF35485" w:rsidR="00B1655D" w:rsidRPr="00B1655D" w:rsidRDefault="005B0344" w:rsidP="00B1655D">
            <w:pPr>
              <w:spacing w:line="240" w:lineRule="auto"/>
              <w:jc w:val="center"/>
              <w:rPr>
                <w:rFonts w:cs="Times New Roman"/>
                <w:szCs w:val="24"/>
              </w:rPr>
            </w:pPr>
            <w:r>
              <w:rPr>
                <w:rFonts w:cs="Times New Roman"/>
                <w:szCs w:val="24"/>
              </w:rPr>
              <w:t>3.20</w:t>
            </w:r>
          </w:p>
        </w:tc>
        <w:tc>
          <w:tcPr>
            <w:tcW w:w="1008" w:type="dxa"/>
            <w:vAlign w:val="center"/>
          </w:tcPr>
          <w:p w14:paraId="300C0FD0" w14:textId="287438FA" w:rsidR="00B1655D" w:rsidRPr="00B1655D" w:rsidRDefault="005B0344" w:rsidP="00B1655D">
            <w:pPr>
              <w:spacing w:line="240" w:lineRule="auto"/>
              <w:jc w:val="center"/>
              <w:rPr>
                <w:rFonts w:cs="Times New Roman"/>
                <w:szCs w:val="24"/>
              </w:rPr>
            </w:pPr>
            <w:r>
              <w:rPr>
                <w:rFonts w:cs="Times New Roman"/>
                <w:szCs w:val="24"/>
              </w:rPr>
              <w:t>3,195</w:t>
            </w:r>
          </w:p>
        </w:tc>
      </w:tr>
      <w:tr w:rsidR="00B1655D" w:rsidRPr="00B1655D" w14:paraId="0B27BF19" w14:textId="77777777" w:rsidTr="00B1655D">
        <w:trPr>
          <w:jc w:val="center"/>
        </w:trPr>
        <w:tc>
          <w:tcPr>
            <w:tcW w:w="803" w:type="dxa"/>
            <w:vMerge/>
            <w:tcBorders>
              <w:right w:val="single" w:sz="4" w:space="0" w:color="auto"/>
            </w:tcBorders>
            <w:vAlign w:val="center"/>
          </w:tcPr>
          <w:p w14:paraId="54BBF514" w14:textId="77777777" w:rsidR="00B1655D" w:rsidRPr="00B1655D" w:rsidRDefault="00B1655D" w:rsidP="00B1655D">
            <w:pPr>
              <w:spacing w:line="240" w:lineRule="auto"/>
              <w:jc w:val="center"/>
              <w:rPr>
                <w:rFonts w:cs="Times New Roman"/>
                <w:szCs w:val="24"/>
              </w:rPr>
            </w:pPr>
          </w:p>
        </w:tc>
        <w:tc>
          <w:tcPr>
            <w:tcW w:w="3597" w:type="dxa"/>
            <w:tcBorders>
              <w:left w:val="single" w:sz="4" w:space="0" w:color="auto"/>
            </w:tcBorders>
            <w:vAlign w:val="center"/>
          </w:tcPr>
          <w:p w14:paraId="49B5F35B" w14:textId="77777777" w:rsidR="00B1655D" w:rsidRPr="00B1655D" w:rsidRDefault="00B1655D" w:rsidP="00B1655D">
            <w:pPr>
              <w:spacing w:line="240" w:lineRule="auto"/>
              <w:jc w:val="center"/>
              <w:rPr>
                <w:rFonts w:cs="Times New Roman"/>
                <w:szCs w:val="24"/>
              </w:rPr>
            </w:pPr>
            <w:r w:rsidRPr="00B1655D">
              <w:rPr>
                <w:rFonts w:cs="Times New Roman"/>
                <w:szCs w:val="24"/>
              </w:rPr>
              <w:t>Ideal Gas + Gravity</w:t>
            </w:r>
          </w:p>
        </w:tc>
        <w:tc>
          <w:tcPr>
            <w:tcW w:w="1439" w:type="dxa"/>
          </w:tcPr>
          <w:p w14:paraId="4DB7E7DC" w14:textId="7104C551" w:rsidR="00B1655D" w:rsidRPr="00B1655D" w:rsidRDefault="00B1655D" w:rsidP="00B1655D">
            <w:pPr>
              <w:spacing w:line="240" w:lineRule="auto"/>
              <w:jc w:val="center"/>
              <w:rPr>
                <w:rFonts w:cs="Times New Roman"/>
                <w:szCs w:val="24"/>
              </w:rPr>
            </w:pPr>
            <w:r w:rsidRPr="00B1655D">
              <w:rPr>
                <w:rFonts w:cs="Times New Roman"/>
                <w:szCs w:val="24"/>
              </w:rPr>
              <w:t>4.36</w:t>
            </w:r>
          </w:p>
        </w:tc>
        <w:tc>
          <w:tcPr>
            <w:tcW w:w="1439" w:type="dxa"/>
            <w:vAlign w:val="bottom"/>
          </w:tcPr>
          <w:p w14:paraId="6445C3E5" w14:textId="74638CD0" w:rsidR="00B1655D" w:rsidRPr="00B1655D" w:rsidRDefault="00B1655D" w:rsidP="00B1655D">
            <w:pPr>
              <w:spacing w:line="240" w:lineRule="auto"/>
              <w:jc w:val="center"/>
              <w:rPr>
                <w:rFonts w:cs="Times New Roman"/>
                <w:szCs w:val="24"/>
              </w:rPr>
            </w:pPr>
            <w:r w:rsidRPr="00B1655D">
              <w:rPr>
                <w:rFonts w:cs="Times New Roman"/>
                <w:color w:val="000000"/>
                <w:szCs w:val="24"/>
              </w:rPr>
              <w:t>3.20E-05</w:t>
            </w:r>
          </w:p>
        </w:tc>
        <w:tc>
          <w:tcPr>
            <w:tcW w:w="1074" w:type="dxa"/>
            <w:vAlign w:val="center"/>
          </w:tcPr>
          <w:p w14:paraId="6379203A" w14:textId="139896A7" w:rsidR="00B1655D" w:rsidRPr="00B1655D" w:rsidRDefault="005B0344" w:rsidP="00B1655D">
            <w:pPr>
              <w:spacing w:line="240" w:lineRule="auto"/>
              <w:jc w:val="center"/>
              <w:rPr>
                <w:rFonts w:cs="Times New Roman"/>
                <w:szCs w:val="24"/>
              </w:rPr>
            </w:pPr>
            <w:r>
              <w:rPr>
                <w:rFonts w:cs="Times New Roman"/>
                <w:szCs w:val="24"/>
              </w:rPr>
              <w:t>2.76</w:t>
            </w:r>
          </w:p>
        </w:tc>
        <w:tc>
          <w:tcPr>
            <w:tcW w:w="1008" w:type="dxa"/>
            <w:vAlign w:val="center"/>
          </w:tcPr>
          <w:p w14:paraId="38D62A76" w14:textId="78C01DB3" w:rsidR="00B1655D" w:rsidRPr="00B1655D" w:rsidRDefault="005B0344" w:rsidP="00B1655D">
            <w:pPr>
              <w:spacing w:line="240" w:lineRule="auto"/>
              <w:jc w:val="center"/>
              <w:rPr>
                <w:rFonts w:cs="Times New Roman"/>
                <w:szCs w:val="24"/>
              </w:rPr>
            </w:pPr>
            <w:r>
              <w:rPr>
                <w:rFonts w:cs="Times New Roman"/>
                <w:szCs w:val="24"/>
              </w:rPr>
              <w:t>2,765</w:t>
            </w:r>
          </w:p>
        </w:tc>
      </w:tr>
      <w:tr w:rsidR="00B1655D" w:rsidRPr="00B1655D" w14:paraId="0C27F5E0" w14:textId="77777777" w:rsidTr="00B1655D">
        <w:trPr>
          <w:jc w:val="center"/>
        </w:trPr>
        <w:tc>
          <w:tcPr>
            <w:tcW w:w="803" w:type="dxa"/>
            <w:vMerge/>
            <w:tcBorders>
              <w:right w:val="single" w:sz="4" w:space="0" w:color="auto"/>
            </w:tcBorders>
            <w:vAlign w:val="center"/>
          </w:tcPr>
          <w:p w14:paraId="0EDAC779" w14:textId="77777777" w:rsidR="00B1655D" w:rsidRPr="00B1655D" w:rsidRDefault="00B1655D" w:rsidP="00B1655D">
            <w:pPr>
              <w:spacing w:line="240" w:lineRule="auto"/>
              <w:jc w:val="center"/>
              <w:rPr>
                <w:rFonts w:cs="Times New Roman"/>
                <w:szCs w:val="24"/>
              </w:rPr>
            </w:pPr>
          </w:p>
        </w:tc>
        <w:tc>
          <w:tcPr>
            <w:tcW w:w="3597" w:type="dxa"/>
            <w:tcBorders>
              <w:left w:val="single" w:sz="4" w:space="0" w:color="auto"/>
            </w:tcBorders>
            <w:vAlign w:val="center"/>
          </w:tcPr>
          <w:p w14:paraId="7A2338EE" w14:textId="77777777" w:rsidR="00B1655D" w:rsidRPr="00B1655D" w:rsidRDefault="00B1655D" w:rsidP="00B1655D">
            <w:pPr>
              <w:spacing w:line="240" w:lineRule="auto"/>
              <w:jc w:val="center"/>
              <w:rPr>
                <w:rFonts w:cs="Times New Roman"/>
                <w:szCs w:val="24"/>
              </w:rPr>
            </w:pPr>
            <w:r w:rsidRPr="00B1655D">
              <w:rPr>
                <w:rFonts w:cs="Times New Roman"/>
                <w:szCs w:val="24"/>
              </w:rPr>
              <w:t>Real Gas</w:t>
            </w:r>
          </w:p>
        </w:tc>
        <w:tc>
          <w:tcPr>
            <w:tcW w:w="1439" w:type="dxa"/>
          </w:tcPr>
          <w:p w14:paraId="6E791757" w14:textId="62AE5C09" w:rsidR="00B1655D" w:rsidRPr="00B1655D" w:rsidRDefault="00B1655D" w:rsidP="00B1655D">
            <w:pPr>
              <w:spacing w:line="240" w:lineRule="auto"/>
              <w:jc w:val="center"/>
              <w:rPr>
                <w:rFonts w:cs="Times New Roman"/>
                <w:szCs w:val="24"/>
              </w:rPr>
            </w:pPr>
            <w:r w:rsidRPr="00B1655D">
              <w:rPr>
                <w:rFonts w:cs="Times New Roman"/>
                <w:szCs w:val="24"/>
              </w:rPr>
              <w:t>4.31</w:t>
            </w:r>
          </w:p>
        </w:tc>
        <w:tc>
          <w:tcPr>
            <w:tcW w:w="1439" w:type="dxa"/>
            <w:vAlign w:val="bottom"/>
          </w:tcPr>
          <w:p w14:paraId="344C09B5" w14:textId="5E25300D" w:rsidR="00B1655D" w:rsidRPr="00B1655D" w:rsidRDefault="00B1655D" w:rsidP="00B1655D">
            <w:pPr>
              <w:spacing w:line="240" w:lineRule="auto"/>
              <w:jc w:val="center"/>
              <w:rPr>
                <w:rFonts w:cs="Times New Roman"/>
                <w:szCs w:val="24"/>
              </w:rPr>
            </w:pPr>
            <w:r w:rsidRPr="00B1655D">
              <w:rPr>
                <w:rFonts w:cs="Times New Roman"/>
                <w:color w:val="000000"/>
                <w:szCs w:val="24"/>
              </w:rPr>
              <w:t>3.57E-05</w:t>
            </w:r>
          </w:p>
        </w:tc>
        <w:tc>
          <w:tcPr>
            <w:tcW w:w="1074" w:type="dxa"/>
            <w:vAlign w:val="center"/>
          </w:tcPr>
          <w:p w14:paraId="641D3959" w14:textId="3AD42EC2" w:rsidR="00B1655D" w:rsidRPr="00B1655D" w:rsidRDefault="005B0344" w:rsidP="00B1655D">
            <w:pPr>
              <w:spacing w:line="240" w:lineRule="auto"/>
              <w:jc w:val="center"/>
              <w:rPr>
                <w:rFonts w:cs="Times New Roman"/>
                <w:szCs w:val="24"/>
              </w:rPr>
            </w:pPr>
            <w:r>
              <w:rPr>
                <w:rFonts w:cs="Times New Roman"/>
                <w:szCs w:val="24"/>
              </w:rPr>
              <w:t>3.08</w:t>
            </w:r>
          </w:p>
        </w:tc>
        <w:tc>
          <w:tcPr>
            <w:tcW w:w="1008" w:type="dxa"/>
            <w:vAlign w:val="center"/>
          </w:tcPr>
          <w:p w14:paraId="502DE7F1" w14:textId="1B768E10" w:rsidR="00B1655D" w:rsidRPr="00B1655D" w:rsidRDefault="005B0344" w:rsidP="00B1655D">
            <w:pPr>
              <w:spacing w:line="240" w:lineRule="auto"/>
              <w:jc w:val="center"/>
              <w:rPr>
                <w:rFonts w:cs="Times New Roman"/>
                <w:szCs w:val="24"/>
              </w:rPr>
            </w:pPr>
            <w:r>
              <w:rPr>
                <w:rFonts w:cs="Times New Roman"/>
                <w:szCs w:val="24"/>
              </w:rPr>
              <w:t>3,082</w:t>
            </w:r>
          </w:p>
        </w:tc>
      </w:tr>
      <w:tr w:rsidR="00B1655D" w:rsidRPr="00B1655D" w14:paraId="15FCDC60" w14:textId="77777777" w:rsidTr="00B1655D">
        <w:trPr>
          <w:jc w:val="center"/>
        </w:trPr>
        <w:tc>
          <w:tcPr>
            <w:tcW w:w="803" w:type="dxa"/>
            <w:vMerge/>
            <w:tcBorders>
              <w:right w:val="single" w:sz="4" w:space="0" w:color="auto"/>
            </w:tcBorders>
            <w:vAlign w:val="center"/>
          </w:tcPr>
          <w:p w14:paraId="7410465F" w14:textId="77777777" w:rsidR="00B1655D" w:rsidRPr="00B1655D" w:rsidRDefault="00B1655D" w:rsidP="00B1655D">
            <w:pPr>
              <w:spacing w:line="240" w:lineRule="auto"/>
              <w:jc w:val="center"/>
              <w:rPr>
                <w:rFonts w:cs="Times New Roman"/>
                <w:szCs w:val="24"/>
              </w:rPr>
            </w:pPr>
          </w:p>
        </w:tc>
        <w:tc>
          <w:tcPr>
            <w:tcW w:w="3597" w:type="dxa"/>
            <w:tcBorders>
              <w:left w:val="single" w:sz="4" w:space="0" w:color="auto"/>
            </w:tcBorders>
            <w:vAlign w:val="center"/>
          </w:tcPr>
          <w:p w14:paraId="2F68ACF7" w14:textId="77777777" w:rsidR="00B1655D" w:rsidRPr="00B1655D" w:rsidRDefault="00B1655D" w:rsidP="00B1655D">
            <w:pPr>
              <w:spacing w:line="240" w:lineRule="auto"/>
              <w:jc w:val="center"/>
              <w:rPr>
                <w:rFonts w:cs="Times New Roman"/>
                <w:szCs w:val="24"/>
              </w:rPr>
            </w:pPr>
            <w:r w:rsidRPr="00B1655D">
              <w:rPr>
                <w:rFonts w:cs="Times New Roman"/>
                <w:szCs w:val="24"/>
              </w:rPr>
              <w:t>Real Gas + Gravity</w:t>
            </w:r>
          </w:p>
        </w:tc>
        <w:tc>
          <w:tcPr>
            <w:tcW w:w="1439" w:type="dxa"/>
          </w:tcPr>
          <w:p w14:paraId="1D97C46D" w14:textId="7CED4C45" w:rsidR="00B1655D" w:rsidRPr="00B1655D" w:rsidRDefault="00B1655D" w:rsidP="00B1655D">
            <w:pPr>
              <w:spacing w:line="240" w:lineRule="auto"/>
              <w:jc w:val="center"/>
              <w:rPr>
                <w:rFonts w:cs="Times New Roman"/>
                <w:szCs w:val="24"/>
              </w:rPr>
            </w:pPr>
            <w:r w:rsidRPr="00B1655D">
              <w:rPr>
                <w:rFonts w:cs="Times New Roman"/>
                <w:szCs w:val="24"/>
              </w:rPr>
              <w:t>4.37</w:t>
            </w:r>
          </w:p>
        </w:tc>
        <w:tc>
          <w:tcPr>
            <w:tcW w:w="1439" w:type="dxa"/>
            <w:vAlign w:val="bottom"/>
          </w:tcPr>
          <w:p w14:paraId="5DC03C59" w14:textId="5313BEF9" w:rsidR="00B1655D" w:rsidRPr="00B1655D" w:rsidRDefault="00B1655D" w:rsidP="00B1655D">
            <w:pPr>
              <w:spacing w:line="240" w:lineRule="auto"/>
              <w:jc w:val="center"/>
              <w:rPr>
                <w:rFonts w:cs="Times New Roman"/>
                <w:szCs w:val="24"/>
              </w:rPr>
            </w:pPr>
            <w:r w:rsidRPr="00B1655D">
              <w:rPr>
                <w:rFonts w:cs="Times New Roman"/>
                <w:color w:val="000000"/>
                <w:szCs w:val="24"/>
              </w:rPr>
              <w:t>3.07E-05</w:t>
            </w:r>
          </w:p>
        </w:tc>
        <w:tc>
          <w:tcPr>
            <w:tcW w:w="1074" w:type="dxa"/>
            <w:vAlign w:val="center"/>
          </w:tcPr>
          <w:p w14:paraId="32D7FA26" w14:textId="38836545" w:rsidR="00B1655D" w:rsidRPr="00B1655D" w:rsidRDefault="005B0344" w:rsidP="00B1655D">
            <w:pPr>
              <w:spacing w:line="240" w:lineRule="auto"/>
              <w:jc w:val="center"/>
              <w:rPr>
                <w:rFonts w:cs="Times New Roman"/>
                <w:szCs w:val="24"/>
              </w:rPr>
            </w:pPr>
            <w:r>
              <w:rPr>
                <w:rFonts w:cs="Times New Roman"/>
                <w:szCs w:val="24"/>
              </w:rPr>
              <w:t>2.65</w:t>
            </w:r>
          </w:p>
        </w:tc>
        <w:tc>
          <w:tcPr>
            <w:tcW w:w="1008" w:type="dxa"/>
            <w:vAlign w:val="center"/>
          </w:tcPr>
          <w:p w14:paraId="22A45926" w14:textId="6F55D2D1" w:rsidR="00B1655D" w:rsidRPr="00B1655D" w:rsidRDefault="005B0344" w:rsidP="00B1655D">
            <w:pPr>
              <w:spacing w:line="240" w:lineRule="auto"/>
              <w:jc w:val="center"/>
              <w:rPr>
                <w:rFonts w:cs="Times New Roman"/>
                <w:szCs w:val="24"/>
              </w:rPr>
            </w:pPr>
            <w:r>
              <w:rPr>
                <w:rFonts w:cs="Times New Roman"/>
                <w:szCs w:val="24"/>
              </w:rPr>
              <w:t>2,652</w:t>
            </w:r>
          </w:p>
        </w:tc>
      </w:tr>
    </w:tbl>
    <w:p w14:paraId="209F12FD" w14:textId="2E9000C0" w:rsidR="005024BB" w:rsidRDefault="005024BB" w:rsidP="005024BB"/>
    <w:p w14:paraId="396043F0" w14:textId="275ED581" w:rsidR="005F35CB" w:rsidRDefault="00933315" w:rsidP="005024BB">
      <w:pPr>
        <w:ind w:firstLine="720"/>
      </w:pPr>
      <w:r>
        <w:t>Comparing</w:t>
      </w:r>
      <w:r w:rsidR="007E7362">
        <w:t xml:space="preserve"> the results </w:t>
      </w:r>
      <w:r w:rsidR="000D7109">
        <w:t xml:space="preserve">for the different flow </w:t>
      </w:r>
      <w:r w:rsidR="000D7109" w:rsidRPr="00B92BF4">
        <w:t xml:space="preserve">equations </w:t>
      </w:r>
      <w:r w:rsidR="007E7362" w:rsidRPr="00B92BF4">
        <w:t xml:space="preserve">in </w:t>
      </w:r>
      <w:r w:rsidR="005024BB" w:rsidRPr="00B92BF4">
        <w:t xml:space="preserve">Table 5.1, </w:t>
      </w:r>
      <w:r w:rsidR="007E7362" w:rsidRPr="00B92BF4">
        <w:t>the following observations were made</w:t>
      </w:r>
      <w:r w:rsidR="005024BB" w:rsidRPr="00B92BF4">
        <w:t xml:space="preserve">. </w:t>
      </w:r>
      <w:r w:rsidR="007E7362" w:rsidRPr="00B92BF4">
        <w:t>F</w:t>
      </w:r>
      <w:r w:rsidR="005024BB" w:rsidRPr="00B92BF4">
        <w:t xml:space="preserve">irst is that including the effect of gravity decreases the flow rates; especially for water which results </w:t>
      </w:r>
      <w:r w:rsidR="00F97FB3" w:rsidRPr="00B92BF4">
        <w:t xml:space="preserve">in </w:t>
      </w:r>
      <w:r w:rsidR="005B0344">
        <w:t>no flow due to the pressure differential being the hydrostatic pore pressure.</w:t>
      </w:r>
      <w:r w:rsidR="00B92BF4" w:rsidRPr="00B92BF4">
        <w:t xml:space="preserve"> </w:t>
      </w:r>
      <w:r w:rsidR="005B0344">
        <w:t xml:space="preserve">The effect of gravity on the gas flow equations (4.34, 4.36, and 4.37) is not as dramatic. </w:t>
      </w:r>
      <w:r w:rsidR="005B0344" w:rsidRPr="00B92BF4">
        <w:t xml:space="preserve">Gravity causes a </w:t>
      </w:r>
      <w:r w:rsidR="005B0344">
        <w:t>100</w:t>
      </w:r>
      <w:r w:rsidR="005B0344" w:rsidRPr="00B92BF4">
        <w:t xml:space="preserve">% flow rate decrease for Hagen-Poiseulle flow with water as the fluid (Equation 4.34 versus Equation 2.41), a </w:t>
      </w:r>
      <w:r w:rsidR="005B0344">
        <w:t>17.5</w:t>
      </w:r>
      <w:r w:rsidR="005B0344" w:rsidRPr="00B92BF4">
        <w:t>% decrease for Hagen-Poiseulle flow with gas as the fluid (Equation 4.34 versus Equation 2.41</w:t>
      </w:r>
      <w:r w:rsidR="005F35CB">
        <w:t>), a</w:t>
      </w:r>
      <w:r w:rsidR="005B0344" w:rsidRPr="00B92BF4">
        <w:t xml:space="preserve"> </w:t>
      </w:r>
      <w:r w:rsidR="005F35CB">
        <w:t>13.5</w:t>
      </w:r>
      <w:r w:rsidR="005B0344" w:rsidRPr="00B92BF4">
        <w:t>% decrease for ideal gas flow (Equation 4.36 versus Equation 4.15</w:t>
      </w:r>
      <w:r w:rsidR="005F35CB">
        <w:t>), and a</w:t>
      </w:r>
      <w:r w:rsidR="005B0344" w:rsidRPr="00B92BF4">
        <w:t xml:space="preserve"> </w:t>
      </w:r>
      <w:r w:rsidR="005F35CB">
        <w:t>14.0</w:t>
      </w:r>
      <w:r w:rsidR="005B0344" w:rsidRPr="00B92BF4">
        <w:t xml:space="preserve">% decrease for real gas flow (Equation 4.37 versus Equation 4.31). </w:t>
      </w:r>
      <w:r w:rsidR="005024BB" w:rsidRPr="00B92BF4">
        <w:t xml:space="preserve">A second observation </w:t>
      </w:r>
      <w:r w:rsidR="005B0344">
        <w:t>is that using</w:t>
      </w:r>
      <w:r w:rsidR="005024BB" w:rsidRPr="00B92BF4">
        <w:t xml:space="preserve"> </w:t>
      </w:r>
      <w:r w:rsidR="005A3E84" w:rsidRPr="00B92BF4">
        <w:t>Hagen-Poiseulle</w:t>
      </w:r>
      <w:r w:rsidR="000D7109" w:rsidRPr="00B92BF4">
        <w:t xml:space="preserve"> </w:t>
      </w:r>
      <w:r w:rsidR="005024BB" w:rsidRPr="00B92BF4">
        <w:t xml:space="preserve">flow with gas viscosity </w:t>
      </w:r>
      <w:r w:rsidR="000D7109" w:rsidRPr="00B92BF4">
        <w:t>(</w:t>
      </w:r>
      <w:r w:rsidR="005A3E84" w:rsidRPr="00B92BF4">
        <w:t>Equation 2.41</w:t>
      </w:r>
      <w:r w:rsidR="000D7109" w:rsidRPr="00B92BF4">
        <w:t xml:space="preserve">) </w:t>
      </w:r>
      <w:r w:rsidR="005B0344">
        <w:t>has a 23.1%</w:t>
      </w:r>
      <w:r w:rsidR="005024BB" w:rsidRPr="00B92BF4">
        <w:t xml:space="preserve"> diffe</w:t>
      </w:r>
      <w:r w:rsidR="005024BB">
        <w:t xml:space="preserve">rence </w:t>
      </w:r>
      <w:r w:rsidR="000D7109">
        <w:t xml:space="preserve">compared to </w:t>
      </w:r>
      <w:r w:rsidR="00620DE7">
        <w:t>the ideal</w:t>
      </w:r>
      <w:r w:rsidR="005024BB">
        <w:t xml:space="preserve"> gas flow </w:t>
      </w:r>
      <w:r w:rsidR="005B0344">
        <w:t>(Equation 4.15) and a 20.3% difference compared to real gas flow (Equation 4.31).</w:t>
      </w:r>
      <w:r w:rsidR="005F35CB">
        <w:t xml:space="preserve"> </w:t>
      </w:r>
    </w:p>
    <w:p w14:paraId="7C316D88" w14:textId="4FF6B055" w:rsidR="00DD1F74" w:rsidRDefault="00DD1F74" w:rsidP="005024BB">
      <w:pPr>
        <w:ind w:firstLine="720"/>
      </w:pPr>
      <w:r>
        <w:t>To verify that the developed flow equations are in a laminar flow regime, the Reynold’s number (</w:t>
      </w:r>
      <m:oMath>
        <m:sSub>
          <m:sSubPr>
            <m:ctrlPr>
              <w:rPr>
                <w:rFonts w:ascii="Cambria Math" w:hAnsi="Cambria Math"/>
                <w:i/>
              </w:rPr>
            </m:ctrlPr>
          </m:sSubPr>
          <m:e>
            <m:r>
              <w:rPr>
                <w:rFonts w:ascii="Cambria Math" w:hAnsi="Cambria Math"/>
              </w:rPr>
              <m:t>N</m:t>
            </m:r>
          </m:e>
          <m:sub>
            <m:sSub>
              <m:sSubPr>
                <m:ctrlPr>
                  <w:rPr>
                    <w:rFonts w:ascii="Cambria Math" w:hAnsi="Cambria Math"/>
                    <w:i/>
                  </w:rPr>
                </m:ctrlPr>
              </m:sSubPr>
              <m:e>
                <m:r>
                  <w:rPr>
                    <w:rFonts w:ascii="Cambria Math" w:hAnsi="Cambria Math"/>
                  </w:rPr>
                  <m:t>R</m:t>
                </m:r>
              </m:e>
              <m:sub>
                <m:r>
                  <w:rPr>
                    <w:rFonts w:ascii="Cambria Math" w:hAnsi="Cambria Math"/>
                  </w:rPr>
                  <m:t>e</m:t>
                </m:r>
              </m:sub>
            </m:sSub>
          </m:sub>
        </m:sSub>
      </m:oMath>
      <w:r>
        <w:rPr>
          <w:rFonts w:eastAsiaTheme="minorEastAsia"/>
        </w:rPr>
        <w:t xml:space="preserve">) is calculated. As shown </w:t>
      </w:r>
      <w:r w:rsidRPr="00B92BF4">
        <w:rPr>
          <w:rFonts w:eastAsiaTheme="minorEastAsia"/>
        </w:rPr>
        <w:t xml:space="preserve">in Table </w:t>
      </w:r>
      <w:r>
        <w:rPr>
          <w:rFonts w:eastAsiaTheme="minorEastAsia"/>
        </w:rPr>
        <w:t>5.2</w:t>
      </w:r>
      <w:r w:rsidRPr="00B92BF4">
        <w:rPr>
          <w:rFonts w:eastAsiaTheme="minorEastAsia"/>
        </w:rPr>
        <w:t>, the</w:t>
      </w:r>
      <w:r>
        <w:rPr>
          <w:rFonts w:eastAsiaTheme="minorEastAsia"/>
        </w:rPr>
        <w:t xml:space="preserve"> Reynold’s number for each flow equation is well below the cutoff of 2,100 (</w:t>
      </w:r>
      <m:oMath>
        <m:sSub>
          <m:sSubPr>
            <m:ctrlPr>
              <w:rPr>
                <w:rFonts w:ascii="Cambria Math" w:hAnsi="Cambria Math"/>
                <w:i/>
              </w:rPr>
            </m:ctrlPr>
          </m:sSubPr>
          <m:e>
            <m:r>
              <w:rPr>
                <w:rFonts w:ascii="Cambria Math" w:hAnsi="Cambria Math"/>
              </w:rPr>
              <m:t>N</m:t>
            </m:r>
          </m:e>
          <m:sub>
            <m:sSub>
              <m:sSubPr>
                <m:ctrlPr>
                  <w:rPr>
                    <w:rFonts w:ascii="Cambria Math" w:hAnsi="Cambria Math"/>
                    <w:i/>
                  </w:rPr>
                </m:ctrlPr>
              </m:sSubPr>
              <m:e>
                <m:r>
                  <w:rPr>
                    <w:rFonts w:ascii="Cambria Math" w:hAnsi="Cambria Math"/>
                  </w:rPr>
                  <m:t>R</m:t>
                </m:r>
              </m:e>
              <m:sub>
                <m:r>
                  <w:rPr>
                    <w:rFonts w:ascii="Cambria Math" w:hAnsi="Cambria Math"/>
                  </w:rPr>
                  <m:t>e</m:t>
                </m:r>
              </m:sub>
            </m:sSub>
          </m:sub>
        </m:sSub>
        <m:r>
          <w:rPr>
            <w:rFonts w:ascii="Cambria Math" w:hAnsi="Cambria Math"/>
          </w:rPr>
          <m:t>≤2,100</m:t>
        </m:r>
      </m:oMath>
      <w:r>
        <w:rPr>
          <w:rFonts w:eastAsiaTheme="minorEastAsia"/>
        </w:rPr>
        <w:t>). Therefore, the developed flow equations (ideal gas, ideal gas + gravity, real gas, and real gas + gravity) are valid for the synthetic wellbore scenario.</w:t>
      </w:r>
    </w:p>
    <w:p w14:paraId="05EE6FC8" w14:textId="158B052E" w:rsidR="00DD1F74" w:rsidRDefault="00DD1F74" w:rsidP="00BC23AD">
      <w:pPr>
        <w:pStyle w:val="Caption"/>
      </w:pPr>
      <w:bookmarkStart w:id="117" w:name="_Toc67566097"/>
      <w:r>
        <w:lastRenderedPageBreak/>
        <w:t xml:space="preserve">Table </w:t>
      </w:r>
      <w:r w:rsidR="00077C0B">
        <w:fldChar w:fldCharType="begin"/>
      </w:r>
      <w:r w:rsidR="00077C0B">
        <w:instrText xml:space="preserve"> STYLEREF 1 \s </w:instrText>
      </w:r>
      <w:r w:rsidR="00077C0B">
        <w:fldChar w:fldCharType="separate"/>
      </w:r>
      <w:r w:rsidR="0006023A">
        <w:rPr>
          <w:noProof/>
        </w:rPr>
        <w:t>5</w:t>
      </w:r>
      <w:r w:rsidR="00077C0B">
        <w:rPr>
          <w:noProof/>
        </w:rPr>
        <w:fldChar w:fldCharType="end"/>
      </w:r>
      <w:r>
        <w:t>.</w:t>
      </w:r>
      <w:r w:rsidR="00077C0B">
        <w:fldChar w:fldCharType="begin"/>
      </w:r>
      <w:r w:rsidR="00077C0B">
        <w:instrText xml:space="preserve"> SEQ Table \* ARABIC \s 1 </w:instrText>
      </w:r>
      <w:r w:rsidR="00077C0B">
        <w:fldChar w:fldCharType="separate"/>
      </w:r>
      <w:r w:rsidR="0006023A">
        <w:rPr>
          <w:noProof/>
        </w:rPr>
        <w:t>2</w:t>
      </w:r>
      <w:r w:rsidR="00077C0B">
        <w:rPr>
          <w:noProof/>
        </w:rPr>
        <w:fldChar w:fldCharType="end"/>
      </w:r>
      <w:r>
        <w:t>: Corresponding Reynold’s numbers (</w:t>
      </w:r>
      <m:oMath>
        <m:sSub>
          <m:sSubPr>
            <m:ctrlPr>
              <w:rPr>
                <w:rFonts w:ascii="Cambria Math" w:hAnsi="Cambria Math"/>
                <w:i/>
              </w:rPr>
            </m:ctrlPr>
          </m:sSubPr>
          <m:e>
            <m:r>
              <m:rPr>
                <m:sty m:val="bi"/>
              </m:rPr>
              <w:rPr>
                <w:rFonts w:ascii="Cambria Math" w:hAnsi="Cambria Math"/>
              </w:rPr>
              <m:t>N</m:t>
            </m:r>
          </m:e>
          <m:sub>
            <m:sSub>
              <m:sSubPr>
                <m:ctrlPr>
                  <w:rPr>
                    <w:rFonts w:ascii="Cambria Math" w:hAnsi="Cambria Math"/>
                    <w:i/>
                  </w:rPr>
                </m:ctrlPr>
              </m:sSubPr>
              <m:e>
                <m:r>
                  <m:rPr>
                    <m:sty m:val="bi"/>
                  </m:rPr>
                  <w:rPr>
                    <w:rFonts w:ascii="Cambria Math" w:hAnsi="Cambria Math"/>
                  </w:rPr>
                  <m:t>R</m:t>
                </m:r>
              </m:e>
              <m:sub>
                <m:r>
                  <m:rPr>
                    <m:sty m:val="bi"/>
                  </m:rPr>
                  <w:rPr>
                    <w:rFonts w:ascii="Cambria Math" w:hAnsi="Cambria Math"/>
                  </w:rPr>
                  <m:t>e</m:t>
                </m:r>
              </m:sub>
            </m:sSub>
          </m:sub>
        </m:sSub>
      </m:oMath>
      <w:r>
        <w:t>) for the fluid flow models for the synthetic wellbore. All eight fluid flow models are in the laminar flow regime</w:t>
      </w:r>
      <w:r w:rsidR="00E77ED4" w:rsidRPr="00E77ED4">
        <w:t xml:space="preserve"> (</w:t>
      </w:r>
      <m:oMath>
        <m:sSub>
          <m:sSubPr>
            <m:ctrlPr>
              <w:rPr>
                <w:rFonts w:ascii="Cambria Math" w:hAnsi="Cambria Math"/>
                <w:i/>
              </w:rPr>
            </m:ctrlPr>
          </m:sSubPr>
          <m:e>
            <m:r>
              <m:rPr>
                <m:sty m:val="bi"/>
              </m:rPr>
              <w:rPr>
                <w:rFonts w:ascii="Cambria Math" w:hAnsi="Cambria Math"/>
              </w:rPr>
              <m:t>N</m:t>
            </m:r>
          </m:e>
          <m:sub>
            <m:sSub>
              <m:sSubPr>
                <m:ctrlPr>
                  <w:rPr>
                    <w:rFonts w:ascii="Cambria Math" w:hAnsi="Cambria Math"/>
                    <w:i/>
                  </w:rPr>
                </m:ctrlPr>
              </m:sSubPr>
              <m:e>
                <m:r>
                  <m:rPr>
                    <m:sty m:val="bi"/>
                  </m:rPr>
                  <w:rPr>
                    <w:rFonts w:ascii="Cambria Math" w:hAnsi="Cambria Math"/>
                  </w:rPr>
                  <m:t>R</m:t>
                </m:r>
              </m:e>
              <m:sub>
                <m:r>
                  <m:rPr>
                    <m:sty m:val="bi"/>
                  </m:rPr>
                  <w:rPr>
                    <w:rFonts w:ascii="Cambria Math" w:hAnsi="Cambria Math"/>
                  </w:rPr>
                  <m:t>e</m:t>
                </m:r>
              </m:sub>
            </m:sSub>
          </m:sub>
        </m:sSub>
        <m:r>
          <m:rPr>
            <m:sty m:val="bi"/>
          </m:rPr>
          <w:rPr>
            <w:rFonts w:ascii="Cambria Math" w:hAnsi="Cambria Math"/>
          </w:rPr>
          <m:t>≤2,100</m:t>
        </m:r>
      </m:oMath>
      <w:r w:rsidR="00E77ED4" w:rsidRPr="00E77ED4">
        <w:t>)</w:t>
      </w:r>
      <w:r w:rsidRPr="00E77ED4">
        <w:t>.</w:t>
      </w:r>
      <w:bookmarkEnd w:id="117"/>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3"/>
        <w:gridCol w:w="3597"/>
        <w:gridCol w:w="1439"/>
        <w:gridCol w:w="1439"/>
      </w:tblGrid>
      <w:tr w:rsidR="00DD1F74" w:rsidRPr="00B1655D" w14:paraId="25A16C2A" w14:textId="77777777" w:rsidTr="008C6FD4">
        <w:trPr>
          <w:jc w:val="center"/>
        </w:trPr>
        <w:tc>
          <w:tcPr>
            <w:tcW w:w="803" w:type="dxa"/>
            <w:tcBorders>
              <w:bottom w:val="single" w:sz="4" w:space="0" w:color="auto"/>
            </w:tcBorders>
            <w:vAlign w:val="center"/>
          </w:tcPr>
          <w:p w14:paraId="20C17669" w14:textId="77777777" w:rsidR="00DD1F74" w:rsidRPr="00B1655D" w:rsidRDefault="00DD1F74" w:rsidP="008C6FD4">
            <w:pPr>
              <w:spacing w:line="240" w:lineRule="auto"/>
              <w:jc w:val="center"/>
              <w:rPr>
                <w:rFonts w:cs="Times New Roman"/>
                <w:szCs w:val="24"/>
              </w:rPr>
            </w:pPr>
            <w:r w:rsidRPr="00B1655D">
              <w:rPr>
                <w:rFonts w:cs="Times New Roman"/>
                <w:szCs w:val="24"/>
              </w:rPr>
              <w:t>Fluid</w:t>
            </w:r>
          </w:p>
        </w:tc>
        <w:tc>
          <w:tcPr>
            <w:tcW w:w="3597" w:type="dxa"/>
            <w:tcBorders>
              <w:bottom w:val="single" w:sz="4" w:space="0" w:color="auto"/>
            </w:tcBorders>
            <w:vAlign w:val="center"/>
          </w:tcPr>
          <w:p w14:paraId="38E85676" w14:textId="77777777" w:rsidR="00DD1F74" w:rsidRPr="00B1655D" w:rsidRDefault="00DD1F74" w:rsidP="008C6FD4">
            <w:pPr>
              <w:spacing w:line="240" w:lineRule="auto"/>
              <w:jc w:val="center"/>
              <w:rPr>
                <w:rFonts w:cs="Times New Roman"/>
                <w:szCs w:val="24"/>
              </w:rPr>
            </w:pPr>
            <w:r w:rsidRPr="00B1655D">
              <w:rPr>
                <w:rFonts w:cs="Times New Roman"/>
                <w:szCs w:val="24"/>
              </w:rPr>
              <w:t xml:space="preserve"> Models </w:t>
            </w:r>
          </w:p>
        </w:tc>
        <w:tc>
          <w:tcPr>
            <w:tcW w:w="1439" w:type="dxa"/>
            <w:tcBorders>
              <w:bottom w:val="single" w:sz="4" w:space="0" w:color="auto"/>
            </w:tcBorders>
          </w:tcPr>
          <w:p w14:paraId="4449CF2C" w14:textId="77777777" w:rsidR="00DD1F74" w:rsidRPr="00B1655D" w:rsidRDefault="00DD1F74" w:rsidP="008C6FD4">
            <w:pPr>
              <w:spacing w:line="240" w:lineRule="auto"/>
              <w:jc w:val="center"/>
              <w:rPr>
                <w:rFonts w:eastAsia="Calibri" w:cs="Times New Roman"/>
                <w:szCs w:val="24"/>
              </w:rPr>
            </w:pPr>
            <w:r w:rsidRPr="00B1655D">
              <w:rPr>
                <w:rFonts w:eastAsia="Calibri" w:cs="Times New Roman"/>
                <w:szCs w:val="24"/>
              </w:rPr>
              <w:t>Eq.</w:t>
            </w:r>
          </w:p>
        </w:tc>
        <w:tc>
          <w:tcPr>
            <w:tcW w:w="1439" w:type="dxa"/>
            <w:tcBorders>
              <w:bottom w:val="single" w:sz="4" w:space="0" w:color="auto"/>
            </w:tcBorders>
            <w:vAlign w:val="center"/>
          </w:tcPr>
          <w:p w14:paraId="5E9DB0CF" w14:textId="383BFD6D" w:rsidR="00DD1F74" w:rsidRPr="00B1655D" w:rsidRDefault="00077C0B" w:rsidP="008C6FD4">
            <w:pPr>
              <w:spacing w:line="240" w:lineRule="auto"/>
              <w:jc w:val="center"/>
              <w:rPr>
                <w:rFonts w:cs="Times New Roman"/>
                <w:szCs w:val="24"/>
              </w:rPr>
            </w:pPr>
            <m:oMathPara>
              <m:oMath>
                <m:sSub>
                  <m:sSubPr>
                    <m:ctrlPr>
                      <w:rPr>
                        <w:rFonts w:ascii="Cambria Math" w:hAnsi="Cambria Math"/>
                        <w:i/>
                      </w:rPr>
                    </m:ctrlPr>
                  </m:sSubPr>
                  <m:e>
                    <m:r>
                      <w:rPr>
                        <w:rFonts w:ascii="Cambria Math" w:hAnsi="Cambria Math"/>
                      </w:rPr>
                      <m:t>N</m:t>
                    </m:r>
                  </m:e>
                  <m:sub>
                    <m:sSub>
                      <m:sSubPr>
                        <m:ctrlPr>
                          <w:rPr>
                            <w:rFonts w:ascii="Cambria Math" w:hAnsi="Cambria Math"/>
                            <w:i/>
                          </w:rPr>
                        </m:ctrlPr>
                      </m:sSubPr>
                      <m:e>
                        <m:r>
                          <w:rPr>
                            <w:rFonts w:ascii="Cambria Math" w:hAnsi="Cambria Math"/>
                          </w:rPr>
                          <m:t>R</m:t>
                        </m:r>
                      </m:e>
                      <m:sub>
                        <m:r>
                          <w:rPr>
                            <w:rFonts w:ascii="Cambria Math" w:hAnsi="Cambria Math"/>
                          </w:rPr>
                          <m:t>e</m:t>
                        </m:r>
                      </m:sub>
                    </m:sSub>
                  </m:sub>
                </m:sSub>
              </m:oMath>
            </m:oMathPara>
          </w:p>
        </w:tc>
      </w:tr>
      <w:tr w:rsidR="00DD1F74" w:rsidRPr="00B1655D" w14:paraId="011FCF5E" w14:textId="77777777" w:rsidTr="008C6FD4">
        <w:trPr>
          <w:jc w:val="center"/>
        </w:trPr>
        <w:tc>
          <w:tcPr>
            <w:tcW w:w="803" w:type="dxa"/>
            <w:vMerge w:val="restart"/>
            <w:tcBorders>
              <w:top w:val="single" w:sz="4" w:space="0" w:color="auto"/>
              <w:right w:val="single" w:sz="4" w:space="0" w:color="auto"/>
            </w:tcBorders>
            <w:vAlign w:val="center"/>
          </w:tcPr>
          <w:p w14:paraId="3CBF5F00" w14:textId="77777777" w:rsidR="00DD1F74" w:rsidRPr="00B1655D" w:rsidRDefault="00DD1F74" w:rsidP="008C6FD4">
            <w:pPr>
              <w:spacing w:line="240" w:lineRule="auto"/>
              <w:jc w:val="center"/>
              <w:rPr>
                <w:rFonts w:cs="Times New Roman"/>
                <w:szCs w:val="24"/>
              </w:rPr>
            </w:pPr>
            <w:r w:rsidRPr="00B1655D">
              <w:rPr>
                <w:rFonts w:cs="Times New Roman"/>
                <w:szCs w:val="24"/>
              </w:rPr>
              <w:t>Water</w:t>
            </w:r>
          </w:p>
        </w:tc>
        <w:tc>
          <w:tcPr>
            <w:tcW w:w="3597" w:type="dxa"/>
            <w:tcBorders>
              <w:top w:val="single" w:sz="4" w:space="0" w:color="auto"/>
              <w:left w:val="single" w:sz="4" w:space="0" w:color="auto"/>
            </w:tcBorders>
            <w:vAlign w:val="center"/>
          </w:tcPr>
          <w:p w14:paraId="14AC5161" w14:textId="77777777" w:rsidR="00DD1F74" w:rsidRPr="00B1655D" w:rsidRDefault="00DD1F74" w:rsidP="008C6FD4">
            <w:pPr>
              <w:spacing w:line="240" w:lineRule="auto"/>
              <w:jc w:val="center"/>
              <w:rPr>
                <w:rFonts w:cs="Times New Roman"/>
                <w:szCs w:val="24"/>
              </w:rPr>
            </w:pPr>
            <w:r w:rsidRPr="00B1655D">
              <w:rPr>
                <w:rFonts w:cs="Times New Roman"/>
                <w:szCs w:val="24"/>
              </w:rPr>
              <w:t>Hagen-Poiseulle Flow</w:t>
            </w:r>
          </w:p>
        </w:tc>
        <w:tc>
          <w:tcPr>
            <w:tcW w:w="1439" w:type="dxa"/>
            <w:tcBorders>
              <w:top w:val="single" w:sz="4" w:space="0" w:color="auto"/>
            </w:tcBorders>
          </w:tcPr>
          <w:p w14:paraId="31BAA991" w14:textId="77777777" w:rsidR="00DD1F74" w:rsidRPr="00B1655D" w:rsidRDefault="00DD1F74" w:rsidP="008C6FD4">
            <w:pPr>
              <w:spacing w:line="240" w:lineRule="auto"/>
              <w:jc w:val="center"/>
              <w:rPr>
                <w:rFonts w:cs="Times New Roman"/>
                <w:szCs w:val="24"/>
              </w:rPr>
            </w:pPr>
            <w:r w:rsidRPr="00B1655D">
              <w:rPr>
                <w:rFonts w:cs="Times New Roman"/>
                <w:szCs w:val="24"/>
              </w:rPr>
              <w:t>2.41</w:t>
            </w:r>
          </w:p>
        </w:tc>
        <w:tc>
          <w:tcPr>
            <w:tcW w:w="1439" w:type="dxa"/>
            <w:tcBorders>
              <w:top w:val="single" w:sz="4" w:space="0" w:color="auto"/>
            </w:tcBorders>
            <w:vAlign w:val="bottom"/>
          </w:tcPr>
          <w:p w14:paraId="6107E369" w14:textId="10207453" w:rsidR="00DD1F74" w:rsidRPr="00B1655D" w:rsidRDefault="00DD1F74" w:rsidP="008C6FD4">
            <w:pPr>
              <w:spacing w:line="240" w:lineRule="auto"/>
              <w:jc w:val="center"/>
              <w:rPr>
                <w:rFonts w:cs="Times New Roman"/>
                <w:szCs w:val="24"/>
              </w:rPr>
            </w:pPr>
            <w:r>
              <w:rPr>
                <w:rFonts w:cs="Times New Roman"/>
                <w:szCs w:val="24"/>
              </w:rPr>
              <w:t>293.5</w:t>
            </w:r>
          </w:p>
        </w:tc>
      </w:tr>
      <w:tr w:rsidR="00DD1F74" w:rsidRPr="00B1655D" w14:paraId="071614A0" w14:textId="77777777" w:rsidTr="008C6FD4">
        <w:trPr>
          <w:jc w:val="center"/>
        </w:trPr>
        <w:tc>
          <w:tcPr>
            <w:tcW w:w="803" w:type="dxa"/>
            <w:vMerge/>
            <w:tcBorders>
              <w:right w:val="single" w:sz="4" w:space="0" w:color="auto"/>
            </w:tcBorders>
            <w:vAlign w:val="center"/>
          </w:tcPr>
          <w:p w14:paraId="3C62F19C" w14:textId="77777777" w:rsidR="00DD1F74" w:rsidRPr="00B1655D" w:rsidRDefault="00DD1F74" w:rsidP="008C6FD4">
            <w:pPr>
              <w:spacing w:line="240" w:lineRule="auto"/>
              <w:jc w:val="center"/>
              <w:rPr>
                <w:rFonts w:cs="Times New Roman"/>
                <w:szCs w:val="24"/>
              </w:rPr>
            </w:pPr>
          </w:p>
        </w:tc>
        <w:tc>
          <w:tcPr>
            <w:tcW w:w="3597" w:type="dxa"/>
            <w:tcBorders>
              <w:left w:val="single" w:sz="4" w:space="0" w:color="auto"/>
              <w:bottom w:val="single" w:sz="4" w:space="0" w:color="auto"/>
            </w:tcBorders>
            <w:vAlign w:val="center"/>
          </w:tcPr>
          <w:p w14:paraId="3ADBCACF" w14:textId="77777777" w:rsidR="00DD1F74" w:rsidRPr="00B1655D" w:rsidRDefault="00DD1F74" w:rsidP="008C6FD4">
            <w:pPr>
              <w:spacing w:line="240" w:lineRule="auto"/>
              <w:jc w:val="center"/>
              <w:rPr>
                <w:rFonts w:cs="Times New Roman"/>
                <w:szCs w:val="24"/>
              </w:rPr>
            </w:pPr>
            <w:r w:rsidRPr="00B1655D">
              <w:rPr>
                <w:rFonts w:cs="Times New Roman"/>
                <w:szCs w:val="24"/>
              </w:rPr>
              <w:t>Hagen-Poiseulle Flow + Gravity</w:t>
            </w:r>
          </w:p>
        </w:tc>
        <w:tc>
          <w:tcPr>
            <w:tcW w:w="1439" w:type="dxa"/>
            <w:tcBorders>
              <w:bottom w:val="single" w:sz="4" w:space="0" w:color="auto"/>
            </w:tcBorders>
          </w:tcPr>
          <w:p w14:paraId="1D00440A" w14:textId="77777777" w:rsidR="00DD1F74" w:rsidRPr="00B1655D" w:rsidRDefault="00DD1F74" w:rsidP="008C6FD4">
            <w:pPr>
              <w:spacing w:line="240" w:lineRule="auto"/>
              <w:jc w:val="center"/>
              <w:rPr>
                <w:rFonts w:cs="Times New Roman"/>
                <w:szCs w:val="24"/>
              </w:rPr>
            </w:pPr>
            <w:r w:rsidRPr="00B1655D">
              <w:rPr>
                <w:rFonts w:cs="Times New Roman"/>
                <w:szCs w:val="24"/>
              </w:rPr>
              <w:t>4.34</w:t>
            </w:r>
          </w:p>
        </w:tc>
        <w:tc>
          <w:tcPr>
            <w:tcW w:w="1439" w:type="dxa"/>
            <w:tcBorders>
              <w:bottom w:val="single" w:sz="4" w:space="0" w:color="auto"/>
            </w:tcBorders>
            <w:vAlign w:val="bottom"/>
          </w:tcPr>
          <w:p w14:paraId="2E3EE922" w14:textId="56449821" w:rsidR="00DD1F74" w:rsidRPr="00B1655D" w:rsidRDefault="00DD1F74" w:rsidP="008C6FD4">
            <w:pPr>
              <w:spacing w:line="240" w:lineRule="auto"/>
              <w:jc w:val="center"/>
              <w:rPr>
                <w:rFonts w:cs="Times New Roman"/>
                <w:szCs w:val="24"/>
              </w:rPr>
            </w:pPr>
            <w:r>
              <w:rPr>
                <w:rFonts w:cs="Times New Roman"/>
                <w:szCs w:val="24"/>
              </w:rPr>
              <w:t>242.2</w:t>
            </w:r>
          </w:p>
        </w:tc>
      </w:tr>
      <w:tr w:rsidR="00DD1F74" w:rsidRPr="00B1655D" w14:paraId="6F7AFADB" w14:textId="77777777" w:rsidTr="008C6FD4">
        <w:trPr>
          <w:jc w:val="center"/>
        </w:trPr>
        <w:tc>
          <w:tcPr>
            <w:tcW w:w="803" w:type="dxa"/>
            <w:vMerge w:val="restart"/>
            <w:tcBorders>
              <w:top w:val="single" w:sz="4" w:space="0" w:color="auto"/>
              <w:right w:val="single" w:sz="4" w:space="0" w:color="auto"/>
            </w:tcBorders>
            <w:vAlign w:val="center"/>
          </w:tcPr>
          <w:p w14:paraId="7521F784" w14:textId="77777777" w:rsidR="00DD1F74" w:rsidRPr="00B1655D" w:rsidRDefault="00DD1F74" w:rsidP="008C6FD4">
            <w:pPr>
              <w:spacing w:line="240" w:lineRule="auto"/>
              <w:jc w:val="center"/>
              <w:rPr>
                <w:rFonts w:cs="Times New Roman"/>
                <w:szCs w:val="24"/>
              </w:rPr>
            </w:pPr>
            <w:r w:rsidRPr="00B1655D">
              <w:rPr>
                <w:rFonts w:cs="Times New Roman"/>
                <w:szCs w:val="24"/>
              </w:rPr>
              <w:t>Gas</w:t>
            </w:r>
          </w:p>
        </w:tc>
        <w:tc>
          <w:tcPr>
            <w:tcW w:w="3597" w:type="dxa"/>
            <w:tcBorders>
              <w:top w:val="single" w:sz="4" w:space="0" w:color="auto"/>
              <w:left w:val="single" w:sz="4" w:space="0" w:color="auto"/>
            </w:tcBorders>
            <w:vAlign w:val="center"/>
          </w:tcPr>
          <w:p w14:paraId="33218867" w14:textId="77777777" w:rsidR="00DD1F74" w:rsidRPr="00B1655D" w:rsidRDefault="00DD1F74" w:rsidP="008C6FD4">
            <w:pPr>
              <w:spacing w:line="240" w:lineRule="auto"/>
              <w:jc w:val="center"/>
              <w:rPr>
                <w:rFonts w:cs="Times New Roman"/>
                <w:szCs w:val="24"/>
              </w:rPr>
            </w:pPr>
            <w:r w:rsidRPr="00B1655D">
              <w:rPr>
                <w:rFonts w:cs="Times New Roman"/>
                <w:szCs w:val="24"/>
              </w:rPr>
              <w:t>Hagen-Poiseulle Flow</w:t>
            </w:r>
          </w:p>
        </w:tc>
        <w:tc>
          <w:tcPr>
            <w:tcW w:w="1439" w:type="dxa"/>
            <w:tcBorders>
              <w:top w:val="single" w:sz="4" w:space="0" w:color="auto"/>
            </w:tcBorders>
          </w:tcPr>
          <w:p w14:paraId="287A9E3A" w14:textId="77777777" w:rsidR="00DD1F74" w:rsidRPr="00B1655D" w:rsidRDefault="00DD1F74" w:rsidP="008C6FD4">
            <w:pPr>
              <w:spacing w:line="240" w:lineRule="auto"/>
              <w:jc w:val="center"/>
              <w:rPr>
                <w:rFonts w:cs="Times New Roman"/>
                <w:szCs w:val="24"/>
              </w:rPr>
            </w:pPr>
            <w:r w:rsidRPr="00B1655D">
              <w:rPr>
                <w:rFonts w:cs="Times New Roman"/>
                <w:szCs w:val="24"/>
              </w:rPr>
              <w:t>2.41</w:t>
            </w:r>
          </w:p>
        </w:tc>
        <w:tc>
          <w:tcPr>
            <w:tcW w:w="1439" w:type="dxa"/>
            <w:tcBorders>
              <w:top w:val="single" w:sz="4" w:space="0" w:color="auto"/>
            </w:tcBorders>
            <w:vAlign w:val="bottom"/>
          </w:tcPr>
          <w:p w14:paraId="0314E380" w14:textId="7D12A674" w:rsidR="00DD1F74" w:rsidRPr="00B1655D" w:rsidRDefault="00DD1F74" w:rsidP="008C6FD4">
            <w:pPr>
              <w:spacing w:line="240" w:lineRule="auto"/>
              <w:jc w:val="center"/>
              <w:rPr>
                <w:rFonts w:cs="Times New Roman"/>
                <w:szCs w:val="24"/>
              </w:rPr>
            </w:pPr>
            <w:r>
              <w:rPr>
                <w:rFonts w:cs="Times New Roman"/>
                <w:szCs w:val="24"/>
              </w:rPr>
              <w:t>3.5</w:t>
            </w:r>
          </w:p>
        </w:tc>
      </w:tr>
      <w:tr w:rsidR="00DD1F74" w:rsidRPr="00B1655D" w14:paraId="7D8AAB99" w14:textId="77777777" w:rsidTr="008C6FD4">
        <w:trPr>
          <w:jc w:val="center"/>
        </w:trPr>
        <w:tc>
          <w:tcPr>
            <w:tcW w:w="803" w:type="dxa"/>
            <w:vMerge/>
            <w:tcBorders>
              <w:right w:val="single" w:sz="4" w:space="0" w:color="auto"/>
            </w:tcBorders>
            <w:vAlign w:val="center"/>
          </w:tcPr>
          <w:p w14:paraId="5BF69D2A" w14:textId="77777777" w:rsidR="00DD1F74" w:rsidRPr="00B1655D" w:rsidRDefault="00DD1F74" w:rsidP="008C6FD4">
            <w:pPr>
              <w:spacing w:line="240" w:lineRule="auto"/>
              <w:jc w:val="center"/>
              <w:rPr>
                <w:rFonts w:cs="Times New Roman"/>
                <w:szCs w:val="24"/>
              </w:rPr>
            </w:pPr>
          </w:p>
        </w:tc>
        <w:tc>
          <w:tcPr>
            <w:tcW w:w="3597" w:type="dxa"/>
            <w:tcBorders>
              <w:left w:val="single" w:sz="4" w:space="0" w:color="auto"/>
            </w:tcBorders>
            <w:vAlign w:val="center"/>
          </w:tcPr>
          <w:p w14:paraId="1EF84CF8" w14:textId="77777777" w:rsidR="00DD1F74" w:rsidRPr="00B1655D" w:rsidRDefault="00DD1F74" w:rsidP="008C6FD4">
            <w:pPr>
              <w:spacing w:line="240" w:lineRule="auto"/>
              <w:jc w:val="center"/>
              <w:rPr>
                <w:rFonts w:cs="Times New Roman"/>
                <w:szCs w:val="24"/>
              </w:rPr>
            </w:pPr>
            <w:r w:rsidRPr="00B1655D">
              <w:rPr>
                <w:rFonts w:cs="Times New Roman"/>
                <w:szCs w:val="24"/>
              </w:rPr>
              <w:t>Hagen-Poiseulle Flow + Gravity</w:t>
            </w:r>
          </w:p>
        </w:tc>
        <w:tc>
          <w:tcPr>
            <w:tcW w:w="1439" w:type="dxa"/>
          </w:tcPr>
          <w:p w14:paraId="36AD9179" w14:textId="77777777" w:rsidR="00DD1F74" w:rsidRPr="00B1655D" w:rsidRDefault="00DD1F74" w:rsidP="008C6FD4">
            <w:pPr>
              <w:spacing w:line="240" w:lineRule="auto"/>
              <w:jc w:val="center"/>
              <w:rPr>
                <w:rFonts w:cs="Times New Roman"/>
                <w:szCs w:val="24"/>
              </w:rPr>
            </w:pPr>
            <w:r w:rsidRPr="00B1655D">
              <w:rPr>
                <w:rFonts w:cs="Times New Roman"/>
                <w:szCs w:val="24"/>
              </w:rPr>
              <w:t>4.34</w:t>
            </w:r>
          </w:p>
        </w:tc>
        <w:tc>
          <w:tcPr>
            <w:tcW w:w="1439" w:type="dxa"/>
            <w:vAlign w:val="bottom"/>
          </w:tcPr>
          <w:p w14:paraId="3BB29E75" w14:textId="3EAF4F0F" w:rsidR="00DD1F74" w:rsidRPr="00B1655D" w:rsidRDefault="00DD1F74" w:rsidP="008C6FD4">
            <w:pPr>
              <w:spacing w:line="240" w:lineRule="auto"/>
              <w:jc w:val="center"/>
              <w:rPr>
                <w:rFonts w:cs="Times New Roman"/>
                <w:szCs w:val="24"/>
              </w:rPr>
            </w:pPr>
            <w:r>
              <w:rPr>
                <w:rFonts w:cs="Times New Roman"/>
                <w:szCs w:val="24"/>
              </w:rPr>
              <w:t>0.0</w:t>
            </w:r>
          </w:p>
        </w:tc>
      </w:tr>
      <w:tr w:rsidR="00DD1F74" w:rsidRPr="00B1655D" w14:paraId="23023263" w14:textId="77777777" w:rsidTr="008C6FD4">
        <w:trPr>
          <w:jc w:val="center"/>
        </w:trPr>
        <w:tc>
          <w:tcPr>
            <w:tcW w:w="803" w:type="dxa"/>
            <w:vMerge/>
            <w:tcBorders>
              <w:right w:val="single" w:sz="4" w:space="0" w:color="auto"/>
            </w:tcBorders>
            <w:vAlign w:val="center"/>
          </w:tcPr>
          <w:p w14:paraId="4BE61853" w14:textId="77777777" w:rsidR="00DD1F74" w:rsidRPr="00B1655D" w:rsidRDefault="00DD1F74" w:rsidP="008C6FD4">
            <w:pPr>
              <w:spacing w:line="240" w:lineRule="auto"/>
              <w:jc w:val="center"/>
              <w:rPr>
                <w:rFonts w:cs="Times New Roman"/>
                <w:szCs w:val="24"/>
              </w:rPr>
            </w:pPr>
          </w:p>
        </w:tc>
        <w:tc>
          <w:tcPr>
            <w:tcW w:w="3597" w:type="dxa"/>
            <w:tcBorders>
              <w:left w:val="single" w:sz="4" w:space="0" w:color="auto"/>
            </w:tcBorders>
            <w:vAlign w:val="center"/>
          </w:tcPr>
          <w:p w14:paraId="553FF8D9" w14:textId="77777777" w:rsidR="00DD1F74" w:rsidRPr="00B1655D" w:rsidRDefault="00DD1F74" w:rsidP="008C6FD4">
            <w:pPr>
              <w:spacing w:line="240" w:lineRule="auto"/>
              <w:jc w:val="center"/>
              <w:rPr>
                <w:rFonts w:cs="Times New Roman"/>
                <w:szCs w:val="24"/>
              </w:rPr>
            </w:pPr>
            <w:r w:rsidRPr="00B1655D">
              <w:rPr>
                <w:rFonts w:cs="Times New Roman"/>
                <w:szCs w:val="24"/>
              </w:rPr>
              <w:t>Ideal Gas</w:t>
            </w:r>
          </w:p>
        </w:tc>
        <w:tc>
          <w:tcPr>
            <w:tcW w:w="1439" w:type="dxa"/>
          </w:tcPr>
          <w:p w14:paraId="123A8EBA" w14:textId="77777777" w:rsidR="00DD1F74" w:rsidRPr="00B1655D" w:rsidRDefault="00DD1F74" w:rsidP="008C6FD4">
            <w:pPr>
              <w:spacing w:line="240" w:lineRule="auto"/>
              <w:jc w:val="center"/>
              <w:rPr>
                <w:rFonts w:cs="Times New Roman"/>
                <w:szCs w:val="24"/>
              </w:rPr>
            </w:pPr>
            <w:r w:rsidRPr="00B1655D">
              <w:rPr>
                <w:rFonts w:cs="Times New Roman"/>
                <w:szCs w:val="24"/>
              </w:rPr>
              <w:t>4.15</w:t>
            </w:r>
          </w:p>
        </w:tc>
        <w:tc>
          <w:tcPr>
            <w:tcW w:w="1439" w:type="dxa"/>
            <w:vAlign w:val="bottom"/>
          </w:tcPr>
          <w:p w14:paraId="6B822CA4" w14:textId="2E491FCD" w:rsidR="00DD1F74" w:rsidRPr="00B1655D" w:rsidRDefault="00DD1F74" w:rsidP="008C6FD4">
            <w:pPr>
              <w:spacing w:line="240" w:lineRule="auto"/>
              <w:jc w:val="center"/>
              <w:rPr>
                <w:rFonts w:cs="Times New Roman"/>
                <w:szCs w:val="24"/>
              </w:rPr>
            </w:pPr>
            <w:r>
              <w:rPr>
                <w:rFonts w:cs="Times New Roman"/>
                <w:szCs w:val="24"/>
              </w:rPr>
              <w:t>381.6</w:t>
            </w:r>
          </w:p>
        </w:tc>
      </w:tr>
      <w:tr w:rsidR="00DD1F74" w:rsidRPr="00B1655D" w14:paraId="38CFF756" w14:textId="77777777" w:rsidTr="008C6FD4">
        <w:trPr>
          <w:jc w:val="center"/>
        </w:trPr>
        <w:tc>
          <w:tcPr>
            <w:tcW w:w="803" w:type="dxa"/>
            <w:vMerge/>
            <w:tcBorders>
              <w:right w:val="single" w:sz="4" w:space="0" w:color="auto"/>
            </w:tcBorders>
            <w:vAlign w:val="center"/>
          </w:tcPr>
          <w:p w14:paraId="2653BADC" w14:textId="77777777" w:rsidR="00DD1F74" w:rsidRPr="00B1655D" w:rsidRDefault="00DD1F74" w:rsidP="008C6FD4">
            <w:pPr>
              <w:spacing w:line="240" w:lineRule="auto"/>
              <w:jc w:val="center"/>
              <w:rPr>
                <w:rFonts w:cs="Times New Roman"/>
                <w:szCs w:val="24"/>
              </w:rPr>
            </w:pPr>
          </w:p>
        </w:tc>
        <w:tc>
          <w:tcPr>
            <w:tcW w:w="3597" w:type="dxa"/>
            <w:tcBorders>
              <w:left w:val="single" w:sz="4" w:space="0" w:color="auto"/>
            </w:tcBorders>
            <w:vAlign w:val="center"/>
          </w:tcPr>
          <w:p w14:paraId="75345AEB" w14:textId="77777777" w:rsidR="00DD1F74" w:rsidRPr="00B1655D" w:rsidRDefault="00DD1F74" w:rsidP="008C6FD4">
            <w:pPr>
              <w:spacing w:line="240" w:lineRule="auto"/>
              <w:jc w:val="center"/>
              <w:rPr>
                <w:rFonts w:cs="Times New Roman"/>
                <w:szCs w:val="24"/>
              </w:rPr>
            </w:pPr>
            <w:r w:rsidRPr="00B1655D">
              <w:rPr>
                <w:rFonts w:cs="Times New Roman"/>
                <w:szCs w:val="24"/>
              </w:rPr>
              <w:t>Ideal Gas + Gravity</w:t>
            </w:r>
          </w:p>
        </w:tc>
        <w:tc>
          <w:tcPr>
            <w:tcW w:w="1439" w:type="dxa"/>
          </w:tcPr>
          <w:p w14:paraId="7490D0C5" w14:textId="77777777" w:rsidR="00DD1F74" w:rsidRPr="00B1655D" w:rsidRDefault="00DD1F74" w:rsidP="008C6FD4">
            <w:pPr>
              <w:spacing w:line="240" w:lineRule="auto"/>
              <w:jc w:val="center"/>
              <w:rPr>
                <w:rFonts w:cs="Times New Roman"/>
                <w:szCs w:val="24"/>
              </w:rPr>
            </w:pPr>
            <w:r w:rsidRPr="00B1655D">
              <w:rPr>
                <w:rFonts w:cs="Times New Roman"/>
                <w:szCs w:val="24"/>
              </w:rPr>
              <w:t>4.36</w:t>
            </w:r>
          </w:p>
        </w:tc>
        <w:tc>
          <w:tcPr>
            <w:tcW w:w="1439" w:type="dxa"/>
            <w:vAlign w:val="bottom"/>
          </w:tcPr>
          <w:p w14:paraId="72A608E1" w14:textId="0F1CC821" w:rsidR="00DD1F74" w:rsidRPr="00B1655D" w:rsidRDefault="00DD1F74" w:rsidP="008C6FD4">
            <w:pPr>
              <w:spacing w:line="240" w:lineRule="auto"/>
              <w:jc w:val="center"/>
              <w:rPr>
                <w:rFonts w:cs="Times New Roman"/>
                <w:szCs w:val="24"/>
              </w:rPr>
            </w:pPr>
            <w:r>
              <w:rPr>
                <w:rFonts w:cs="Times New Roman"/>
                <w:szCs w:val="24"/>
              </w:rPr>
              <w:t>330.2</w:t>
            </w:r>
          </w:p>
        </w:tc>
      </w:tr>
      <w:tr w:rsidR="00DD1F74" w:rsidRPr="00B1655D" w14:paraId="25469D2A" w14:textId="77777777" w:rsidTr="008C6FD4">
        <w:trPr>
          <w:jc w:val="center"/>
        </w:trPr>
        <w:tc>
          <w:tcPr>
            <w:tcW w:w="803" w:type="dxa"/>
            <w:vMerge/>
            <w:tcBorders>
              <w:right w:val="single" w:sz="4" w:space="0" w:color="auto"/>
            </w:tcBorders>
            <w:vAlign w:val="center"/>
          </w:tcPr>
          <w:p w14:paraId="1D505E4F" w14:textId="77777777" w:rsidR="00DD1F74" w:rsidRPr="00B1655D" w:rsidRDefault="00DD1F74" w:rsidP="008C6FD4">
            <w:pPr>
              <w:spacing w:line="240" w:lineRule="auto"/>
              <w:jc w:val="center"/>
              <w:rPr>
                <w:rFonts w:cs="Times New Roman"/>
                <w:szCs w:val="24"/>
              </w:rPr>
            </w:pPr>
          </w:p>
        </w:tc>
        <w:tc>
          <w:tcPr>
            <w:tcW w:w="3597" w:type="dxa"/>
            <w:tcBorders>
              <w:left w:val="single" w:sz="4" w:space="0" w:color="auto"/>
            </w:tcBorders>
            <w:vAlign w:val="center"/>
          </w:tcPr>
          <w:p w14:paraId="2F3EBBCA" w14:textId="77777777" w:rsidR="00DD1F74" w:rsidRPr="00B1655D" w:rsidRDefault="00DD1F74" w:rsidP="008C6FD4">
            <w:pPr>
              <w:spacing w:line="240" w:lineRule="auto"/>
              <w:jc w:val="center"/>
              <w:rPr>
                <w:rFonts w:cs="Times New Roman"/>
                <w:szCs w:val="24"/>
              </w:rPr>
            </w:pPr>
            <w:r w:rsidRPr="00B1655D">
              <w:rPr>
                <w:rFonts w:cs="Times New Roman"/>
                <w:szCs w:val="24"/>
              </w:rPr>
              <w:t>Real Gas</w:t>
            </w:r>
          </w:p>
        </w:tc>
        <w:tc>
          <w:tcPr>
            <w:tcW w:w="1439" w:type="dxa"/>
          </w:tcPr>
          <w:p w14:paraId="14B70BFA" w14:textId="77777777" w:rsidR="00DD1F74" w:rsidRPr="00B1655D" w:rsidRDefault="00DD1F74" w:rsidP="008C6FD4">
            <w:pPr>
              <w:spacing w:line="240" w:lineRule="auto"/>
              <w:jc w:val="center"/>
              <w:rPr>
                <w:rFonts w:cs="Times New Roman"/>
                <w:szCs w:val="24"/>
              </w:rPr>
            </w:pPr>
            <w:r w:rsidRPr="00B1655D">
              <w:rPr>
                <w:rFonts w:cs="Times New Roman"/>
                <w:szCs w:val="24"/>
              </w:rPr>
              <w:t>4.31</w:t>
            </w:r>
          </w:p>
        </w:tc>
        <w:tc>
          <w:tcPr>
            <w:tcW w:w="1439" w:type="dxa"/>
            <w:vAlign w:val="bottom"/>
          </w:tcPr>
          <w:p w14:paraId="4D533642" w14:textId="7A676025" w:rsidR="00DD1F74" w:rsidRPr="00B1655D" w:rsidRDefault="00DD1F74" w:rsidP="008C6FD4">
            <w:pPr>
              <w:spacing w:line="240" w:lineRule="auto"/>
              <w:jc w:val="center"/>
              <w:rPr>
                <w:rFonts w:cs="Times New Roman"/>
                <w:szCs w:val="24"/>
              </w:rPr>
            </w:pPr>
            <w:r>
              <w:rPr>
                <w:rFonts w:cs="Times New Roman"/>
                <w:szCs w:val="24"/>
              </w:rPr>
              <w:t>368.1</w:t>
            </w:r>
          </w:p>
        </w:tc>
      </w:tr>
      <w:tr w:rsidR="00DD1F74" w:rsidRPr="00B1655D" w14:paraId="490BEEF6" w14:textId="77777777" w:rsidTr="008C6FD4">
        <w:trPr>
          <w:jc w:val="center"/>
        </w:trPr>
        <w:tc>
          <w:tcPr>
            <w:tcW w:w="803" w:type="dxa"/>
            <w:vMerge/>
            <w:tcBorders>
              <w:right w:val="single" w:sz="4" w:space="0" w:color="auto"/>
            </w:tcBorders>
            <w:vAlign w:val="center"/>
          </w:tcPr>
          <w:p w14:paraId="21082495" w14:textId="77777777" w:rsidR="00DD1F74" w:rsidRPr="00B1655D" w:rsidRDefault="00DD1F74" w:rsidP="008C6FD4">
            <w:pPr>
              <w:spacing w:line="240" w:lineRule="auto"/>
              <w:jc w:val="center"/>
              <w:rPr>
                <w:rFonts w:cs="Times New Roman"/>
                <w:szCs w:val="24"/>
              </w:rPr>
            </w:pPr>
          </w:p>
        </w:tc>
        <w:tc>
          <w:tcPr>
            <w:tcW w:w="3597" w:type="dxa"/>
            <w:tcBorders>
              <w:left w:val="single" w:sz="4" w:space="0" w:color="auto"/>
            </w:tcBorders>
            <w:vAlign w:val="center"/>
          </w:tcPr>
          <w:p w14:paraId="5070372D" w14:textId="77777777" w:rsidR="00DD1F74" w:rsidRPr="00B1655D" w:rsidRDefault="00DD1F74" w:rsidP="008C6FD4">
            <w:pPr>
              <w:spacing w:line="240" w:lineRule="auto"/>
              <w:jc w:val="center"/>
              <w:rPr>
                <w:rFonts w:cs="Times New Roman"/>
                <w:szCs w:val="24"/>
              </w:rPr>
            </w:pPr>
            <w:r w:rsidRPr="00B1655D">
              <w:rPr>
                <w:rFonts w:cs="Times New Roman"/>
                <w:szCs w:val="24"/>
              </w:rPr>
              <w:t>Real Gas + Gravity</w:t>
            </w:r>
          </w:p>
        </w:tc>
        <w:tc>
          <w:tcPr>
            <w:tcW w:w="1439" w:type="dxa"/>
          </w:tcPr>
          <w:p w14:paraId="7C01AB63" w14:textId="77777777" w:rsidR="00DD1F74" w:rsidRPr="00B1655D" w:rsidRDefault="00DD1F74" w:rsidP="008C6FD4">
            <w:pPr>
              <w:spacing w:line="240" w:lineRule="auto"/>
              <w:jc w:val="center"/>
              <w:rPr>
                <w:rFonts w:cs="Times New Roman"/>
                <w:szCs w:val="24"/>
              </w:rPr>
            </w:pPr>
            <w:r w:rsidRPr="00B1655D">
              <w:rPr>
                <w:rFonts w:cs="Times New Roman"/>
                <w:szCs w:val="24"/>
              </w:rPr>
              <w:t>4.37</w:t>
            </w:r>
          </w:p>
        </w:tc>
        <w:tc>
          <w:tcPr>
            <w:tcW w:w="1439" w:type="dxa"/>
            <w:vAlign w:val="bottom"/>
          </w:tcPr>
          <w:p w14:paraId="6718E056" w14:textId="2736FBF3" w:rsidR="00DD1F74" w:rsidRPr="00B1655D" w:rsidRDefault="00DD1F74" w:rsidP="008C6FD4">
            <w:pPr>
              <w:spacing w:line="240" w:lineRule="auto"/>
              <w:jc w:val="center"/>
              <w:rPr>
                <w:rFonts w:cs="Times New Roman"/>
                <w:szCs w:val="24"/>
              </w:rPr>
            </w:pPr>
            <w:r>
              <w:rPr>
                <w:rFonts w:cs="Times New Roman"/>
                <w:szCs w:val="24"/>
              </w:rPr>
              <w:t>316.7</w:t>
            </w:r>
          </w:p>
        </w:tc>
      </w:tr>
    </w:tbl>
    <w:p w14:paraId="3CF2B3BA" w14:textId="78440097" w:rsidR="00B92BF4" w:rsidRDefault="00B92BF4" w:rsidP="005024BB">
      <w:pPr>
        <w:ind w:firstLine="720"/>
      </w:pPr>
    </w:p>
    <w:p w14:paraId="26D88BAE" w14:textId="28382AA1" w:rsidR="00F04060" w:rsidRDefault="00F04060" w:rsidP="003E1B51">
      <w:pPr>
        <w:pStyle w:val="Heading3"/>
      </w:pPr>
      <w:bookmarkStart w:id="118" w:name="_Toc67566057"/>
      <w:r>
        <w:t>Verification of Models</w:t>
      </w:r>
      <w:bookmarkEnd w:id="118"/>
    </w:p>
    <w:p w14:paraId="0DC82A6C" w14:textId="418B2BEC" w:rsidR="007A58B4" w:rsidRPr="007A58B4" w:rsidRDefault="007A58B4" w:rsidP="004C3C6B">
      <w:pPr>
        <w:ind w:firstLine="720"/>
      </w:pPr>
      <w:r>
        <w:t xml:space="preserve">The </w:t>
      </w:r>
      <w:r w:rsidRPr="00B92BF4">
        <w:t>verification of the models are presented in three sections. The first section</w:t>
      </w:r>
      <w:r w:rsidR="004C3C6B" w:rsidRPr="00B92BF4">
        <w:t xml:space="preserve"> (Section 5.2.1)</w:t>
      </w:r>
      <w:r w:rsidRPr="00B92BF4">
        <w:t xml:space="preserve"> validates the analytical gas flow equations</w:t>
      </w:r>
      <w:r w:rsidR="00E05CE9" w:rsidRPr="00B92BF4">
        <w:t xml:space="preserve"> (Equation 4.1</w:t>
      </w:r>
      <w:r w:rsidR="002C109A" w:rsidRPr="00B92BF4">
        <w:t>5</w:t>
      </w:r>
      <w:r w:rsidR="00E05CE9" w:rsidRPr="00B92BF4">
        <w:t xml:space="preserve"> and 4.3</w:t>
      </w:r>
      <w:r w:rsidR="002C109A" w:rsidRPr="00B92BF4">
        <w:t>1</w:t>
      </w:r>
      <w:r w:rsidR="00E05CE9" w:rsidRPr="00B92BF4">
        <w:t>)</w:t>
      </w:r>
      <w:r w:rsidRPr="00B92BF4">
        <w:t xml:space="preserve"> </w:t>
      </w:r>
      <w:r w:rsidR="0098409D" w:rsidRPr="00B92BF4">
        <w:t>with experimental data from Corina et al. (2019)</w:t>
      </w:r>
      <w:r w:rsidR="004C3C6B" w:rsidRPr="00B92BF4">
        <w:t>. Section 5.2.2 compares the near wellbore stress distribution</w:t>
      </w:r>
      <w:r w:rsidR="0098409D" w:rsidRPr="00B92BF4">
        <w:t xml:space="preserve"> of the FEA stress continuum model</w:t>
      </w:r>
      <w:r w:rsidR="004C3C6B" w:rsidRPr="00B92BF4">
        <w:t xml:space="preserve"> with the thick wall cylinder and Kirsch solution to show that the</w:t>
      </w:r>
      <w:r w:rsidR="00E05CE9" w:rsidRPr="00B92BF4">
        <w:t xml:space="preserve"> modeling</w:t>
      </w:r>
      <w:r w:rsidR="004C3C6B" w:rsidRPr="00B92BF4">
        <w:t xml:space="preserve"> approach used is accurate. Finally, Section 5.2.3 </w:t>
      </w:r>
      <w:r w:rsidR="0098409D" w:rsidRPr="00B92BF4">
        <w:t>compares</w:t>
      </w:r>
      <w:r w:rsidR="0098409D">
        <w:t xml:space="preserve"> the FEA fracture model’s pressure drops and resulting microannuli with experimental data from Aas et al. (2016).</w:t>
      </w:r>
      <w:r w:rsidR="004C3C6B">
        <w:t xml:space="preserve"> </w:t>
      </w:r>
    </w:p>
    <w:p w14:paraId="14289DEE" w14:textId="6781A9BD" w:rsidR="00F04060" w:rsidRPr="006348F1" w:rsidRDefault="00E42A37" w:rsidP="003E1B51">
      <w:pPr>
        <w:pStyle w:val="Heading4"/>
      </w:pPr>
      <w:r w:rsidRPr="00EC4221">
        <w:t>Fluid Flow Models versus Cemented Wellbore Experiments</w:t>
      </w:r>
    </w:p>
    <w:p w14:paraId="679BF86A" w14:textId="3CD8A305" w:rsidR="005024BB" w:rsidRDefault="00DC72FC" w:rsidP="005024BB">
      <w:pPr>
        <w:ind w:firstLine="720"/>
      </w:pPr>
      <w:r>
        <w:t xml:space="preserve">The experimental verification of the developed gas flow equations (ideal and real) is presented in this section. </w:t>
      </w:r>
      <w:r w:rsidR="00E42A37">
        <w:t xml:space="preserve">The </w:t>
      </w:r>
      <w:r w:rsidR="00E42A37" w:rsidRPr="00B92BF4">
        <w:t>ideal gas flow equation (Equation 4.1</w:t>
      </w:r>
      <w:r w:rsidR="002C109A" w:rsidRPr="00B92BF4">
        <w:t>5</w:t>
      </w:r>
      <w:r w:rsidR="00E42A37" w:rsidRPr="00B92BF4">
        <w:t>) and real gas flow equation (Equation 4.3</w:t>
      </w:r>
      <w:r w:rsidR="002C109A" w:rsidRPr="00B92BF4">
        <w:t>1</w:t>
      </w:r>
      <w:r w:rsidR="00E42A37" w:rsidRPr="00B92BF4">
        <w:t xml:space="preserve">) </w:t>
      </w:r>
      <w:r w:rsidR="00985556" w:rsidRPr="00B92BF4">
        <w:t>used the pressure differential (</w:t>
      </w:r>
      <m:oMath>
        <m:r>
          <m:rPr>
            <m:sty m:val="p"/>
          </m:rPr>
          <w:rPr>
            <w:rFonts w:ascii="Cambria Math" w:hAnsi="Cambria Math"/>
          </w:rPr>
          <m:t>Δ</m:t>
        </m:r>
        <m:r>
          <w:rPr>
            <w:rFonts w:ascii="Cambria Math" w:hAnsi="Cambria Math"/>
          </w:rPr>
          <m:t>P</m:t>
        </m:r>
      </m:oMath>
      <w:r w:rsidR="00985556" w:rsidRPr="00B92BF4">
        <w:rPr>
          <w:rFonts w:eastAsiaTheme="minorEastAsia"/>
        </w:rPr>
        <w:t>)</w:t>
      </w:r>
      <w:r w:rsidR="00985556" w:rsidRPr="00B92BF4">
        <w:t xml:space="preserve"> and flow rate data from Corina et al. (2019) to predict the corresponding microannuli. A comparison of the </w:t>
      </w:r>
      <w:r w:rsidR="0098409D" w:rsidRPr="00B92BF4">
        <w:t>predicted</w:t>
      </w:r>
      <w:r w:rsidR="0098409D">
        <w:t xml:space="preserve"> microannuli from the </w:t>
      </w:r>
      <w:r w:rsidR="00985556">
        <w:t xml:space="preserve">ideal gas </w:t>
      </w:r>
      <w:r w:rsidR="0098409D">
        <w:t>(</w:t>
      </w:r>
      <w:r w:rsidR="000D7109">
        <w:t xml:space="preserve">solid line) </w:t>
      </w:r>
      <w:r w:rsidR="005024BB">
        <w:t>and real gas</w:t>
      </w:r>
      <w:r w:rsidR="0098409D">
        <w:t xml:space="preserve"> (</w:t>
      </w:r>
      <w:r w:rsidR="0098409D">
        <w:rPr>
          <w:rFonts w:eastAsiaTheme="minorEastAsia"/>
        </w:rPr>
        <w:t xml:space="preserve">dashed </w:t>
      </w:r>
      <w:r w:rsidR="0098409D" w:rsidRPr="00B92BF4">
        <w:rPr>
          <w:rFonts w:eastAsiaTheme="minorEastAsia"/>
        </w:rPr>
        <w:t>line)</w:t>
      </w:r>
      <w:r w:rsidR="0098409D" w:rsidRPr="00B92BF4">
        <w:t xml:space="preserve"> equations</w:t>
      </w:r>
      <w:r w:rsidR="00985556" w:rsidRPr="00B92BF4">
        <w:t xml:space="preserve"> </w:t>
      </w:r>
      <w:r w:rsidR="0098409D" w:rsidRPr="00B92BF4">
        <w:t xml:space="preserve">are </w:t>
      </w:r>
      <w:r w:rsidR="005024BB" w:rsidRPr="00B92BF4">
        <w:t>shown in Figure 5.1 for microannuli (</w:t>
      </w:r>
      <m:oMath>
        <m:r>
          <w:rPr>
            <w:rFonts w:ascii="Cambria Math" w:hAnsi="Cambria Math"/>
          </w:rPr>
          <m:t>w</m:t>
        </m:r>
      </m:oMath>
      <w:r w:rsidR="005024BB" w:rsidRPr="00B92BF4">
        <w:rPr>
          <w:rFonts w:eastAsiaTheme="minorEastAsia"/>
        </w:rPr>
        <w:t xml:space="preserve">) versus flow rate and in Figure 5.2 for </w:t>
      </w:r>
      <w:r w:rsidR="005024BB" w:rsidRPr="00B92BF4">
        <w:t>microannuli</w:t>
      </w:r>
      <w:r w:rsidR="005024BB">
        <w:t xml:space="preserve"> (</w:t>
      </w:r>
      <m:oMath>
        <m:r>
          <w:rPr>
            <w:rFonts w:ascii="Cambria Math" w:hAnsi="Cambria Math"/>
          </w:rPr>
          <m:t>w</m:t>
        </m:r>
      </m:oMath>
      <w:r w:rsidR="005024BB">
        <w:rPr>
          <w:rFonts w:eastAsiaTheme="minorEastAsia"/>
        </w:rPr>
        <w:t>) versus pressure differential (</w:t>
      </w:r>
      <m:oMath>
        <m:r>
          <m:rPr>
            <m:sty m:val="p"/>
          </m:rPr>
          <w:rPr>
            <w:rFonts w:ascii="Cambria Math" w:eastAsiaTheme="minorEastAsia" w:hAnsi="Cambria Math"/>
          </w:rPr>
          <m:t>Δ</m:t>
        </m:r>
        <m:r>
          <w:rPr>
            <w:rFonts w:ascii="Cambria Math" w:eastAsiaTheme="minorEastAsia" w:hAnsi="Cambria Math"/>
          </w:rPr>
          <m:t>P</m:t>
        </m:r>
      </m:oMath>
      <w:r w:rsidR="005024BB">
        <w:rPr>
          <w:rFonts w:eastAsiaTheme="minorEastAsia"/>
        </w:rPr>
        <w:t>)</w:t>
      </w:r>
      <w:r w:rsidR="005024BB">
        <w:t xml:space="preserve">. </w:t>
      </w:r>
      <w:r w:rsidR="00113D0D">
        <w:t>As shown in the figures, the real and ideal gas variations have little deviation from each other.</w:t>
      </w:r>
    </w:p>
    <w:p w14:paraId="6595FB88" w14:textId="77777777" w:rsidR="005024BB" w:rsidRDefault="005024BB" w:rsidP="00BC23AD">
      <w:pPr>
        <w:pStyle w:val="NoSpacing"/>
      </w:pPr>
      <w:r>
        <w:rPr>
          <w:noProof/>
        </w:rPr>
        <w:lastRenderedPageBreak/>
        <w:drawing>
          <wp:inline distT="0" distB="0" distL="0" distR="0" wp14:anchorId="522F8C1E" wp14:editId="051F46F3">
            <wp:extent cx="4572635" cy="27432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45DF885E" w14:textId="17C8DC3C" w:rsidR="005024BB" w:rsidRDefault="005024BB" w:rsidP="00BC23AD">
      <w:pPr>
        <w:pStyle w:val="Caption"/>
      </w:pPr>
      <w:bookmarkStart w:id="119" w:name="_Toc67566229"/>
      <w:r>
        <w:t xml:space="preserve">Figure </w:t>
      </w:r>
      <w:r w:rsidR="00077C0B">
        <w:fldChar w:fldCharType="begin"/>
      </w:r>
      <w:r w:rsidR="00077C0B">
        <w:instrText xml:space="preserve"> STYLEREF 1 \s </w:instrText>
      </w:r>
      <w:r w:rsidR="00077C0B">
        <w:fldChar w:fldCharType="separate"/>
      </w:r>
      <w:r w:rsidR="0006023A">
        <w:rPr>
          <w:noProof/>
        </w:rPr>
        <w:t>5</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1</w:t>
      </w:r>
      <w:r w:rsidR="00077C0B">
        <w:rPr>
          <w:noProof/>
        </w:rPr>
        <w:fldChar w:fldCharType="end"/>
      </w:r>
      <w:r>
        <w:t>: Microannuli (</w:t>
      </w:r>
      <m:oMath>
        <m:r>
          <m:rPr>
            <m:sty m:val="bi"/>
          </m:rPr>
          <w:rPr>
            <w:rFonts w:ascii="Cambria Math" w:hAnsi="Cambria Math"/>
          </w:rPr>
          <m:t>w</m:t>
        </m:r>
      </m:oMath>
      <w:r>
        <w:rPr>
          <w:rFonts w:eastAsiaTheme="minorEastAsia"/>
        </w:rPr>
        <w:t>) versus flow rate</w:t>
      </w:r>
      <w:r>
        <w:t xml:space="preserve"> for the developed real and ideal gas flow equations</w:t>
      </w:r>
      <w:r w:rsidR="00B92BF4">
        <w:t xml:space="preserve"> (Equation 4.15 and Equation 4.31, respectively)</w:t>
      </w:r>
      <w:r>
        <w:t xml:space="preserve"> using experimental data from Corina et al. (2019).</w:t>
      </w:r>
      <w:r w:rsidR="00E77ED4">
        <w:t xml:space="preserve"> The difference between the real and ideal gas flow equations is a maximum of 0.04%, 0.25%, and 0.50% for SF120, SF66, and SF120EA, respectively.</w:t>
      </w:r>
      <w:bookmarkEnd w:id="119"/>
    </w:p>
    <w:p w14:paraId="4E42C362" w14:textId="77777777" w:rsidR="005024BB" w:rsidRDefault="005024BB" w:rsidP="00BC23AD">
      <w:pPr>
        <w:pStyle w:val="NoSpacing"/>
      </w:pPr>
      <w:r>
        <w:rPr>
          <w:noProof/>
        </w:rPr>
        <w:drawing>
          <wp:inline distT="0" distB="0" distL="0" distR="0" wp14:anchorId="1BF188E9" wp14:editId="1C1E01B4">
            <wp:extent cx="4572635" cy="27432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724E7857" w14:textId="3CF85F51" w:rsidR="005024BB" w:rsidRDefault="005024BB" w:rsidP="00BC23AD">
      <w:pPr>
        <w:pStyle w:val="Caption"/>
      </w:pPr>
      <w:bookmarkStart w:id="120" w:name="_Toc67566230"/>
      <w:r>
        <w:t xml:space="preserve">Figure </w:t>
      </w:r>
      <w:r w:rsidR="00077C0B">
        <w:fldChar w:fldCharType="begin"/>
      </w:r>
      <w:r w:rsidR="00077C0B">
        <w:instrText xml:space="preserve"> STYLEREF 1 \s </w:instrText>
      </w:r>
      <w:r w:rsidR="00077C0B">
        <w:fldChar w:fldCharType="separate"/>
      </w:r>
      <w:r w:rsidR="0006023A">
        <w:rPr>
          <w:noProof/>
        </w:rPr>
        <w:t>5</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2</w:t>
      </w:r>
      <w:r w:rsidR="00077C0B">
        <w:rPr>
          <w:noProof/>
        </w:rPr>
        <w:fldChar w:fldCharType="end"/>
      </w:r>
      <w:r>
        <w:t>:</w:t>
      </w:r>
      <w:r w:rsidRPr="00957A9A">
        <w:t xml:space="preserve"> </w:t>
      </w:r>
      <w:r>
        <w:t>Microannuli (</w:t>
      </w:r>
      <m:oMath>
        <m:r>
          <m:rPr>
            <m:sty m:val="bi"/>
          </m:rPr>
          <w:rPr>
            <w:rFonts w:ascii="Cambria Math" w:hAnsi="Cambria Math"/>
          </w:rPr>
          <m:t>w</m:t>
        </m:r>
      </m:oMath>
      <w:r>
        <w:rPr>
          <w:rFonts w:eastAsiaTheme="minorEastAsia"/>
        </w:rPr>
        <w:t>) versus pressure differential (</w:t>
      </w:r>
      <m:oMath>
        <m:r>
          <m:rPr>
            <m:sty m:val="b"/>
          </m:rPr>
          <w:rPr>
            <w:rFonts w:ascii="Cambria Math" w:eastAsiaTheme="minorEastAsia" w:hAnsi="Cambria Math"/>
          </w:rPr>
          <m:t>Δ</m:t>
        </m:r>
        <m:r>
          <m:rPr>
            <m:sty m:val="bi"/>
          </m:rPr>
          <w:rPr>
            <w:rFonts w:ascii="Cambria Math" w:eastAsiaTheme="minorEastAsia" w:hAnsi="Cambria Math"/>
          </w:rPr>
          <m:t>P</m:t>
        </m:r>
      </m:oMath>
      <w:r>
        <w:rPr>
          <w:rFonts w:eastAsiaTheme="minorEastAsia"/>
        </w:rPr>
        <w:t xml:space="preserve">) </w:t>
      </w:r>
      <w:r>
        <w:t>for the developed real and ideal gas flow equations</w:t>
      </w:r>
      <w:r w:rsidR="00B92BF4">
        <w:t xml:space="preserve"> (Equation 4.15 and Equation 4.31, respectively)</w:t>
      </w:r>
      <w:r>
        <w:t xml:space="preserve"> using experimental data from Corina et al. (2019).</w:t>
      </w:r>
      <w:r w:rsidR="00E77ED4">
        <w:t xml:space="preserve"> The difference between the real and ideal gas flow equations is a maximum of 0.04%, 0.25%, and 0.50% for SF120, SF66, and SF120EA, respectively.</w:t>
      </w:r>
      <w:bookmarkEnd w:id="120"/>
    </w:p>
    <w:p w14:paraId="476B9778" w14:textId="5428AB03" w:rsidR="005024BB" w:rsidRPr="00957A9A" w:rsidRDefault="005024BB" w:rsidP="005024BB">
      <w:r>
        <w:t xml:space="preserve"> </w:t>
      </w:r>
      <w:r>
        <w:tab/>
      </w:r>
      <w:r w:rsidR="00985556">
        <w:t xml:space="preserve">To quantify the maximum </w:t>
      </w:r>
      <w:r w:rsidR="00985556" w:rsidRPr="00B92BF4">
        <w:t xml:space="preserve">deviation, </w:t>
      </w:r>
      <w:r w:rsidRPr="00B92BF4">
        <w:t>Table 5.</w:t>
      </w:r>
      <w:r w:rsidR="008C6FD4">
        <w:t>3</w:t>
      </w:r>
      <w:r w:rsidRPr="00B92BF4">
        <w:t xml:space="preserve"> </w:t>
      </w:r>
      <w:r w:rsidR="00985556" w:rsidRPr="00B92BF4">
        <w:t>lists</w:t>
      </w:r>
      <w:r w:rsidRPr="00B92BF4">
        <w:t xml:space="preserve"> the maximum percent difference</w:t>
      </w:r>
      <w:r w:rsidR="00985556" w:rsidRPr="00B92BF4">
        <w:t xml:space="preserve"> of </w:t>
      </w:r>
      <w:r w:rsidR="00113D0D" w:rsidRPr="00B92BF4">
        <w:t>the microannuli</w:t>
      </w:r>
      <w:r w:rsidR="00E42A37" w:rsidRPr="00B92BF4">
        <w:t xml:space="preserve"> from the real gas equation (Equation 4.3</w:t>
      </w:r>
      <w:r w:rsidR="002C109A" w:rsidRPr="00B92BF4">
        <w:t>1</w:t>
      </w:r>
      <w:r w:rsidR="00E42A37" w:rsidRPr="00B92BF4">
        <w:t>) and the ideal gas equation (Equation 4.1</w:t>
      </w:r>
      <w:r w:rsidR="002C109A" w:rsidRPr="00B92BF4">
        <w:t>5</w:t>
      </w:r>
      <w:r w:rsidR="00E42A37" w:rsidRPr="00B92BF4">
        <w:t>)</w:t>
      </w:r>
      <w:r w:rsidR="00986833" w:rsidRPr="00B92BF4">
        <w:t xml:space="preserve"> </w:t>
      </w:r>
      <w:r w:rsidR="00E42A37" w:rsidRPr="00B92BF4">
        <w:t>shown in Figures 5.1 and 5.2</w:t>
      </w:r>
      <w:r w:rsidR="00986833" w:rsidRPr="00B92BF4">
        <w:t xml:space="preserve">. The maximum </w:t>
      </w:r>
      <w:r w:rsidRPr="00B92BF4">
        <w:t>differen</w:t>
      </w:r>
      <w:r>
        <w:t>ce</w:t>
      </w:r>
      <w:r w:rsidR="00E42A37">
        <w:t xml:space="preserve"> of all three cement mixtures</w:t>
      </w:r>
      <w:r>
        <w:t xml:space="preserve"> is 0.5% for SF120EA</w:t>
      </w:r>
      <w:r w:rsidR="009E6EC7">
        <w:t xml:space="preserve">. The compressibility of methane at 2.0 MPa at 66 °C and 120 °C is 0.979 and 0.997, </w:t>
      </w:r>
      <w:r w:rsidR="009E6EC7">
        <w:lastRenderedPageBreak/>
        <w:t xml:space="preserve">respectively. </w:t>
      </w:r>
      <w:r w:rsidR="00113D0D">
        <w:rPr>
          <w:rFonts w:eastAsiaTheme="minorEastAsia"/>
        </w:rPr>
        <w:t>Since the compressibility of methane at these conditions is negligible</w:t>
      </w:r>
      <w:r>
        <w:rPr>
          <w:rFonts w:eastAsiaTheme="minorEastAsia"/>
        </w:rPr>
        <w:t>, the ideal gas flow equation will be used</w:t>
      </w:r>
      <w:r w:rsidR="00113D0D">
        <w:rPr>
          <w:rFonts w:eastAsiaTheme="minorEastAsia"/>
        </w:rPr>
        <w:t xml:space="preserve"> in this section</w:t>
      </w:r>
      <w:r w:rsidR="009E6EC7">
        <w:rPr>
          <w:rFonts w:eastAsiaTheme="minorEastAsia"/>
        </w:rPr>
        <w:t xml:space="preserve"> to compare </w:t>
      </w:r>
      <w:r w:rsidR="0098409D">
        <w:rPr>
          <w:rFonts w:eastAsiaTheme="minorEastAsia"/>
        </w:rPr>
        <w:t>with</w:t>
      </w:r>
      <w:r w:rsidR="009E6EC7">
        <w:rPr>
          <w:rFonts w:eastAsiaTheme="minorEastAsia"/>
        </w:rPr>
        <w:t xml:space="preserve"> Corina et al.’s (2020) microannuli results</w:t>
      </w:r>
      <w:r>
        <w:rPr>
          <w:rFonts w:eastAsiaTheme="minorEastAsia"/>
        </w:rPr>
        <w:t>.</w:t>
      </w:r>
    </w:p>
    <w:p w14:paraId="059EA5CC" w14:textId="76B601BD" w:rsidR="005024BB" w:rsidRDefault="005024BB" w:rsidP="00BC23AD">
      <w:pPr>
        <w:pStyle w:val="Caption"/>
      </w:pPr>
      <w:bookmarkStart w:id="121" w:name="_Toc67566098"/>
      <w:r>
        <w:t xml:space="preserve">Table </w:t>
      </w:r>
      <w:r w:rsidR="00077C0B">
        <w:fldChar w:fldCharType="begin"/>
      </w:r>
      <w:r w:rsidR="00077C0B">
        <w:instrText xml:space="preserve"> STYLEREF 1 \s </w:instrText>
      </w:r>
      <w:r w:rsidR="00077C0B">
        <w:fldChar w:fldCharType="separate"/>
      </w:r>
      <w:r w:rsidR="0006023A">
        <w:rPr>
          <w:noProof/>
        </w:rPr>
        <w:t>5</w:t>
      </w:r>
      <w:r w:rsidR="00077C0B">
        <w:rPr>
          <w:noProof/>
        </w:rPr>
        <w:fldChar w:fldCharType="end"/>
      </w:r>
      <w:r w:rsidR="00DD1F74">
        <w:t>.</w:t>
      </w:r>
      <w:r w:rsidR="00077C0B">
        <w:fldChar w:fldCharType="begin"/>
      </w:r>
      <w:r w:rsidR="00077C0B">
        <w:instrText xml:space="preserve"> SEQ Table \* ARA</w:instrText>
      </w:r>
      <w:r w:rsidR="00077C0B">
        <w:instrText xml:space="preserve">BIC \s 1 </w:instrText>
      </w:r>
      <w:r w:rsidR="00077C0B">
        <w:fldChar w:fldCharType="separate"/>
      </w:r>
      <w:r w:rsidR="0006023A">
        <w:rPr>
          <w:noProof/>
        </w:rPr>
        <w:t>3</w:t>
      </w:r>
      <w:r w:rsidR="00077C0B">
        <w:rPr>
          <w:noProof/>
        </w:rPr>
        <w:fldChar w:fldCharType="end"/>
      </w:r>
      <w:r>
        <w:t>: Maximum percent difference (% Diff.) of the variation between the real and ideal gas flow.</w:t>
      </w:r>
      <w:bookmarkEnd w:id="121"/>
    </w:p>
    <w:tbl>
      <w:tblPr>
        <w:tblW w:w="2603" w:type="dxa"/>
        <w:jc w:val="center"/>
        <w:tblLook w:val="04A0" w:firstRow="1" w:lastRow="0" w:firstColumn="1" w:lastColumn="0" w:noHBand="0" w:noVBand="1"/>
      </w:tblPr>
      <w:tblGrid>
        <w:gridCol w:w="1163"/>
        <w:gridCol w:w="1440"/>
      </w:tblGrid>
      <w:tr w:rsidR="005024BB" w:rsidRPr="00957A9A" w14:paraId="3745E8FA" w14:textId="77777777" w:rsidTr="003A4913">
        <w:trPr>
          <w:trHeight w:val="300"/>
          <w:jc w:val="center"/>
        </w:trPr>
        <w:tc>
          <w:tcPr>
            <w:tcW w:w="1163" w:type="dxa"/>
            <w:tcBorders>
              <w:top w:val="nil"/>
              <w:left w:val="nil"/>
              <w:bottom w:val="single" w:sz="4" w:space="0" w:color="auto"/>
              <w:right w:val="nil"/>
            </w:tcBorders>
            <w:shd w:val="clear" w:color="auto" w:fill="auto"/>
            <w:noWrap/>
            <w:vAlign w:val="center"/>
            <w:hideMark/>
          </w:tcPr>
          <w:p w14:paraId="324B365D" w14:textId="77777777" w:rsidR="005024BB" w:rsidRPr="00957A9A" w:rsidRDefault="005024BB" w:rsidP="003A4913">
            <w:pPr>
              <w:spacing w:line="240" w:lineRule="auto"/>
              <w:jc w:val="center"/>
              <w:rPr>
                <w:rFonts w:eastAsia="Times New Roman" w:cs="Times New Roman"/>
                <w:color w:val="000000"/>
              </w:rPr>
            </w:pPr>
            <w:r w:rsidRPr="00957A9A">
              <w:rPr>
                <w:rFonts w:eastAsia="Times New Roman" w:cs="Times New Roman"/>
                <w:color w:val="000000"/>
              </w:rPr>
              <w:t>Mixture</w:t>
            </w:r>
          </w:p>
        </w:tc>
        <w:tc>
          <w:tcPr>
            <w:tcW w:w="1440" w:type="dxa"/>
            <w:tcBorders>
              <w:top w:val="nil"/>
              <w:left w:val="nil"/>
              <w:bottom w:val="single" w:sz="4" w:space="0" w:color="auto"/>
              <w:right w:val="nil"/>
            </w:tcBorders>
            <w:shd w:val="clear" w:color="auto" w:fill="auto"/>
            <w:noWrap/>
            <w:vAlign w:val="center"/>
            <w:hideMark/>
          </w:tcPr>
          <w:p w14:paraId="0A714A8E" w14:textId="77777777" w:rsidR="005024BB" w:rsidRPr="00957A9A" w:rsidRDefault="005024BB" w:rsidP="003A4913">
            <w:pPr>
              <w:spacing w:line="240" w:lineRule="auto"/>
              <w:jc w:val="center"/>
              <w:rPr>
                <w:rFonts w:eastAsia="Times New Roman" w:cs="Times New Roman"/>
                <w:color w:val="000000"/>
              </w:rPr>
            </w:pPr>
            <w:r w:rsidRPr="00957A9A">
              <w:rPr>
                <w:rFonts w:eastAsia="Times New Roman" w:cs="Times New Roman"/>
                <w:color w:val="000000"/>
              </w:rPr>
              <w:t>Max % Diff.</w:t>
            </w:r>
          </w:p>
        </w:tc>
      </w:tr>
      <w:tr w:rsidR="005024BB" w:rsidRPr="00957A9A" w14:paraId="7FD4DD26" w14:textId="77777777" w:rsidTr="003A4913">
        <w:trPr>
          <w:trHeight w:val="300"/>
          <w:jc w:val="center"/>
        </w:trPr>
        <w:tc>
          <w:tcPr>
            <w:tcW w:w="1163" w:type="dxa"/>
            <w:tcBorders>
              <w:top w:val="single" w:sz="4" w:space="0" w:color="auto"/>
              <w:left w:val="nil"/>
              <w:bottom w:val="nil"/>
              <w:right w:val="nil"/>
            </w:tcBorders>
            <w:shd w:val="clear" w:color="auto" w:fill="auto"/>
            <w:noWrap/>
            <w:vAlign w:val="center"/>
            <w:hideMark/>
          </w:tcPr>
          <w:p w14:paraId="10078BED" w14:textId="77777777" w:rsidR="005024BB" w:rsidRPr="00957A9A" w:rsidRDefault="005024BB" w:rsidP="003A4913">
            <w:pPr>
              <w:spacing w:line="240" w:lineRule="auto"/>
              <w:jc w:val="center"/>
              <w:rPr>
                <w:rFonts w:eastAsia="Times New Roman" w:cs="Times New Roman"/>
                <w:color w:val="000000"/>
              </w:rPr>
            </w:pPr>
            <w:r w:rsidRPr="00957A9A">
              <w:rPr>
                <w:rFonts w:eastAsia="Times New Roman" w:cs="Times New Roman"/>
                <w:color w:val="000000"/>
              </w:rPr>
              <w:t>SF120</w:t>
            </w:r>
          </w:p>
        </w:tc>
        <w:tc>
          <w:tcPr>
            <w:tcW w:w="1440" w:type="dxa"/>
            <w:tcBorders>
              <w:top w:val="single" w:sz="4" w:space="0" w:color="auto"/>
              <w:left w:val="nil"/>
              <w:bottom w:val="nil"/>
              <w:right w:val="nil"/>
            </w:tcBorders>
            <w:shd w:val="clear" w:color="auto" w:fill="auto"/>
            <w:noWrap/>
            <w:vAlign w:val="center"/>
            <w:hideMark/>
          </w:tcPr>
          <w:p w14:paraId="0C8FB30E" w14:textId="77777777" w:rsidR="005024BB" w:rsidRPr="00957A9A" w:rsidRDefault="005024BB" w:rsidP="003A4913">
            <w:pPr>
              <w:spacing w:line="240" w:lineRule="auto"/>
              <w:jc w:val="center"/>
              <w:rPr>
                <w:rFonts w:eastAsia="Times New Roman" w:cs="Times New Roman"/>
                <w:color w:val="000000"/>
              </w:rPr>
            </w:pPr>
            <w:r w:rsidRPr="00957A9A">
              <w:rPr>
                <w:rFonts w:eastAsia="Times New Roman" w:cs="Times New Roman"/>
                <w:color w:val="000000"/>
              </w:rPr>
              <w:t>0.04%</w:t>
            </w:r>
          </w:p>
        </w:tc>
      </w:tr>
      <w:tr w:rsidR="005024BB" w:rsidRPr="00957A9A" w14:paraId="607BB71B" w14:textId="77777777" w:rsidTr="003A4913">
        <w:trPr>
          <w:trHeight w:val="300"/>
          <w:jc w:val="center"/>
        </w:trPr>
        <w:tc>
          <w:tcPr>
            <w:tcW w:w="1163" w:type="dxa"/>
            <w:tcBorders>
              <w:top w:val="nil"/>
              <w:left w:val="nil"/>
              <w:bottom w:val="nil"/>
              <w:right w:val="nil"/>
            </w:tcBorders>
            <w:shd w:val="clear" w:color="auto" w:fill="auto"/>
            <w:noWrap/>
            <w:vAlign w:val="center"/>
            <w:hideMark/>
          </w:tcPr>
          <w:p w14:paraId="2434FC6F" w14:textId="77777777" w:rsidR="005024BB" w:rsidRPr="00957A9A" w:rsidRDefault="005024BB" w:rsidP="003A4913">
            <w:pPr>
              <w:spacing w:line="240" w:lineRule="auto"/>
              <w:jc w:val="center"/>
              <w:rPr>
                <w:rFonts w:eastAsia="Times New Roman" w:cs="Times New Roman"/>
                <w:color w:val="000000"/>
              </w:rPr>
            </w:pPr>
            <w:r w:rsidRPr="00957A9A">
              <w:rPr>
                <w:rFonts w:eastAsia="Times New Roman" w:cs="Times New Roman"/>
                <w:color w:val="000000"/>
              </w:rPr>
              <w:t>SF66</w:t>
            </w:r>
          </w:p>
        </w:tc>
        <w:tc>
          <w:tcPr>
            <w:tcW w:w="1440" w:type="dxa"/>
            <w:tcBorders>
              <w:top w:val="nil"/>
              <w:left w:val="nil"/>
              <w:bottom w:val="nil"/>
              <w:right w:val="nil"/>
            </w:tcBorders>
            <w:shd w:val="clear" w:color="auto" w:fill="auto"/>
            <w:noWrap/>
            <w:vAlign w:val="center"/>
            <w:hideMark/>
          </w:tcPr>
          <w:p w14:paraId="1FC4EB18" w14:textId="77777777" w:rsidR="005024BB" w:rsidRPr="00957A9A" w:rsidRDefault="005024BB" w:rsidP="003A4913">
            <w:pPr>
              <w:spacing w:line="240" w:lineRule="auto"/>
              <w:jc w:val="center"/>
              <w:rPr>
                <w:rFonts w:eastAsia="Times New Roman" w:cs="Times New Roman"/>
                <w:color w:val="000000"/>
              </w:rPr>
            </w:pPr>
            <w:r w:rsidRPr="00957A9A">
              <w:rPr>
                <w:rFonts w:eastAsia="Times New Roman" w:cs="Times New Roman"/>
                <w:color w:val="000000"/>
              </w:rPr>
              <w:t>0.25%</w:t>
            </w:r>
          </w:p>
        </w:tc>
      </w:tr>
      <w:tr w:rsidR="005024BB" w:rsidRPr="00957A9A" w14:paraId="54F273D1" w14:textId="77777777" w:rsidTr="003A4913">
        <w:trPr>
          <w:trHeight w:val="300"/>
          <w:jc w:val="center"/>
        </w:trPr>
        <w:tc>
          <w:tcPr>
            <w:tcW w:w="1163" w:type="dxa"/>
            <w:tcBorders>
              <w:top w:val="nil"/>
              <w:left w:val="nil"/>
              <w:bottom w:val="nil"/>
              <w:right w:val="nil"/>
            </w:tcBorders>
            <w:shd w:val="clear" w:color="auto" w:fill="auto"/>
            <w:noWrap/>
            <w:vAlign w:val="center"/>
            <w:hideMark/>
          </w:tcPr>
          <w:p w14:paraId="052C7A47" w14:textId="77777777" w:rsidR="005024BB" w:rsidRPr="00957A9A" w:rsidRDefault="005024BB" w:rsidP="003A4913">
            <w:pPr>
              <w:spacing w:line="240" w:lineRule="auto"/>
              <w:jc w:val="center"/>
              <w:rPr>
                <w:rFonts w:eastAsia="Times New Roman" w:cs="Times New Roman"/>
                <w:color w:val="000000"/>
              </w:rPr>
            </w:pPr>
            <w:r w:rsidRPr="00957A9A">
              <w:rPr>
                <w:rFonts w:eastAsia="Times New Roman" w:cs="Times New Roman"/>
                <w:color w:val="000000"/>
              </w:rPr>
              <w:t>SF120EA</w:t>
            </w:r>
          </w:p>
        </w:tc>
        <w:tc>
          <w:tcPr>
            <w:tcW w:w="1440" w:type="dxa"/>
            <w:tcBorders>
              <w:top w:val="nil"/>
              <w:left w:val="nil"/>
              <w:bottom w:val="nil"/>
              <w:right w:val="nil"/>
            </w:tcBorders>
            <w:shd w:val="clear" w:color="auto" w:fill="auto"/>
            <w:noWrap/>
            <w:vAlign w:val="center"/>
            <w:hideMark/>
          </w:tcPr>
          <w:p w14:paraId="165BA5C0" w14:textId="77777777" w:rsidR="005024BB" w:rsidRPr="00957A9A" w:rsidRDefault="005024BB" w:rsidP="003A4913">
            <w:pPr>
              <w:spacing w:line="240" w:lineRule="auto"/>
              <w:jc w:val="center"/>
              <w:rPr>
                <w:rFonts w:eastAsia="Times New Roman" w:cs="Times New Roman"/>
                <w:color w:val="000000"/>
              </w:rPr>
            </w:pPr>
            <w:r w:rsidRPr="00957A9A">
              <w:rPr>
                <w:rFonts w:eastAsia="Times New Roman" w:cs="Times New Roman"/>
                <w:color w:val="000000"/>
              </w:rPr>
              <w:t>0.50%</w:t>
            </w:r>
          </w:p>
        </w:tc>
      </w:tr>
    </w:tbl>
    <w:p w14:paraId="7451F430" w14:textId="77777777" w:rsidR="005024BB" w:rsidRDefault="005024BB" w:rsidP="005024BB">
      <w:pPr>
        <w:ind w:firstLine="720"/>
      </w:pPr>
    </w:p>
    <w:p w14:paraId="0711B86C" w14:textId="3E4C2F5E" w:rsidR="005024BB" w:rsidRDefault="005024BB" w:rsidP="005024BB">
      <w:pPr>
        <w:ind w:firstLine="720"/>
      </w:pPr>
      <w:r w:rsidRPr="00B92BF4">
        <w:t xml:space="preserve">Figures 5.3 and 5.4 </w:t>
      </w:r>
      <w:r w:rsidR="000179FC" w:rsidRPr="00B92BF4">
        <w:t>compare</w:t>
      </w:r>
      <w:r w:rsidRPr="00B92BF4">
        <w:t xml:space="preserve"> the microannuli from</w:t>
      </w:r>
      <w:r w:rsidR="000179FC" w:rsidRPr="00B92BF4">
        <w:t xml:space="preserve"> the</w:t>
      </w:r>
      <w:r w:rsidRPr="00B92BF4">
        <w:t xml:space="preserve"> ideal gas flow equation and </w:t>
      </w:r>
      <w:r w:rsidR="000179FC" w:rsidRPr="00B92BF4">
        <w:t xml:space="preserve">Equation 2.53 (Corina et al. 2020) </w:t>
      </w:r>
      <w:r w:rsidRPr="00B92BF4">
        <w:t>for both flow rate (Figure 5.3) and pressure differential (Figure 5.4). As shown in Figure</w:t>
      </w:r>
      <w:r w:rsidR="000179FC" w:rsidRPr="00B92BF4">
        <w:t>s</w:t>
      </w:r>
      <w:r w:rsidRPr="00B92BF4">
        <w:t xml:space="preserve"> 5.3 and 5.4, the two flow equations </w:t>
      </w:r>
      <w:r w:rsidR="000179FC" w:rsidRPr="00B92BF4">
        <w:t>match</w:t>
      </w:r>
      <w:r w:rsidRPr="00B92BF4">
        <w:t xml:space="preserve"> within 1.5% for the SF120 and samples. However, there is a noticeable difference</w:t>
      </w:r>
      <w:r>
        <w:t xml:space="preserve"> for the SF66 </w:t>
      </w:r>
      <w:r w:rsidR="0098409D">
        <w:t xml:space="preserve">and SF120EA </w:t>
      </w:r>
      <w:r>
        <w:t xml:space="preserve">samples. The SF66 samples have a maximum percent difference of 25.3%. </w:t>
      </w:r>
      <w:r w:rsidR="000179FC">
        <w:t>T</w:t>
      </w:r>
      <w:r>
        <w:t xml:space="preserve">he SF120EA samples have a larger percent difference of 55.7% due to the microannuli being significantly smaller than the SF66 microannuli. This analysis shows that even though the pressures of this system are low, </w:t>
      </w:r>
      <w:r w:rsidR="000179FC">
        <w:t xml:space="preserve">the </w:t>
      </w:r>
      <w:r>
        <w:t>ideal gas</w:t>
      </w:r>
      <w:r w:rsidR="000179FC">
        <w:t xml:space="preserve"> predicted microannuli varies from the Darcy flow predicted microannuli. This contradicts </w:t>
      </w:r>
      <w:r>
        <w:t>Hubbert (1956) and Outmans (1963)</w:t>
      </w:r>
      <w:r w:rsidR="000179FC">
        <w:t xml:space="preserve"> which claim that</w:t>
      </w:r>
      <w:r w:rsidR="0098409D">
        <w:t xml:space="preserve"> for low pressures,</w:t>
      </w:r>
      <w:r w:rsidR="000179FC">
        <w:t xml:space="preserve"> the flow of gases in small pore spaces is equivalent to liquid Darcy flow. </w:t>
      </w:r>
    </w:p>
    <w:p w14:paraId="0BC1FB59" w14:textId="2EB13F58" w:rsidR="005F35CB" w:rsidRDefault="00DD1F74" w:rsidP="005024BB">
      <w:pPr>
        <w:ind w:firstLine="720"/>
      </w:pPr>
      <w:r>
        <w:t xml:space="preserve"> </w:t>
      </w:r>
      <w:r w:rsidR="005F35CB">
        <w:t xml:space="preserve">  </w:t>
      </w:r>
    </w:p>
    <w:p w14:paraId="4DDCB8C3" w14:textId="77777777" w:rsidR="005024BB" w:rsidRDefault="005024BB" w:rsidP="00BC23AD">
      <w:pPr>
        <w:pStyle w:val="NoSpacing"/>
      </w:pPr>
      <w:r>
        <w:rPr>
          <w:noProof/>
        </w:rPr>
        <w:lastRenderedPageBreak/>
        <w:drawing>
          <wp:inline distT="0" distB="0" distL="0" distR="0" wp14:anchorId="46340C90" wp14:editId="55D2D6AA">
            <wp:extent cx="4572635" cy="27432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27A8ED27" w14:textId="2D8BAAB2" w:rsidR="005024BB" w:rsidRDefault="005024BB" w:rsidP="00BC23AD">
      <w:pPr>
        <w:pStyle w:val="Caption"/>
      </w:pPr>
      <w:bookmarkStart w:id="122" w:name="_Toc67566231"/>
      <w:r>
        <w:t xml:space="preserve">Figure </w:t>
      </w:r>
      <w:r w:rsidR="00077C0B">
        <w:fldChar w:fldCharType="begin"/>
      </w:r>
      <w:r w:rsidR="00077C0B">
        <w:instrText xml:space="preserve"> STYLEREF 1 \s </w:instrText>
      </w:r>
      <w:r w:rsidR="00077C0B">
        <w:fldChar w:fldCharType="separate"/>
      </w:r>
      <w:r w:rsidR="0006023A">
        <w:rPr>
          <w:noProof/>
        </w:rPr>
        <w:t>5</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3</w:t>
      </w:r>
      <w:r w:rsidR="00077C0B">
        <w:rPr>
          <w:noProof/>
        </w:rPr>
        <w:fldChar w:fldCharType="end"/>
      </w:r>
      <w:r>
        <w:t>: Microannuli (</w:t>
      </w:r>
      <m:oMath>
        <m:r>
          <m:rPr>
            <m:sty m:val="bi"/>
          </m:rPr>
          <w:rPr>
            <w:rFonts w:ascii="Cambria Math" w:hAnsi="Cambria Math"/>
          </w:rPr>
          <m:t>w</m:t>
        </m:r>
      </m:oMath>
      <w:r>
        <w:rPr>
          <w:rFonts w:eastAsiaTheme="minorEastAsia"/>
        </w:rPr>
        <w:t xml:space="preserve">) versus flow rate </w:t>
      </w:r>
      <w:r>
        <w:t>for the developed ideal gas flow equation</w:t>
      </w:r>
      <w:r w:rsidR="00B92BF4">
        <w:t xml:space="preserve"> (Equation 4.15)</w:t>
      </w:r>
      <w:r>
        <w:t xml:space="preserve"> and the Darcy flow</w:t>
      </w:r>
      <w:r w:rsidR="00B92BF4">
        <w:t xml:space="preserve"> equation</w:t>
      </w:r>
      <w:r>
        <w:t xml:space="preserve"> used in conjunction with the cubic law</w:t>
      </w:r>
      <w:r w:rsidR="00B92BF4">
        <w:t xml:space="preserve"> (Equation 2.54)</w:t>
      </w:r>
      <w:r>
        <w:t>.</w:t>
      </w:r>
      <w:r w:rsidR="00E77ED4">
        <w:t xml:space="preserve"> The maximum percent difference between Equation 4.15 and Equation 2.54 is 1.5% for SF120, 25.3% for SF66, and 55.7% for SF120EA.</w:t>
      </w:r>
      <w:bookmarkEnd w:id="122"/>
    </w:p>
    <w:p w14:paraId="639CEBE2" w14:textId="77777777" w:rsidR="005024BB" w:rsidRDefault="005024BB" w:rsidP="00BC23AD">
      <w:pPr>
        <w:pStyle w:val="NoSpacing"/>
      </w:pPr>
      <w:r>
        <w:rPr>
          <w:noProof/>
        </w:rPr>
        <w:drawing>
          <wp:inline distT="0" distB="0" distL="0" distR="0" wp14:anchorId="1482163F" wp14:editId="5D9C243C">
            <wp:extent cx="4572635" cy="27432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161217B1" w14:textId="1D77C9BE" w:rsidR="005024BB" w:rsidRPr="00E07ABA" w:rsidRDefault="005024BB" w:rsidP="00BC23AD">
      <w:pPr>
        <w:pStyle w:val="Caption"/>
      </w:pPr>
      <w:bookmarkStart w:id="123" w:name="_Toc67566232"/>
      <w:r>
        <w:t xml:space="preserve">Figure </w:t>
      </w:r>
      <w:r w:rsidR="00077C0B">
        <w:fldChar w:fldCharType="begin"/>
      </w:r>
      <w:r w:rsidR="00077C0B">
        <w:instrText xml:space="preserve"> STYLEREF 1 \s </w:instrText>
      </w:r>
      <w:r w:rsidR="00077C0B">
        <w:fldChar w:fldCharType="separate"/>
      </w:r>
      <w:r w:rsidR="0006023A">
        <w:rPr>
          <w:noProof/>
        </w:rPr>
        <w:t>5</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4</w:t>
      </w:r>
      <w:r w:rsidR="00077C0B">
        <w:rPr>
          <w:noProof/>
        </w:rPr>
        <w:fldChar w:fldCharType="end"/>
      </w:r>
      <w:r>
        <w:t>: Microannuli (</w:t>
      </w:r>
      <m:oMath>
        <m:r>
          <m:rPr>
            <m:sty m:val="bi"/>
          </m:rPr>
          <w:rPr>
            <w:rFonts w:ascii="Cambria Math" w:hAnsi="Cambria Math"/>
          </w:rPr>
          <m:t>w</m:t>
        </m:r>
      </m:oMath>
      <w:r>
        <w:rPr>
          <w:rFonts w:eastAsiaTheme="minorEastAsia"/>
        </w:rPr>
        <w:t>) versus pressure differential (</w:t>
      </w:r>
      <m:oMath>
        <m:r>
          <m:rPr>
            <m:sty m:val="b"/>
          </m:rPr>
          <w:rPr>
            <w:rFonts w:ascii="Cambria Math" w:eastAsiaTheme="minorEastAsia" w:hAnsi="Cambria Math"/>
          </w:rPr>
          <m:t>Δ</m:t>
        </m:r>
        <m:r>
          <m:rPr>
            <m:sty m:val="bi"/>
          </m:rPr>
          <w:rPr>
            <w:rFonts w:ascii="Cambria Math" w:eastAsiaTheme="minorEastAsia" w:hAnsi="Cambria Math"/>
          </w:rPr>
          <m:t>P</m:t>
        </m:r>
      </m:oMath>
      <w:r>
        <w:rPr>
          <w:rFonts w:eastAsiaTheme="minorEastAsia"/>
        </w:rPr>
        <w:t xml:space="preserve">) </w:t>
      </w:r>
      <w:r>
        <w:t>for the developed ideal gas flow equation</w:t>
      </w:r>
      <w:r w:rsidR="00B92BF4">
        <w:t xml:space="preserve"> (Equation 4.15)</w:t>
      </w:r>
      <w:r>
        <w:t xml:space="preserve"> and the Darcy flow</w:t>
      </w:r>
      <w:r w:rsidR="00B92BF4">
        <w:t xml:space="preserve"> equation</w:t>
      </w:r>
      <w:r>
        <w:t xml:space="preserve"> used in conjunction with the cubic law</w:t>
      </w:r>
      <w:r w:rsidR="00B92BF4">
        <w:t xml:space="preserve"> (Equation 2.54)</w:t>
      </w:r>
      <w:r>
        <w:t>.</w:t>
      </w:r>
      <w:r w:rsidR="00E77ED4" w:rsidRPr="00E77ED4">
        <w:t xml:space="preserve"> </w:t>
      </w:r>
      <w:r w:rsidR="00E77ED4">
        <w:t>The maximum percent difference between Equation 4.15 and Equation 2.54 is 1.5% for SF120, 25.3% for SF66, and 55.7% for SF120EA.</w:t>
      </w:r>
      <w:bookmarkEnd w:id="123"/>
    </w:p>
    <w:p w14:paraId="4F23ABEE" w14:textId="6D844C2C" w:rsidR="005024BB" w:rsidRDefault="00C00FC3" w:rsidP="005024BB">
      <w:pPr>
        <w:ind w:firstLine="720"/>
      </w:pPr>
      <w:r>
        <w:t xml:space="preserve">To verify that the experiments are in </w:t>
      </w:r>
      <w:r w:rsidR="00223C73">
        <w:t xml:space="preserve">a </w:t>
      </w:r>
      <w:r>
        <w:t>laminar flow regime</w:t>
      </w:r>
      <w:r w:rsidR="004E2F3B">
        <w:t>,</w:t>
      </w:r>
      <w:r>
        <w:t xml:space="preserve"> the </w:t>
      </w:r>
      <w:r w:rsidR="005024BB">
        <w:t>Reynold’s number (</w:t>
      </w:r>
      <m:oMath>
        <m:sSub>
          <m:sSubPr>
            <m:ctrlPr>
              <w:rPr>
                <w:rFonts w:ascii="Cambria Math" w:hAnsi="Cambria Math"/>
                <w:i/>
              </w:rPr>
            </m:ctrlPr>
          </m:sSubPr>
          <m:e>
            <m:r>
              <w:rPr>
                <w:rFonts w:ascii="Cambria Math" w:hAnsi="Cambria Math"/>
              </w:rPr>
              <m:t>N</m:t>
            </m:r>
          </m:e>
          <m:sub>
            <m:sSub>
              <m:sSubPr>
                <m:ctrlPr>
                  <w:rPr>
                    <w:rFonts w:ascii="Cambria Math" w:hAnsi="Cambria Math"/>
                    <w:i/>
                  </w:rPr>
                </m:ctrlPr>
              </m:sSubPr>
              <m:e>
                <m:r>
                  <w:rPr>
                    <w:rFonts w:ascii="Cambria Math" w:hAnsi="Cambria Math"/>
                  </w:rPr>
                  <m:t>R</m:t>
                </m:r>
              </m:e>
              <m:sub>
                <m:r>
                  <w:rPr>
                    <w:rFonts w:ascii="Cambria Math" w:hAnsi="Cambria Math"/>
                  </w:rPr>
                  <m:t>e</m:t>
                </m:r>
              </m:sub>
            </m:sSub>
          </m:sub>
        </m:sSub>
      </m:oMath>
      <w:r w:rsidR="005024BB">
        <w:rPr>
          <w:rFonts w:eastAsiaTheme="minorEastAsia"/>
        </w:rPr>
        <w:t xml:space="preserve">) </w:t>
      </w:r>
      <w:r w:rsidR="004E2F3B">
        <w:rPr>
          <w:rFonts w:eastAsiaTheme="minorEastAsia"/>
        </w:rPr>
        <w:t>of the gas flow is evaluated</w:t>
      </w:r>
      <w:r>
        <w:rPr>
          <w:rFonts w:eastAsiaTheme="minorEastAsia"/>
        </w:rPr>
        <w:t xml:space="preserve">. As </w:t>
      </w:r>
      <w:r w:rsidR="005024BB">
        <w:rPr>
          <w:rFonts w:eastAsiaTheme="minorEastAsia"/>
        </w:rPr>
        <w:t xml:space="preserve">shown </w:t>
      </w:r>
      <w:r w:rsidR="005024BB" w:rsidRPr="00B92BF4">
        <w:rPr>
          <w:rFonts w:eastAsiaTheme="minorEastAsia"/>
        </w:rPr>
        <w:t xml:space="preserve">in Table </w:t>
      </w:r>
      <w:r w:rsidR="00F36352" w:rsidRPr="00B92BF4">
        <w:rPr>
          <w:rFonts w:eastAsiaTheme="minorEastAsia"/>
        </w:rPr>
        <w:t>5.</w:t>
      </w:r>
      <w:r w:rsidR="008C6FD4">
        <w:rPr>
          <w:rFonts w:eastAsiaTheme="minorEastAsia"/>
        </w:rPr>
        <w:t>4</w:t>
      </w:r>
      <w:r w:rsidR="005024BB" w:rsidRPr="00B92BF4">
        <w:rPr>
          <w:rFonts w:eastAsiaTheme="minorEastAsia"/>
        </w:rPr>
        <w:t>,</w:t>
      </w:r>
      <w:r w:rsidR="004E2F3B" w:rsidRPr="00B92BF4">
        <w:rPr>
          <w:rFonts w:eastAsiaTheme="minorEastAsia"/>
        </w:rPr>
        <w:t xml:space="preserve"> the</w:t>
      </w:r>
      <w:r w:rsidR="005024BB">
        <w:rPr>
          <w:rFonts w:eastAsiaTheme="minorEastAsia"/>
        </w:rPr>
        <w:t xml:space="preserve"> </w:t>
      </w:r>
      <w:r>
        <w:rPr>
          <w:rFonts w:eastAsiaTheme="minorEastAsia"/>
        </w:rPr>
        <w:t>Reynold’s</w:t>
      </w:r>
      <w:r w:rsidR="004E2F3B">
        <w:rPr>
          <w:rFonts w:eastAsiaTheme="minorEastAsia"/>
        </w:rPr>
        <w:t xml:space="preserve"> number for each cement mixture</w:t>
      </w:r>
      <w:r>
        <w:rPr>
          <w:rFonts w:eastAsiaTheme="minorEastAsia"/>
        </w:rPr>
        <w:t xml:space="preserve"> </w:t>
      </w:r>
      <w:r w:rsidR="005024BB">
        <w:rPr>
          <w:rFonts w:eastAsiaTheme="minorEastAsia"/>
        </w:rPr>
        <w:t>is well below the cutoff of 2,100 (</w:t>
      </w:r>
      <m:oMath>
        <m:sSub>
          <m:sSubPr>
            <m:ctrlPr>
              <w:rPr>
                <w:rFonts w:ascii="Cambria Math" w:hAnsi="Cambria Math"/>
                <w:i/>
              </w:rPr>
            </m:ctrlPr>
          </m:sSubPr>
          <m:e>
            <m:r>
              <w:rPr>
                <w:rFonts w:ascii="Cambria Math" w:hAnsi="Cambria Math"/>
              </w:rPr>
              <m:t>N</m:t>
            </m:r>
          </m:e>
          <m:sub>
            <m:sSub>
              <m:sSubPr>
                <m:ctrlPr>
                  <w:rPr>
                    <w:rFonts w:ascii="Cambria Math" w:hAnsi="Cambria Math"/>
                    <w:i/>
                  </w:rPr>
                </m:ctrlPr>
              </m:sSubPr>
              <m:e>
                <m:r>
                  <w:rPr>
                    <w:rFonts w:ascii="Cambria Math" w:hAnsi="Cambria Math"/>
                  </w:rPr>
                  <m:t>R</m:t>
                </m:r>
              </m:e>
              <m:sub>
                <m:r>
                  <w:rPr>
                    <w:rFonts w:ascii="Cambria Math" w:hAnsi="Cambria Math"/>
                  </w:rPr>
                  <m:t>e</m:t>
                </m:r>
              </m:sub>
            </m:sSub>
          </m:sub>
        </m:sSub>
        <m:r>
          <w:rPr>
            <w:rFonts w:ascii="Cambria Math" w:hAnsi="Cambria Math"/>
          </w:rPr>
          <m:t>≤2,100</m:t>
        </m:r>
      </m:oMath>
      <w:r w:rsidR="005024BB">
        <w:rPr>
          <w:rFonts w:eastAsiaTheme="minorEastAsia"/>
        </w:rPr>
        <w:t>). Therefore, the nitrogen gas flow is laminar</w:t>
      </w:r>
      <w:r w:rsidR="002B40FB">
        <w:rPr>
          <w:rFonts w:eastAsiaTheme="minorEastAsia"/>
        </w:rPr>
        <w:t>,</w:t>
      </w:r>
      <w:r w:rsidR="005024BB">
        <w:rPr>
          <w:rFonts w:eastAsiaTheme="minorEastAsia"/>
        </w:rPr>
        <w:t xml:space="preserve"> and the derived equations are valid for this analysis.</w:t>
      </w:r>
      <w:r w:rsidR="005024BB">
        <w:t xml:space="preserve"> </w:t>
      </w:r>
    </w:p>
    <w:p w14:paraId="2687A001" w14:textId="1E546E6F" w:rsidR="005024BB" w:rsidRDefault="005024BB" w:rsidP="00BC23AD">
      <w:pPr>
        <w:pStyle w:val="Caption"/>
      </w:pPr>
      <w:bookmarkStart w:id="124" w:name="_Toc67566099"/>
      <w:r>
        <w:lastRenderedPageBreak/>
        <w:t xml:space="preserve">Table </w:t>
      </w:r>
      <w:r w:rsidR="00077C0B">
        <w:fldChar w:fldCharType="begin"/>
      </w:r>
      <w:r w:rsidR="00077C0B">
        <w:instrText xml:space="preserve"> STYLEREF 1 \s </w:instrText>
      </w:r>
      <w:r w:rsidR="00077C0B">
        <w:fldChar w:fldCharType="separate"/>
      </w:r>
      <w:r w:rsidR="0006023A">
        <w:rPr>
          <w:noProof/>
        </w:rPr>
        <w:t>5</w:t>
      </w:r>
      <w:r w:rsidR="00077C0B">
        <w:rPr>
          <w:noProof/>
        </w:rPr>
        <w:fldChar w:fldCharType="end"/>
      </w:r>
      <w:r w:rsidR="00DD1F74">
        <w:t>.</w:t>
      </w:r>
      <w:r w:rsidR="00077C0B">
        <w:fldChar w:fldCharType="begin"/>
      </w:r>
      <w:r w:rsidR="00077C0B">
        <w:instrText xml:space="preserve"> SEQ Table \* ARABIC \s 1 </w:instrText>
      </w:r>
      <w:r w:rsidR="00077C0B">
        <w:fldChar w:fldCharType="separate"/>
      </w:r>
      <w:r w:rsidR="0006023A">
        <w:rPr>
          <w:noProof/>
        </w:rPr>
        <w:t>4</w:t>
      </w:r>
      <w:r w:rsidR="00077C0B">
        <w:rPr>
          <w:noProof/>
        </w:rPr>
        <w:fldChar w:fldCharType="end"/>
      </w:r>
      <w:r>
        <w:t>: Corresponding maximum Reynold’s numbers (</w:t>
      </w:r>
      <m:oMath>
        <m:sSub>
          <m:sSubPr>
            <m:ctrlPr>
              <w:rPr>
                <w:rFonts w:ascii="Cambria Math" w:hAnsi="Cambria Math"/>
                <w:i/>
              </w:rPr>
            </m:ctrlPr>
          </m:sSubPr>
          <m:e>
            <m:r>
              <m:rPr>
                <m:sty m:val="bi"/>
              </m:rPr>
              <w:rPr>
                <w:rFonts w:ascii="Cambria Math" w:hAnsi="Cambria Math"/>
              </w:rPr>
              <m:t>N</m:t>
            </m:r>
          </m:e>
          <m:sub>
            <m:sSub>
              <m:sSubPr>
                <m:ctrlPr>
                  <w:rPr>
                    <w:rFonts w:ascii="Cambria Math" w:hAnsi="Cambria Math"/>
                    <w:i/>
                  </w:rPr>
                </m:ctrlPr>
              </m:sSubPr>
              <m:e>
                <m:r>
                  <m:rPr>
                    <m:sty m:val="bi"/>
                  </m:rPr>
                  <w:rPr>
                    <w:rFonts w:ascii="Cambria Math" w:hAnsi="Cambria Math"/>
                  </w:rPr>
                  <m:t>R</m:t>
                </m:r>
              </m:e>
              <m:sub>
                <m:r>
                  <m:rPr>
                    <m:sty m:val="bi"/>
                  </m:rPr>
                  <w:rPr>
                    <w:rFonts w:ascii="Cambria Math" w:hAnsi="Cambria Math"/>
                  </w:rPr>
                  <m:t>e</m:t>
                </m:r>
              </m:sub>
            </m:sSub>
          </m:sub>
        </m:sSub>
      </m:oMath>
      <w:r>
        <w:t>) for the cement mixtures SF120, SF66, and SF120EA.</w:t>
      </w:r>
      <w:r w:rsidR="00E77ED4">
        <w:t xml:space="preserve"> The Reynold’s numbers are all in the laminar flow regime.</w:t>
      </w:r>
      <w:bookmarkEnd w:id="124"/>
      <w:r w:rsidR="00E77ED4">
        <w:t xml:space="preserve"> </w:t>
      </w:r>
    </w:p>
    <w:tbl>
      <w:tblPr>
        <w:tblW w:w="2603" w:type="dxa"/>
        <w:jc w:val="center"/>
        <w:tblLook w:val="04A0" w:firstRow="1" w:lastRow="0" w:firstColumn="1" w:lastColumn="0" w:noHBand="0" w:noVBand="1"/>
      </w:tblPr>
      <w:tblGrid>
        <w:gridCol w:w="1163"/>
        <w:gridCol w:w="1440"/>
      </w:tblGrid>
      <w:tr w:rsidR="005024BB" w:rsidRPr="00957A9A" w14:paraId="31C0CB2F" w14:textId="77777777" w:rsidTr="003A4913">
        <w:trPr>
          <w:trHeight w:val="300"/>
          <w:jc w:val="center"/>
        </w:trPr>
        <w:tc>
          <w:tcPr>
            <w:tcW w:w="1163" w:type="dxa"/>
            <w:tcBorders>
              <w:top w:val="nil"/>
              <w:left w:val="nil"/>
              <w:bottom w:val="single" w:sz="4" w:space="0" w:color="auto"/>
              <w:right w:val="nil"/>
            </w:tcBorders>
            <w:shd w:val="clear" w:color="auto" w:fill="auto"/>
            <w:noWrap/>
            <w:vAlign w:val="center"/>
            <w:hideMark/>
          </w:tcPr>
          <w:p w14:paraId="3C121856" w14:textId="77777777" w:rsidR="005024BB" w:rsidRPr="00957A9A" w:rsidRDefault="005024BB" w:rsidP="003A4913">
            <w:pPr>
              <w:spacing w:line="240" w:lineRule="auto"/>
              <w:jc w:val="center"/>
              <w:rPr>
                <w:rFonts w:eastAsia="Times New Roman" w:cs="Times New Roman"/>
                <w:color w:val="000000"/>
              </w:rPr>
            </w:pPr>
            <w:r w:rsidRPr="00957A9A">
              <w:rPr>
                <w:rFonts w:eastAsia="Times New Roman" w:cs="Times New Roman"/>
                <w:color w:val="000000"/>
              </w:rPr>
              <w:t>Mixture</w:t>
            </w:r>
          </w:p>
        </w:tc>
        <w:tc>
          <w:tcPr>
            <w:tcW w:w="1440" w:type="dxa"/>
            <w:tcBorders>
              <w:top w:val="nil"/>
              <w:left w:val="nil"/>
              <w:bottom w:val="single" w:sz="4" w:space="0" w:color="auto"/>
              <w:right w:val="nil"/>
            </w:tcBorders>
            <w:shd w:val="clear" w:color="auto" w:fill="auto"/>
            <w:noWrap/>
            <w:vAlign w:val="center"/>
            <w:hideMark/>
          </w:tcPr>
          <w:p w14:paraId="1D3C6A25" w14:textId="77777777" w:rsidR="005024BB" w:rsidRPr="00957A9A" w:rsidRDefault="00077C0B" w:rsidP="003A4913">
            <w:pPr>
              <w:spacing w:line="240" w:lineRule="auto"/>
              <w:jc w:val="center"/>
              <w:rPr>
                <w:rFonts w:eastAsia="Times New Roman" w:cs="Times New Roman"/>
                <w:color w:val="000000"/>
              </w:rPr>
            </w:pPr>
            <m:oMathPara>
              <m:oMath>
                <m:sSub>
                  <m:sSubPr>
                    <m:ctrlPr>
                      <w:rPr>
                        <w:rFonts w:ascii="Cambria Math" w:hAnsi="Cambria Math"/>
                        <w:i/>
                      </w:rPr>
                    </m:ctrlPr>
                  </m:sSubPr>
                  <m:e>
                    <m:r>
                      <w:rPr>
                        <w:rFonts w:ascii="Cambria Math" w:hAnsi="Cambria Math"/>
                      </w:rPr>
                      <m:t>N</m:t>
                    </m:r>
                  </m:e>
                  <m:sub>
                    <m:sSub>
                      <m:sSubPr>
                        <m:ctrlPr>
                          <w:rPr>
                            <w:rFonts w:ascii="Cambria Math" w:hAnsi="Cambria Math"/>
                            <w:i/>
                          </w:rPr>
                        </m:ctrlPr>
                      </m:sSubPr>
                      <m:e>
                        <m:r>
                          <w:rPr>
                            <w:rFonts w:ascii="Cambria Math" w:hAnsi="Cambria Math"/>
                          </w:rPr>
                          <m:t>R</m:t>
                        </m:r>
                      </m:e>
                      <m:sub>
                        <m:r>
                          <w:rPr>
                            <w:rFonts w:ascii="Cambria Math" w:hAnsi="Cambria Math"/>
                          </w:rPr>
                          <m:t>e</m:t>
                        </m:r>
                      </m:sub>
                    </m:sSub>
                  </m:sub>
                </m:sSub>
              </m:oMath>
            </m:oMathPara>
          </w:p>
        </w:tc>
      </w:tr>
      <w:tr w:rsidR="005024BB" w:rsidRPr="00957A9A" w14:paraId="2F3083F8" w14:textId="77777777" w:rsidTr="003A4913">
        <w:trPr>
          <w:trHeight w:val="300"/>
          <w:jc w:val="center"/>
        </w:trPr>
        <w:tc>
          <w:tcPr>
            <w:tcW w:w="1163" w:type="dxa"/>
            <w:tcBorders>
              <w:top w:val="single" w:sz="4" w:space="0" w:color="auto"/>
              <w:left w:val="nil"/>
              <w:bottom w:val="nil"/>
              <w:right w:val="nil"/>
            </w:tcBorders>
            <w:shd w:val="clear" w:color="auto" w:fill="auto"/>
            <w:noWrap/>
            <w:vAlign w:val="center"/>
            <w:hideMark/>
          </w:tcPr>
          <w:p w14:paraId="4C3F9753" w14:textId="77777777" w:rsidR="005024BB" w:rsidRPr="00957A9A" w:rsidRDefault="005024BB" w:rsidP="003A4913">
            <w:pPr>
              <w:spacing w:line="240" w:lineRule="auto"/>
              <w:jc w:val="center"/>
              <w:rPr>
                <w:rFonts w:eastAsia="Times New Roman" w:cs="Times New Roman"/>
                <w:color w:val="000000"/>
              </w:rPr>
            </w:pPr>
            <w:r w:rsidRPr="00957A9A">
              <w:rPr>
                <w:rFonts w:eastAsia="Times New Roman" w:cs="Times New Roman"/>
                <w:color w:val="000000"/>
              </w:rPr>
              <w:t>SF120</w:t>
            </w:r>
          </w:p>
        </w:tc>
        <w:tc>
          <w:tcPr>
            <w:tcW w:w="1440" w:type="dxa"/>
            <w:tcBorders>
              <w:top w:val="single" w:sz="4" w:space="0" w:color="auto"/>
              <w:left w:val="nil"/>
              <w:bottom w:val="nil"/>
              <w:right w:val="nil"/>
            </w:tcBorders>
            <w:shd w:val="clear" w:color="auto" w:fill="auto"/>
            <w:noWrap/>
            <w:vAlign w:val="center"/>
            <w:hideMark/>
          </w:tcPr>
          <w:p w14:paraId="3E9D2F68" w14:textId="77777777" w:rsidR="005024BB" w:rsidRPr="00957A9A" w:rsidRDefault="005024BB" w:rsidP="003A4913">
            <w:pPr>
              <w:spacing w:line="240" w:lineRule="auto"/>
              <w:jc w:val="center"/>
              <w:rPr>
                <w:rFonts w:eastAsia="Times New Roman" w:cs="Times New Roman"/>
                <w:color w:val="000000"/>
              </w:rPr>
            </w:pPr>
            <w:r>
              <w:rPr>
                <w:rFonts w:eastAsia="Times New Roman" w:cs="Times New Roman"/>
                <w:color w:val="000000"/>
              </w:rPr>
              <w:t>2.9</w:t>
            </w:r>
          </w:p>
        </w:tc>
      </w:tr>
      <w:tr w:rsidR="005024BB" w:rsidRPr="00957A9A" w14:paraId="0096A46F" w14:textId="77777777" w:rsidTr="003A4913">
        <w:trPr>
          <w:trHeight w:val="300"/>
          <w:jc w:val="center"/>
        </w:trPr>
        <w:tc>
          <w:tcPr>
            <w:tcW w:w="1163" w:type="dxa"/>
            <w:tcBorders>
              <w:top w:val="nil"/>
              <w:left w:val="nil"/>
              <w:bottom w:val="nil"/>
              <w:right w:val="nil"/>
            </w:tcBorders>
            <w:shd w:val="clear" w:color="auto" w:fill="auto"/>
            <w:noWrap/>
            <w:vAlign w:val="center"/>
            <w:hideMark/>
          </w:tcPr>
          <w:p w14:paraId="73439D1A" w14:textId="77777777" w:rsidR="005024BB" w:rsidRPr="00957A9A" w:rsidRDefault="005024BB" w:rsidP="003A4913">
            <w:pPr>
              <w:spacing w:line="240" w:lineRule="auto"/>
              <w:jc w:val="center"/>
              <w:rPr>
                <w:rFonts w:eastAsia="Times New Roman" w:cs="Times New Roman"/>
                <w:color w:val="000000"/>
              </w:rPr>
            </w:pPr>
            <w:r w:rsidRPr="00957A9A">
              <w:rPr>
                <w:rFonts w:eastAsia="Times New Roman" w:cs="Times New Roman"/>
                <w:color w:val="000000"/>
              </w:rPr>
              <w:t>SF66</w:t>
            </w:r>
          </w:p>
        </w:tc>
        <w:tc>
          <w:tcPr>
            <w:tcW w:w="1440" w:type="dxa"/>
            <w:tcBorders>
              <w:top w:val="nil"/>
              <w:left w:val="nil"/>
              <w:bottom w:val="nil"/>
              <w:right w:val="nil"/>
            </w:tcBorders>
            <w:shd w:val="clear" w:color="auto" w:fill="auto"/>
            <w:noWrap/>
            <w:vAlign w:val="center"/>
            <w:hideMark/>
          </w:tcPr>
          <w:p w14:paraId="03EEF0C0" w14:textId="77777777" w:rsidR="005024BB" w:rsidRPr="00957A9A" w:rsidRDefault="005024BB" w:rsidP="003A4913">
            <w:pPr>
              <w:spacing w:line="240" w:lineRule="auto"/>
              <w:jc w:val="center"/>
              <w:rPr>
                <w:rFonts w:eastAsia="Times New Roman" w:cs="Times New Roman"/>
                <w:color w:val="000000"/>
              </w:rPr>
            </w:pPr>
            <w:r>
              <w:rPr>
                <w:rFonts w:eastAsia="Times New Roman" w:cs="Times New Roman"/>
                <w:color w:val="000000"/>
              </w:rPr>
              <w:t>2.1</w:t>
            </w:r>
          </w:p>
        </w:tc>
      </w:tr>
      <w:tr w:rsidR="005024BB" w:rsidRPr="00957A9A" w14:paraId="6D0DD841" w14:textId="77777777" w:rsidTr="003A4913">
        <w:trPr>
          <w:trHeight w:val="300"/>
          <w:jc w:val="center"/>
        </w:trPr>
        <w:tc>
          <w:tcPr>
            <w:tcW w:w="1163" w:type="dxa"/>
            <w:tcBorders>
              <w:top w:val="nil"/>
              <w:left w:val="nil"/>
              <w:bottom w:val="nil"/>
              <w:right w:val="nil"/>
            </w:tcBorders>
            <w:shd w:val="clear" w:color="auto" w:fill="auto"/>
            <w:noWrap/>
            <w:vAlign w:val="center"/>
            <w:hideMark/>
          </w:tcPr>
          <w:p w14:paraId="2E2EF005" w14:textId="77777777" w:rsidR="005024BB" w:rsidRPr="00957A9A" w:rsidRDefault="005024BB" w:rsidP="003A4913">
            <w:pPr>
              <w:spacing w:line="240" w:lineRule="auto"/>
              <w:jc w:val="center"/>
              <w:rPr>
                <w:rFonts w:eastAsia="Times New Roman" w:cs="Times New Roman"/>
                <w:color w:val="000000"/>
              </w:rPr>
            </w:pPr>
            <w:r w:rsidRPr="00957A9A">
              <w:rPr>
                <w:rFonts w:eastAsia="Times New Roman" w:cs="Times New Roman"/>
                <w:color w:val="000000"/>
              </w:rPr>
              <w:t>SF120EA</w:t>
            </w:r>
          </w:p>
        </w:tc>
        <w:tc>
          <w:tcPr>
            <w:tcW w:w="1440" w:type="dxa"/>
            <w:tcBorders>
              <w:top w:val="nil"/>
              <w:left w:val="nil"/>
              <w:bottom w:val="nil"/>
              <w:right w:val="nil"/>
            </w:tcBorders>
            <w:shd w:val="clear" w:color="auto" w:fill="auto"/>
            <w:noWrap/>
            <w:vAlign w:val="center"/>
            <w:hideMark/>
          </w:tcPr>
          <w:p w14:paraId="59BAC469" w14:textId="77777777" w:rsidR="005024BB" w:rsidRPr="00957A9A" w:rsidRDefault="005024BB" w:rsidP="003A4913">
            <w:pPr>
              <w:spacing w:line="240" w:lineRule="auto"/>
              <w:jc w:val="center"/>
              <w:rPr>
                <w:rFonts w:eastAsia="Times New Roman" w:cs="Times New Roman"/>
                <w:color w:val="000000"/>
              </w:rPr>
            </w:pPr>
            <w:r>
              <w:rPr>
                <w:rFonts w:eastAsia="Times New Roman" w:cs="Times New Roman"/>
                <w:color w:val="000000"/>
              </w:rPr>
              <w:t>0.03</w:t>
            </w:r>
          </w:p>
        </w:tc>
      </w:tr>
    </w:tbl>
    <w:p w14:paraId="3248FA34" w14:textId="53CD0F61" w:rsidR="005024BB" w:rsidRDefault="005024BB" w:rsidP="00F04060"/>
    <w:p w14:paraId="7CD3F04C" w14:textId="3636F4FC" w:rsidR="00E77ED4" w:rsidRDefault="00E77ED4" w:rsidP="00E77ED4">
      <w:pPr>
        <w:ind w:firstLine="720"/>
      </w:pPr>
      <w:r>
        <w:t>The results of using the ideal gas flow equation (Equation 4.15) and the Hagen-Poiseulle flow equation (Equation 2.53) with a gas viscosity showed little variation for the SF120 samples. This is due to the pressure differential and cement length used in the experiments. As shown in Table 5.1, wellbore hydrostatic pore pressures with a length of 1,127 m result in a 23.1% difference between the ideal gas flow equation and using a gas viscosity with the Hagen-Poiseulle flow equation. Therefore, for realistic wellbore leakage models, correct flow equations for the specific type of leaking fluid should be used.</w:t>
      </w:r>
    </w:p>
    <w:p w14:paraId="31A6EF45" w14:textId="39E55655" w:rsidR="00F04060" w:rsidRPr="006348F1" w:rsidRDefault="005024BB" w:rsidP="003E1B51">
      <w:pPr>
        <w:pStyle w:val="Heading4"/>
      </w:pPr>
      <w:r w:rsidRPr="006348F1">
        <w:t>FEA Near Wellbore Stress Distribution versus Kirsch Analytical Solution</w:t>
      </w:r>
    </w:p>
    <w:p w14:paraId="6D14551F" w14:textId="07D6141E" w:rsidR="0025523C" w:rsidRDefault="0025523C" w:rsidP="0025523C">
      <w:pPr>
        <w:ind w:firstLine="720"/>
      </w:pPr>
      <w:r>
        <w:t xml:space="preserve">The staged poro-elastic FEA stress </w:t>
      </w:r>
      <w:r w:rsidR="00F93AA3">
        <w:t>continuum</w:t>
      </w:r>
      <w:r w:rsidR="00AB6AE8">
        <w:t xml:space="preserve"> and fracture</w:t>
      </w:r>
      <w:r w:rsidR="00F93AA3">
        <w:t xml:space="preserve"> </w:t>
      </w:r>
      <w:r>
        <w:t>model was verified using the analytical equations (Kirsch and thick wall cylinder</w:t>
      </w:r>
      <w:r w:rsidRPr="00B92BF4">
        <w:t xml:space="preserve">) discussed in </w:t>
      </w:r>
      <w:r w:rsidR="00F93AA3" w:rsidRPr="00B92BF4">
        <w:t>Section 2.9.</w:t>
      </w:r>
      <w:r w:rsidRPr="00B92BF4">
        <w:t xml:space="preserve"> The results for the</w:t>
      </w:r>
      <w:r w:rsidR="00F93AA3" w:rsidRPr="00B92BF4">
        <w:t xml:space="preserve"> </w:t>
      </w:r>
      <w:r w:rsidR="00AB6AE8" w:rsidRPr="00B92BF4">
        <w:t xml:space="preserve">two models </w:t>
      </w:r>
      <w:r w:rsidRPr="00B92BF4">
        <w:t xml:space="preserve">are shown in Figure 5.5 along with the results for the analytical solution. </w:t>
      </w:r>
      <w:r w:rsidR="00AB6AE8" w:rsidRPr="00B92BF4">
        <w:t xml:space="preserve">Initial observations of Figure 5.5 show that the two FEA models appear to overlap the analytical solution completely except the hoop stress in the rock formation. Table </w:t>
      </w:r>
      <w:r w:rsidR="001E32EA" w:rsidRPr="00B92BF4">
        <w:t>5.</w:t>
      </w:r>
      <w:r w:rsidR="008C6FD4">
        <w:t>5</w:t>
      </w:r>
      <w:r w:rsidR="00AB6AE8" w:rsidRPr="00B92BF4">
        <w:t xml:space="preserve"> shows the</w:t>
      </w:r>
      <w:r w:rsidR="00AB6AE8">
        <w:t xml:space="preserve"> maximum percent stress variation </w:t>
      </w:r>
      <w:r w:rsidR="001E32EA">
        <w:t>of</w:t>
      </w:r>
      <w:r w:rsidR="00AB6AE8">
        <w:t xml:space="preserve"> the two models with the analytical solution.</w:t>
      </w:r>
    </w:p>
    <w:p w14:paraId="5AED61EC" w14:textId="2E57EF02" w:rsidR="0025523C" w:rsidRDefault="0051306C" w:rsidP="00BC23AD">
      <w:pPr>
        <w:pStyle w:val="NoSpacing"/>
      </w:pPr>
      <w:r>
        <w:rPr>
          <w:noProof/>
        </w:rPr>
        <w:lastRenderedPageBreak/>
        <w:drawing>
          <wp:inline distT="0" distB="0" distL="0" distR="0" wp14:anchorId="671217A8" wp14:editId="22101D7A">
            <wp:extent cx="5943600" cy="2971456"/>
            <wp:effectExtent l="0" t="0" r="0" b="63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43600" cy="2971456"/>
                    </a:xfrm>
                    <a:prstGeom prst="rect">
                      <a:avLst/>
                    </a:prstGeom>
                    <a:noFill/>
                  </pic:spPr>
                </pic:pic>
              </a:graphicData>
            </a:graphic>
          </wp:inline>
        </w:drawing>
      </w:r>
    </w:p>
    <w:p w14:paraId="565F046C" w14:textId="0A9A4ED6" w:rsidR="00F04060" w:rsidRDefault="0025523C" w:rsidP="00BC23AD">
      <w:pPr>
        <w:pStyle w:val="Caption"/>
      </w:pPr>
      <w:bookmarkStart w:id="125" w:name="_Toc67566233"/>
      <w:r>
        <w:t xml:space="preserve">Figure </w:t>
      </w:r>
      <w:r w:rsidR="00077C0B">
        <w:fldChar w:fldCharType="begin"/>
      </w:r>
      <w:r w:rsidR="00077C0B">
        <w:instrText xml:space="preserve"> STYLEREF 1 \s </w:instrText>
      </w:r>
      <w:r w:rsidR="00077C0B">
        <w:fldChar w:fldCharType="separate"/>
      </w:r>
      <w:r w:rsidR="0006023A">
        <w:rPr>
          <w:noProof/>
        </w:rPr>
        <w:t>5</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5</w:t>
      </w:r>
      <w:r w:rsidR="00077C0B">
        <w:rPr>
          <w:noProof/>
        </w:rPr>
        <w:fldChar w:fldCharType="end"/>
      </w:r>
      <w:r>
        <w:t>: FEA</w:t>
      </w:r>
      <w:r w:rsidR="003045A6">
        <w:t xml:space="preserve"> stress continuum</w:t>
      </w:r>
      <w:r w:rsidR="00AB6AE8">
        <w:t xml:space="preserve"> and fracture</w:t>
      </w:r>
      <w:r w:rsidR="003045A6">
        <w:t xml:space="preserve"> model </w:t>
      </w:r>
      <w:r>
        <w:t>compared to the analyti</w:t>
      </w:r>
      <w:r w:rsidR="00553B76">
        <w:t>cal solution showing less than 2.6</w:t>
      </w:r>
      <w:r>
        <w:t>% variation</w:t>
      </w:r>
      <w:r w:rsidR="003045A6">
        <w:t xml:space="preserve"> of the</w:t>
      </w:r>
      <w:r w:rsidR="00E77ED4">
        <w:t xml:space="preserve"> casing hoop and radial stress, less than 1.4% variation of the cement hoop and radial stress, and less than 7.2% variation of the rock formation hoop and radial stress</w:t>
      </w:r>
      <w:r w:rsidR="00553B76">
        <w:t xml:space="preserve"> for the medium well in the Eugene Island OPD.</w:t>
      </w:r>
      <w:bookmarkEnd w:id="125"/>
      <w:r w:rsidR="00553B76">
        <w:t xml:space="preserve"> </w:t>
      </w:r>
    </w:p>
    <w:p w14:paraId="541A23A1" w14:textId="70569D02" w:rsidR="001E32EA" w:rsidRDefault="001E32EA" w:rsidP="00BC23AD">
      <w:pPr>
        <w:pStyle w:val="Caption"/>
      </w:pPr>
      <w:bookmarkStart w:id="126" w:name="_Toc67566100"/>
      <w:r>
        <w:t xml:space="preserve">Table </w:t>
      </w:r>
      <w:r w:rsidR="00077C0B">
        <w:fldChar w:fldCharType="begin"/>
      </w:r>
      <w:r w:rsidR="00077C0B">
        <w:instrText xml:space="preserve"> STYLEREF 1 \s </w:instrText>
      </w:r>
      <w:r w:rsidR="00077C0B">
        <w:fldChar w:fldCharType="separate"/>
      </w:r>
      <w:r w:rsidR="0006023A">
        <w:rPr>
          <w:noProof/>
        </w:rPr>
        <w:t>5</w:t>
      </w:r>
      <w:r w:rsidR="00077C0B">
        <w:rPr>
          <w:noProof/>
        </w:rPr>
        <w:fldChar w:fldCharType="end"/>
      </w:r>
      <w:r w:rsidR="00DD1F74">
        <w:t>.</w:t>
      </w:r>
      <w:r w:rsidR="00077C0B">
        <w:fldChar w:fldCharType="begin"/>
      </w:r>
      <w:r w:rsidR="00077C0B">
        <w:instrText xml:space="preserve"> SEQ Table</w:instrText>
      </w:r>
      <w:r w:rsidR="00077C0B">
        <w:instrText xml:space="preserve"> \* ARABIC \s 1 </w:instrText>
      </w:r>
      <w:r w:rsidR="00077C0B">
        <w:fldChar w:fldCharType="separate"/>
      </w:r>
      <w:r w:rsidR="0006023A">
        <w:rPr>
          <w:noProof/>
        </w:rPr>
        <w:t>5</w:t>
      </w:r>
      <w:r w:rsidR="00077C0B">
        <w:rPr>
          <w:noProof/>
        </w:rPr>
        <w:fldChar w:fldCharType="end"/>
      </w:r>
      <w:r>
        <w:t>: Effective stress percent difference of the FEA stress continuum and fracture model from the analytical solution for the casing, cement, and rock formation.</w:t>
      </w:r>
      <w:bookmarkEnd w:id="12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6"/>
        <w:gridCol w:w="1728"/>
        <w:gridCol w:w="1728"/>
        <w:gridCol w:w="1728"/>
        <w:gridCol w:w="1728"/>
      </w:tblGrid>
      <w:tr w:rsidR="00AB6AE8" w14:paraId="7ADBA346" w14:textId="77777777" w:rsidTr="0051306C">
        <w:tc>
          <w:tcPr>
            <w:tcW w:w="2016" w:type="dxa"/>
            <w:tcBorders>
              <w:right w:val="single" w:sz="4" w:space="0" w:color="auto"/>
            </w:tcBorders>
            <w:vAlign w:val="center"/>
          </w:tcPr>
          <w:p w14:paraId="0F758FF4" w14:textId="77777777" w:rsidR="00AB6AE8" w:rsidRDefault="00AB6AE8" w:rsidP="0051306C">
            <w:pPr>
              <w:spacing w:line="240" w:lineRule="auto"/>
              <w:jc w:val="center"/>
            </w:pPr>
          </w:p>
        </w:tc>
        <w:tc>
          <w:tcPr>
            <w:tcW w:w="3456" w:type="dxa"/>
            <w:gridSpan w:val="2"/>
            <w:tcBorders>
              <w:left w:val="single" w:sz="4" w:space="0" w:color="auto"/>
              <w:right w:val="single" w:sz="4" w:space="0" w:color="auto"/>
            </w:tcBorders>
            <w:vAlign w:val="center"/>
          </w:tcPr>
          <w:p w14:paraId="2C20438E" w14:textId="442EEB3B" w:rsidR="00AB6AE8" w:rsidRDefault="00AB6AE8" w:rsidP="0051306C">
            <w:pPr>
              <w:spacing w:line="240" w:lineRule="auto"/>
              <w:jc w:val="center"/>
            </w:pPr>
            <w:r>
              <w:t>Stress Continuum Model</w:t>
            </w:r>
          </w:p>
        </w:tc>
        <w:tc>
          <w:tcPr>
            <w:tcW w:w="3456" w:type="dxa"/>
            <w:gridSpan w:val="2"/>
            <w:tcBorders>
              <w:left w:val="single" w:sz="4" w:space="0" w:color="auto"/>
            </w:tcBorders>
            <w:vAlign w:val="center"/>
          </w:tcPr>
          <w:p w14:paraId="6CCC761A" w14:textId="41AA4619" w:rsidR="00AB6AE8" w:rsidRDefault="00AB6AE8" w:rsidP="0051306C">
            <w:pPr>
              <w:spacing w:line="240" w:lineRule="auto"/>
              <w:jc w:val="center"/>
            </w:pPr>
            <w:r>
              <w:t>Fracture Model</w:t>
            </w:r>
          </w:p>
        </w:tc>
      </w:tr>
      <w:tr w:rsidR="00AB6AE8" w14:paraId="2D6F7482" w14:textId="77777777" w:rsidTr="0051306C">
        <w:tc>
          <w:tcPr>
            <w:tcW w:w="2016" w:type="dxa"/>
            <w:tcBorders>
              <w:right w:val="single" w:sz="4" w:space="0" w:color="auto"/>
            </w:tcBorders>
            <w:vAlign w:val="center"/>
          </w:tcPr>
          <w:p w14:paraId="7FC815D8" w14:textId="77777777" w:rsidR="00AB6AE8" w:rsidRDefault="00AB6AE8" w:rsidP="0051306C">
            <w:pPr>
              <w:spacing w:line="240" w:lineRule="auto"/>
              <w:jc w:val="center"/>
            </w:pPr>
          </w:p>
        </w:tc>
        <w:tc>
          <w:tcPr>
            <w:tcW w:w="1728" w:type="dxa"/>
            <w:tcBorders>
              <w:left w:val="single" w:sz="4" w:space="0" w:color="auto"/>
              <w:bottom w:val="single" w:sz="4" w:space="0" w:color="auto"/>
            </w:tcBorders>
            <w:vAlign w:val="center"/>
          </w:tcPr>
          <w:p w14:paraId="39FB0F08" w14:textId="68DA6A87" w:rsidR="00AB6AE8" w:rsidRDefault="00AB6AE8" w:rsidP="0051306C">
            <w:pPr>
              <w:spacing w:line="240" w:lineRule="auto"/>
              <w:jc w:val="center"/>
            </w:pPr>
            <w:r>
              <w:t>Radial % Diff.</w:t>
            </w:r>
          </w:p>
        </w:tc>
        <w:tc>
          <w:tcPr>
            <w:tcW w:w="1728" w:type="dxa"/>
            <w:tcBorders>
              <w:bottom w:val="single" w:sz="4" w:space="0" w:color="auto"/>
              <w:right w:val="single" w:sz="4" w:space="0" w:color="auto"/>
            </w:tcBorders>
            <w:vAlign w:val="center"/>
          </w:tcPr>
          <w:p w14:paraId="6F7C80A4" w14:textId="4E4EDAD1" w:rsidR="00AB6AE8" w:rsidRDefault="00AB6AE8" w:rsidP="0051306C">
            <w:pPr>
              <w:spacing w:line="240" w:lineRule="auto"/>
              <w:jc w:val="center"/>
            </w:pPr>
            <w:r>
              <w:t>Hoop % Diff</w:t>
            </w:r>
          </w:p>
        </w:tc>
        <w:tc>
          <w:tcPr>
            <w:tcW w:w="1728" w:type="dxa"/>
            <w:tcBorders>
              <w:left w:val="single" w:sz="4" w:space="0" w:color="auto"/>
              <w:bottom w:val="single" w:sz="4" w:space="0" w:color="auto"/>
            </w:tcBorders>
            <w:vAlign w:val="center"/>
          </w:tcPr>
          <w:p w14:paraId="16601282" w14:textId="3857FC53" w:rsidR="00AB6AE8" w:rsidRDefault="00AB6AE8" w:rsidP="0051306C">
            <w:pPr>
              <w:spacing w:line="240" w:lineRule="auto"/>
              <w:jc w:val="center"/>
            </w:pPr>
            <w:r>
              <w:t>Radial % Diff.</w:t>
            </w:r>
          </w:p>
        </w:tc>
        <w:tc>
          <w:tcPr>
            <w:tcW w:w="1728" w:type="dxa"/>
            <w:tcBorders>
              <w:bottom w:val="single" w:sz="4" w:space="0" w:color="auto"/>
            </w:tcBorders>
            <w:vAlign w:val="center"/>
          </w:tcPr>
          <w:p w14:paraId="7EB2D3AC" w14:textId="2277C43C" w:rsidR="00AB6AE8" w:rsidRDefault="00AB6AE8" w:rsidP="0051306C">
            <w:pPr>
              <w:spacing w:line="240" w:lineRule="auto"/>
              <w:jc w:val="center"/>
            </w:pPr>
            <w:r>
              <w:t>Hoop % Diff</w:t>
            </w:r>
          </w:p>
        </w:tc>
      </w:tr>
      <w:tr w:rsidR="00AB6AE8" w14:paraId="735E1DE8" w14:textId="77777777" w:rsidTr="0051306C">
        <w:tc>
          <w:tcPr>
            <w:tcW w:w="2016" w:type="dxa"/>
            <w:tcBorders>
              <w:right w:val="single" w:sz="4" w:space="0" w:color="auto"/>
            </w:tcBorders>
            <w:vAlign w:val="center"/>
          </w:tcPr>
          <w:p w14:paraId="5713C0EB" w14:textId="5A2DE867" w:rsidR="00AB6AE8" w:rsidRDefault="00AB6AE8" w:rsidP="0051306C">
            <w:pPr>
              <w:spacing w:line="240" w:lineRule="auto"/>
              <w:jc w:val="center"/>
            </w:pPr>
            <w:r>
              <w:t>Casing</w:t>
            </w:r>
          </w:p>
        </w:tc>
        <w:tc>
          <w:tcPr>
            <w:tcW w:w="1728" w:type="dxa"/>
            <w:tcBorders>
              <w:top w:val="single" w:sz="4" w:space="0" w:color="auto"/>
              <w:left w:val="single" w:sz="4" w:space="0" w:color="auto"/>
            </w:tcBorders>
            <w:vAlign w:val="center"/>
          </w:tcPr>
          <w:p w14:paraId="122285BF" w14:textId="4EE0F2E4" w:rsidR="00AB6AE8" w:rsidRDefault="0051306C" w:rsidP="0051306C">
            <w:pPr>
              <w:spacing w:line="240" w:lineRule="auto"/>
              <w:jc w:val="center"/>
            </w:pPr>
            <w:r>
              <w:t>±1.0%</w:t>
            </w:r>
          </w:p>
        </w:tc>
        <w:tc>
          <w:tcPr>
            <w:tcW w:w="1728" w:type="dxa"/>
            <w:tcBorders>
              <w:top w:val="single" w:sz="4" w:space="0" w:color="auto"/>
              <w:right w:val="single" w:sz="4" w:space="0" w:color="auto"/>
            </w:tcBorders>
            <w:vAlign w:val="center"/>
          </w:tcPr>
          <w:p w14:paraId="2BDCE764" w14:textId="20C81E8D" w:rsidR="00AB6AE8" w:rsidRDefault="0051306C" w:rsidP="0051306C">
            <w:pPr>
              <w:spacing w:line="240" w:lineRule="auto"/>
              <w:jc w:val="center"/>
            </w:pPr>
            <w:r>
              <w:t>±0.5%</w:t>
            </w:r>
          </w:p>
        </w:tc>
        <w:tc>
          <w:tcPr>
            <w:tcW w:w="1728" w:type="dxa"/>
            <w:tcBorders>
              <w:top w:val="single" w:sz="4" w:space="0" w:color="auto"/>
              <w:left w:val="single" w:sz="4" w:space="0" w:color="auto"/>
            </w:tcBorders>
            <w:vAlign w:val="center"/>
          </w:tcPr>
          <w:p w14:paraId="4EFC8493" w14:textId="5CA54402" w:rsidR="00AB6AE8" w:rsidRDefault="0051306C" w:rsidP="0051306C">
            <w:pPr>
              <w:spacing w:line="240" w:lineRule="auto"/>
              <w:jc w:val="center"/>
            </w:pPr>
            <w:r>
              <w:t>±2.6%</w:t>
            </w:r>
          </w:p>
        </w:tc>
        <w:tc>
          <w:tcPr>
            <w:tcW w:w="1728" w:type="dxa"/>
            <w:tcBorders>
              <w:top w:val="single" w:sz="4" w:space="0" w:color="auto"/>
            </w:tcBorders>
            <w:vAlign w:val="center"/>
          </w:tcPr>
          <w:p w14:paraId="54A5B002" w14:textId="22DC1F7D" w:rsidR="00AB6AE8" w:rsidRDefault="0051306C" w:rsidP="0051306C">
            <w:pPr>
              <w:spacing w:line="240" w:lineRule="auto"/>
              <w:jc w:val="center"/>
            </w:pPr>
            <w:r>
              <w:t>±1.2%</w:t>
            </w:r>
          </w:p>
        </w:tc>
      </w:tr>
      <w:tr w:rsidR="00AB6AE8" w14:paraId="676E641B" w14:textId="77777777" w:rsidTr="0051306C">
        <w:tc>
          <w:tcPr>
            <w:tcW w:w="2016" w:type="dxa"/>
            <w:tcBorders>
              <w:right w:val="single" w:sz="4" w:space="0" w:color="auto"/>
            </w:tcBorders>
            <w:vAlign w:val="center"/>
          </w:tcPr>
          <w:p w14:paraId="7CAE3DAC" w14:textId="20C7E9CC" w:rsidR="00AB6AE8" w:rsidRDefault="00AB6AE8" w:rsidP="0051306C">
            <w:pPr>
              <w:spacing w:line="240" w:lineRule="auto"/>
              <w:jc w:val="center"/>
            </w:pPr>
            <w:r>
              <w:t>Cement</w:t>
            </w:r>
          </w:p>
        </w:tc>
        <w:tc>
          <w:tcPr>
            <w:tcW w:w="1728" w:type="dxa"/>
            <w:tcBorders>
              <w:left w:val="single" w:sz="4" w:space="0" w:color="auto"/>
            </w:tcBorders>
            <w:vAlign w:val="center"/>
          </w:tcPr>
          <w:p w14:paraId="2AFD08A5" w14:textId="537AA2B6" w:rsidR="00AB6AE8" w:rsidRDefault="0051306C" w:rsidP="0051306C">
            <w:pPr>
              <w:spacing w:line="240" w:lineRule="auto"/>
              <w:jc w:val="center"/>
            </w:pPr>
            <w:r>
              <w:t>±0.4%</w:t>
            </w:r>
          </w:p>
        </w:tc>
        <w:tc>
          <w:tcPr>
            <w:tcW w:w="1728" w:type="dxa"/>
            <w:tcBorders>
              <w:right w:val="single" w:sz="4" w:space="0" w:color="auto"/>
            </w:tcBorders>
            <w:vAlign w:val="center"/>
          </w:tcPr>
          <w:p w14:paraId="4380DB02" w14:textId="08CF5382" w:rsidR="00AB6AE8" w:rsidRDefault="0051306C" w:rsidP="0051306C">
            <w:pPr>
              <w:spacing w:line="240" w:lineRule="auto"/>
              <w:jc w:val="center"/>
            </w:pPr>
            <w:r>
              <w:t>±0.2%</w:t>
            </w:r>
          </w:p>
        </w:tc>
        <w:tc>
          <w:tcPr>
            <w:tcW w:w="1728" w:type="dxa"/>
            <w:tcBorders>
              <w:left w:val="single" w:sz="4" w:space="0" w:color="auto"/>
            </w:tcBorders>
            <w:vAlign w:val="center"/>
          </w:tcPr>
          <w:p w14:paraId="2E06F398" w14:textId="0CFA97BD" w:rsidR="00AB6AE8" w:rsidRDefault="0051306C" w:rsidP="0051306C">
            <w:pPr>
              <w:spacing w:line="240" w:lineRule="auto"/>
              <w:jc w:val="center"/>
            </w:pPr>
            <w:r>
              <w:t>±1.4%</w:t>
            </w:r>
          </w:p>
        </w:tc>
        <w:tc>
          <w:tcPr>
            <w:tcW w:w="1728" w:type="dxa"/>
            <w:vAlign w:val="center"/>
          </w:tcPr>
          <w:p w14:paraId="415EA861" w14:textId="76E46643" w:rsidR="00AB6AE8" w:rsidRDefault="0051306C" w:rsidP="0051306C">
            <w:pPr>
              <w:spacing w:line="240" w:lineRule="auto"/>
              <w:jc w:val="center"/>
            </w:pPr>
            <w:r>
              <w:t>±0.5%</w:t>
            </w:r>
          </w:p>
        </w:tc>
      </w:tr>
      <w:tr w:rsidR="00AB6AE8" w14:paraId="62A088B5" w14:textId="77777777" w:rsidTr="0051306C">
        <w:tc>
          <w:tcPr>
            <w:tcW w:w="2016" w:type="dxa"/>
            <w:tcBorders>
              <w:right w:val="single" w:sz="4" w:space="0" w:color="auto"/>
            </w:tcBorders>
            <w:vAlign w:val="center"/>
          </w:tcPr>
          <w:p w14:paraId="11035BF8" w14:textId="2FC8E451" w:rsidR="00AB6AE8" w:rsidRDefault="00AB6AE8" w:rsidP="0051306C">
            <w:pPr>
              <w:spacing w:line="240" w:lineRule="auto"/>
              <w:jc w:val="center"/>
            </w:pPr>
            <w:r>
              <w:t>Rock Formation</w:t>
            </w:r>
          </w:p>
        </w:tc>
        <w:tc>
          <w:tcPr>
            <w:tcW w:w="1728" w:type="dxa"/>
            <w:tcBorders>
              <w:left w:val="single" w:sz="4" w:space="0" w:color="auto"/>
            </w:tcBorders>
            <w:vAlign w:val="center"/>
          </w:tcPr>
          <w:p w14:paraId="662FB65C" w14:textId="1FBDBE86" w:rsidR="00AB6AE8" w:rsidRDefault="0051306C" w:rsidP="0051306C">
            <w:pPr>
              <w:spacing w:line="240" w:lineRule="auto"/>
              <w:jc w:val="center"/>
            </w:pPr>
            <w:r>
              <w:t>±7.2%</w:t>
            </w:r>
          </w:p>
        </w:tc>
        <w:tc>
          <w:tcPr>
            <w:tcW w:w="1728" w:type="dxa"/>
            <w:tcBorders>
              <w:right w:val="single" w:sz="4" w:space="0" w:color="auto"/>
            </w:tcBorders>
            <w:vAlign w:val="center"/>
          </w:tcPr>
          <w:p w14:paraId="48EBEBBF" w14:textId="085F9860" w:rsidR="00AB6AE8" w:rsidRDefault="0051306C" w:rsidP="0051306C">
            <w:pPr>
              <w:spacing w:line="240" w:lineRule="auto"/>
              <w:jc w:val="center"/>
            </w:pPr>
            <w:r>
              <w:t>±5.4%</w:t>
            </w:r>
          </w:p>
        </w:tc>
        <w:tc>
          <w:tcPr>
            <w:tcW w:w="1728" w:type="dxa"/>
            <w:tcBorders>
              <w:left w:val="single" w:sz="4" w:space="0" w:color="auto"/>
            </w:tcBorders>
            <w:vAlign w:val="center"/>
          </w:tcPr>
          <w:p w14:paraId="466D9AE9" w14:textId="44581C53" w:rsidR="00AB6AE8" w:rsidRDefault="0051306C" w:rsidP="0051306C">
            <w:pPr>
              <w:spacing w:line="240" w:lineRule="auto"/>
              <w:jc w:val="center"/>
            </w:pPr>
            <w:r>
              <w:t>±6.7%</w:t>
            </w:r>
          </w:p>
        </w:tc>
        <w:tc>
          <w:tcPr>
            <w:tcW w:w="1728" w:type="dxa"/>
            <w:vAlign w:val="center"/>
          </w:tcPr>
          <w:p w14:paraId="1DBFD023" w14:textId="694239EA" w:rsidR="00AB6AE8" w:rsidRDefault="0051306C" w:rsidP="0051306C">
            <w:pPr>
              <w:spacing w:line="240" w:lineRule="auto"/>
              <w:jc w:val="center"/>
            </w:pPr>
            <w:r>
              <w:t>±5.3%</w:t>
            </w:r>
          </w:p>
        </w:tc>
      </w:tr>
    </w:tbl>
    <w:p w14:paraId="3D4F2B83" w14:textId="4158FE40" w:rsidR="00AB6AE8" w:rsidRDefault="00AB6AE8" w:rsidP="0025523C">
      <w:pPr>
        <w:ind w:firstLine="720"/>
      </w:pPr>
    </w:p>
    <w:p w14:paraId="0E1EB48B" w14:textId="59D5378C" w:rsidR="001E32EA" w:rsidRDefault="001E32EA" w:rsidP="0025523C">
      <w:pPr>
        <w:ind w:firstLine="720"/>
      </w:pPr>
      <w:r w:rsidRPr="00B92BF4">
        <w:t>From Table 5.</w:t>
      </w:r>
      <w:r w:rsidR="008C6FD4">
        <w:t>5</w:t>
      </w:r>
      <w:r w:rsidRPr="00B92BF4">
        <w:t>, the FEA stress continuum model matches with the analytical solution better than the FEA fracture model for all three materials.</w:t>
      </w:r>
      <w:r w:rsidR="001108D6" w:rsidRPr="00B92BF4">
        <w:t xml:space="preserve"> But the stress model is not able to replicate fractures at the cement sheath interfaces.</w:t>
      </w:r>
      <w:r w:rsidRPr="00B92BF4">
        <w:t xml:space="preserve"> Both</w:t>
      </w:r>
      <w:r w:rsidR="001108D6" w:rsidRPr="00B92BF4">
        <w:t xml:space="preserve"> FEA</w:t>
      </w:r>
      <w:r w:rsidRPr="00B92BF4">
        <w:t xml:space="preserve"> models are within 3% for the casing and cement, but neither are as accurate</w:t>
      </w:r>
      <w:r>
        <w:t xml:space="preserve"> for the rock formation. The discrepancy with the stress in the rock formation is due to element gridding. A finer grid should result in a more accurate stress representation. However, a finer grid results in longer simulation times. Since the objective is to determine if leakage is occurring through the cement sheath, the </w:t>
      </w:r>
      <w:r w:rsidR="001108D6">
        <w:t xml:space="preserve">finite element grid is determined </w:t>
      </w:r>
      <w:r w:rsidR="001108D6">
        <w:lastRenderedPageBreak/>
        <w:t>to be accurate for the both models since the cement sheath stress is within 1.4% of the analytical solution.</w:t>
      </w:r>
    </w:p>
    <w:p w14:paraId="1E2DD7BF" w14:textId="13B6EB3E" w:rsidR="00F04060" w:rsidRPr="006348F1" w:rsidRDefault="005024BB" w:rsidP="003E1B51">
      <w:pPr>
        <w:pStyle w:val="Heading4"/>
      </w:pPr>
      <w:r w:rsidRPr="006348F1">
        <w:t>FEA Fluid Rheology Model versus Cemented Wellbore Experiments</w:t>
      </w:r>
    </w:p>
    <w:p w14:paraId="72B56439" w14:textId="2DFE7BA3" w:rsidR="00ED23A2" w:rsidRDefault="00A643AC" w:rsidP="003A4913">
      <w:pPr>
        <w:ind w:firstLine="720"/>
      </w:pPr>
      <w:r>
        <w:t xml:space="preserve">The </w:t>
      </w:r>
      <w:r w:rsidR="00A13088">
        <w:t xml:space="preserve">simulated pressure drops and corresponding microannuli of the </w:t>
      </w:r>
      <w:r>
        <w:t>two-way coupled</w:t>
      </w:r>
      <w:r w:rsidR="00A13088">
        <w:t xml:space="preserve"> cased wellbore</w:t>
      </w:r>
      <w:r>
        <w:t xml:space="preserve"> FEA </w:t>
      </w:r>
      <w:r w:rsidR="00A13088">
        <w:t xml:space="preserve">fracture </w:t>
      </w:r>
      <w:r>
        <w:t>model</w:t>
      </w:r>
      <w:r w:rsidR="00A13088">
        <w:t xml:space="preserve"> is compared to the experimental data from Aas et al. (2016) to </w:t>
      </w:r>
      <w:r w:rsidR="00A13088" w:rsidRPr="00B92BF4">
        <w:t>determine if the model can accurately predict cement sheath microannuli in cemented wellbores.</w:t>
      </w:r>
      <w:r w:rsidRPr="00B92BF4">
        <w:t xml:space="preserve"> </w:t>
      </w:r>
      <w:r w:rsidR="00ED23A2" w:rsidRPr="00B92BF4">
        <w:t>Table 5.</w:t>
      </w:r>
      <w:r w:rsidR="008C6FD4">
        <w:t>6</w:t>
      </w:r>
      <w:r w:rsidR="00ED23A2" w:rsidRPr="00B92BF4">
        <w:t xml:space="preserve"> shows</w:t>
      </w:r>
      <w:r w:rsidR="00ED23A2">
        <w:t xml:space="preserve"> the results of the pressure drop calculations for conventional and expanding cement compared to the experimental data. For expanding cement, the simulated pressure drops were lower than those that were experimentally recorded except for the pressure of 4.2 M</w:t>
      </w:r>
      <w:r w:rsidR="0098409D">
        <w:t>Pa and flow rate of 13 mL/min. T</w:t>
      </w:r>
      <w:r w:rsidR="00ED23A2">
        <w:t>he simulated microannuli were larger than the total microannuli of the experiments except for the pressure of 4.2 MPa</w:t>
      </w:r>
      <w:r w:rsidR="0098409D">
        <w:t xml:space="preserve"> in which the model did not predict a complete leakage path for the length of the </w:t>
      </w:r>
      <w:r w:rsidR="00583441">
        <w:t>casing</w:t>
      </w:r>
      <w:r w:rsidR="00ED23A2">
        <w:t>. For the conventional cement with shrinkage, the simulated pressure drops were within 0.1 MPa of the experiments. However, the simulated microannuli were at least 40 μm higher than the total microannuli of the experiments. Not adding shrinkage to the conventional cement</w:t>
      </w:r>
      <w:r w:rsidR="00583441">
        <w:t xml:space="preserve"> caused the simulations to not</w:t>
      </w:r>
      <w:r w:rsidR="00ED23A2">
        <w:t xml:space="preserve"> converge.</w:t>
      </w:r>
    </w:p>
    <w:p w14:paraId="58349240" w14:textId="77777777" w:rsidR="00553B76" w:rsidRDefault="00553B76">
      <w:pPr>
        <w:spacing w:after="160" w:line="259" w:lineRule="auto"/>
        <w:jc w:val="left"/>
        <w:rPr>
          <w:b/>
          <w:iCs/>
          <w:color w:val="000000" w:themeColor="text1"/>
          <w:sz w:val="20"/>
          <w:szCs w:val="18"/>
        </w:rPr>
      </w:pPr>
      <w:r>
        <w:br w:type="page"/>
      </w:r>
    </w:p>
    <w:p w14:paraId="1ED6FC04" w14:textId="0606B5E2" w:rsidR="0096409D" w:rsidRDefault="007D1DA0" w:rsidP="00BC23AD">
      <w:pPr>
        <w:pStyle w:val="Caption"/>
      </w:pPr>
      <w:bookmarkStart w:id="127" w:name="_Toc67566101"/>
      <w:r>
        <w:lastRenderedPageBreak/>
        <w:t xml:space="preserve">Table </w:t>
      </w:r>
      <w:r w:rsidR="00077C0B">
        <w:fldChar w:fldCharType="begin"/>
      </w:r>
      <w:r w:rsidR="00077C0B">
        <w:instrText xml:space="preserve"> STYLEREF 1 \s </w:instrText>
      </w:r>
      <w:r w:rsidR="00077C0B">
        <w:fldChar w:fldCharType="separate"/>
      </w:r>
      <w:r w:rsidR="0006023A">
        <w:rPr>
          <w:noProof/>
        </w:rPr>
        <w:t>5</w:t>
      </w:r>
      <w:r w:rsidR="00077C0B">
        <w:rPr>
          <w:noProof/>
        </w:rPr>
        <w:fldChar w:fldCharType="end"/>
      </w:r>
      <w:r w:rsidR="00DD1F74">
        <w:t>.</w:t>
      </w:r>
      <w:r w:rsidR="00077C0B">
        <w:fldChar w:fldCharType="begin"/>
      </w:r>
      <w:r w:rsidR="00077C0B">
        <w:instrText xml:space="preserve"> SEQ Table \* ARABIC \s 1 </w:instrText>
      </w:r>
      <w:r w:rsidR="00077C0B">
        <w:fldChar w:fldCharType="separate"/>
      </w:r>
      <w:r w:rsidR="0006023A">
        <w:rPr>
          <w:noProof/>
        </w:rPr>
        <w:t>6</w:t>
      </w:r>
      <w:r w:rsidR="00077C0B">
        <w:rPr>
          <w:noProof/>
        </w:rPr>
        <w:fldChar w:fldCharType="end"/>
      </w:r>
      <w:r>
        <w:t>: Calculated pressure drops and simulated microannuli gaps for both expanding and conventional cement in comparison to the experimentally measured pressure drops and equivalent microannuli gaps.</w:t>
      </w:r>
      <w:bookmarkEnd w:id="127"/>
    </w:p>
    <w:p w14:paraId="6238343C" w14:textId="7BD3BF44" w:rsidR="0096409D" w:rsidRDefault="0096409D" w:rsidP="0096409D">
      <w:r>
        <w:rPr>
          <w:noProof/>
        </w:rPr>
        <mc:AlternateContent>
          <mc:Choice Requires="wps">
            <w:drawing>
              <wp:inline distT="0" distB="0" distL="0" distR="0" wp14:anchorId="4A06533B" wp14:editId="13B6544E">
                <wp:extent cx="7315200" cy="5943600"/>
                <wp:effectExtent l="0" t="0" r="0" b="0"/>
                <wp:docPr id="58" name="Text Box 58"/>
                <wp:cNvGraphicFramePr/>
                <a:graphic xmlns:a="http://schemas.openxmlformats.org/drawingml/2006/main">
                  <a:graphicData uri="http://schemas.microsoft.com/office/word/2010/wordprocessingShape">
                    <wps:wsp>
                      <wps:cNvSpPr txBox="1"/>
                      <wps:spPr>
                        <a:xfrm rot="16200000">
                          <a:off x="0" y="0"/>
                          <a:ext cx="7315200" cy="5943600"/>
                        </a:xfrm>
                        <a:prstGeom prst="rect">
                          <a:avLst/>
                        </a:prstGeom>
                        <a:solidFill>
                          <a:prstClr val="white"/>
                        </a:solidFill>
                        <a:ln>
                          <a:noFill/>
                        </a:ln>
                      </wps:spPr>
                      <wps:txbx>
                        <w:txbxContent>
                          <w:p w14:paraId="1E313157" w14:textId="42888F1B" w:rsidR="00FF3468" w:rsidRDefault="00FF3468" w:rsidP="0096409D">
                            <w:pPr>
                              <w:pStyle w:val="MainText"/>
                              <w:jc w:val="center"/>
                              <w:rPr>
                                <w:sz w:val="20"/>
                              </w:rPr>
                            </w:pPr>
                          </w:p>
                          <w:p w14:paraId="0BE6E683" w14:textId="2AA6DA66" w:rsidR="00FF3468" w:rsidRDefault="00FF3468" w:rsidP="0096409D">
                            <w:pPr>
                              <w:pStyle w:val="MainText"/>
                              <w:jc w:val="center"/>
                              <w:rPr>
                                <w:sz w:val="20"/>
                              </w:rPr>
                            </w:pPr>
                          </w:p>
                          <w:p w14:paraId="5E153FB0" w14:textId="2595CE21" w:rsidR="00FF3468" w:rsidRDefault="00FF3468" w:rsidP="0096409D">
                            <w:pPr>
                              <w:pStyle w:val="MainText"/>
                              <w:jc w:val="center"/>
                              <w:rPr>
                                <w:sz w:val="20"/>
                              </w:rPr>
                            </w:pPr>
                          </w:p>
                          <w:p w14:paraId="7F119623" w14:textId="46A05EEE" w:rsidR="00FF3468" w:rsidRDefault="00FF3468" w:rsidP="0096409D">
                            <w:pPr>
                              <w:pStyle w:val="MainText"/>
                              <w:jc w:val="center"/>
                              <w:rPr>
                                <w:sz w:val="20"/>
                              </w:rPr>
                            </w:pPr>
                          </w:p>
                          <w:p w14:paraId="1166A0CA" w14:textId="2FD74636" w:rsidR="00FF3468" w:rsidRDefault="00FF3468" w:rsidP="0096409D">
                            <w:pPr>
                              <w:pStyle w:val="MainText"/>
                              <w:jc w:val="center"/>
                              <w:rPr>
                                <w:sz w:val="20"/>
                              </w:rPr>
                            </w:pPr>
                          </w:p>
                          <w:p w14:paraId="70AD5184" w14:textId="77777777" w:rsidR="00FF3468" w:rsidRPr="00117D89" w:rsidRDefault="00FF3468" w:rsidP="0096409D">
                            <w:pPr>
                              <w:pStyle w:val="MainText"/>
                              <w:jc w:val="center"/>
                              <w:rPr>
                                <w:sz w:val="20"/>
                              </w:rPr>
                            </w:pPr>
                          </w:p>
                          <w:tbl>
                            <w:tblPr>
                              <w:tblW w:w="11193" w:type="dxa"/>
                              <w:jc w:val="center"/>
                              <w:tblLook w:val="04A0" w:firstRow="1" w:lastRow="0" w:firstColumn="1" w:lastColumn="0" w:noHBand="0" w:noVBand="1"/>
                            </w:tblPr>
                            <w:tblGrid>
                              <w:gridCol w:w="504"/>
                              <w:gridCol w:w="840"/>
                              <w:gridCol w:w="962"/>
                              <w:gridCol w:w="1072"/>
                              <w:gridCol w:w="1243"/>
                              <w:gridCol w:w="1304"/>
                              <w:gridCol w:w="878"/>
                              <w:gridCol w:w="150"/>
                              <w:gridCol w:w="779"/>
                              <w:gridCol w:w="743"/>
                              <w:gridCol w:w="1205"/>
                              <w:gridCol w:w="744"/>
                              <w:gridCol w:w="769"/>
                            </w:tblGrid>
                            <w:tr w:rsidR="00FF3468" w:rsidRPr="007D1DA0" w14:paraId="697211A0" w14:textId="77777777" w:rsidTr="0096409D">
                              <w:trPr>
                                <w:cantSplit/>
                                <w:trHeight w:val="20"/>
                                <w:jc w:val="center"/>
                              </w:trPr>
                              <w:tc>
                                <w:tcPr>
                                  <w:tcW w:w="504" w:type="dxa"/>
                                  <w:shd w:val="clear" w:color="auto" w:fill="auto"/>
                                  <w:noWrap/>
                                  <w:vAlign w:val="center"/>
                                  <w:hideMark/>
                                </w:tcPr>
                                <w:p w14:paraId="0C180BD2" w14:textId="77777777" w:rsidR="00FF3468" w:rsidRPr="007D1DA0" w:rsidRDefault="00FF3468" w:rsidP="0096409D">
                                  <w:pPr>
                                    <w:spacing w:line="240" w:lineRule="auto"/>
                                    <w:jc w:val="center"/>
                                    <w:rPr>
                                      <w:rFonts w:cs="Times New Roman"/>
                                      <w:sz w:val="22"/>
                                    </w:rPr>
                                  </w:pPr>
                                </w:p>
                              </w:tc>
                              <w:tc>
                                <w:tcPr>
                                  <w:tcW w:w="840" w:type="dxa"/>
                                  <w:vMerge w:val="restart"/>
                                  <w:vAlign w:val="center"/>
                                </w:tcPr>
                                <w:p w14:paraId="118A33C2"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Length</w:t>
                                  </w:r>
                                </w:p>
                              </w:tc>
                              <w:tc>
                                <w:tcPr>
                                  <w:tcW w:w="962" w:type="dxa"/>
                                  <w:vMerge w:val="restart"/>
                                  <w:shd w:val="clear" w:color="auto" w:fill="auto"/>
                                  <w:vAlign w:val="center"/>
                                  <w:hideMark/>
                                </w:tcPr>
                                <w:p w14:paraId="7DF0635A"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Initial Pressure</w:t>
                                  </w:r>
                                </w:p>
                              </w:tc>
                              <w:tc>
                                <w:tcPr>
                                  <w:tcW w:w="1072" w:type="dxa"/>
                                  <w:vMerge w:val="restart"/>
                                  <w:shd w:val="clear" w:color="auto" w:fill="auto"/>
                                  <w:vAlign w:val="center"/>
                                  <w:hideMark/>
                                </w:tcPr>
                                <w:p w14:paraId="0A2077A6"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Flow Rate</w:t>
                                  </w:r>
                                </w:p>
                              </w:tc>
                              <w:tc>
                                <w:tcPr>
                                  <w:tcW w:w="1243" w:type="dxa"/>
                                  <w:vMerge w:val="restart"/>
                                  <w:shd w:val="clear" w:color="auto" w:fill="auto"/>
                                  <w:vAlign w:val="center"/>
                                  <w:hideMark/>
                                </w:tcPr>
                                <w:p w14:paraId="1A9AC9D6"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Experiment Pressure Drop</w:t>
                                  </w:r>
                                </w:p>
                              </w:tc>
                              <w:tc>
                                <w:tcPr>
                                  <w:tcW w:w="1304" w:type="dxa"/>
                                  <w:vMerge w:val="restart"/>
                                  <w:shd w:val="clear" w:color="auto" w:fill="auto"/>
                                  <w:vAlign w:val="center"/>
                                  <w:hideMark/>
                                </w:tcPr>
                                <w:p w14:paraId="3F3DE8DD"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Total Microannuli</w:t>
                                  </w:r>
                                </w:p>
                              </w:tc>
                              <w:tc>
                                <w:tcPr>
                                  <w:tcW w:w="1807" w:type="dxa"/>
                                  <w:gridSpan w:val="3"/>
                                  <w:vMerge w:val="restart"/>
                                  <w:shd w:val="clear" w:color="auto" w:fill="auto"/>
                                  <w:vAlign w:val="center"/>
                                  <w:hideMark/>
                                </w:tcPr>
                                <w:p w14:paraId="451B431F"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Simulated Pressure Drop</w:t>
                                  </w:r>
                                </w:p>
                              </w:tc>
                              <w:tc>
                                <w:tcPr>
                                  <w:tcW w:w="3461" w:type="dxa"/>
                                  <w:gridSpan w:val="4"/>
                                  <w:tcBorders>
                                    <w:bottom w:val="single" w:sz="4" w:space="0" w:color="auto"/>
                                  </w:tcBorders>
                                  <w:vAlign w:val="center"/>
                                </w:tcPr>
                                <w:p w14:paraId="41EAD820"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Simulated Microannuli</w:t>
                                  </w:r>
                                </w:p>
                              </w:tc>
                            </w:tr>
                            <w:tr w:rsidR="00FF3468" w:rsidRPr="007D1DA0" w14:paraId="75156753" w14:textId="77777777" w:rsidTr="0096409D">
                              <w:trPr>
                                <w:cantSplit/>
                                <w:trHeight w:val="263"/>
                                <w:jc w:val="center"/>
                              </w:trPr>
                              <w:tc>
                                <w:tcPr>
                                  <w:tcW w:w="504" w:type="dxa"/>
                                  <w:shd w:val="clear" w:color="auto" w:fill="auto"/>
                                  <w:noWrap/>
                                  <w:vAlign w:val="center"/>
                                </w:tcPr>
                                <w:p w14:paraId="581B0456" w14:textId="77777777" w:rsidR="00FF3468" w:rsidRPr="007D1DA0" w:rsidRDefault="00FF3468" w:rsidP="0096409D">
                                  <w:pPr>
                                    <w:spacing w:line="240" w:lineRule="auto"/>
                                    <w:jc w:val="center"/>
                                    <w:rPr>
                                      <w:rFonts w:cs="Times New Roman"/>
                                      <w:sz w:val="22"/>
                                    </w:rPr>
                                  </w:pPr>
                                </w:p>
                              </w:tc>
                              <w:tc>
                                <w:tcPr>
                                  <w:tcW w:w="840" w:type="dxa"/>
                                  <w:vMerge/>
                                  <w:vAlign w:val="center"/>
                                </w:tcPr>
                                <w:p w14:paraId="1F822F96" w14:textId="77777777" w:rsidR="00FF3468" w:rsidRPr="007D1DA0" w:rsidRDefault="00FF3468" w:rsidP="0096409D">
                                  <w:pPr>
                                    <w:spacing w:line="240" w:lineRule="auto"/>
                                    <w:jc w:val="center"/>
                                    <w:rPr>
                                      <w:rFonts w:cs="Times New Roman"/>
                                      <w:color w:val="000000"/>
                                      <w:sz w:val="22"/>
                                    </w:rPr>
                                  </w:pPr>
                                </w:p>
                              </w:tc>
                              <w:tc>
                                <w:tcPr>
                                  <w:tcW w:w="962" w:type="dxa"/>
                                  <w:vMerge/>
                                  <w:shd w:val="clear" w:color="auto" w:fill="auto"/>
                                  <w:vAlign w:val="center"/>
                                </w:tcPr>
                                <w:p w14:paraId="606846E3" w14:textId="77777777" w:rsidR="00FF3468" w:rsidRPr="007D1DA0" w:rsidRDefault="00FF3468" w:rsidP="0096409D">
                                  <w:pPr>
                                    <w:spacing w:line="240" w:lineRule="auto"/>
                                    <w:jc w:val="center"/>
                                    <w:rPr>
                                      <w:rFonts w:cs="Times New Roman"/>
                                      <w:color w:val="000000"/>
                                      <w:sz w:val="22"/>
                                    </w:rPr>
                                  </w:pPr>
                                </w:p>
                              </w:tc>
                              <w:tc>
                                <w:tcPr>
                                  <w:tcW w:w="1072" w:type="dxa"/>
                                  <w:vMerge/>
                                  <w:shd w:val="clear" w:color="auto" w:fill="auto"/>
                                  <w:vAlign w:val="center"/>
                                </w:tcPr>
                                <w:p w14:paraId="1B74518D" w14:textId="77777777" w:rsidR="00FF3468" w:rsidRPr="007D1DA0" w:rsidRDefault="00FF3468" w:rsidP="0096409D">
                                  <w:pPr>
                                    <w:spacing w:line="240" w:lineRule="auto"/>
                                    <w:jc w:val="center"/>
                                    <w:rPr>
                                      <w:rFonts w:cs="Times New Roman"/>
                                      <w:color w:val="000000"/>
                                      <w:sz w:val="22"/>
                                    </w:rPr>
                                  </w:pPr>
                                </w:p>
                              </w:tc>
                              <w:tc>
                                <w:tcPr>
                                  <w:tcW w:w="1243" w:type="dxa"/>
                                  <w:vMerge/>
                                  <w:shd w:val="clear" w:color="auto" w:fill="auto"/>
                                  <w:vAlign w:val="center"/>
                                </w:tcPr>
                                <w:p w14:paraId="586954F4" w14:textId="77777777" w:rsidR="00FF3468" w:rsidRPr="007D1DA0" w:rsidRDefault="00FF3468" w:rsidP="0096409D">
                                  <w:pPr>
                                    <w:spacing w:line="240" w:lineRule="auto"/>
                                    <w:jc w:val="center"/>
                                    <w:rPr>
                                      <w:rFonts w:cs="Times New Roman"/>
                                      <w:color w:val="000000"/>
                                      <w:sz w:val="22"/>
                                    </w:rPr>
                                  </w:pPr>
                                </w:p>
                              </w:tc>
                              <w:tc>
                                <w:tcPr>
                                  <w:tcW w:w="1304" w:type="dxa"/>
                                  <w:vMerge/>
                                  <w:shd w:val="clear" w:color="auto" w:fill="auto"/>
                                  <w:vAlign w:val="center"/>
                                </w:tcPr>
                                <w:p w14:paraId="5BED0076" w14:textId="77777777" w:rsidR="00FF3468" w:rsidRPr="007D1DA0" w:rsidRDefault="00FF3468" w:rsidP="0096409D">
                                  <w:pPr>
                                    <w:spacing w:line="240" w:lineRule="auto"/>
                                    <w:jc w:val="center"/>
                                    <w:rPr>
                                      <w:rFonts w:cs="Times New Roman"/>
                                      <w:color w:val="000000"/>
                                      <w:sz w:val="22"/>
                                    </w:rPr>
                                  </w:pPr>
                                </w:p>
                              </w:tc>
                              <w:tc>
                                <w:tcPr>
                                  <w:tcW w:w="1807" w:type="dxa"/>
                                  <w:gridSpan w:val="3"/>
                                  <w:vMerge/>
                                  <w:shd w:val="clear" w:color="auto" w:fill="auto"/>
                                  <w:vAlign w:val="center"/>
                                </w:tcPr>
                                <w:p w14:paraId="2E379752" w14:textId="77777777" w:rsidR="00FF3468" w:rsidRPr="007D1DA0" w:rsidRDefault="00FF3468" w:rsidP="0096409D">
                                  <w:pPr>
                                    <w:spacing w:line="240" w:lineRule="auto"/>
                                    <w:jc w:val="center"/>
                                    <w:rPr>
                                      <w:rFonts w:cs="Times New Roman"/>
                                      <w:color w:val="000000"/>
                                      <w:sz w:val="22"/>
                                    </w:rPr>
                                  </w:pPr>
                                </w:p>
                              </w:tc>
                              <w:tc>
                                <w:tcPr>
                                  <w:tcW w:w="743" w:type="dxa"/>
                                  <w:tcBorders>
                                    <w:top w:val="single" w:sz="4" w:space="0" w:color="auto"/>
                                  </w:tcBorders>
                                  <w:vAlign w:val="center"/>
                                </w:tcPr>
                                <w:p w14:paraId="25B4E036"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Inlet (max)</w:t>
                                  </w:r>
                                </w:p>
                              </w:tc>
                              <w:tc>
                                <w:tcPr>
                                  <w:tcW w:w="1205" w:type="dxa"/>
                                  <w:tcBorders>
                                    <w:top w:val="single" w:sz="4" w:space="0" w:color="auto"/>
                                  </w:tcBorders>
                                  <w:shd w:val="clear" w:color="auto" w:fill="auto"/>
                                  <w:vAlign w:val="center"/>
                                </w:tcPr>
                                <w:p w14:paraId="270A2CAB"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Outlet (min)</w:t>
                                  </w:r>
                                </w:p>
                              </w:tc>
                              <w:tc>
                                <w:tcPr>
                                  <w:tcW w:w="744" w:type="dxa"/>
                                  <w:tcBorders>
                                    <w:top w:val="single" w:sz="4" w:space="0" w:color="auto"/>
                                  </w:tcBorders>
                                  <w:vAlign w:val="center"/>
                                </w:tcPr>
                                <w:p w14:paraId="4C6066AD"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Inlet (max)</w:t>
                                  </w:r>
                                </w:p>
                              </w:tc>
                              <w:tc>
                                <w:tcPr>
                                  <w:tcW w:w="769" w:type="dxa"/>
                                  <w:tcBorders>
                                    <w:top w:val="single" w:sz="4" w:space="0" w:color="auto"/>
                                  </w:tcBorders>
                                  <w:vAlign w:val="center"/>
                                </w:tcPr>
                                <w:p w14:paraId="294FCA6C"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Outlet (min)</w:t>
                                  </w:r>
                                </w:p>
                              </w:tc>
                            </w:tr>
                            <w:tr w:rsidR="00FF3468" w:rsidRPr="007D1DA0" w14:paraId="3067DE1C" w14:textId="77777777" w:rsidTr="0096409D">
                              <w:trPr>
                                <w:cantSplit/>
                                <w:trHeight w:val="74"/>
                                <w:jc w:val="center"/>
                              </w:trPr>
                              <w:tc>
                                <w:tcPr>
                                  <w:tcW w:w="504" w:type="dxa"/>
                                  <w:shd w:val="clear" w:color="auto" w:fill="auto"/>
                                  <w:noWrap/>
                                  <w:vAlign w:val="center"/>
                                  <w:hideMark/>
                                </w:tcPr>
                                <w:p w14:paraId="5129D00A" w14:textId="77777777" w:rsidR="00FF3468" w:rsidRPr="007D1DA0" w:rsidRDefault="00FF3468" w:rsidP="0096409D">
                                  <w:pPr>
                                    <w:spacing w:line="240" w:lineRule="auto"/>
                                    <w:jc w:val="center"/>
                                    <w:rPr>
                                      <w:rFonts w:cs="Times New Roman"/>
                                      <w:color w:val="000000"/>
                                      <w:sz w:val="22"/>
                                    </w:rPr>
                                  </w:pPr>
                                </w:p>
                              </w:tc>
                              <w:tc>
                                <w:tcPr>
                                  <w:tcW w:w="840" w:type="dxa"/>
                                  <w:tcBorders>
                                    <w:bottom w:val="single" w:sz="4" w:space="0" w:color="auto"/>
                                  </w:tcBorders>
                                  <w:vAlign w:val="center"/>
                                </w:tcPr>
                                <w:p w14:paraId="4C1EF742"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(m)</w:t>
                                  </w:r>
                                </w:p>
                              </w:tc>
                              <w:tc>
                                <w:tcPr>
                                  <w:tcW w:w="962" w:type="dxa"/>
                                  <w:tcBorders>
                                    <w:bottom w:val="single" w:sz="4" w:space="0" w:color="auto"/>
                                  </w:tcBorders>
                                  <w:shd w:val="clear" w:color="auto" w:fill="auto"/>
                                  <w:noWrap/>
                                  <w:vAlign w:val="center"/>
                                  <w:hideMark/>
                                </w:tcPr>
                                <w:p w14:paraId="5B0080D5"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(MPa)</w:t>
                                  </w:r>
                                </w:p>
                              </w:tc>
                              <w:tc>
                                <w:tcPr>
                                  <w:tcW w:w="1072" w:type="dxa"/>
                                  <w:tcBorders>
                                    <w:bottom w:val="single" w:sz="4" w:space="0" w:color="auto"/>
                                  </w:tcBorders>
                                  <w:shd w:val="clear" w:color="auto" w:fill="auto"/>
                                  <w:noWrap/>
                                  <w:vAlign w:val="center"/>
                                  <w:hideMark/>
                                </w:tcPr>
                                <w:p w14:paraId="3D5B4DC3"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(mL/min)</w:t>
                                  </w:r>
                                </w:p>
                              </w:tc>
                              <w:tc>
                                <w:tcPr>
                                  <w:tcW w:w="1243" w:type="dxa"/>
                                  <w:tcBorders>
                                    <w:bottom w:val="single" w:sz="4" w:space="0" w:color="auto"/>
                                  </w:tcBorders>
                                  <w:shd w:val="clear" w:color="auto" w:fill="auto"/>
                                  <w:noWrap/>
                                  <w:vAlign w:val="center"/>
                                  <w:hideMark/>
                                </w:tcPr>
                                <w:p w14:paraId="72C2F845"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(MPa)</w:t>
                                  </w:r>
                                </w:p>
                              </w:tc>
                              <w:tc>
                                <w:tcPr>
                                  <w:tcW w:w="1304" w:type="dxa"/>
                                  <w:tcBorders>
                                    <w:bottom w:val="single" w:sz="4" w:space="0" w:color="auto"/>
                                  </w:tcBorders>
                                  <w:shd w:val="clear" w:color="auto" w:fill="auto"/>
                                  <w:noWrap/>
                                  <w:vAlign w:val="center"/>
                                  <w:hideMark/>
                                </w:tcPr>
                                <w:p w14:paraId="3CBB6561"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(μm)</w:t>
                                  </w:r>
                                </w:p>
                              </w:tc>
                              <w:tc>
                                <w:tcPr>
                                  <w:tcW w:w="1028" w:type="dxa"/>
                                  <w:gridSpan w:val="2"/>
                                  <w:tcBorders>
                                    <w:bottom w:val="single" w:sz="4" w:space="0" w:color="auto"/>
                                  </w:tcBorders>
                                  <w:shd w:val="clear" w:color="auto" w:fill="auto"/>
                                  <w:noWrap/>
                                  <w:vAlign w:val="center"/>
                                  <w:hideMark/>
                                </w:tcPr>
                                <w:p w14:paraId="7C2D0CE1"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(MPa)</w:t>
                                  </w:r>
                                </w:p>
                              </w:tc>
                              <w:tc>
                                <w:tcPr>
                                  <w:tcW w:w="779" w:type="dxa"/>
                                  <w:tcBorders>
                                    <w:bottom w:val="single" w:sz="4" w:space="0" w:color="auto"/>
                                  </w:tcBorders>
                                  <w:vAlign w:val="center"/>
                                </w:tcPr>
                                <w:p w14:paraId="6754215A"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(MPa)</w:t>
                                  </w:r>
                                </w:p>
                              </w:tc>
                              <w:tc>
                                <w:tcPr>
                                  <w:tcW w:w="743" w:type="dxa"/>
                                  <w:tcBorders>
                                    <w:bottom w:val="single" w:sz="4" w:space="0" w:color="auto"/>
                                  </w:tcBorders>
                                  <w:vAlign w:val="center"/>
                                </w:tcPr>
                                <w:p w14:paraId="21905F3A"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(μm)</w:t>
                                  </w:r>
                                </w:p>
                              </w:tc>
                              <w:tc>
                                <w:tcPr>
                                  <w:tcW w:w="1205" w:type="dxa"/>
                                  <w:tcBorders>
                                    <w:bottom w:val="single" w:sz="4" w:space="0" w:color="auto"/>
                                  </w:tcBorders>
                                  <w:shd w:val="clear" w:color="auto" w:fill="auto"/>
                                  <w:noWrap/>
                                  <w:vAlign w:val="center"/>
                                  <w:hideMark/>
                                </w:tcPr>
                                <w:p w14:paraId="3AA1EC44"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(μm)</w:t>
                                  </w:r>
                                </w:p>
                              </w:tc>
                              <w:tc>
                                <w:tcPr>
                                  <w:tcW w:w="744" w:type="dxa"/>
                                  <w:tcBorders>
                                    <w:bottom w:val="single" w:sz="4" w:space="0" w:color="auto"/>
                                  </w:tcBorders>
                                  <w:vAlign w:val="center"/>
                                </w:tcPr>
                                <w:p w14:paraId="70F1CF62"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(μm)</w:t>
                                  </w:r>
                                </w:p>
                              </w:tc>
                              <w:tc>
                                <w:tcPr>
                                  <w:tcW w:w="769" w:type="dxa"/>
                                  <w:tcBorders>
                                    <w:bottom w:val="single" w:sz="4" w:space="0" w:color="auto"/>
                                  </w:tcBorders>
                                  <w:vAlign w:val="center"/>
                                </w:tcPr>
                                <w:p w14:paraId="07ADC4E9"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(μm)</w:t>
                                  </w:r>
                                </w:p>
                              </w:tc>
                            </w:tr>
                            <w:tr w:rsidR="00FF3468" w:rsidRPr="007D1DA0" w14:paraId="6F767AB3" w14:textId="77777777" w:rsidTr="0096409D">
                              <w:trPr>
                                <w:cantSplit/>
                                <w:trHeight w:val="64"/>
                                <w:jc w:val="center"/>
                              </w:trPr>
                              <w:tc>
                                <w:tcPr>
                                  <w:tcW w:w="504" w:type="dxa"/>
                                  <w:vMerge w:val="restart"/>
                                  <w:shd w:val="clear" w:color="auto" w:fill="auto"/>
                                  <w:noWrap/>
                                  <w:textDirection w:val="btLr"/>
                                  <w:vAlign w:val="center"/>
                                  <w:hideMark/>
                                </w:tcPr>
                                <w:p w14:paraId="1BC0AC3E"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Expanding</w:t>
                                  </w:r>
                                </w:p>
                              </w:tc>
                              <w:tc>
                                <w:tcPr>
                                  <w:tcW w:w="840" w:type="dxa"/>
                                  <w:tcBorders>
                                    <w:top w:val="single" w:sz="4" w:space="0" w:color="auto"/>
                                  </w:tcBorders>
                                  <w:vAlign w:val="center"/>
                                </w:tcPr>
                                <w:p w14:paraId="499C98B8"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6</w:t>
                                  </w:r>
                                </w:p>
                              </w:tc>
                              <w:tc>
                                <w:tcPr>
                                  <w:tcW w:w="962" w:type="dxa"/>
                                  <w:tcBorders>
                                    <w:top w:val="single" w:sz="4" w:space="0" w:color="auto"/>
                                  </w:tcBorders>
                                  <w:shd w:val="clear" w:color="auto" w:fill="auto"/>
                                  <w:noWrap/>
                                  <w:vAlign w:val="center"/>
                                </w:tcPr>
                                <w:p w14:paraId="179BAEA7"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12.5</w:t>
                                  </w:r>
                                </w:p>
                              </w:tc>
                              <w:tc>
                                <w:tcPr>
                                  <w:tcW w:w="1072" w:type="dxa"/>
                                  <w:tcBorders>
                                    <w:top w:val="single" w:sz="4" w:space="0" w:color="auto"/>
                                  </w:tcBorders>
                                  <w:shd w:val="clear" w:color="auto" w:fill="auto"/>
                                  <w:noWrap/>
                                  <w:vAlign w:val="center"/>
                                </w:tcPr>
                                <w:p w14:paraId="4A87EE0C"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98</w:t>
                                  </w:r>
                                </w:p>
                              </w:tc>
                              <w:tc>
                                <w:tcPr>
                                  <w:tcW w:w="1243" w:type="dxa"/>
                                  <w:tcBorders>
                                    <w:top w:val="single" w:sz="4" w:space="0" w:color="auto"/>
                                  </w:tcBorders>
                                  <w:shd w:val="clear" w:color="auto" w:fill="auto"/>
                                  <w:noWrap/>
                                  <w:vAlign w:val="center"/>
                                </w:tcPr>
                                <w:p w14:paraId="5BC410BC"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4.8</w:t>
                                  </w:r>
                                </w:p>
                              </w:tc>
                              <w:tc>
                                <w:tcPr>
                                  <w:tcW w:w="1304" w:type="dxa"/>
                                  <w:tcBorders>
                                    <w:top w:val="single" w:sz="4" w:space="0" w:color="auto"/>
                                  </w:tcBorders>
                                  <w:shd w:val="clear" w:color="auto" w:fill="auto"/>
                                  <w:noWrap/>
                                  <w:vAlign w:val="center"/>
                                </w:tcPr>
                                <w:p w14:paraId="0BC2D5FD"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22</w:t>
                                  </w:r>
                                </w:p>
                              </w:tc>
                              <w:tc>
                                <w:tcPr>
                                  <w:tcW w:w="878" w:type="dxa"/>
                                  <w:tcBorders>
                                    <w:top w:val="single" w:sz="4" w:space="0" w:color="auto"/>
                                  </w:tcBorders>
                                  <w:shd w:val="clear" w:color="auto" w:fill="auto"/>
                                  <w:noWrap/>
                                  <w:vAlign w:val="center"/>
                                </w:tcPr>
                                <w:p w14:paraId="4C980EA5"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0.4</w:t>
                                  </w:r>
                                </w:p>
                              </w:tc>
                              <w:tc>
                                <w:tcPr>
                                  <w:tcW w:w="929" w:type="dxa"/>
                                  <w:gridSpan w:val="2"/>
                                  <w:tcBorders>
                                    <w:top w:val="single" w:sz="4" w:space="0" w:color="auto"/>
                                  </w:tcBorders>
                                  <w:shd w:val="clear" w:color="auto" w:fill="auto"/>
                                  <w:vAlign w:val="center"/>
                                </w:tcPr>
                                <w:p w14:paraId="0076B194" w14:textId="77777777" w:rsidR="00FF3468" w:rsidRPr="007D1DA0" w:rsidRDefault="00FF3468" w:rsidP="0096409D">
                                  <w:pPr>
                                    <w:spacing w:line="240" w:lineRule="auto"/>
                                    <w:jc w:val="center"/>
                                    <w:rPr>
                                      <w:rFonts w:cs="Times New Roman"/>
                                      <w:color w:val="000000"/>
                                      <w:sz w:val="22"/>
                                    </w:rPr>
                                  </w:pPr>
                                </w:p>
                              </w:tc>
                              <w:tc>
                                <w:tcPr>
                                  <w:tcW w:w="743" w:type="dxa"/>
                                  <w:tcBorders>
                                    <w:top w:val="single" w:sz="4" w:space="0" w:color="auto"/>
                                  </w:tcBorders>
                                  <w:vAlign w:val="center"/>
                                </w:tcPr>
                                <w:p w14:paraId="648721E0"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91</w:t>
                                  </w:r>
                                </w:p>
                              </w:tc>
                              <w:tc>
                                <w:tcPr>
                                  <w:tcW w:w="1205" w:type="dxa"/>
                                  <w:tcBorders>
                                    <w:top w:val="single" w:sz="4" w:space="0" w:color="auto"/>
                                  </w:tcBorders>
                                  <w:shd w:val="clear" w:color="auto" w:fill="auto"/>
                                  <w:noWrap/>
                                  <w:vAlign w:val="center"/>
                                </w:tcPr>
                                <w:p w14:paraId="2F2B8789"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89</w:t>
                                  </w:r>
                                </w:p>
                              </w:tc>
                              <w:tc>
                                <w:tcPr>
                                  <w:tcW w:w="744" w:type="dxa"/>
                                  <w:tcBorders>
                                    <w:top w:val="single" w:sz="4" w:space="0" w:color="auto"/>
                                  </w:tcBorders>
                                  <w:vAlign w:val="center"/>
                                </w:tcPr>
                                <w:p w14:paraId="33FB6D0F" w14:textId="77777777" w:rsidR="00FF3468" w:rsidRPr="007D1DA0" w:rsidRDefault="00FF3468" w:rsidP="0096409D">
                                  <w:pPr>
                                    <w:spacing w:line="240" w:lineRule="auto"/>
                                    <w:jc w:val="center"/>
                                    <w:rPr>
                                      <w:rFonts w:cs="Times New Roman"/>
                                      <w:color w:val="000000"/>
                                      <w:sz w:val="22"/>
                                    </w:rPr>
                                  </w:pPr>
                                </w:p>
                              </w:tc>
                              <w:tc>
                                <w:tcPr>
                                  <w:tcW w:w="769" w:type="dxa"/>
                                  <w:tcBorders>
                                    <w:top w:val="single" w:sz="4" w:space="0" w:color="auto"/>
                                  </w:tcBorders>
                                  <w:vAlign w:val="center"/>
                                </w:tcPr>
                                <w:p w14:paraId="4F93AD91" w14:textId="77777777" w:rsidR="00FF3468" w:rsidRPr="007D1DA0" w:rsidRDefault="00FF3468" w:rsidP="0096409D">
                                  <w:pPr>
                                    <w:spacing w:line="240" w:lineRule="auto"/>
                                    <w:jc w:val="center"/>
                                    <w:rPr>
                                      <w:rFonts w:cs="Times New Roman"/>
                                      <w:color w:val="000000"/>
                                      <w:sz w:val="22"/>
                                    </w:rPr>
                                  </w:pPr>
                                </w:p>
                              </w:tc>
                            </w:tr>
                            <w:tr w:rsidR="00FF3468" w:rsidRPr="007D1DA0" w14:paraId="17ECF4F0" w14:textId="77777777" w:rsidTr="0096409D">
                              <w:trPr>
                                <w:cantSplit/>
                                <w:trHeight w:val="74"/>
                                <w:jc w:val="center"/>
                              </w:trPr>
                              <w:tc>
                                <w:tcPr>
                                  <w:tcW w:w="504" w:type="dxa"/>
                                  <w:vMerge/>
                                  <w:vAlign w:val="center"/>
                                  <w:hideMark/>
                                </w:tcPr>
                                <w:p w14:paraId="2F4E1BDD" w14:textId="77777777" w:rsidR="00FF3468" w:rsidRPr="007D1DA0" w:rsidRDefault="00FF3468" w:rsidP="0096409D">
                                  <w:pPr>
                                    <w:spacing w:line="240" w:lineRule="auto"/>
                                    <w:jc w:val="center"/>
                                    <w:rPr>
                                      <w:rFonts w:cs="Times New Roman"/>
                                      <w:color w:val="000000"/>
                                      <w:sz w:val="22"/>
                                    </w:rPr>
                                  </w:pPr>
                                </w:p>
                              </w:tc>
                              <w:tc>
                                <w:tcPr>
                                  <w:tcW w:w="840" w:type="dxa"/>
                                  <w:vAlign w:val="center"/>
                                </w:tcPr>
                                <w:p w14:paraId="628FCA6B"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6</w:t>
                                  </w:r>
                                </w:p>
                              </w:tc>
                              <w:tc>
                                <w:tcPr>
                                  <w:tcW w:w="962" w:type="dxa"/>
                                  <w:shd w:val="clear" w:color="auto" w:fill="auto"/>
                                  <w:noWrap/>
                                  <w:vAlign w:val="center"/>
                                </w:tcPr>
                                <w:p w14:paraId="4155629B"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12.6</w:t>
                                  </w:r>
                                </w:p>
                              </w:tc>
                              <w:tc>
                                <w:tcPr>
                                  <w:tcW w:w="1072" w:type="dxa"/>
                                  <w:shd w:val="clear" w:color="auto" w:fill="auto"/>
                                  <w:noWrap/>
                                  <w:vAlign w:val="center"/>
                                </w:tcPr>
                                <w:p w14:paraId="03B4B831"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94</w:t>
                                  </w:r>
                                </w:p>
                              </w:tc>
                              <w:tc>
                                <w:tcPr>
                                  <w:tcW w:w="1243" w:type="dxa"/>
                                  <w:shd w:val="clear" w:color="auto" w:fill="auto"/>
                                  <w:noWrap/>
                                  <w:vAlign w:val="center"/>
                                </w:tcPr>
                                <w:p w14:paraId="470AE826"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4.8</w:t>
                                  </w:r>
                                </w:p>
                              </w:tc>
                              <w:tc>
                                <w:tcPr>
                                  <w:tcW w:w="1304" w:type="dxa"/>
                                  <w:shd w:val="clear" w:color="auto" w:fill="auto"/>
                                  <w:noWrap/>
                                  <w:vAlign w:val="center"/>
                                </w:tcPr>
                                <w:p w14:paraId="0878C410"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22</w:t>
                                  </w:r>
                                </w:p>
                              </w:tc>
                              <w:tc>
                                <w:tcPr>
                                  <w:tcW w:w="878" w:type="dxa"/>
                                  <w:shd w:val="clear" w:color="auto" w:fill="auto"/>
                                  <w:noWrap/>
                                  <w:vAlign w:val="center"/>
                                </w:tcPr>
                                <w:p w14:paraId="1C064D84"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0.4</w:t>
                                  </w:r>
                                </w:p>
                              </w:tc>
                              <w:tc>
                                <w:tcPr>
                                  <w:tcW w:w="929" w:type="dxa"/>
                                  <w:gridSpan w:val="2"/>
                                  <w:shd w:val="clear" w:color="auto" w:fill="auto"/>
                                  <w:vAlign w:val="center"/>
                                </w:tcPr>
                                <w:p w14:paraId="38D8812B" w14:textId="77777777" w:rsidR="00FF3468" w:rsidRPr="007D1DA0" w:rsidRDefault="00FF3468" w:rsidP="0096409D">
                                  <w:pPr>
                                    <w:spacing w:line="240" w:lineRule="auto"/>
                                    <w:jc w:val="center"/>
                                    <w:rPr>
                                      <w:rFonts w:cs="Times New Roman"/>
                                      <w:color w:val="000000"/>
                                      <w:sz w:val="22"/>
                                    </w:rPr>
                                  </w:pPr>
                                </w:p>
                              </w:tc>
                              <w:tc>
                                <w:tcPr>
                                  <w:tcW w:w="743" w:type="dxa"/>
                                  <w:vAlign w:val="center"/>
                                </w:tcPr>
                                <w:p w14:paraId="64E01BA5"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92</w:t>
                                  </w:r>
                                </w:p>
                              </w:tc>
                              <w:tc>
                                <w:tcPr>
                                  <w:tcW w:w="1205" w:type="dxa"/>
                                  <w:shd w:val="clear" w:color="auto" w:fill="auto"/>
                                  <w:noWrap/>
                                  <w:vAlign w:val="center"/>
                                </w:tcPr>
                                <w:p w14:paraId="04917EA8"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90</w:t>
                                  </w:r>
                                </w:p>
                              </w:tc>
                              <w:tc>
                                <w:tcPr>
                                  <w:tcW w:w="744" w:type="dxa"/>
                                  <w:vAlign w:val="center"/>
                                </w:tcPr>
                                <w:p w14:paraId="5CB4B438" w14:textId="77777777" w:rsidR="00FF3468" w:rsidRPr="007D1DA0" w:rsidRDefault="00FF3468" w:rsidP="0096409D">
                                  <w:pPr>
                                    <w:spacing w:line="240" w:lineRule="auto"/>
                                    <w:jc w:val="center"/>
                                    <w:rPr>
                                      <w:rFonts w:cs="Times New Roman"/>
                                      <w:color w:val="000000"/>
                                      <w:sz w:val="22"/>
                                    </w:rPr>
                                  </w:pPr>
                                </w:p>
                              </w:tc>
                              <w:tc>
                                <w:tcPr>
                                  <w:tcW w:w="769" w:type="dxa"/>
                                  <w:vAlign w:val="center"/>
                                </w:tcPr>
                                <w:p w14:paraId="1B72A33C" w14:textId="77777777" w:rsidR="00FF3468" w:rsidRPr="007D1DA0" w:rsidRDefault="00FF3468" w:rsidP="0096409D">
                                  <w:pPr>
                                    <w:spacing w:line="240" w:lineRule="auto"/>
                                    <w:jc w:val="center"/>
                                    <w:rPr>
                                      <w:rFonts w:cs="Times New Roman"/>
                                      <w:color w:val="000000"/>
                                      <w:sz w:val="22"/>
                                    </w:rPr>
                                  </w:pPr>
                                </w:p>
                              </w:tc>
                            </w:tr>
                            <w:tr w:rsidR="00FF3468" w:rsidRPr="007D1DA0" w14:paraId="4352DDC1" w14:textId="77777777" w:rsidTr="0096409D">
                              <w:trPr>
                                <w:cantSplit/>
                                <w:trHeight w:val="74"/>
                                <w:jc w:val="center"/>
                              </w:trPr>
                              <w:tc>
                                <w:tcPr>
                                  <w:tcW w:w="504" w:type="dxa"/>
                                  <w:vMerge/>
                                  <w:vAlign w:val="center"/>
                                  <w:hideMark/>
                                </w:tcPr>
                                <w:p w14:paraId="787D613E" w14:textId="77777777" w:rsidR="00FF3468" w:rsidRPr="007D1DA0" w:rsidRDefault="00FF3468" w:rsidP="0096409D">
                                  <w:pPr>
                                    <w:spacing w:line="240" w:lineRule="auto"/>
                                    <w:jc w:val="center"/>
                                    <w:rPr>
                                      <w:rFonts w:cs="Times New Roman"/>
                                      <w:color w:val="000000"/>
                                      <w:sz w:val="22"/>
                                    </w:rPr>
                                  </w:pPr>
                                </w:p>
                              </w:tc>
                              <w:tc>
                                <w:tcPr>
                                  <w:tcW w:w="840" w:type="dxa"/>
                                  <w:vAlign w:val="center"/>
                                </w:tcPr>
                                <w:p w14:paraId="7D08815A"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6</w:t>
                                  </w:r>
                                </w:p>
                              </w:tc>
                              <w:tc>
                                <w:tcPr>
                                  <w:tcW w:w="962" w:type="dxa"/>
                                  <w:shd w:val="clear" w:color="auto" w:fill="auto"/>
                                  <w:noWrap/>
                                  <w:vAlign w:val="center"/>
                                </w:tcPr>
                                <w:p w14:paraId="4A576762"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12.7</w:t>
                                  </w:r>
                                </w:p>
                              </w:tc>
                              <w:tc>
                                <w:tcPr>
                                  <w:tcW w:w="1072" w:type="dxa"/>
                                  <w:shd w:val="clear" w:color="auto" w:fill="auto"/>
                                  <w:noWrap/>
                                  <w:vAlign w:val="center"/>
                                </w:tcPr>
                                <w:p w14:paraId="16260707"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92</w:t>
                                  </w:r>
                                </w:p>
                              </w:tc>
                              <w:tc>
                                <w:tcPr>
                                  <w:tcW w:w="1243" w:type="dxa"/>
                                  <w:shd w:val="clear" w:color="auto" w:fill="auto"/>
                                  <w:noWrap/>
                                  <w:vAlign w:val="center"/>
                                </w:tcPr>
                                <w:p w14:paraId="4BE844A6"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4.9</w:t>
                                  </w:r>
                                </w:p>
                              </w:tc>
                              <w:tc>
                                <w:tcPr>
                                  <w:tcW w:w="1304" w:type="dxa"/>
                                  <w:shd w:val="clear" w:color="auto" w:fill="auto"/>
                                  <w:noWrap/>
                                  <w:vAlign w:val="center"/>
                                </w:tcPr>
                                <w:p w14:paraId="289E7B7C"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22</w:t>
                                  </w:r>
                                </w:p>
                              </w:tc>
                              <w:tc>
                                <w:tcPr>
                                  <w:tcW w:w="878" w:type="dxa"/>
                                  <w:shd w:val="clear" w:color="auto" w:fill="auto"/>
                                  <w:noWrap/>
                                  <w:vAlign w:val="center"/>
                                </w:tcPr>
                                <w:p w14:paraId="62F3FC17"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0.3</w:t>
                                  </w:r>
                                </w:p>
                              </w:tc>
                              <w:tc>
                                <w:tcPr>
                                  <w:tcW w:w="929" w:type="dxa"/>
                                  <w:gridSpan w:val="2"/>
                                  <w:shd w:val="clear" w:color="auto" w:fill="auto"/>
                                  <w:vAlign w:val="center"/>
                                </w:tcPr>
                                <w:p w14:paraId="451AF976" w14:textId="77777777" w:rsidR="00FF3468" w:rsidRPr="007D1DA0" w:rsidRDefault="00FF3468" w:rsidP="0096409D">
                                  <w:pPr>
                                    <w:spacing w:line="240" w:lineRule="auto"/>
                                    <w:jc w:val="center"/>
                                    <w:rPr>
                                      <w:rFonts w:cs="Times New Roman"/>
                                      <w:color w:val="000000"/>
                                      <w:sz w:val="22"/>
                                    </w:rPr>
                                  </w:pPr>
                                </w:p>
                              </w:tc>
                              <w:tc>
                                <w:tcPr>
                                  <w:tcW w:w="743" w:type="dxa"/>
                                  <w:vAlign w:val="center"/>
                                </w:tcPr>
                                <w:p w14:paraId="36E10E6B"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93</w:t>
                                  </w:r>
                                </w:p>
                              </w:tc>
                              <w:tc>
                                <w:tcPr>
                                  <w:tcW w:w="1205" w:type="dxa"/>
                                  <w:shd w:val="clear" w:color="auto" w:fill="auto"/>
                                  <w:noWrap/>
                                  <w:vAlign w:val="center"/>
                                </w:tcPr>
                                <w:p w14:paraId="72F2DD95"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90</w:t>
                                  </w:r>
                                </w:p>
                              </w:tc>
                              <w:tc>
                                <w:tcPr>
                                  <w:tcW w:w="744" w:type="dxa"/>
                                  <w:vAlign w:val="center"/>
                                </w:tcPr>
                                <w:p w14:paraId="6A2B9E9A" w14:textId="77777777" w:rsidR="00FF3468" w:rsidRPr="007D1DA0" w:rsidRDefault="00FF3468" w:rsidP="0096409D">
                                  <w:pPr>
                                    <w:spacing w:line="240" w:lineRule="auto"/>
                                    <w:jc w:val="center"/>
                                    <w:rPr>
                                      <w:rFonts w:cs="Times New Roman"/>
                                      <w:color w:val="000000"/>
                                      <w:sz w:val="22"/>
                                    </w:rPr>
                                  </w:pPr>
                                </w:p>
                              </w:tc>
                              <w:tc>
                                <w:tcPr>
                                  <w:tcW w:w="769" w:type="dxa"/>
                                  <w:vAlign w:val="center"/>
                                </w:tcPr>
                                <w:p w14:paraId="2670755B" w14:textId="77777777" w:rsidR="00FF3468" w:rsidRPr="007D1DA0" w:rsidRDefault="00FF3468" w:rsidP="0096409D">
                                  <w:pPr>
                                    <w:spacing w:line="240" w:lineRule="auto"/>
                                    <w:jc w:val="center"/>
                                    <w:rPr>
                                      <w:rFonts w:cs="Times New Roman"/>
                                      <w:color w:val="000000"/>
                                      <w:sz w:val="22"/>
                                    </w:rPr>
                                  </w:pPr>
                                </w:p>
                              </w:tc>
                            </w:tr>
                            <w:tr w:rsidR="00FF3468" w:rsidRPr="007D1DA0" w14:paraId="26F9DED3" w14:textId="77777777" w:rsidTr="0096409D">
                              <w:trPr>
                                <w:cantSplit/>
                                <w:trHeight w:val="74"/>
                                <w:jc w:val="center"/>
                              </w:trPr>
                              <w:tc>
                                <w:tcPr>
                                  <w:tcW w:w="504" w:type="dxa"/>
                                  <w:vMerge/>
                                  <w:vAlign w:val="center"/>
                                </w:tcPr>
                                <w:p w14:paraId="5D1209B5" w14:textId="77777777" w:rsidR="00FF3468" w:rsidRPr="007D1DA0" w:rsidRDefault="00FF3468" w:rsidP="0096409D">
                                  <w:pPr>
                                    <w:spacing w:line="240" w:lineRule="auto"/>
                                    <w:jc w:val="center"/>
                                    <w:rPr>
                                      <w:rFonts w:cs="Times New Roman"/>
                                      <w:color w:val="000000"/>
                                      <w:sz w:val="22"/>
                                    </w:rPr>
                                  </w:pPr>
                                </w:p>
                              </w:tc>
                              <w:tc>
                                <w:tcPr>
                                  <w:tcW w:w="840" w:type="dxa"/>
                                  <w:vAlign w:val="center"/>
                                </w:tcPr>
                                <w:p w14:paraId="180B415E"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6</w:t>
                                  </w:r>
                                </w:p>
                              </w:tc>
                              <w:tc>
                                <w:tcPr>
                                  <w:tcW w:w="962" w:type="dxa"/>
                                  <w:shd w:val="clear" w:color="auto" w:fill="auto"/>
                                  <w:noWrap/>
                                  <w:vAlign w:val="center"/>
                                </w:tcPr>
                                <w:p w14:paraId="02D77A1C"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9.6</w:t>
                                  </w:r>
                                </w:p>
                              </w:tc>
                              <w:tc>
                                <w:tcPr>
                                  <w:tcW w:w="1072" w:type="dxa"/>
                                  <w:shd w:val="clear" w:color="auto" w:fill="auto"/>
                                  <w:noWrap/>
                                  <w:vAlign w:val="center"/>
                                </w:tcPr>
                                <w:p w14:paraId="1F74382D"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49</w:t>
                                  </w:r>
                                </w:p>
                              </w:tc>
                              <w:tc>
                                <w:tcPr>
                                  <w:tcW w:w="1243" w:type="dxa"/>
                                  <w:shd w:val="clear" w:color="auto" w:fill="auto"/>
                                  <w:noWrap/>
                                  <w:vAlign w:val="center"/>
                                </w:tcPr>
                                <w:p w14:paraId="489BCC13"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5.0</w:t>
                                  </w:r>
                                </w:p>
                              </w:tc>
                              <w:tc>
                                <w:tcPr>
                                  <w:tcW w:w="1304" w:type="dxa"/>
                                  <w:shd w:val="clear" w:color="auto" w:fill="auto"/>
                                  <w:noWrap/>
                                  <w:vAlign w:val="center"/>
                                </w:tcPr>
                                <w:p w14:paraId="1BF0C873"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18</w:t>
                                  </w:r>
                                </w:p>
                              </w:tc>
                              <w:tc>
                                <w:tcPr>
                                  <w:tcW w:w="878" w:type="dxa"/>
                                  <w:shd w:val="clear" w:color="auto" w:fill="auto"/>
                                  <w:noWrap/>
                                  <w:vAlign w:val="center"/>
                                </w:tcPr>
                                <w:p w14:paraId="7F46AB8E"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0.4</w:t>
                                  </w:r>
                                </w:p>
                              </w:tc>
                              <w:tc>
                                <w:tcPr>
                                  <w:tcW w:w="929" w:type="dxa"/>
                                  <w:gridSpan w:val="2"/>
                                  <w:shd w:val="clear" w:color="auto" w:fill="auto"/>
                                  <w:vAlign w:val="center"/>
                                </w:tcPr>
                                <w:p w14:paraId="5530673D" w14:textId="77777777" w:rsidR="00FF3468" w:rsidRPr="007D1DA0" w:rsidRDefault="00FF3468" w:rsidP="0096409D">
                                  <w:pPr>
                                    <w:spacing w:line="240" w:lineRule="auto"/>
                                    <w:jc w:val="center"/>
                                    <w:rPr>
                                      <w:rFonts w:cs="Times New Roman"/>
                                      <w:color w:val="000000"/>
                                      <w:sz w:val="22"/>
                                    </w:rPr>
                                  </w:pPr>
                                </w:p>
                              </w:tc>
                              <w:tc>
                                <w:tcPr>
                                  <w:tcW w:w="743" w:type="dxa"/>
                                  <w:vAlign w:val="center"/>
                                </w:tcPr>
                                <w:p w14:paraId="3CF5645B"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70</w:t>
                                  </w:r>
                                </w:p>
                              </w:tc>
                              <w:tc>
                                <w:tcPr>
                                  <w:tcW w:w="1205" w:type="dxa"/>
                                  <w:shd w:val="clear" w:color="auto" w:fill="auto"/>
                                  <w:noWrap/>
                                  <w:vAlign w:val="center"/>
                                </w:tcPr>
                                <w:p w14:paraId="2D17BEB1"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67</w:t>
                                  </w:r>
                                </w:p>
                              </w:tc>
                              <w:tc>
                                <w:tcPr>
                                  <w:tcW w:w="744" w:type="dxa"/>
                                  <w:vAlign w:val="center"/>
                                </w:tcPr>
                                <w:p w14:paraId="02FB58A8" w14:textId="77777777" w:rsidR="00FF3468" w:rsidRPr="007D1DA0" w:rsidRDefault="00FF3468" w:rsidP="0096409D">
                                  <w:pPr>
                                    <w:spacing w:line="240" w:lineRule="auto"/>
                                    <w:jc w:val="center"/>
                                    <w:rPr>
                                      <w:rFonts w:cs="Times New Roman"/>
                                      <w:color w:val="000000"/>
                                      <w:sz w:val="22"/>
                                    </w:rPr>
                                  </w:pPr>
                                </w:p>
                              </w:tc>
                              <w:tc>
                                <w:tcPr>
                                  <w:tcW w:w="769" w:type="dxa"/>
                                  <w:vAlign w:val="center"/>
                                </w:tcPr>
                                <w:p w14:paraId="7F84DC06" w14:textId="77777777" w:rsidR="00FF3468" w:rsidRPr="007D1DA0" w:rsidRDefault="00FF3468" w:rsidP="0096409D">
                                  <w:pPr>
                                    <w:spacing w:line="240" w:lineRule="auto"/>
                                    <w:jc w:val="center"/>
                                    <w:rPr>
                                      <w:rFonts w:cs="Times New Roman"/>
                                      <w:color w:val="000000"/>
                                      <w:sz w:val="22"/>
                                    </w:rPr>
                                  </w:pPr>
                                </w:p>
                              </w:tc>
                            </w:tr>
                            <w:tr w:rsidR="00FF3468" w:rsidRPr="007D1DA0" w14:paraId="357076B2" w14:textId="77777777" w:rsidTr="0096409D">
                              <w:trPr>
                                <w:cantSplit/>
                                <w:trHeight w:val="74"/>
                                <w:jc w:val="center"/>
                              </w:trPr>
                              <w:tc>
                                <w:tcPr>
                                  <w:tcW w:w="504" w:type="dxa"/>
                                  <w:vMerge/>
                                  <w:vAlign w:val="center"/>
                                </w:tcPr>
                                <w:p w14:paraId="5AE60CCF" w14:textId="77777777" w:rsidR="00FF3468" w:rsidRPr="007D1DA0" w:rsidRDefault="00FF3468" w:rsidP="0096409D">
                                  <w:pPr>
                                    <w:spacing w:line="240" w:lineRule="auto"/>
                                    <w:jc w:val="center"/>
                                    <w:rPr>
                                      <w:rFonts w:cs="Times New Roman"/>
                                      <w:color w:val="000000"/>
                                      <w:sz w:val="22"/>
                                    </w:rPr>
                                  </w:pPr>
                                </w:p>
                              </w:tc>
                              <w:tc>
                                <w:tcPr>
                                  <w:tcW w:w="840" w:type="dxa"/>
                                  <w:vAlign w:val="center"/>
                                </w:tcPr>
                                <w:p w14:paraId="468637F7"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6</w:t>
                                  </w:r>
                                </w:p>
                              </w:tc>
                              <w:tc>
                                <w:tcPr>
                                  <w:tcW w:w="962" w:type="dxa"/>
                                  <w:shd w:val="clear" w:color="auto" w:fill="auto"/>
                                  <w:noWrap/>
                                  <w:vAlign w:val="center"/>
                                </w:tcPr>
                                <w:p w14:paraId="261DE59C"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9.5</w:t>
                                  </w:r>
                                </w:p>
                              </w:tc>
                              <w:tc>
                                <w:tcPr>
                                  <w:tcW w:w="1072" w:type="dxa"/>
                                  <w:shd w:val="clear" w:color="auto" w:fill="auto"/>
                                  <w:noWrap/>
                                  <w:vAlign w:val="center"/>
                                </w:tcPr>
                                <w:p w14:paraId="63FE5435"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48</w:t>
                                  </w:r>
                                </w:p>
                              </w:tc>
                              <w:tc>
                                <w:tcPr>
                                  <w:tcW w:w="1243" w:type="dxa"/>
                                  <w:shd w:val="clear" w:color="auto" w:fill="auto"/>
                                  <w:noWrap/>
                                  <w:vAlign w:val="center"/>
                                </w:tcPr>
                                <w:p w14:paraId="2EF15A7C"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5.1</w:t>
                                  </w:r>
                                </w:p>
                              </w:tc>
                              <w:tc>
                                <w:tcPr>
                                  <w:tcW w:w="1304" w:type="dxa"/>
                                  <w:shd w:val="clear" w:color="auto" w:fill="auto"/>
                                  <w:noWrap/>
                                  <w:vAlign w:val="center"/>
                                </w:tcPr>
                                <w:p w14:paraId="7C2909BB"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17</w:t>
                                  </w:r>
                                </w:p>
                              </w:tc>
                              <w:tc>
                                <w:tcPr>
                                  <w:tcW w:w="878" w:type="dxa"/>
                                  <w:shd w:val="clear" w:color="auto" w:fill="auto"/>
                                  <w:noWrap/>
                                  <w:vAlign w:val="center"/>
                                </w:tcPr>
                                <w:p w14:paraId="4D673E19"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0.4</w:t>
                                  </w:r>
                                </w:p>
                              </w:tc>
                              <w:tc>
                                <w:tcPr>
                                  <w:tcW w:w="929" w:type="dxa"/>
                                  <w:gridSpan w:val="2"/>
                                  <w:shd w:val="clear" w:color="auto" w:fill="auto"/>
                                  <w:vAlign w:val="center"/>
                                </w:tcPr>
                                <w:p w14:paraId="0CC625F8" w14:textId="77777777" w:rsidR="00FF3468" w:rsidRPr="007D1DA0" w:rsidRDefault="00FF3468" w:rsidP="0096409D">
                                  <w:pPr>
                                    <w:spacing w:line="240" w:lineRule="auto"/>
                                    <w:jc w:val="center"/>
                                    <w:rPr>
                                      <w:rFonts w:cs="Times New Roman"/>
                                      <w:color w:val="000000"/>
                                      <w:sz w:val="22"/>
                                    </w:rPr>
                                  </w:pPr>
                                </w:p>
                              </w:tc>
                              <w:tc>
                                <w:tcPr>
                                  <w:tcW w:w="743" w:type="dxa"/>
                                  <w:vAlign w:val="center"/>
                                </w:tcPr>
                                <w:p w14:paraId="28AB4940"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69</w:t>
                                  </w:r>
                                </w:p>
                              </w:tc>
                              <w:tc>
                                <w:tcPr>
                                  <w:tcW w:w="1205" w:type="dxa"/>
                                  <w:shd w:val="clear" w:color="auto" w:fill="auto"/>
                                  <w:noWrap/>
                                  <w:vAlign w:val="center"/>
                                </w:tcPr>
                                <w:p w14:paraId="4E25F1E4"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66</w:t>
                                  </w:r>
                                </w:p>
                              </w:tc>
                              <w:tc>
                                <w:tcPr>
                                  <w:tcW w:w="744" w:type="dxa"/>
                                  <w:vAlign w:val="center"/>
                                </w:tcPr>
                                <w:p w14:paraId="20BDA946" w14:textId="77777777" w:rsidR="00FF3468" w:rsidRPr="007D1DA0" w:rsidRDefault="00FF3468" w:rsidP="0096409D">
                                  <w:pPr>
                                    <w:spacing w:line="240" w:lineRule="auto"/>
                                    <w:jc w:val="center"/>
                                    <w:rPr>
                                      <w:rFonts w:cs="Times New Roman"/>
                                      <w:color w:val="000000"/>
                                      <w:sz w:val="22"/>
                                    </w:rPr>
                                  </w:pPr>
                                </w:p>
                              </w:tc>
                              <w:tc>
                                <w:tcPr>
                                  <w:tcW w:w="769" w:type="dxa"/>
                                  <w:vAlign w:val="center"/>
                                </w:tcPr>
                                <w:p w14:paraId="2713960F" w14:textId="77777777" w:rsidR="00FF3468" w:rsidRPr="007D1DA0" w:rsidRDefault="00FF3468" w:rsidP="0096409D">
                                  <w:pPr>
                                    <w:spacing w:line="240" w:lineRule="auto"/>
                                    <w:jc w:val="center"/>
                                    <w:rPr>
                                      <w:rFonts w:cs="Times New Roman"/>
                                      <w:color w:val="000000"/>
                                      <w:sz w:val="22"/>
                                    </w:rPr>
                                  </w:pPr>
                                </w:p>
                              </w:tc>
                            </w:tr>
                            <w:tr w:rsidR="00FF3468" w:rsidRPr="007D1DA0" w14:paraId="4FEAAC3C" w14:textId="77777777" w:rsidTr="0096409D">
                              <w:trPr>
                                <w:cantSplit/>
                                <w:trHeight w:val="74"/>
                                <w:jc w:val="center"/>
                              </w:trPr>
                              <w:tc>
                                <w:tcPr>
                                  <w:tcW w:w="504" w:type="dxa"/>
                                  <w:vMerge/>
                                  <w:vAlign w:val="center"/>
                                </w:tcPr>
                                <w:p w14:paraId="36865BD0" w14:textId="77777777" w:rsidR="00FF3468" w:rsidRPr="007D1DA0" w:rsidRDefault="00FF3468" w:rsidP="0096409D">
                                  <w:pPr>
                                    <w:spacing w:line="240" w:lineRule="auto"/>
                                    <w:jc w:val="center"/>
                                    <w:rPr>
                                      <w:rFonts w:cs="Times New Roman"/>
                                      <w:color w:val="000000"/>
                                      <w:sz w:val="22"/>
                                    </w:rPr>
                                  </w:pPr>
                                </w:p>
                              </w:tc>
                              <w:tc>
                                <w:tcPr>
                                  <w:tcW w:w="840" w:type="dxa"/>
                                  <w:vAlign w:val="center"/>
                                </w:tcPr>
                                <w:p w14:paraId="5B7D0989"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6</w:t>
                                  </w:r>
                                </w:p>
                              </w:tc>
                              <w:tc>
                                <w:tcPr>
                                  <w:tcW w:w="962" w:type="dxa"/>
                                  <w:shd w:val="clear" w:color="auto" w:fill="auto"/>
                                  <w:noWrap/>
                                  <w:vAlign w:val="center"/>
                                </w:tcPr>
                                <w:p w14:paraId="66E3B7D7"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6.6</w:t>
                                  </w:r>
                                </w:p>
                              </w:tc>
                              <w:tc>
                                <w:tcPr>
                                  <w:tcW w:w="1072" w:type="dxa"/>
                                  <w:shd w:val="clear" w:color="auto" w:fill="auto"/>
                                  <w:noWrap/>
                                  <w:vAlign w:val="center"/>
                                </w:tcPr>
                                <w:p w14:paraId="4910A299"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23</w:t>
                                  </w:r>
                                </w:p>
                              </w:tc>
                              <w:tc>
                                <w:tcPr>
                                  <w:tcW w:w="1243" w:type="dxa"/>
                                  <w:shd w:val="clear" w:color="auto" w:fill="auto"/>
                                  <w:noWrap/>
                                  <w:vAlign w:val="center"/>
                                </w:tcPr>
                                <w:p w14:paraId="1E3AAC37"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4.7</w:t>
                                  </w:r>
                                </w:p>
                              </w:tc>
                              <w:tc>
                                <w:tcPr>
                                  <w:tcW w:w="1304" w:type="dxa"/>
                                  <w:shd w:val="clear" w:color="auto" w:fill="auto"/>
                                  <w:noWrap/>
                                  <w:vAlign w:val="center"/>
                                </w:tcPr>
                                <w:p w14:paraId="4BED6B48"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14</w:t>
                                  </w:r>
                                </w:p>
                              </w:tc>
                              <w:tc>
                                <w:tcPr>
                                  <w:tcW w:w="878" w:type="dxa"/>
                                  <w:shd w:val="clear" w:color="auto" w:fill="auto"/>
                                  <w:noWrap/>
                                  <w:vAlign w:val="center"/>
                                </w:tcPr>
                                <w:p w14:paraId="6E3996EC"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0.7</w:t>
                                  </w:r>
                                </w:p>
                              </w:tc>
                              <w:tc>
                                <w:tcPr>
                                  <w:tcW w:w="929" w:type="dxa"/>
                                  <w:gridSpan w:val="2"/>
                                  <w:shd w:val="clear" w:color="auto" w:fill="auto"/>
                                  <w:vAlign w:val="center"/>
                                </w:tcPr>
                                <w:p w14:paraId="325FDFE9" w14:textId="77777777" w:rsidR="00FF3468" w:rsidRPr="007D1DA0" w:rsidRDefault="00FF3468" w:rsidP="0096409D">
                                  <w:pPr>
                                    <w:spacing w:line="240" w:lineRule="auto"/>
                                    <w:jc w:val="center"/>
                                    <w:rPr>
                                      <w:rFonts w:cs="Times New Roman"/>
                                      <w:color w:val="000000"/>
                                      <w:sz w:val="22"/>
                                    </w:rPr>
                                  </w:pPr>
                                </w:p>
                              </w:tc>
                              <w:tc>
                                <w:tcPr>
                                  <w:tcW w:w="743" w:type="dxa"/>
                                  <w:vAlign w:val="center"/>
                                </w:tcPr>
                                <w:p w14:paraId="231DB102"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48</w:t>
                                  </w:r>
                                </w:p>
                              </w:tc>
                              <w:tc>
                                <w:tcPr>
                                  <w:tcW w:w="1205" w:type="dxa"/>
                                  <w:shd w:val="clear" w:color="auto" w:fill="auto"/>
                                  <w:noWrap/>
                                  <w:vAlign w:val="center"/>
                                </w:tcPr>
                                <w:p w14:paraId="451C5884"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43</w:t>
                                  </w:r>
                                </w:p>
                              </w:tc>
                              <w:tc>
                                <w:tcPr>
                                  <w:tcW w:w="744" w:type="dxa"/>
                                  <w:vAlign w:val="center"/>
                                </w:tcPr>
                                <w:p w14:paraId="6B7CA208" w14:textId="77777777" w:rsidR="00FF3468" w:rsidRPr="007D1DA0" w:rsidRDefault="00FF3468" w:rsidP="0096409D">
                                  <w:pPr>
                                    <w:spacing w:line="240" w:lineRule="auto"/>
                                    <w:jc w:val="center"/>
                                    <w:rPr>
                                      <w:rFonts w:cs="Times New Roman"/>
                                      <w:color w:val="000000"/>
                                      <w:sz w:val="22"/>
                                    </w:rPr>
                                  </w:pPr>
                                </w:p>
                              </w:tc>
                              <w:tc>
                                <w:tcPr>
                                  <w:tcW w:w="769" w:type="dxa"/>
                                  <w:vAlign w:val="center"/>
                                </w:tcPr>
                                <w:p w14:paraId="27610432" w14:textId="77777777" w:rsidR="00FF3468" w:rsidRPr="007D1DA0" w:rsidRDefault="00FF3468" w:rsidP="0096409D">
                                  <w:pPr>
                                    <w:spacing w:line="240" w:lineRule="auto"/>
                                    <w:jc w:val="center"/>
                                    <w:rPr>
                                      <w:rFonts w:cs="Times New Roman"/>
                                      <w:color w:val="000000"/>
                                      <w:sz w:val="22"/>
                                    </w:rPr>
                                  </w:pPr>
                                </w:p>
                              </w:tc>
                            </w:tr>
                            <w:tr w:rsidR="00FF3468" w:rsidRPr="007D1DA0" w14:paraId="31DE03A8" w14:textId="77777777" w:rsidTr="0096409D">
                              <w:trPr>
                                <w:cantSplit/>
                                <w:trHeight w:val="74"/>
                                <w:jc w:val="center"/>
                              </w:trPr>
                              <w:tc>
                                <w:tcPr>
                                  <w:tcW w:w="504" w:type="dxa"/>
                                  <w:vMerge/>
                                  <w:vAlign w:val="center"/>
                                </w:tcPr>
                                <w:p w14:paraId="78DE4ADE" w14:textId="77777777" w:rsidR="00FF3468" w:rsidRPr="007D1DA0" w:rsidRDefault="00FF3468" w:rsidP="0096409D">
                                  <w:pPr>
                                    <w:spacing w:line="240" w:lineRule="auto"/>
                                    <w:jc w:val="center"/>
                                    <w:rPr>
                                      <w:rFonts w:cs="Times New Roman"/>
                                      <w:color w:val="000000"/>
                                      <w:sz w:val="22"/>
                                    </w:rPr>
                                  </w:pPr>
                                </w:p>
                              </w:tc>
                              <w:tc>
                                <w:tcPr>
                                  <w:tcW w:w="840" w:type="dxa"/>
                                  <w:vAlign w:val="center"/>
                                </w:tcPr>
                                <w:p w14:paraId="02EB1506"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6</w:t>
                                  </w:r>
                                </w:p>
                              </w:tc>
                              <w:tc>
                                <w:tcPr>
                                  <w:tcW w:w="962" w:type="dxa"/>
                                  <w:shd w:val="clear" w:color="auto" w:fill="auto"/>
                                  <w:noWrap/>
                                  <w:vAlign w:val="center"/>
                                </w:tcPr>
                                <w:p w14:paraId="0F9229BA"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6.5</w:t>
                                  </w:r>
                                </w:p>
                              </w:tc>
                              <w:tc>
                                <w:tcPr>
                                  <w:tcW w:w="1072" w:type="dxa"/>
                                  <w:shd w:val="clear" w:color="auto" w:fill="auto"/>
                                  <w:noWrap/>
                                  <w:vAlign w:val="center"/>
                                </w:tcPr>
                                <w:p w14:paraId="75576DEE"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23</w:t>
                                  </w:r>
                                </w:p>
                              </w:tc>
                              <w:tc>
                                <w:tcPr>
                                  <w:tcW w:w="1243" w:type="dxa"/>
                                  <w:shd w:val="clear" w:color="auto" w:fill="auto"/>
                                  <w:noWrap/>
                                  <w:vAlign w:val="center"/>
                                </w:tcPr>
                                <w:p w14:paraId="36213E7E"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4.4</w:t>
                                  </w:r>
                                </w:p>
                              </w:tc>
                              <w:tc>
                                <w:tcPr>
                                  <w:tcW w:w="1304" w:type="dxa"/>
                                  <w:shd w:val="clear" w:color="auto" w:fill="auto"/>
                                  <w:noWrap/>
                                  <w:vAlign w:val="center"/>
                                </w:tcPr>
                                <w:p w14:paraId="34674B81"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14</w:t>
                                  </w:r>
                                </w:p>
                              </w:tc>
                              <w:tc>
                                <w:tcPr>
                                  <w:tcW w:w="878" w:type="dxa"/>
                                  <w:shd w:val="clear" w:color="auto" w:fill="auto"/>
                                  <w:noWrap/>
                                  <w:vAlign w:val="center"/>
                                </w:tcPr>
                                <w:p w14:paraId="79C864A2"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0.7</w:t>
                                  </w:r>
                                </w:p>
                              </w:tc>
                              <w:tc>
                                <w:tcPr>
                                  <w:tcW w:w="929" w:type="dxa"/>
                                  <w:gridSpan w:val="2"/>
                                  <w:shd w:val="clear" w:color="auto" w:fill="auto"/>
                                  <w:vAlign w:val="center"/>
                                </w:tcPr>
                                <w:p w14:paraId="17C993B7" w14:textId="77777777" w:rsidR="00FF3468" w:rsidRPr="007D1DA0" w:rsidRDefault="00FF3468" w:rsidP="0096409D">
                                  <w:pPr>
                                    <w:spacing w:line="240" w:lineRule="auto"/>
                                    <w:jc w:val="center"/>
                                    <w:rPr>
                                      <w:rFonts w:cs="Times New Roman"/>
                                      <w:color w:val="000000"/>
                                      <w:sz w:val="22"/>
                                    </w:rPr>
                                  </w:pPr>
                                </w:p>
                              </w:tc>
                              <w:tc>
                                <w:tcPr>
                                  <w:tcW w:w="743" w:type="dxa"/>
                                  <w:vAlign w:val="center"/>
                                </w:tcPr>
                                <w:p w14:paraId="2B348682"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48</w:t>
                                  </w:r>
                                </w:p>
                              </w:tc>
                              <w:tc>
                                <w:tcPr>
                                  <w:tcW w:w="1205" w:type="dxa"/>
                                  <w:shd w:val="clear" w:color="auto" w:fill="auto"/>
                                  <w:noWrap/>
                                  <w:vAlign w:val="center"/>
                                </w:tcPr>
                                <w:p w14:paraId="1918F774"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42</w:t>
                                  </w:r>
                                </w:p>
                              </w:tc>
                              <w:tc>
                                <w:tcPr>
                                  <w:tcW w:w="744" w:type="dxa"/>
                                  <w:vAlign w:val="center"/>
                                </w:tcPr>
                                <w:p w14:paraId="6DD9E8E4" w14:textId="77777777" w:rsidR="00FF3468" w:rsidRPr="007D1DA0" w:rsidRDefault="00FF3468" w:rsidP="0096409D">
                                  <w:pPr>
                                    <w:spacing w:line="240" w:lineRule="auto"/>
                                    <w:jc w:val="center"/>
                                    <w:rPr>
                                      <w:rFonts w:cs="Times New Roman"/>
                                      <w:color w:val="000000"/>
                                      <w:sz w:val="22"/>
                                    </w:rPr>
                                  </w:pPr>
                                </w:p>
                              </w:tc>
                              <w:tc>
                                <w:tcPr>
                                  <w:tcW w:w="769" w:type="dxa"/>
                                  <w:vAlign w:val="center"/>
                                </w:tcPr>
                                <w:p w14:paraId="5BC8652B" w14:textId="77777777" w:rsidR="00FF3468" w:rsidRPr="007D1DA0" w:rsidRDefault="00FF3468" w:rsidP="0096409D">
                                  <w:pPr>
                                    <w:spacing w:line="240" w:lineRule="auto"/>
                                    <w:jc w:val="center"/>
                                    <w:rPr>
                                      <w:rFonts w:cs="Times New Roman"/>
                                      <w:color w:val="000000"/>
                                      <w:sz w:val="22"/>
                                    </w:rPr>
                                  </w:pPr>
                                </w:p>
                              </w:tc>
                            </w:tr>
                            <w:tr w:rsidR="00FF3468" w:rsidRPr="007D1DA0" w14:paraId="49F841BB" w14:textId="77777777" w:rsidTr="0096409D">
                              <w:trPr>
                                <w:cantSplit/>
                                <w:trHeight w:val="74"/>
                                <w:jc w:val="center"/>
                              </w:trPr>
                              <w:tc>
                                <w:tcPr>
                                  <w:tcW w:w="504" w:type="dxa"/>
                                  <w:vMerge/>
                                  <w:vAlign w:val="center"/>
                                </w:tcPr>
                                <w:p w14:paraId="2D3F0020" w14:textId="77777777" w:rsidR="00FF3468" w:rsidRPr="007D1DA0" w:rsidRDefault="00FF3468" w:rsidP="0096409D">
                                  <w:pPr>
                                    <w:spacing w:line="240" w:lineRule="auto"/>
                                    <w:jc w:val="center"/>
                                    <w:rPr>
                                      <w:rFonts w:cs="Times New Roman"/>
                                      <w:color w:val="000000"/>
                                      <w:sz w:val="22"/>
                                    </w:rPr>
                                  </w:pPr>
                                </w:p>
                              </w:tc>
                              <w:tc>
                                <w:tcPr>
                                  <w:tcW w:w="840" w:type="dxa"/>
                                  <w:tcBorders>
                                    <w:bottom w:val="single" w:sz="4" w:space="0" w:color="auto"/>
                                  </w:tcBorders>
                                  <w:vAlign w:val="center"/>
                                </w:tcPr>
                                <w:p w14:paraId="64F49906"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6</w:t>
                                  </w:r>
                                </w:p>
                              </w:tc>
                              <w:tc>
                                <w:tcPr>
                                  <w:tcW w:w="962" w:type="dxa"/>
                                  <w:tcBorders>
                                    <w:bottom w:val="single" w:sz="4" w:space="0" w:color="auto"/>
                                  </w:tcBorders>
                                  <w:shd w:val="clear" w:color="auto" w:fill="auto"/>
                                  <w:noWrap/>
                                  <w:vAlign w:val="center"/>
                                </w:tcPr>
                                <w:p w14:paraId="169F6D60"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4.2</w:t>
                                  </w:r>
                                </w:p>
                              </w:tc>
                              <w:tc>
                                <w:tcPr>
                                  <w:tcW w:w="1072" w:type="dxa"/>
                                  <w:tcBorders>
                                    <w:bottom w:val="single" w:sz="4" w:space="0" w:color="auto"/>
                                  </w:tcBorders>
                                  <w:shd w:val="clear" w:color="auto" w:fill="auto"/>
                                  <w:noWrap/>
                                  <w:vAlign w:val="center"/>
                                </w:tcPr>
                                <w:p w14:paraId="7D33A874"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13</w:t>
                                  </w:r>
                                </w:p>
                              </w:tc>
                              <w:tc>
                                <w:tcPr>
                                  <w:tcW w:w="1243" w:type="dxa"/>
                                  <w:tcBorders>
                                    <w:bottom w:val="single" w:sz="4" w:space="0" w:color="auto"/>
                                  </w:tcBorders>
                                  <w:shd w:val="clear" w:color="auto" w:fill="auto"/>
                                  <w:noWrap/>
                                  <w:vAlign w:val="center"/>
                                </w:tcPr>
                                <w:p w14:paraId="41D26D44"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3.0</w:t>
                                  </w:r>
                                </w:p>
                              </w:tc>
                              <w:tc>
                                <w:tcPr>
                                  <w:tcW w:w="1304" w:type="dxa"/>
                                  <w:tcBorders>
                                    <w:bottom w:val="single" w:sz="4" w:space="0" w:color="auto"/>
                                  </w:tcBorders>
                                  <w:shd w:val="clear" w:color="auto" w:fill="auto"/>
                                  <w:noWrap/>
                                  <w:vAlign w:val="center"/>
                                </w:tcPr>
                                <w:p w14:paraId="40B69EBF"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13</w:t>
                                  </w:r>
                                </w:p>
                              </w:tc>
                              <w:tc>
                                <w:tcPr>
                                  <w:tcW w:w="878" w:type="dxa"/>
                                  <w:tcBorders>
                                    <w:bottom w:val="single" w:sz="4" w:space="0" w:color="auto"/>
                                  </w:tcBorders>
                                  <w:shd w:val="clear" w:color="auto" w:fill="auto"/>
                                  <w:noWrap/>
                                  <w:vAlign w:val="center"/>
                                </w:tcPr>
                                <w:p w14:paraId="38F4E572"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4.2</w:t>
                                  </w:r>
                                </w:p>
                              </w:tc>
                              <w:tc>
                                <w:tcPr>
                                  <w:tcW w:w="929" w:type="dxa"/>
                                  <w:gridSpan w:val="2"/>
                                  <w:tcBorders>
                                    <w:bottom w:val="single" w:sz="4" w:space="0" w:color="auto"/>
                                  </w:tcBorders>
                                  <w:shd w:val="clear" w:color="auto" w:fill="auto"/>
                                  <w:vAlign w:val="center"/>
                                </w:tcPr>
                                <w:p w14:paraId="26131B03" w14:textId="77777777" w:rsidR="00FF3468" w:rsidRPr="007D1DA0" w:rsidRDefault="00FF3468" w:rsidP="0096409D">
                                  <w:pPr>
                                    <w:spacing w:line="240" w:lineRule="auto"/>
                                    <w:jc w:val="center"/>
                                    <w:rPr>
                                      <w:rFonts w:cs="Times New Roman"/>
                                      <w:color w:val="000000"/>
                                      <w:sz w:val="22"/>
                                    </w:rPr>
                                  </w:pPr>
                                </w:p>
                              </w:tc>
                              <w:tc>
                                <w:tcPr>
                                  <w:tcW w:w="743" w:type="dxa"/>
                                  <w:tcBorders>
                                    <w:bottom w:val="single" w:sz="4" w:space="0" w:color="auto"/>
                                  </w:tcBorders>
                                  <w:vAlign w:val="center"/>
                                </w:tcPr>
                                <w:p w14:paraId="45FFF857"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31</w:t>
                                  </w:r>
                                </w:p>
                              </w:tc>
                              <w:tc>
                                <w:tcPr>
                                  <w:tcW w:w="1205" w:type="dxa"/>
                                  <w:tcBorders>
                                    <w:bottom w:val="single" w:sz="4" w:space="0" w:color="auto"/>
                                  </w:tcBorders>
                                  <w:shd w:val="clear" w:color="auto" w:fill="auto"/>
                                  <w:noWrap/>
                                  <w:vAlign w:val="center"/>
                                </w:tcPr>
                                <w:p w14:paraId="07E6E891"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0</w:t>
                                  </w:r>
                                </w:p>
                              </w:tc>
                              <w:tc>
                                <w:tcPr>
                                  <w:tcW w:w="744" w:type="dxa"/>
                                  <w:tcBorders>
                                    <w:bottom w:val="single" w:sz="4" w:space="0" w:color="auto"/>
                                  </w:tcBorders>
                                  <w:vAlign w:val="center"/>
                                </w:tcPr>
                                <w:p w14:paraId="4074B6AD" w14:textId="77777777" w:rsidR="00FF3468" w:rsidRPr="007D1DA0" w:rsidRDefault="00FF3468" w:rsidP="0096409D">
                                  <w:pPr>
                                    <w:spacing w:line="240" w:lineRule="auto"/>
                                    <w:jc w:val="center"/>
                                    <w:rPr>
                                      <w:rFonts w:cs="Times New Roman"/>
                                      <w:color w:val="000000"/>
                                      <w:sz w:val="22"/>
                                    </w:rPr>
                                  </w:pPr>
                                </w:p>
                              </w:tc>
                              <w:tc>
                                <w:tcPr>
                                  <w:tcW w:w="769" w:type="dxa"/>
                                  <w:tcBorders>
                                    <w:bottom w:val="single" w:sz="4" w:space="0" w:color="auto"/>
                                  </w:tcBorders>
                                  <w:vAlign w:val="center"/>
                                </w:tcPr>
                                <w:p w14:paraId="5890E6EF" w14:textId="77777777" w:rsidR="00FF3468" w:rsidRPr="007D1DA0" w:rsidRDefault="00FF3468" w:rsidP="0096409D">
                                  <w:pPr>
                                    <w:spacing w:line="240" w:lineRule="auto"/>
                                    <w:jc w:val="center"/>
                                    <w:rPr>
                                      <w:rFonts w:cs="Times New Roman"/>
                                      <w:color w:val="000000"/>
                                      <w:sz w:val="22"/>
                                    </w:rPr>
                                  </w:pPr>
                                </w:p>
                              </w:tc>
                            </w:tr>
                            <w:tr w:rsidR="00FF3468" w:rsidRPr="007D1DA0" w14:paraId="1FF2B150" w14:textId="77777777" w:rsidTr="0096409D">
                              <w:trPr>
                                <w:cantSplit/>
                                <w:trHeight w:val="64"/>
                                <w:jc w:val="center"/>
                              </w:trPr>
                              <w:tc>
                                <w:tcPr>
                                  <w:tcW w:w="504" w:type="dxa"/>
                                  <w:shd w:val="clear" w:color="auto" w:fill="D9D9D9" w:themeFill="background1" w:themeFillShade="D9"/>
                                  <w:noWrap/>
                                  <w:textDirection w:val="btLr"/>
                                  <w:vAlign w:val="center"/>
                                </w:tcPr>
                                <w:p w14:paraId="53FE73C8"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w:t>
                                  </w:r>
                                </w:p>
                              </w:tc>
                              <w:tc>
                                <w:tcPr>
                                  <w:tcW w:w="840" w:type="dxa"/>
                                  <w:tcBorders>
                                    <w:top w:val="single" w:sz="4" w:space="0" w:color="auto"/>
                                  </w:tcBorders>
                                  <w:shd w:val="clear" w:color="auto" w:fill="D9D9D9" w:themeFill="background1" w:themeFillShade="D9"/>
                                  <w:vAlign w:val="center"/>
                                </w:tcPr>
                                <w:p w14:paraId="63AC991E" w14:textId="77777777" w:rsidR="00FF3468" w:rsidRPr="007D1DA0" w:rsidRDefault="00FF3468" w:rsidP="0096409D">
                                  <w:pPr>
                                    <w:spacing w:line="240" w:lineRule="auto"/>
                                    <w:jc w:val="center"/>
                                    <w:rPr>
                                      <w:rFonts w:cs="Times New Roman"/>
                                      <w:color w:val="000000"/>
                                      <w:sz w:val="22"/>
                                    </w:rPr>
                                  </w:pPr>
                                </w:p>
                              </w:tc>
                              <w:tc>
                                <w:tcPr>
                                  <w:tcW w:w="962" w:type="dxa"/>
                                  <w:tcBorders>
                                    <w:top w:val="single" w:sz="4" w:space="0" w:color="auto"/>
                                  </w:tcBorders>
                                  <w:shd w:val="clear" w:color="auto" w:fill="D9D9D9" w:themeFill="background1" w:themeFillShade="D9"/>
                                  <w:noWrap/>
                                  <w:vAlign w:val="center"/>
                                </w:tcPr>
                                <w:p w14:paraId="6F7B0F74" w14:textId="77777777" w:rsidR="00FF3468" w:rsidRPr="007D1DA0" w:rsidRDefault="00FF3468" w:rsidP="0096409D">
                                  <w:pPr>
                                    <w:spacing w:line="240" w:lineRule="auto"/>
                                    <w:jc w:val="center"/>
                                    <w:rPr>
                                      <w:rFonts w:cs="Times New Roman"/>
                                      <w:color w:val="000000"/>
                                      <w:sz w:val="22"/>
                                    </w:rPr>
                                  </w:pPr>
                                </w:p>
                              </w:tc>
                              <w:tc>
                                <w:tcPr>
                                  <w:tcW w:w="1072" w:type="dxa"/>
                                  <w:tcBorders>
                                    <w:top w:val="single" w:sz="4" w:space="0" w:color="auto"/>
                                  </w:tcBorders>
                                  <w:shd w:val="clear" w:color="auto" w:fill="D9D9D9" w:themeFill="background1" w:themeFillShade="D9"/>
                                  <w:noWrap/>
                                  <w:vAlign w:val="center"/>
                                </w:tcPr>
                                <w:p w14:paraId="5F0CC322" w14:textId="77777777" w:rsidR="00FF3468" w:rsidRPr="007D1DA0" w:rsidRDefault="00FF3468" w:rsidP="0096409D">
                                  <w:pPr>
                                    <w:spacing w:line="240" w:lineRule="auto"/>
                                    <w:jc w:val="center"/>
                                    <w:rPr>
                                      <w:rFonts w:cs="Times New Roman"/>
                                      <w:color w:val="000000"/>
                                      <w:sz w:val="22"/>
                                    </w:rPr>
                                  </w:pPr>
                                </w:p>
                              </w:tc>
                              <w:tc>
                                <w:tcPr>
                                  <w:tcW w:w="1243" w:type="dxa"/>
                                  <w:tcBorders>
                                    <w:top w:val="single" w:sz="4" w:space="0" w:color="auto"/>
                                  </w:tcBorders>
                                  <w:shd w:val="clear" w:color="auto" w:fill="D9D9D9" w:themeFill="background1" w:themeFillShade="D9"/>
                                  <w:noWrap/>
                                  <w:vAlign w:val="center"/>
                                </w:tcPr>
                                <w:p w14:paraId="07A6E212" w14:textId="77777777" w:rsidR="00FF3468" w:rsidRPr="007D1DA0" w:rsidRDefault="00FF3468" w:rsidP="0096409D">
                                  <w:pPr>
                                    <w:spacing w:line="240" w:lineRule="auto"/>
                                    <w:jc w:val="center"/>
                                    <w:rPr>
                                      <w:rFonts w:cs="Times New Roman"/>
                                      <w:color w:val="000000"/>
                                      <w:sz w:val="22"/>
                                    </w:rPr>
                                  </w:pPr>
                                </w:p>
                              </w:tc>
                              <w:tc>
                                <w:tcPr>
                                  <w:tcW w:w="1304" w:type="dxa"/>
                                  <w:tcBorders>
                                    <w:top w:val="single" w:sz="4" w:space="0" w:color="auto"/>
                                  </w:tcBorders>
                                  <w:shd w:val="clear" w:color="auto" w:fill="D9D9D9" w:themeFill="background1" w:themeFillShade="D9"/>
                                  <w:noWrap/>
                                  <w:vAlign w:val="center"/>
                                </w:tcPr>
                                <w:p w14:paraId="283B838A" w14:textId="77777777" w:rsidR="00FF3468" w:rsidRPr="007D1DA0" w:rsidRDefault="00FF3468" w:rsidP="0096409D">
                                  <w:pPr>
                                    <w:spacing w:line="240" w:lineRule="auto"/>
                                    <w:jc w:val="center"/>
                                    <w:rPr>
                                      <w:rFonts w:cs="Times New Roman"/>
                                      <w:color w:val="000000"/>
                                      <w:sz w:val="22"/>
                                    </w:rPr>
                                  </w:pPr>
                                </w:p>
                              </w:tc>
                              <w:tc>
                                <w:tcPr>
                                  <w:tcW w:w="1028" w:type="dxa"/>
                                  <w:gridSpan w:val="2"/>
                                  <w:tcBorders>
                                    <w:top w:val="single" w:sz="4" w:space="0" w:color="auto"/>
                                  </w:tcBorders>
                                  <w:shd w:val="clear" w:color="auto" w:fill="D9D9D9" w:themeFill="background1" w:themeFillShade="D9"/>
                                  <w:noWrap/>
                                  <w:vAlign w:val="center"/>
                                </w:tcPr>
                                <w:p w14:paraId="0E32050D" w14:textId="77777777" w:rsidR="00FF3468" w:rsidRPr="007D1DA0" w:rsidRDefault="00FF3468" w:rsidP="0096409D">
                                  <w:pPr>
                                    <w:spacing w:line="240" w:lineRule="auto"/>
                                    <w:jc w:val="center"/>
                                    <w:rPr>
                                      <w:rFonts w:cs="Times New Roman"/>
                                      <w:color w:val="000000"/>
                                      <w:sz w:val="22"/>
                                    </w:rPr>
                                  </w:pPr>
                                  <w:r>
                                    <w:rPr>
                                      <w:rFonts w:cs="Times New Roman"/>
                                      <w:color w:val="000000"/>
                                      <w:sz w:val="22"/>
                                    </w:rPr>
                                    <w:t>0%</w:t>
                                  </w:r>
                                </w:p>
                              </w:tc>
                              <w:tc>
                                <w:tcPr>
                                  <w:tcW w:w="779" w:type="dxa"/>
                                  <w:tcBorders>
                                    <w:top w:val="single" w:sz="4" w:space="0" w:color="auto"/>
                                  </w:tcBorders>
                                  <w:shd w:val="clear" w:color="auto" w:fill="D9D9D9" w:themeFill="background1" w:themeFillShade="D9"/>
                                  <w:vAlign w:val="center"/>
                                </w:tcPr>
                                <w:p w14:paraId="2FF874E0"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1%</w:t>
                                  </w:r>
                                </w:p>
                              </w:tc>
                              <w:tc>
                                <w:tcPr>
                                  <w:tcW w:w="1948" w:type="dxa"/>
                                  <w:gridSpan w:val="2"/>
                                  <w:tcBorders>
                                    <w:top w:val="single" w:sz="4" w:space="0" w:color="auto"/>
                                  </w:tcBorders>
                                  <w:shd w:val="clear" w:color="auto" w:fill="D9D9D9" w:themeFill="background1" w:themeFillShade="D9"/>
                                  <w:vAlign w:val="center"/>
                                </w:tcPr>
                                <w:p w14:paraId="69A89535" w14:textId="77777777" w:rsidR="00FF3468" w:rsidRPr="007D1DA0" w:rsidRDefault="00FF3468" w:rsidP="0096409D">
                                  <w:pPr>
                                    <w:spacing w:line="240" w:lineRule="auto"/>
                                    <w:jc w:val="center"/>
                                    <w:rPr>
                                      <w:rFonts w:cs="Times New Roman"/>
                                      <w:color w:val="000000"/>
                                      <w:sz w:val="22"/>
                                    </w:rPr>
                                  </w:pPr>
                                  <w:r>
                                    <w:rPr>
                                      <w:rFonts w:cs="Times New Roman"/>
                                      <w:color w:val="000000"/>
                                      <w:sz w:val="22"/>
                                    </w:rPr>
                                    <w:t>0%</w:t>
                                  </w:r>
                                </w:p>
                              </w:tc>
                              <w:tc>
                                <w:tcPr>
                                  <w:tcW w:w="1513" w:type="dxa"/>
                                  <w:gridSpan w:val="2"/>
                                  <w:tcBorders>
                                    <w:top w:val="single" w:sz="4" w:space="0" w:color="auto"/>
                                  </w:tcBorders>
                                  <w:shd w:val="clear" w:color="auto" w:fill="D9D9D9" w:themeFill="background1" w:themeFillShade="D9"/>
                                  <w:vAlign w:val="center"/>
                                </w:tcPr>
                                <w:p w14:paraId="0370F84F"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1%</w:t>
                                  </w:r>
                                </w:p>
                              </w:tc>
                            </w:tr>
                            <w:tr w:rsidR="00FF3468" w:rsidRPr="007D1DA0" w14:paraId="002A5E6B" w14:textId="77777777" w:rsidTr="0096409D">
                              <w:trPr>
                                <w:cantSplit/>
                                <w:trHeight w:val="74"/>
                                <w:jc w:val="center"/>
                              </w:trPr>
                              <w:tc>
                                <w:tcPr>
                                  <w:tcW w:w="504" w:type="dxa"/>
                                  <w:vMerge w:val="restart"/>
                                  <w:shd w:val="clear" w:color="auto" w:fill="auto"/>
                                  <w:noWrap/>
                                  <w:textDirection w:val="btLr"/>
                                  <w:vAlign w:val="center"/>
                                  <w:hideMark/>
                                </w:tcPr>
                                <w:p w14:paraId="3C890FE5"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Conventional</w:t>
                                  </w:r>
                                </w:p>
                              </w:tc>
                              <w:tc>
                                <w:tcPr>
                                  <w:tcW w:w="840" w:type="dxa"/>
                                  <w:vAlign w:val="center"/>
                                </w:tcPr>
                                <w:p w14:paraId="7133A91E"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18</w:t>
                                  </w:r>
                                </w:p>
                              </w:tc>
                              <w:tc>
                                <w:tcPr>
                                  <w:tcW w:w="962" w:type="dxa"/>
                                  <w:shd w:val="clear" w:color="auto" w:fill="auto"/>
                                  <w:noWrap/>
                                  <w:vAlign w:val="center"/>
                                </w:tcPr>
                                <w:p w14:paraId="65EBD770"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5.4</w:t>
                                  </w:r>
                                </w:p>
                              </w:tc>
                              <w:tc>
                                <w:tcPr>
                                  <w:tcW w:w="1072" w:type="dxa"/>
                                  <w:shd w:val="clear" w:color="auto" w:fill="auto"/>
                                  <w:noWrap/>
                                  <w:vAlign w:val="center"/>
                                </w:tcPr>
                                <w:p w14:paraId="23B4C120"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14</w:t>
                                  </w:r>
                                </w:p>
                              </w:tc>
                              <w:tc>
                                <w:tcPr>
                                  <w:tcW w:w="1243" w:type="dxa"/>
                                  <w:shd w:val="clear" w:color="auto" w:fill="auto"/>
                                  <w:noWrap/>
                                  <w:vAlign w:val="center"/>
                                </w:tcPr>
                                <w:p w14:paraId="6861AF81"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0.1</w:t>
                                  </w:r>
                                </w:p>
                              </w:tc>
                              <w:tc>
                                <w:tcPr>
                                  <w:tcW w:w="1304" w:type="dxa"/>
                                  <w:shd w:val="clear" w:color="auto" w:fill="auto"/>
                                  <w:noWrap/>
                                  <w:vAlign w:val="center"/>
                                </w:tcPr>
                                <w:p w14:paraId="0696E1A0"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101</w:t>
                                  </w:r>
                                </w:p>
                              </w:tc>
                              <w:tc>
                                <w:tcPr>
                                  <w:tcW w:w="1028" w:type="dxa"/>
                                  <w:gridSpan w:val="2"/>
                                  <w:shd w:val="clear" w:color="auto" w:fill="auto"/>
                                  <w:noWrap/>
                                  <w:vAlign w:val="center"/>
                                </w:tcPr>
                                <w:p w14:paraId="655A70F8"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5.4</w:t>
                                  </w:r>
                                </w:p>
                              </w:tc>
                              <w:tc>
                                <w:tcPr>
                                  <w:tcW w:w="779" w:type="dxa"/>
                                  <w:vAlign w:val="center"/>
                                </w:tcPr>
                                <w:p w14:paraId="59ACBCA0"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0.1</w:t>
                                  </w:r>
                                </w:p>
                              </w:tc>
                              <w:tc>
                                <w:tcPr>
                                  <w:tcW w:w="743" w:type="dxa"/>
                                  <w:vAlign w:val="center"/>
                                </w:tcPr>
                                <w:p w14:paraId="52CD1A7E"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47</w:t>
                                  </w:r>
                                </w:p>
                              </w:tc>
                              <w:tc>
                                <w:tcPr>
                                  <w:tcW w:w="1205" w:type="dxa"/>
                                  <w:shd w:val="clear" w:color="auto" w:fill="auto"/>
                                  <w:noWrap/>
                                  <w:vAlign w:val="center"/>
                                </w:tcPr>
                                <w:p w14:paraId="217E41D8"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0.0</w:t>
                                  </w:r>
                                </w:p>
                              </w:tc>
                              <w:tc>
                                <w:tcPr>
                                  <w:tcW w:w="744" w:type="dxa"/>
                                  <w:vAlign w:val="center"/>
                                </w:tcPr>
                                <w:p w14:paraId="03B0CECB"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148</w:t>
                                  </w:r>
                                </w:p>
                              </w:tc>
                              <w:tc>
                                <w:tcPr>
                                  <w:tcW w:w="769" w:type="dxa"/>
                                  <w:vAlign w:val="center"/>
                                </w:tcPr>
                                <w:p w14:paraId="30F9F4A0"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147</w:t>
                                  </w:r>
                                </w:p>
                              </w:tc>
                            </w:tr>
                            <w:tr w:rsidR="00FF3468" w:rsidRPr="007D1DA0" w14:paraId="46A18A6B" w14:textId="77777777" w:rsidTr="0096409D">
                              <w:trPr>
                                <w:cantSplit/>
                                <w:trHeight w:val="74"/>
                                <w:jc w:val="center"/>
                              </w:trPr>
                              <w:tc>
                                <w:tcPr>
                                  <w:tcW w:w="504" w:type="dxa"/>
                                  <w:vMerge/>
                                  <w:vAlign w:val="center"/>
                                  <w:hideMark/>
                                </w:tcPr>
                                <w:p w14:paraId="7474DC80" w14:textId="77777777" w:rsidR="00FF3468" w:rsidRPr="007D1DA0" w:rsidRDefault="00FF3468" w:rsidP="0096409D">
                                  <w:pPr>
                                    <w:spacing w:line="240" w:lineRule="auto"/>
                                    <w:jc w:val="center"/>
                                    <w:rPr>
                                      <w:rFonts w:cs="Times New Roman"/>
                                      <w:color w:val="000000"/>
                                      <w:sz w:val="22"/>
                                    </w:rPr>
                                  </w:pPr>
                                </w:p>
                              </w:tc>
                              <w:tc>
                                <w:tcPr>
                                  <w:tcW w:w="840" w:type="dxa"/>
                                  <w:vAlign w:val="center"/>
                                </w:tcPr>
                                <w:p w14:paraId="423C0C18"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18</w:t>
                                  </w:r>
                                </w:p>
                              </w:tc>
                              <w:tc>
                                <w:tcPr>
                                  <w:tcW w:w="962" w:type="dxa"/>
                                  <w:shd w:val="clear" w:color="auto" w:fill="auto"/>
                                  <w:noWrap/>
                                  <w:vAlign w:val="center"/>
                                </w:tcPr>
                                <w:p w14:paraId="14A8C4AC"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9.3</w:t>
                                  </w:r>
                                </w:p>
                              </w:tc>
                              <w:tc>
                                <w:tcPr>
                                  <w:tcW w:w="1072" w:type="dxa"/>
                                  <w:shd w:val="clear" w:color="auto" w:fill="auto"/>
                                  <w:noWrap/>
                                  <w:vAlign w:val="center"/>
                                </w:tcPr>
                                <w:p w14:paraId="298DA6B2"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95</w:t>
                                  </w:r>
                                </w:p>
                              </w:tc>
                              <w:tc>
                                <w:tcPr>
                                  <w:tcW w:w="1243" w:type="dxa"/>
                                  <w:shd w:val="clear" w:color="auto" w:fill="auto"/>
                                  <w:noWrap/>
                                  <w:vAlign w:val="center"/>
                                </w:tcPr>
                                <w:p w14:paraId="3A40B496"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0.3</w:t>
                                  </w:r>
                                </w:p>
                              </w:tc>
                              <w:tc>
                                <w:tcPr>
                                  <w:tcW w:w="1304" w:type="dxa"/>
                                  <w:shd w:val="clear" w:color="auto" w:fill="auto"/>
                                  <w:noWrap/>
                                  <w:vAlign w:val="center"/>
                                </w:tcPr>
                                <w:p w14:paraId="5F5CA1A0"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127</w:t>
                                  </w:r>
                                </w:p>
                              </w:tc>
                              <w:tc>
                                <w:tcPr>
                                  <w:tcW w:w="1028" w:type="dxa"/>
                                  <w:gridSpan w:val="2"/>
                                  <w:shd w:val="clear" w:color="auto" w:fill="auto"/>
                                  <w:noWrap/>
                                  <w:vAlign w:val="center"/>
                                </w:tcPr>
                                <w:p w14:paraId="7FB16DBC"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9.3</w:t>
                                  </w:r>
                                </w:p>
                              </w:tc>
                              <w:tc>
                                <w:tcPr>
                                  <w:tcW w:w="779" w:type="dxa"/>
                                  <w:vAlign w:val="center"/>
                                </w:tcPr>
                                <w:p w14:paraId="54CBB3BE"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0.4</w:t>
                                  </w:r>
                                </w:p>
                              </w:tc>
                              <w:tc>
                                <w:tcPr>
                                  <w:tcW w:w="743" w:type="dxa"/>
                                  <w:vAlign w:val="center"/>
                                </w:tcPr>
                                <w:p w14:paraId="25BB4FF9"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80</w:t>
                                  </w:r>
                                </w:p>
                              </w:tc>
                              <w:tc>
                                <w:tcPr>
                                  <w:tcW w:w="1205" w:type="dxa"/>
                                  <w:shd w:val="clear" w:color="auto" w:fill="auto"/>
                                  <w:noWrap/>
                                  <w:vAlign w:val="center"/>
                                </w:tcPr>
                                <w:p w14:paraId="1DF7D608"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0.0</w:t>
                                  </w:r>
                                </w:p>
                              </w:tc>
                              <w:tc>
                                <w:tcPr>
                                  <w:tcW w:w="744" w:type="dxa"/>
                                  <w:vAlign w:val="center"/>
                                </w:tcPr>
                                <w:p w14:paraId="47DAAAD3"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182</w:t>
                                  </w:r>
                                </w:p>
                              </w:tc>
                              <w:tc>
                                <w:tcPr>
                                  <w:tcW w:w="769" w:type="dxa"/>
                                  <w:vAlign w:val="center"/>
                                </w:tcPr>
                                <w:p w14:paraId="2AD84A27"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178</w:t>
                                  </w:r>
                                </w:p>
                              </w:tc>
                            </w:tr>
                            <w:tr w:rsidR="00FF3468" w:rsidRPr="007D1DA0" w14:paraId="0896D382" w14:textId="77777777" w:rsidTr="0096409D">
                              <w:trPr>
                                <w:cantSplit/>
                                <w:trHeight w:val="74"/>
                                <w:jc w:val="center"/>
                              </w:trPr>
                              <w:tc>
                                <w:tcPr>
                                  <w:tcW w:w="504" w:type="dxa"/>
                                  <w:vMerge/>
                                  <w:vAlign w:val="center"/>
                                  <w:hideMark/>
                                </w:tcPr>
                                <w:p w14:paraId="3E47F2F4" w14:textId="77777777" w:rsidR="00FF3468" w:rsidRPr="007D1DA0" w:rsidRDefault="00FF3468" w:rsidP="0096409D">
                                  <w:pPr>
                                    <w:spacing w:line="240" w:lineRule="auto"/>
                                    <w:jc w:val="center"/>
                                    <w:rPr>
                                      <w:rFonts w:cs="Times New Roman"/>
                                      <w:color w:val="000000"/>
                                      <w:sz w:val="22"/>
                                    </w:rPr>
                                  </w:pPr>
                                </w:p>
                              </w:tc>
                              <w:tc>
                                <w:tcPr>
                                  <w:tcW w:w="840" w:type="dxa"/>
                                  <w:vAlign w:val="center"/>
                                </w:tcPr>
                                <w:p w14:paraId="69404A70"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18</w:t>
                                  </w:r>
                                </w:p>
                              </w:tc>
                              <w:tc>
                                <w:tcPr>
                                  <w:tcW w:w="962" w:type="dxa"/>
                                  <w:shd w:val="clear" w:color="auto" w:fill="auto"/>
                                  <w:noWrap/>
                                  <w:vAlign w:val="center"/>
                                </w:tcPr>
                                <w:p w14:paraId="627495AF"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5.6</w:t>
                                  </w:r>
                                </w:p>
                              </w:tc>
                              <w:tc>
                                <w:tcPr>
                                  <w:tcW w:w="1072" w:type="dxa"/>
                                  <w:shd w:val="clear" w:color="auto" w:fill="auto"/>
                                  <w:noWrap/>
                                  <w:vAlign w:val="center"/>
                                </w:tcPr>
                                <w:p w14:paraId="2D9F431A"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56</w:t>
                                  </w:r>
                                </w:p>
                              </w:tc>
                              <w:tc>
                                <w:tcPr>
                                  <w:tcW w:w="1243" w:type="dxa"/>
                                  <w:shd w:val="clear" w:color="auto" w:fill="auto"/>
                                  <w:noWrap/>
                                  <w:vAlign w:val="center"/>
                                </w:tcPr>
                                <w:p w14:paraId="51DDFED5"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0.4</w:t>
                                  </w:r>
                                </w:p>
                              </w:tc>
                              <w:tc>
                                <w:tcPr>
                                  <w:tcW w:w="1304" w:type="dxa"/>
                                  <w:shd w:val="clear" w:color="auto" w:fill="auto"/>
                                  <w:noWrap/>
                                  <w:vAlign w:val="center"/>
                                </w:tcPr>
                                <w:p w14:paraId="4C8608AC"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93</w:t>
                                  </w:r>
                                </w:p>
                              </w:tc>
                              <w:tc>
                                <w:tcPr>
                                  <w:tcW w:w="1028" w:type="dxa"/>
                                  <w:gridSpan w:val="2"/>
                                  <w:shd w:val="clear" w:color="auto" w:fill="auto"/>
                                  <w:noWrap/>
                                  <w:vAlign w:val="center"/>
                                </w:tcPr>
                                <w:p w14:paraId="4D07796A"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5.6</w:t>
                                  </w:r>
                                </w:p>
                              </w:tc>
                              <w:tc>
                                <w:tcPr>
                                  <w:tcW w:w="779" w:type="dxa"/>
                                  <w:vAlign w:val="center"/>
                                </w:tcPr>
                                <w:p w14:paraId="32C9A390"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0.4</w:t>
                                  </w:r>
                                </w:p>
                              </w:tc>
                              <w:tc>
                                <w:tcPr>
                                  <w:tcW w:w="743" w:type="dxa"/>
                                  <w:vAlign w:val="center"/>
                                </w:tcPr>
                                <w:p w14:paraId="7C948CCC"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48</w:t>
                                  </w:r>
                                </w:p>
                              </w:tc>
                              <w:tc>
                                <w:tcPr>
                                  <w:tcW w:w="1205" w:type="dxa"/>
                                  <w:shd w:val="clear" w:color="auto" w:fill="auto"/>
                                  <w:noWrap/>
                                  <w:vAlign w:val="center"/>
                                </w:tcPr>
                                <w:p w14:paraId="69EA64DE"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0.0</w:t>
                                  </w:r>
                                </w:p>
                              </w:tc>
                              <w:tc>
                                <w:tcPr>
                                  <w:tcW w:w="744" w:type="dxa"/>
                                  <w:vAlign w:val="center"/>
                                </w:tcPr>
                                <w:p w14:paraId="602C951A"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150</w:t>
                                  </w:r>
                                </w:p>
                              </w:tc>
                              <w:tc>
                                <w:tcPr>
                                  <w:tcW w:w="769" w:type="dxa"/>
                                  <w:vAlign w:val="center"/>
                                </w:tcPr>
                                <w:p w14:paraId="2960FB56"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149</w:t>
                                  </w:r>
                                </w:p>
                              </w:tc>
                            </w:tr>
                            <w:tr w:rsidR="00FF3468" w:rsidRPr="007D1DA0" w14:paraId="3FEF42B4" w14:textId="77777777" w:rsidTr="0096409D">
                              <w:trPr>
                                <w:cantSplit/>
                                <w:trHeight w:val="74"/>
                                <w:jc w:val="center"/>
                              </w:trPr>
                              <w:tc>
                                <w:tcPr>
                                  <w:tcW w:w="504" w:type="dxa"/>
                                  <w:vMerge/>
                                  <w:vAlign w:val="center"/>
                                  <w:hideMark/>
                                </w:tcPr>
                                <w:p w14:paraId="1D3CDDB9" w14:textId="77777777" w:rsidR="00FF3468" w:rsidRPr="007D1DA0" w:rsidRDefault="00FF3468" w:rsidP="0096409D">
                                  <w:pPr>
                                    <w:spacing w:line="240" w:lineRule="auto"/>
                                    <w:jc w:val="center"/>
                                    <w:rPr>
                                      <w:rFonts w:cs="Times New Roman"/>
                                      <w:color w:val="000000"/>
                                      <w:sz w:val="22"/>
                                    </w:rPr>
                                  </w:pPr>
                                </w:p>
                              </w:tc>
                              <w:tc>
                                <w:tcPr>
                                  <w:tcW w:w="840" w:type="dxa"/>
                                  <w:vAlign w:val="center"/>
                                </w:tcPr>
                                <w:p w14:paraId="4312BE3A"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18</w:t>
                                  </w:r>
                                </w:p>
                              </w:tc>
                              <w:tc>
                                <w:tcPr>
                                  <w:tcW w:w="962" w:type="dxa"/>
                                  <w:shd w:val="clear" w:color="auto" w:fill="auto"/>
                                  <w:noWrap/>
                                  <w:vAlign w:val="center"/>
                                </w:tcPr>
                                <w:p w14:paraId="41187D81"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9.4</w:t>
                                  </w:r>
                                </w:p>
                              </w:tc>
                              <w:tc>
                                <w:tcPr>
                                  <w:tcW w:w="1072" w:type="dxa"/>
                                  <w:shd w:val="clear" w:color="auto" w:fill="auto"/>
                                  <w:noWrap/>
                                  <w:vAlign w:val="center"/>
                                </w:tcPr>
                                <w:p w14:paraId="63938DCF"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136</w:t>
                                  </w:r>
                                </w:p>
                              </w:tc>
                              <w:tc>
                                <w:tcPr>
                                  <w:tcW w:w="1243" w:type="dxa"/>
                                  <w:shd w:val="clear" w:color="auto" w:fill="auto"/>
                                  <w:noWrap/>
                                  <w:vAlign w:val="center"/>
                                </w:tcPr>
                                <w:p w14:paraId="2EB43723"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0.5</w:t>
                                  </w:r>
                                </w:p>
                              </w:tc>
                              <w:tc>
                                <w:tcPr>
                                  <w:tcW w:w="1304" w:type="dxa"/>
                                  <w:shd w:val="clear" w:color="auto" w:fill="auto"/>
                                  <w:noWrap/>
                                  <w:vAlign w:val="center"/>
                                </w:tcPr>
                                <w:p w14:paraId="52B3F3A2"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118</w:t>
                                  </w:r>
                                </w:p>
                              </w:tc>
                              <w:tc>
                                <w:tcPr>
                                  <w:tcW w:w="1028" w:type="dxa"/>
                                  <w:gridSpan w:val="2"/>
                                  <w:shd w:val="clear" w:color="auto" w:fill="auto"/>
                                  <w:noWrap/>
                                  <w:vAlign w:val="center"/>
                                </w:tcPr>
                                <w:p w14:paraId="5C967759"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9.4</w:t>
                                  </w:r>
                                </w:p>
                              </w:tc>
                              <w:tc>
                                <w:tcPr>
                                  <w:tcW w:w="779" w:type="dxa"/>
                                  <w:vAlign w:val="center"/>
                                </w:tcPr>
                                <w:p w14:paraId="136D87F2"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0.6</w:t>
                                  </w:r>
                                </w:p>
                              </w:tc>
                              <w:tc>
                                <w:tcPr>
                                  <w:tcW w:w="743" w:type="dxa"/>
                                  <w:vAlign w:val="center"/>
                                </w:tcPr>
                                <w:p w14:paraId="6C0516FE"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81</w:t>
                                  </w:r>
                                </w:p>
                              </w:tc>
                              <w:tc>
                                <w:tcPr>
                                  <w:tcW w:w="1205" w:type="dxa"/>
                                  <w:shd w:val="clear" w:color="auto" w:fill="auto"/>
                                  <w:noWrap/>
                                  <w:vAlign w:val="center"/>
                                </w:tcPr>
                                <w:p w14:paraId="1A500470"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0.0</w:t>
                                  </w:r>
                                </w:p>
                              </w:tc>
                              <w:tc>
                                <w:tcPr>
                                  <w:tcW w:w="744" w:type="dxa"/>
                                  <w:vAlign w:val="center"/>
                                </w:tcPr>
                                <w:p w14:paraId="0AC70166"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182</w:t>
                                  </w:r>
                                </w:p>
                              </w:tc>
                              <w:tc>
                                <w:tcPr>
                                  <w:tcW w:w="769" w:type="dxa"/>
                                  <w:vAlign w:val="center"/>
                                </w:tcPr>
                                <w:p w14:paraId="0F8D6F30"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177</w:t>
                                  </w:r>
                                </w:p>
                              </w:tc>
                            </w:tr>
                            <w:tr w:rsidR="00FF3468" w:rsidRPr="007D1DA0" w14:paraId="6253405E" w14:textId="77777777" w:rsidTr="0096409D">
                              <w:trPr>
                                <w:cantSplit/>
                                <w:trHeight w:val="74"/>
                                <w:jc w:val="center"/>
                              </w:trPr>
                              <w:tc>
                                <w:tcPr>
                                  <w:tcW w:w="504" w:type="dxa"/>
                                  <w:vMerge/>
                                  <w:vAlign w:val="center"/>
                                </w:tcPr>
                                <w:p w14:paraId="58DECB0E" w14:textId="77777777" w:rsidR="00FF3468" w:rsidRPr="007D1DA0" w:rsidRDefault="00FF3468" w:rsidP="0096409D">
                                  <w:pPr>
                                    <w:spacing w:line="240" w:lineRule="auto"/>
                                    <w:jc w:val="center"/>
                                    <w:rPr>
                                      <w:rFonts w:cs="Times New Roman"/>
                                      <w:color w:val="000000"/>
                                      <w:sz w:val="22"/>
                                    </w:rPr>
                                  </w:pPr>
                                </w:p>
                              </w:tc>
                              <w:tc>
                                <w:tcPr>
                                  <w:tcW w:w="10689" w:type="dxa"/>
                                  <w:gridSpan w:val="12"/>
                                  <w:vAlign w:val="center"/>
                                </w:tcPr>
                                <w:p w14:paraId="7620C5DA"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 Values in grey indicate model shrinkage.</w:t>
                                  </w:r>
                                </w:p>
                              </w:tc>
                            </w:tr>
                          </w:tbl>
                          <w:p w14:paraId="603E8FDA" w14:textId="77777777" w:rsidR="00FF3468" w:rsidRDefault="00FF3468" w:rsidP="0096409D">
                            <w:pPr>
                              <w:jc w:val="cent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type w14:anchorId="4A06533B" id="_x0000_t202" coordsize="21600,21600" o:spt="202" path="m,l,21600r21600,l21600,xe">
                <v:stroke joinstyle="miter"/>
                <v:path gradientshapeok="t" o:connecttype="rect"/>
              </v:shapetype>
              <v:shape id="Text Box 58" o:spid="_x0000_s1026" type="#_x0000_t202" style="width:8in;height:468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" stroked="f">
                <v:textbox inset="0,0,0,0">
                  <w:txbxContent>
                    <w:p w14:paraId="1E313157" w14:textId="42888F1B" w:rsidR="00FF3468" w:rsidRDefault="00FF3468" w:rsidP="0096409D">
                      <w:pPr>
                        <w:pStyle w:val="MainText"/>
                        <w:jc w:val="center"/>
                        <w:rPr>
                          <w:sz w:val="20"/>
                        </w:rPr>
                      </w:pPr>
                    </w:p>
                    <w:p w14:paraId="0BE6E683" w14:textId="2AA6DA66" w:rsidR="00FF3468" w:rsidRDefault="00FF3468" w:rsidP="0096409D">
                      <w:pPr>
                        <w:pStyle w:val="MainText"/>
                        <w:jc w:val="center"/>
                        <w:rPr>
                          <w:sz w:val="20"/>
                        </w:rPr>
                      </w:pPr>
                    </w:p>
                    <w:p w14:paraId="5E153FB0" w14:textId="2595CE21" w:rsidR="00FF3468" w:rsidRDefault="00FF3468" w:rsidP="0096409D">
                      <w:pPr>
                        <w:pStyle w:val="MainText"/>
                        <w:jc w:val="center"/>
                        <w:rPr>
                          <w:sz w:val="20"/>
                        </w:rPr>
                      </w:pPr>
                    </w:p>
                    <w:p w14:paraId="7F119623" w14:textId="46A05EEE" w:rsidR="00FF3468" w:rsidRDefault="00FF3468" w:rsidP="0096409D">
                      <w:pPr>
                        <w:pStyle w:val="MainText"/>
                        <w:jc w:val="center"/>
                        <w:rPr>
                          <w:sz w:val="20"/>
                        </w:rPr>
                      </w:pPr>
                    </w:p>
                    <w:p w14:paraId="1166A0CA" w14:textId="2FD74636" w:rsidR="00FF3468" w:rsidRDefault="00FF3468" w:rsidP="0096409D">
                      <w:pPr>
                        <w:pStyle w:val="MainText"/>
                        <w:jc w:val="center"/>
                        <w:rPr>
                          <w:sz w:val="20"/>
                        </w:rPr>
                      </w:pPr>
                    </w:p>
                    <w:p w14:paraId="70AD5184" w14:textId="77777777" w:rsidR="00FF3468" w:rsidRPr="00117D89" w:rsidRDefault="00FF3468" w:rsidP="0096409D">
                      <w:pPr>
                        <w:pStyle w:val="MainText"/>
                        <w:jc w:val="center"/>
                        <w:rPr>
                          <w:sz w:val="20"/>
                        </w:rPr>
                      </w:pPr>
                    </w:p>
                    <w:tbl>
                      <w:tblPr>
                        <w:tblW w:w="11193" w:type="dxa"/>
                        <w:jc w:val="center"/>
                        <w:tblLook w:val="04A0" w:firstRow="1" w:lastRow="0" w:firstColumn="1" w:lastColumn="0" w:noHBand="0" w:noVBand="1"/>
                      </w:tblPr>
                      <w:tblGrid>
                        <w:gridCol w:w="504"/>
                        <w:gridCol w:w="840"/>
                        <w:gridCol w:w="962"/>
                        <w:gridCol w:w="1072"/>
                        <w:gridCol w:w="1243"/>
                        <w:gridCol w:w="1304"/>
                        <w:gridCol w:w="878"/>
                        <w:gridCol w:w="150"/>
                        <w:gridCol w:w="779"/>
                        <w:gridCol w:w="743"/>
                        <w:gridCol w:w="1205"/>
                        <w:gridCol w:w="744"/>
                        <w:gridCol w:w="769"/>
                      </w:tblGrid>
                      <w:tr w:rsidR="00FF3468" w:rsidRPr="007D1DA0" w14:paraId="697211A0" w14:textId="77777777" w:rsidTr="0096409D">
                        <w:trPr>
                          <w:cantSplit/>
                          <w:trHeight w:val="20"/>
                          <w:jc w:val="center"/>
                        </w:trPr>
                        <w:tc>
                          <w:tcPr>
                            <w:tcW w:w="504" w:type="dxa"/>
                            <w:shd w:val="clear" w:color="auto" w:fill="auto"/>
                            <w:noWrap/>
                            <w:vAlign w:val="center"/>
                            <w:hideMark/>
                          </w:tcPr>
                          <w:p w14:paraId="0C180BD2" w14:textId="77777777" w:rsidR="00FF3468" w:rsidRPr="007D1DA0" w:rsidRDefault="00FF3468" w:rsidP="0096409D">
                            <w:pPr>
                              <w:spacing w:line="240" w:lineRule="auto"/>
                              <w:jc w:val="center"/>
                              <w:rPr>
                                <w:rFonts w:cs="Times New Roman"/>
                                <w:sz w:val="22"/>
                              </w:rPr>
                            </w:pPr>
                          </w:p>
                        </w:tc>
                        <w:tc>
                          <w:tcPr>
                            <w:tcW w:w="840" w:type="dxa"/>
                            <w:vMerge w:val="restart"/>
                            <w:vAlign w:val="center"/>
                          </w:tcPr>
                          <w:p w14:paraId="118A33C2"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Length</w:t>
                            </w:r>
                          </w:p>
                        </w:tc>
                        <w:tc>
                          <w:tcPr>
                            <w:tcW w:w="962" w:type="dxa"/>
                            <w:vMerge w:val="restart"/>
                            <w:shd w:val="clear" w:color="auto" w:fill="auto"/>
                            <w:vAlign w:val="center"/>
                            <w:hideMark/>
                          </w:tcPr>
                          <w:p w14:paraId="7DF0635A"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Initial Pressure</w:t>
                            </w:r>
                          </w:p>
                        </w:tc>
                        <w:tc>
                          <w:tcPr>
                            <w:tcW w:w="1072" w:type="dxa"/>
                            <w:vMerge w:val="restart"/>
                            <w:shd w:val="clear" w:color="auto" w:fill="auto"/>
                            <w:vAlign w:val="center"/>
                            <w:hideMark/>
                          </w:tcPr>
                          <w:p w14:paraId="0A2077A6"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Flow Rate</w:t>
                            </w:r>
                          </w:p>
                        </w:tc>
                        <w:tc>
                          <w:tcPr>
                            <w:tcW w:w="1243" w:type="dxa"/>
                            <w:vMerge w:val="restart"/>
                            <w:shd w:val="clear" w:color="auto" w:fill="auto"/>
                            <w:vAlign w:val="center"/>
                            <w:hideMark/>
                          </w:tcPr>
                          <w:p w14:paraId="1A9AC9D6"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Experiment Pressure Drop</w:t>
                            </w:r>
                          </w:p>
                        </w:tc>
                        <w:tc>
                          <w:tcPr>
                            <w:tcW w:w="1304" w:type="dxa"/>
                            <w:vMerge w:val="restart"/>
                            <w:shd w:val="clear" w:color="auto" w:fill="auto"/>
                            <w:vAlign w:val="center"/>
                            <w:hideMark/>
                          </w:tcPr>
                          <w:p w14:paraId="3F3DE8DD"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Total Microannuli</w:t>
                            </w:r>
                          </w:p>
                        </w:tc>
                        <w:tc>
                          <w:tcPr>
                            <w:tcW w:w="1807" w:type="dxa"/>
                            <w:gridSpan w:val="3"/>
                            <w:vMerge w:val="restart"/>
                            <w:shd w:val="clear" w:color="auto" w:fill="auto"/>
                            <w:vAlign w:val="center"/>
                            <w:hideMark/>
                          </w:tcPr>
                          <w:p w14:paraId="451B431F"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Simulated Pressure Drop</w:t>
                            </w:r>
                          </w:p>
                        </w:tc>
                        <w:tc>
                          <w:tcPr>
                            <w:tcW w:w="3461" w:type="dxa"/>
                            <w:gridSpan w:val="4"/>
                            <w:tcBorders>
                              <w:bottom w:val="single" w:sz="4" w:space="0" w:color="auto"/>
                            </w:tcBorders>
                            <w:vAlign w:val="center"/>
                          </w:tcPr>
                          <w:p w14:paraId="41EAD820"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Simulated Microannuli</w:t>
                            </w:r>
                          </w:p>
                        </w:tc>
                      </w:tr>
                      <w:tr w:rsidR="00FF3468" w:rsidRPr="007D1DA0" w14:paraId="75156753" w14:textId="77777777" w:rsidTr="0096409D">
                        <w:trPr>
                          <w:cantSplit/>
                          <w:trHeight w:val="263"/>
                          <w:jc w:val="center"/>
                        </w:trPr>
                        <w:tc>
                          <w:tcPr>
                            <w:tcW w:w="504" w:type="dxa"/>
                            <w:shd w:val="clear" w:color="auto" w:fill="auto"/>
                            <w:noWrap/>
                            <w:vAlign w:val="center"/>
                          </w:tcPr>
                          <w:p w14:paraId="581B0456" w14:textId="77777777" w:rsidR="00FF3468" w:rsidRPr="007D1DA0" w:rsidRDefault="00FF3468" w:rsidP="0096409D">
                            <w:pPr>
                              <w:spacing w:line="240" w:lineRule="auto"/>
                              <w:jc w:val="center"/>
                              <w:rPr>
                                <w:rFonts w:cs="Times New Roman"/>
                                <w:sz w:val="22"/>
                              </w:rPr>
                            </w:pPr>
                          </w:p>
                        </w:tc>
                        <w:tc>
                          <w:tcPr>
                            <w:tcW w:w="840" w:type="dxa"/>
                            <w:vMerge/>
                            <w:vAlign w:val="center"/>
                          </w:tcPr>
                          <w:p w14:paraId="1F822F96" w14:textId="77777777" w:rsidR="00FF3468" w:rsidRPr="007D1DA0" w:rsidRDefault="00FF3468" w:rsidP="0096409D">
                            <w:pPr>
                              <w:spacing w:line="240" w:lineRule="auto"/>
                              <w:jc w:val="center"/>
                              <w:rPr>
                                <w:rFonts w:cs="Times New Roman"/>
                                <w:color w:val="000000"/>
                                <w:sz w:val="22"/>
                              </w:rPr>
                            </w:pPr>
                          </w:p>
                        </w:tc>
                        <w:tc>
                          <w:tcPr>
                            <w:tcW w:w="962" w:type="dxa"/>
                            <w:vMerge/>
                            <w:shd w:val="clear" w:color="auto" w:fill="auto"/>
                            <w:vAlign w:val="center"/>
                          </w:tcPr>
                          <w:p w14:paraId="606846E3" w14:textId="77777777" w:rsidR="00FF3468" w:rsidRPr="007D1DA0" w:rsidRDefault="00FF3468" w:rsidP="0096409D">
                            <w:pPr>
                              <w:spacing w:line="240" w:lineRule="auto"/>
                              <w:jc w:val="center"/>
                              <w:rPr>
                                <w:rFonts w:cs="Times New Roman"/>
                                <w:color w:val="000000"/>
                                <w:sz w:val="22"/>
                              </w:rPr>
                            </w:pPr>
                          </w:p>
                        </w:tc>
                        <w:tc>
                          <w:tcPr>
                            <w:tcW w:w="1072" w:type="dxa"/>
                            <w:vMerge/>
                            <w:shd w:val="clear" w:color="auto" w:fill="auto"/>
                            <w:vAlign w:val="center"/>
                          </w:tcPr>
                          <w:p w14:paraId="1B74518D" w14:textId="77777777" w:rsidR="00FF3468" w:rsidRPr="007D1DA0" w:rsidRDefault="00FF3468" w:rsidP="0096409D">
                            <w:pPr>
                              <w:spacing w:line="240" w:lineRule="auto"/>
                              <w:jc w:val="center"/>
                              <w:rPr>
                                <w:rFonts w:cs="Times New Roman"/>
                                <w:color w:val="000000"/>
                                <w:sz w:val="22"/>
                              </w:rPr>
                            </w:pPr>
                          </w:p>
                        </w:tc>
                        <w:tc>
                          <w:tcPr>
                            <w:tcW w:w="1243" w:type="dxa"/>
                            <w:vMerge/>
                            <w:shd w:val="clear" w:color="auto" w:fill="auto"/>
                            <w:vAlign w:val="center"/>
                          </w:tcPr>
                          <w:p w14:paraId="586954F4" w14:textId="77777777" w:rsidR="00FF3468" w:rsidRPr="007D1DA0" w:rsidRDefault="00FF3468" w:rsidP="0096409D">
                            <w:pPr>
                              <w:spacing w:line="240" w:lineRule="auto"/>
                              <w:jc w:val="center"/>
                              <w:rPr>
                                <w:rFonts w:cs="Times New Roman"/>
                                <w:color w:val="000000"/>
                                <w:sz w:val="22"/>
                              </w:rPr>
                            </w:pPr>
                          </w:p>
                        </w:tc>
                        <w:tc>
                          <w:tcPr>
                            <w:tcW w:w="1304" w:type="dxa"/>
                            <w:vMerge/>
                            <w:shd w:val="clear" w:color="auto" w:fill="auto"/>
                            <w:vAlign w:val="center"/>
                          </w:tcPr>
                          <w:p w14:paraId="5BED0076" w14:textId="77777777" w:rsidR="00FF3468" w:rsidRPr="007D1DA0" w:rsidRDefault="00FF3468" w:rsidP="0096409D">
                            <w:pPr>
                              <w:spacing w:line="240" w:lineRule="auto"/>
                              <w:jc w:val="center"/>
                              <w:rPr>
                                <w:rFonts w:cs="Times New Roman"/>
                                <w:color w:val="000000"/>
                                <w:sz w:val="22"/>
                              </w:rPr>
                            </w:pPr>
                          </w:p>
                        </w:tc>
                        <w:tc>
                          <w:tcPr>
                            <w:tcW w:w="1807" w:type="dxa"/>
                            <w:gridSpan w:val="3"/>
                            <w:vMerge/>
                            <w:shd w:val="clear" w:color="auto" w:fill="auto"/>
                            <w:vAlign w:val="center"/>
                          </w:tcPr>
                          <w:p w14:paraId="2E379752" w14:textId="77777777" w:rsidR="00FF3468" w:rsidRPr="007D1DA0" w:rsidRDefault="00FF3468" w:rsidP="0096409D">
                            <w:pPr>
                              <w:spacing w:line="240" w:lineRule="auto"/>
                              <w:jc w:val="center"/>
                              <w:rPr>
                                <w:rFonts w:cs="Times New Roman"/>
                                <w:color w:val="000000"/>
                                <w:sz w:val="22"/>
                              </w:rPr>
                            </w:pPr>
                          </w:p>
                        </w:tc>
                        <w:tc>
                          <w:tcPr>
                            <w:tcW w:w="743" w:type="dxa"/>
                            <w:tcBorders>
                              <w:top w:val="single" w:sz="4" w:space="0" w:color="auto"/>
                            </w:tcBorders>
                            <w:vAlign w:val="center"/>
                          </w:tcPr>
                          <w:p w14:paraId="25B4E036"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Inlet (max)</w:t>
                            </w:r>
                          </w:p>
                        </w:tc>
                        <w:tc>
                          <w:tcPr>
                            <w:tcW w:w="1205" w:type="dxa"/>
                            <w:tcBorders>
                              <w:top w:val="single" w:sz="4" w:space="0" w:color="auto"/>
                            </w:tcBorders>
                            <w:shd w:val="clear" w:color="auto" w:fill="auto"/>
                            <w:vAlign w:val="center"/>
                          </w:tcPr>
                          <w:p w14:paraId="270A2CAB"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Outlet (min)</w:t>
                            </w:r>
                          </w:p>
                        </w:tc>
                        <w:tc>
                          <w:tcPr>
                            <w:tcW w:w="744" w:type="dxa"/>
                            <w:tcBorders>
                              <w:top w:val="single" w:sz="4" w:space="0" w:color="auto"/>
                            </w:tcBorders>
                            <w:vAlign w:val="center"/>
                          </w:tcPr>
                          <w:p w14:paraId="4C6066AD"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Inlet (max)</w:t>
                            </w:r>
                          </w:p>
                        </w:tc>
                        <w:tc>
                          <w:tcPr>
                            <w:tcW w:w="769" w:type="dxa"/>
                            <w:tcBorders>
                              <w:top w:val="single" w:sz="4" w:space="0" w:color="auto"/>
                            </w:tcBorders>
                            <w:vAlign w:val="center"/>
                          </w:tcPr>
                          <w:p w14:paraId="294FCA6C"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Outlet (min)</w:t>
                            </w:r>
                          </w:p>
                        </w:tc>
                      </w:tr>
                      <w:tr w:rsidR="00FF3468" w:rsidRPr="007D1DA0" w14:paraId="3067DE1C" w14:textId="77777777" w:rsidTr="0096409D">
                        <w:trPr>
                          <w:cantSplit/>
                          <w:trHeight w:val="74"/>
                          <w:jc w:val="center"/>
                        </w:trPr>
                        <w:tc>
                          <w:tcPr>
                            <w:tcW w:w="504" w:type="dxa"/>
                            <w:shd w:val="clear" w:color="auto" w:fill="auto"/>
                            <w:noWrap/>
                            <w:vAlign w:val="center"/>
                            <w:hideMark/>
                          </w:tcPr>
                          <w:p w14:paraId="5129D00A" w14:textId="77777777" w:rsidR="00FF3468" w:rsidRPr="007D1DA0" w:rsidRDefault="00FF3468" w:rsidP="0096409D">
                            <w:pPr>
                              <w:spacing w:line="240" w:lineRule="auto"/>
                              <w:jc w:val="center"/>
                              <w:rPr>
                                <w:rFonts w:cs="Times New Roman"/>
                                <w:color w:val="000000"/>
                                <w:sz w:val="22"/>
                              </w:rPr>
                            </w:pPr>
                          </w:p>
                        </w:tc>
                        <w:tc>
                          <w:tcPr>
                            <w:tcW w:w="840" w:type="dxa"/>
                            <w:tcBorders>
                              <w:bottom w:val="single" w:sz="4" w:space="0" w:color="auto"/>
                            </w:tcBorders>
                            <w:vAlign w:val="center"/>
                          </w:tcPr>
                          <w:p w14:paraId="4C1EF742"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(m)</w:t>
                            </w:r>
                          </w:p>
                        </w:tc>
                        <w:tc>
                          <w:tcPr>
                            <w:tcW w:w="962" w:type="dxa"/>
                            <w:tcBorders>
                              <w:bottom w:val="single" w:sz="4" w:space="0" w:color="auto"/>
                            </w:tcBorders>
                            <w:shd w:val="clear" w:color="auto" w:fill="auto"/>
                            <w:noWrap/>
                            <w:vAlign w:val="center"/>
                            <w:hideMark/>
                          </w:tcPr>
                          <w:p w14:paraId="5B0080D5"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(MPa)</w:t>
                            </w:r>
                          </w:p>
                        </w:tc>
                        <w:tc>
                          <w:tcPr>
                            <w:tcW w:w="1072" w:type="dxa"/>
                            <w:tcBorders>
                              <w:bottom w:val="single" w:sz="4" w:space="0" w:color="auto"/>
                            </w:tcBorders>
                            <w:shd w:val="clear" w:color="auto" w:fill="auto"/>
                            <w:noWrap/>
                            <w:vAlign w:val="center"/>
                            <w:hideMark/>
                          </w:tcPr>
                          <w:p w14:paraId="3D5B4DC3"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(mL/min)</w:t>
                            </w:r>
                          </w:p>
                        </w:tc>
                        <w:tc>
                          <w:tcPr>
                            <w:tcW w:w="1243" w:type="dxa"/>
                            <w:tcBorders>
                              <w:bottom w:val="single" w:sz="4" w:space="0" w:color="auto"/>
                            </w:tcBorders>
                            <w:shd w:val="clear" w:color="auto" w:fill="auto"/>
                            <w:noWrap/>
                            <w:vAlign w:val="center"/>
                            <w:hideMark/>
                          </w:tcPr>
                          <w:p w14:paraId="72C2F845"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(MPa)</w:t>
                            </w:r>
                          </w:p>
                        </w:tc>
                        <w:tc>
                          <w:tcPr>
                            <w:tcW w:w="1304" w:type="dxa"/>
                            <w:tcBorders>
                              <w:bottom w:val="single" w:sz="4" w:space="0" w:color="auto"/>
                            </w:tcBorders>
                            <w:shd w:val="clear" w:color="auto" w:fill="auto"/>
                            <w:noWrap/>
                            <w:vAlign w:val="center"/>
                            <w:hideMark/>
                          </w:tcPr>
                          <w:p w14:paraId="3CBB6561"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(μm)</w:t>
                            </w:r>
                          </w:p>
                        </w:tc>
                        <w:tc>
                          <w:tcPr>
                            <w:tcW w:w="1028" w:type="dxa"/>
                            <w:gridSpan w:val="2"/>
                            <w:tcBorders>
                              <w:bottom w:val="single" w:sz="4" w:space="0" w:color="auto"/>
                            </w:tcBorders>
                            <w:shd w:val="clear" w:color="auto" w:fill="auto"/>
                            <w:noWrap/>
                            <w:vAlign w:val="center"/>
                            <w:hideMark/>
                          </w:tcPr>
                          <w:p w14:paraId="7C2D0CE1"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(MPa)</w:t>
                            </w:r>
                          </w:p>
                        </w:tc>
                        <w:tc>
                          <w:tcPr>
                            <w:tcW w:w="779" w:type="dxa"/>
                            <w:tcBorders>
                              <w:bottom w:val="single" w:sz="4" w:space="0" w:color="auto"/>
                            </w:tcBorders>
                            <w:vAlign w:val="center"/>
                          </w:tcPr>
                          <w:p w14:paraId="6754215A"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(MPa)</w:t>
                            </w:r>
                          </w:p>
                        </w:tc>
                        <w:tc>
                          <w:tcPr>
                            <w:tcW w:w="743" w:type="dxa"/>
                            <w:tcBorders>
                              <w:bottom w:val="single" w:sz="4" w:space="0" w:color="auto"/>
                            </w:tcBorders>
                            <w:vAlign w:val="center"/>
                          </w:tcPr>
                          <w:p w14:paraId="21905F3A"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(μm)</w:t>
                            </w:r>
                          </w:p>
                        </w:tc>
                        <w:tc>
                          <w:tcPr>
                            <w:tcW w:w="1205" w:type="dxa"/>
                            <w:tcBorders>
                              <w:bottom w:val="single" w:sz="4" w:space="0" w:color="auto"/>
                            </w:tcBorders>
                            <w:shd w:val="clear" w:color="auto" w:fill="auto"/>
                            <w:noWrap/>
                            <w:vAlign w:val="center"/>
                            <w:hideMark/>
                          </w:tcPr>
                          <w:p w14:paraId="3AA1EC44"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(μm)</w:t>
                            </w:r>
                          </w:p>
                        </w:tc>
                        <w:tc>
                          <w:tcPr>
                            <w:tcW w:w="744" w:type="dxa"/>
                            <w:tcBorders>
                              <w:bottom w:val="single" w:sz="4" w:space="0" w:color="auto"/>
                            </w:tcBorders>
                            <w:vAlign w:val="center"/>
                          </w:tcPr>
                          <w:p w14:paraId="70F1CF62"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(μm)</w:t>
                            </w:r>
                          </w:p>
                        </w:tc>
                        <w:tc>
                          <w:tcPr>
                            <w:tcW w:w="769" w:type="dxa"/>
                            <w:tcBorders>
                              <w:bottom w:val="single" w:sz="4" w:space="0" w:color="auto"/>
                            </w:tcBorders>
                            <w:vAlign w:val="center"/>
                          </w:tcPr>
                          <w:p w14:paraId="07ADC4E9"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(μm)</w:t>
                            </w:r>
                          </w:p>
                        </w:tc>
                      </w:tr>
                      <w:tr w:rsidR="00FF3468" w:rsidRPr="007D1DA0" w14:paraId="6F767AB3" w14:textId="77777777" w:rsidTr="0096409D">
                        <w:trPr>
                          <w:cantSplit/>
                          <w:trHeight w:val="64"/>
                          <w:jc w:val="center"/>
                        </w:trPr>
                        <w:tc>
                          <w:tcPr>
                            <w:tcW w:w="504" w:type="dxa"/>
                            <w:vMerge w:val="restart"/>
                            <w:shd w:val="clear" w:color="auto" w:fill="auto"/>
                            <w:noWrap/>
                            <w:textDirection w:val="btLr"/>
                            <w:vAlign w:val="center"/>
                            <w:hideMark/>
                          </w:tcPr>
                          <w:p w14:paraId="1BC0AC3E"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Expanding</w:t>
                            </w:r>
                          </w:p>
                        </w:tc>
                        <w:tc>
                          <w:tcPr>
                            <w:tcW w:w="840" w:type="dxa"/>
                            <w:tcBorders>
                              <w:top w:val="single" w:sz="4" w:space="0" w:color="auto"/>
                            </w:tcBorders>
                            <w:vAlign w:val="center"/>
                          </w:tcPr>
                          <w:p w14:paraId="499C98B8"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6</w:t>
                            </w:r>
                          </w:p>
                        </w:tc>
                        <w:tc>
                          <w:tcPr>
                            <w:tcW w:w="962" w:type="dxa"/>
                            <w:tcBorders>
                              <w:top w:val="single" w:sz="4" w:space="0" w:color="auto"/>
                            </w:tcBorders>
                            <w:shd w:val="clear" w:color="auto" w:fill="auto"/>
                            <w:noWrap/>
                            <w:vAlign w:val="center"/>
                          </w:tcPr>
                          <w:p w14:paraId="179BAEA7"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12.5</w:t>
                            </w:r>
                          </w:p>
                        </w:tc>
                        <w:tc>
                          <w:tcPr>
                            <w:tcW w:w="1072" w:type="dxa"/>
                            <w:tcBorders>
                              <w:top w:val="single" w:sz="4" w:space="0" w:color="auto"/>
                            </w:tcBorders>
                            <w:shd w:val="clear" w:color="auto" w:fill="auto"/>
                            <w:noWrap/>
                            <w:vAlign w:val="center"/>
                          </w:tcPr>
                          <w:p w14:paraId="4A87EE0C"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98</w:t>
                            </w:r>
                          </w:p>
                        </w:tc>
                        <w:tc>
                          <w:tcPr>
                            <w:tcW w:w="1243" w:type="dxa"/>
                            <w:tcBorders>
                              <w:top w:val="single" w:sz="4" w:space="0" w:color="auto"/>
                            </w:tcBorders>
                            <w:shd w:val="clear" w:color="auto" w:fill="auto"/>
                            <w:noWrap/>
                            <w:vAlign w:val="center"/>
                          </w:tcPr>
                          <w:p w14:paraId="5BC410BC"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4.8</w:t>
                            </w:r>
                          </w:p>
                        </w:tc>
                        <w:tc>
                          <w:tcPr>
                            <w:tcW w:w="1304" w:type="dxa"/>
                            <w:tcBorders>
                              <w:top w:val="single" w:sz="4" w:space="0" w:color="auto"/>
                            </w:tcBorders>
                            <w:shd w:val="clear" w:color="auto" w:fill="auto"/>
                            <w:noWrap/>
                            <w:vAlign w:val="center"/>
                          </w:tcPr>
                          <w:p w14:paraId="0BC2D5FD"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22</w:t>
                            </w:r>
                          </w:p>
                        </w:tc>
                        <w:tc>
                          <w:tcPr>
                            <w:tcW w:w="878" w:type="dxa"/>
                            <w:tcBorders>
                              <w:top w:val="single" w:sz="4" w:space="0" w:color="auto"/>
                            </w:tcBorders>
                            <w:shd w:val="clear" w:color="auto" w:fill="auto"/>
                            <w:noWrap/>
                            <w:vAlign w:val="center"/>
                          </w:tcPr>
                          <w:p w14:paraId="4C980EA5"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0.4</w:t>
                            </w:r>
                          </w:p>
                        </w:tc>
                        <w:tc>
                          <w:tcPr>
                            <w:tcW w:w="929" w:type="dxa"/>
                            <w:gridSpan w:val="2"/>
                            <w:tcBorders>
                              <w:top w:val="single" w:sz="4" w:space="0" w:color="auto"/>
                            </w:tcBorders>
                            <w:shd w:val="clear" w:color="auto" w:fill="auto"/>
                            <w:vAlign w:val="center"/>
                          </w:tcPr>
                          <w:p w14:paraId="0076B194" w14:textId="77777777" w:rsidR="00FF3468" w:rsidRPr="007D1DA0" w:rsidRDefault="00FF3468" w:rsidP="0096409D">
                            <w:pPr>
                              <w:spacing w:line="240" w:lineRule="auto"/>
                              <w:jc w:val="center"/>
                              <w:rPr>
                                <w:rFonts w:cs="Times New Roman"/>
                                <w:color w:val="000000"/>
                                <w:sz w:val="22"/>
                              </w:rPr>
                            </w:pPr>
                          </w:p>
                        </w:tc>
                        <w:tc>
                          <w:tcPr>
                            <w:tcW w:w="743" w:type="dxa"/>
                            <w:tcBorders>
                              <w:top w:val="single" w:sz="4" w:space="0" w:color="auto"/>
                            </w:tcBorders>
                            <w:vAlign w:val="center"/>
                          </w:tcPr>
                          <w:p w14:paraId="648721E0"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91</w:t>
                            </w:r>
                          </w:p>
                        </w:tc>
                        <w:tc>
                          <w:tcPr>
                            <w:tcW w:w="1205" w:type="dxa"/>
                            <w:tcBorders>
                              <w:top w:val="single" w:sz="4" w:space="0" w:color="auto"/>
                            </w:tcBorders>
                            <w:shd w:val="clear" w:color="auto" w:fill="auto"/>
                            <w:noWrap/>
                            <w:vAlign w:val="center"/>
                          </w:tcPr>
                          <w:p w14:paraId="2F2B8789"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89</w:t>
                            </w:r>
                          </w:p>
                        </w:tc>
                        <w:tc>
                          <w:tcPr>
                            <w:tcW w:w="744" w:type="dxa"/>
                            <w:tcBorders>
                              <w:top w:val="single" w:sz="4" w:space="0" w:color="auto"/>
                            </w:tcBorders>
                            <w:vAlign w:val="center"/>
                          </w:tcPr>
                          <w:p w14:paraId="33FB6D0F" w14:textId="77777777" w:rsidR="00FF3468" w:rsidRPr="007D1DA0" w:rsidRDefault="00FF3468" w:rsidP="0096409D">
                            <w:pPr>
                              <w:spacing w:line="240" w:lineRule="auto"/>
                              <w:jc w:val="center"/>
                              <w:rPr>
                                <w:rFonts w:cs="Times New Roman"/>
                                <w:color w:val="000000"/>
                                <w:sz w:val="22"/>
                              </w:rPr>
                            </w:pPr>
                          </w:p>
                        </w:tc>
                        <w:tc>
                          <w:tcPr>
                            <w:tcW w:w="769" w:type="dxa"/>
                            <w:tcBorders>
                              <w:top w:val="single" w:sz="4" w:space="0" w:color="auto"/>
                            </w:tcBorders>
                            <w:vAlign w:val="center"/>
                          </w:tcPr>
                          <w:p w14:paraId="4F93AD91" w14:textId="77777777" w:rsidR="00FF3468" w:rsidRPr="007D1DA0" w:rsidRDefault="00FF3468" w:rsidP="0096409D">
                            <w:pPr>
                              <w:spacing w:line="240" w:lineRule="auto"/>
                              <w:jc w:val="center"/>
                              <w:rPr>
                                <w:rFonts w:cs="Times New Roman"/>
                                <w:color w:val="000000"/>
                                <w:sz w:val="22"/>
                              </w:rPr>
                            </w:pPr>
                          </w:p>
                        </w:tc>
                      </w:tr>
                      <w:tr w:rsidR="00FF3468" w:rsidRPr="007D1DA0" w14:paraId="17ECF4F0" w14:textId="77777777" w:rsidTr="0096409D">
                        <w:trPr>
                          <w:cantSplit/>
                          <w:trHeight w:val="74"/>
                          <w:jc w:val="center"/>
                        </w:trPr>
                        <w:tc>
                          <w:tcPr>
                            <w:tcW w:w="504" w:type="dxa"/>
                            <w:vMerge/>
                            <w:vAlign w:val="center"/>
                            <w:hideMark/>
                          </w:tcPr>
                          <w:p w14:paraId="2F4E1BDD" w14:textId="77777777" w:rsidR="00FF3468" w:rsidRPr="007D1DA0" w:rsidRDefault="00FF3468" w:rsidP="0096409D">
                            <w:pPr>
                              <w:spacing w:line="240" w:lineRule="auto"/>
                              <w:jc w:val="center"/>
                              <w:rPr>
                                <w:rFonts w:cs="Times New Roman"/>
                                <w:color w:val="000000"/>
                                <w:sz w:val="22"/>
                              </w:rPr>
                            </w:pPr>
                          </w:p>
                        </w:tc>
                        <w:tc>
                          <w:tcPr>
                            <w:tcW w:w="840" w:type="dxa"/>
                            <w:vAlign w:val="center"/>
                          </w:tcPr>
                          <w:p w14:paraId="628FCA6B"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6</w:t>
                            </w:r>
                          </w:p>
                        </w:tc>
                        <w:tc>
                          <w:tcPr>
                            <w:tcW w:w="962" w:type="dxa"/>
                            <w:shd w:val="clear" w:color="auto" w:fill="auto"/>
                            <w:noWrap/>
                            <w:vAlign w:val="center"/>
                          </w:tcPr>
                          <w:p w14:paraId="4155629B"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12.6</w:t>
                            </w:r>
                          </w:p>
                        </w:tc>
                        <w:tc>
                          <w:tcPr>
                            <w:tcW w:w="1072" w:type="dxa"/>
                            <w:shd w:val="clear" w:color="auto" w:fill="auto"/>
                            <w:noWrap/>
                            <w:vAlign w:val="center"/>
                          </w:tcPr>
                          <w:p w14:paraId="03B4B831"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94</w:t>
                            </w:r>
                          </w:p>
                        </w:tc>
                        <w:tc>
                          <w:tcPr>
                            <w:tcW w:w="1243" w:type="dxa"/>
                            <w:shd w:val="clear" w:color="auto" w:fill="auto"/>
                            <w:noWrap/>
                            <w:vAlign w:val="center"/>
                          </w:tcPr>
                          <w:p w14:paraId="470AE826"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4.8</w:t>
                            </w:r>
                          </w:p>
                        </w:tc>
                        <w:tc>
                          <w:tcPr>
                            <w:tcW w:w="1304" w:type="dxa"/>
                            <w:shd w:val="clear" w:color="auto" w:fill="auto"/>
                            <w:noWrap/>
                            <w:vAlign w:val="center"/>
                          </w:tcPr>
                          <w:p w14:paraId="0878C410"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22</w:t>
                            </w:r>
                          </w:p>
                        </w:tc>
                        <w:tc>
                          <w:tcPr>
                            <w:tcW w:w="878" w:type="dxa"/>
                            <w:shd w:val="clear" w:color="auto" w:fill="auto"/>
                            <w:noWrap/>
                            <w:vAlign w:val="center"/>
                          </w:tcPr>
                          <w:p w14:paraId="1C064D84"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0.4</w:t>
                            </w:r>
                          </w:p>
                        </w:tc>
                        <w:tc>
                          <w:tcPr>
                            <w:tcW w:w="929" w:type="dxa"/>
                            <w:gridSpan w:val="2"/>
                            <w:shd w:val="clear" w:color="auto" w:fill="auto"/>
                            <w:vAlign w:val="center"/>
                          </w:tcPr>
                          <w:p w14:paraId="38D8812B" w14:textId="77777777" w:rsidR="00FF3468" w:rsidRPr="007D1DA0" w:rsidRDefault="00FF3468" w:rsidP="0096409D">
                            <w:pPr>
                              <w:spacing w:line="240" w:lineRule="auto"/>
                              <w:jc w:val="center"/>
                              <w:rPr>
                                <w:rFonts w:cs="Times New Roman"/>
                                <w:color w:val="000000"/>
                                <w:sz w:val="22"/>
                              </w:rPr>
                            </w:pPr>
                          </w:p>
                        </w:tc>
                        <w:tc>
                          <w:tcPr>
                            <w:tcW w:w="743" w:type="dxa"/>
                            <w:vAlign w:val="center"/>
                          </w:tcPr>
                          <w:p w14:paraId="64E01BA5"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92</w:t>
                            </w:r>
                          </w:p>
                        </w:tc>
                        <w:tc>
                          <w:tcPr>
                            <w:tcW w:w="1205" w:type="dxa"/>
                            <w:shd w:val="clear" w:color="auto" w:fill="auto"/>
                            <w:noWrap/>
                            <w:vAlign w:val="center"/>
                          </w:tcPr>
                          <w:p w14:paraId="04917EA8"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90</w:t>
                            </w:r>
                          </w:p>
                        </w:tc>
                        <w:tc>
                          <w:tcPr>
                            <w:tcW w:w="744" w:type="dxa"/>
                            <w:vAlign w:val="center"/>
                          </w:tcPr>
                          <w:p w14:paraId="5CB4B438" w14:textId="77777777" w:rsidR="00FF3468" w:rsidRPr="007D1DA0" w:rsidRDefault="00FF3468" w:rsidP="0096409D">
                            <w:pPr>
                              <w:spacing w:line="240" w:lineRule="auto"/>
                              <w:jc w:val="center"/>
                              <w:rPr>
                                <w:rFonts w:cs="Times New Roman"/>
                                <w:color w:val="000000"/>
                                <w:sz w:val="22"/>
                              </w:rPr>
                            </w:pPr>
                          </w:p>
                        </w:tc>
                        <w:tc>
                          <w:tcPr>
                            <w:tcW w:w="769" w:type="dxa"/>
                            <w:vAlign w:val="center"/>
                          </w:tcPr>
                          <w:p w14:paraId="1B72A33C" w14:textId="77777777" w:rsidR="00FF3468" w:rsidRPr="007D1DA0" w:rsidRDefault="00FF3468" w:rsidP="0096409D">
                            <w:pPr>
                              <w:spacing w:line="240" w:lineRule="auto"/>
                              <w:jc w:val="center"/>
                              <w:rPr>
                                <w:rFonts w:cs="Times New Roman"/>
                                <w:color w:val="000000"/>
                                <w:sz w:val="22"/>
                              </w:rPr>
                            </w:pPr>
                          </w:p>
                        </w:tc>
                      </w:tr>
                      <w:tr w:rsidR="00FF3468" w:rsidRPr="007D1DA0" w14:paraId="4352DDC1" w14:textId="77777777" w:rsidTr="0096409D">
                        <w:trPr>
                          <w:cantSplit/>
                          <w:trHeight w:val="74"/>
                          <w:jc w:val="center"/>
                        </w:trPr>
                        <w:tc>
                          <w:tcPr>
                            <w:tcW w:w="504" w:type="dxa"/>
                            <w:vMerge/>
                            <w:vAlign w:val="center"/>
                            <w:hideMark/>
                          </w:tcPr>
                          <w:p w14:paraId="787D613E" w14:textId="77777777" w:rsidR="00FF3468" w:rsidRPr="007D1DA0" w:rsidRDefault="00FF3468" w:rsidP="0096409D">
                            <w:pPr>
                              <w:spacing w:line="240" w:lineRule="auto"/>
                              <w:jc w:val="center"/>
                              <w:rPr>
                                <w:rFonts w:cs="Times New Roman"/>
                                <w:color w:val="000000"/>
                                <w:sz w:val="22"/>
                              </w:rPr>
                            </w:pPr>
                          </w:p>
                        </w:tc>
                        <w:tc>
                          <w:tcPr>
                            <w:tcW w:w="840" w:type="dxa"/>
                            <w:vAlign w:val="center"/>
                          </w:tcPr>
                          <w:p w14:paraId="7D08815A"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6</w:t>
                            </w:r>
                          </w:p>
                        </w:tc>
                        <w:tc>
                          <w:tcPr>
                            <w:tcW w:w="962" w:type="dxa"/>
                            <w:shd w:val="clear" w:color="auto" w:fill="auto"/>
                            <w:noWrap/>
                            <w:vAlign w:val="center"/>
                          </w:tcPr>
                          <w:p w14:paraId="4A576762"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12.7</w:t>
                            </w:r>
                          </w:p>
                        </w:tc>
                        <w:tc>
                          <w:tcPr>
                            <w:tcW w:w="1072" w:type="dxa"/>
                            <w:shd w:val="clear" w:color="auto" w:fill="auto"/>
                            <w:noWrap/>
                            <w:vAlign w:val="center"/>
                          </w:tcPr>
                          <w:p w14:paraId="16260707"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92</w:t>
                            </w:r>
                          </w:p>
                        </w:tc>
                        <w:tc>
                          <w:tcPr>
                            <w:tcW w:w="1243" w:type="dxa"/>
                            <w:shd w:val="clear" w:color="auto" w:fill="auto"/>
                            <w:noWrap/>
                            <w:vAlign w:val="center"/>
                          </w:tcPr>
                          <w:p w14:paraId="4BE844A6"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4.9</w:t>
                            </w:r>
                          </w:p>
                        </w:tc>
                        <w:tc>
                          <w:tcPr>
                            <w:tcW w:w="1304" w:type="dxa"/>
                            <w:shd w:val="clear" w:color="auto" w:fill="auto"/>
                            <w:noWrap/>
                            <w:vAlign w:val="center"/>
                          </w:tcPr>
                          <w:p w14:paraId="289E7B7C"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22</w:t>
                            </w:r>
                          </w:p>
                        </w:tc>
                        <w:tc>
                          <w:tcPr>
                            <w:tcW w:w="878" w:type="dxa"/>
                            <w:shd w:val="clear" w:color="auto" w:fill="auto"/>
                            <w:noWrap/>
                            <w:vAlign w:val="center"/>
                          </w:tcPr>
                          <w:p w14:paraId="62F3FC17"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0.3</w:t>
                            </w:r>
                          </w:p>
                        </w:tc>
                        <w:tc>
                          <w:tcPr>
                            <w:tcW w:w="929" w:type="dxa"/>
                            <w:gridSpan w:val="2"/>
                            <w:shd w:val="clear" w:color="auto" w:fill="auto"/>
                            <w:vAlign w:val="center"/>
                          </w:tcPr>
                          <w:p w14:paraId="451AF976" w14:textId="77777777" w:rsidR="00FF3468" w:rsidRPr="007D1DA0" w:rsidRDefault="00FF3468" w:rsidP="0096409D">
                            <w:pPr>
                              <w:spacing w:line="240" w:lineRule="auto"/>
                              <w:jc w:val="center"/>
                              <w:rPr>
                                <w:rFonts w:cs="Times New Roman"/>
                                <w:color w:val="000000"/>
                                <w:sz w:val="22"/>
                              </w:rPr>
                            </w:pPr>
                          </w:p>
                        </w:tc>
                        <w:tc>
                          <w:tcPr>
                            <w:tcW w:w="743" w:type="dxa"/>
                            <w:vAlign w:val="center"/>
                          </w:tcPr>
                          <w:p w14:paraId="36E10E6B"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93</w:t>
                            </w:r>
                          </w:p>
                        </w:tc>
                        <w:tc>
                          <w:tcPr>
                            <w:tcW w:w="1205" w:type="dxa"/>
                            <w:shd w:val="clear" w:color="auto" w:fill="auto"/>
                            <w:noWrap/>
                            <w:vAlign w:val="center"/>
                          </w:tcPr>
                          <w:p w14:paraId="72F2DD95"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90</w:t>
                            </w:r>
                          </w:p>
                        </w:tc>
                        <w:tc>
                          <w:tcPr>
                            <w:tcW w:w="744" w:type="dxa"/>
                            <w:vAlign w:val="center"/>
                          </w:tcPr>
                          <w:p w14:paraId="6A2B9E9A" w14:textId="77777777" w:rsidR="00FF3468" w:rsidRPr="007D1DA0" w:rsidRDefault="00FF3468" w:rsidP="0096409D">
                            <w:pPr>
                              <w:spacing w:line="240" w:lineRule="auto"/>
                              <w:jc w:val="center"/>
                              <w:rPr>
                                <w:rFonts w:cs="Times New Roman"/>
                                <w:color w:val="000000"/>
                                <w:sz w:val="22"/>
                              </w:rPr>
                            </w:pPr>
                          </w:p>
                        </w:tc>
                        <w:tc>
                          <w:tcPr>
                            <w:tcW w:w="769" w:type="dxa"/>
                            <w:vAlign w:val="center"/>
                          </w:tcPr>
                          <w:p w14:paraId="2670755B" w14:textId="77777777" w:rsidR="00FF3468" w:rsidRPr="007D1DA0" w:rsidRDefault="00FF3468" w:rsidP="0096409D">
                            <w:pPr>
                              <w:spacing w:line="240" w:lineRule="auto"/>
                              <w:jc w:val="center"/>
                              <w:rPr>
                                <w:rFonts w:cs="Times New Roman"/>
                                <w:color w:val="000000"/>
                                <w:sz w:val="22"/>
                              </w:rPr>
                            </w:pPr>
                          </w:p>
                        </w:tc>
                      </w:tr>
                      <w:tr w:rsidR="00FF3468" w:rsidRPr="007D1DA0" w14:paraId="26F9DED3" w14:textId="77777777" w:rsidTr="0096409D">
                        <w:trPr>
                          <w:cantSplit/>
                          <w:trHeight w:val="74"/>
                          <w:jc w:val="center"/>
                        </w:trPr>
                        <w:tc>
                          <w:tcPr>
                            <w:tcW w:w="504" w:type="dxa"/>
                            <w:vMerge/>
                            <w:vAlign w:val="center"/>
                          </w:tcPr>
                          <w:p w14:paraId="5D1209B5" w14:textId="77777777" w:rsidR="00FF3468" w:rsidRPr="007D1DA0" w:rsidRDefault="00FF3468" w:rsidP="0096409D">
                            <w:pPr>
                              <w:spacing w:line="240" w:lineRule="auto"/>
                              <w:jc w:val="center"/>
                              <w:rPr>
                                <w:rFonts w:cs="Times New Roman"/>
                                <w:color w:val="000000"/>
                                <w:sz w:val="22"/>
                              </w:rPr>
                            </w:pPr>
                          </w:p>
                        </w:tc>
                        <w:tc>
                          <w:tcPr>
                            <w:tcW w:w="840" w:type="dxa"/>
                            <w:vAlign w:val="center"/>
                          </w:tcPr>
                          <w:p w14:paraId="180B415E"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6</w:t>
                            </w:r>
                          </w:p>
                        </w:tc>
                        <w:tc>
                          <w:tcPr>
                            <w:tcW w:w="962" w:type="dxa"/>
                            <w:shd w:val="clear" w:color="auto" w:fill="auto"/>
                            <w:noWrap/>
                            <w:vAlign w:val="center"/>
                          </w:tcPr>
                          <w:p w14:paraId="02D77A1C"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9.6</w:t>
                            </w:r>
                          </w:p>
                        </w:tc>
                        <w:tc>
                          <w:tcPr>
                            <w:tcW w:w="1072" w:type="dxa"/>
                            <w:shd w:val="clear" w:color="auto" w:fill="auto"/>
                            <w:noWrap/>
                            <w:vAlign w:val="center"/>
                          </w:tcPr>
                          <w:p w14:paraId="1F74382D"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49</w:t>
                            </w:r>
                          </w:p>
                        </w:tc>
                        <w:tc>
                          <w:tcPr>
                            <w:tcW w:w="1243" w:type="dxa"/>
                            <w:shd w:val="clear" w:color="auto" w:fill="auto"/>
                            <w:noWrap/>
                            <w:vAlign w:val="center"/>
                          </w:tcPr>
                          <w:p w14:paraId="489BCC13"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5.0</w:t>
                            </w:r>
                          </w:p>
                        </w:tc>
                        <w:tc>
                          <w:tcPr>
                            <w:tcW w:w="1304" w:type="dxa"/>
                            <w:shd w:val="clear" w:color="auto" w:fill="auto"/>
                            <w:noWrap/>
                            <w:vAlign w:val="center"/>
                          </w:tcPr>
                          <w:p w14:paraId="1BF0C873"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18</w:t>
                            </w:r>
                          </w:p>
                        </w:tc>
                        <w:tc>
                          <w:tcPr>
                            <w:tcW w:w="878" w:type="dxa"/>
                            <w:shd w:val="clear" w:color="auto" w:fill="auto"/>
                            <w:noWrap/>
                            <w:vAlign w:val="center"/>
                          </w:tcPr>
                          <w:p w14:paraId="7F46AB8E"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0.4</w:t>
                            </w:r>
                          </w:p>
                        </w:tc>
                        <w:tc>
                          <w:tcPr>
                            <w:tcW w:w="929" w:type="dxa"/>
                            <w:gridSpan w:val="2"/>
                            <w:shd w:val="clear" w:color="auto" w:fill="auto"/>
                            <w:vAlign w:val="center"/>
                          </w:tcPr>
                          <w:p w14:paraId="5530673D" w14:textId="77777777" w:rsidR="00FF3468" w:rsidRPr="007D1DA0" w:rsidRDefault="00FF3468" w:rsidP="0096409D">
                            <w:pPr>
                              <w:spacing w:line="240" w:lineRule="auto"/>
                              <w:jc w:val="center"/>
                              <w:rPr>
                                <w:rFonts w:cs="Times New Roman"/>
                                <w:color w:val="000000"/>
                                <w:sz w:val="22"/>
                              </w:rPr>
                            </w:pPr>
                          </w:p>
                        </w:tc>
                        <w:tc>
                          <w:tcPr>
                            <w:tcW w:w="743" w:type="dxa"/>
                            <w:vAlign w:val="center"/>
                          </w:tcPr>
                          <w:p w14:paraId="3CF5645B"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70</w:t>
                            </w:r>
                          </w:p>
                        </w:tc>
                        <w:tc>
                          <w:tcPr>
                            <w:tcW w:w="1205" w:type="dxa"/>
                            <w:shd w:val="clear" w:color="auto" w:fill="auto"/>
                            <w:noWrap/>
                            <w:vAlign w:val="center"/>
                          </w:tcPr>
                          <w:p w14:paraId="2D17BEB1"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67</w:t>
                            </w:r>
                          </w:p>
                        </w:tc>
                        <w:tc>
                          <w:tcPr>
                            <w:tcW w:w="744" w:type="dxa"/>
                            <w:vAlign w:val="center"/>
                          </w:tcPr>
                          <w:p w14:paraId="02FB58A8" w14:textId="77777777" w:rsidR="00FF3468" w:rsidRPr="007D1DA0" w:rsidRDefault="00FF3468" w:rsidP="0096409D">
                            <w:pPr>
                              <w:spacing w:line="240" w:lineRule="auto"/>
                              <w:jc w:val="center"/>
                              <w:rPr>
                                <w:rFonts w:cs="Times New Roman"/>
                                <w:color w:val="000000"/>
                                <w:sz w:val="22"/>
                              </w:rPr>
                            </w:pPr>
                          </w:p>
                        </w:tc>
                        <w:tc>
                          <w:tcPr>
                            <w:tcW w:w="769" w:type="dxa"/>
                            <w:vAlign w:val="center"/>
                          </w:tcPr>
                          <w:p w14:paraId="7F84DC06" w14:textId="77777777" w:rsidR="00FF3468" w:rsidRPr="007D1DA0" w:rsidRDefault="00FF3468" w:rsidP="0096409D">
                            <w:pPr>
                              <w:spacing w:line="240" w:lineRule="auto"/>
                              <w:jc w:val="center"/>
                              <w:rPr>
                                <w:rFonts w:cs="Times New Roman"/>
                                <w:color w:val="000000"/>
                                <w:sz w:val="22"/>
                              </w:rPr>
                            </w:pPr>
                          </w:p>
                        </w:tc>
                      </w:tr>
                      <w:tr w:rsidR="00FF3468" w:rsidRPr="007D1DA0" w14:paraId="357076B2" w14:textId="77777777" w:rsidTr="0096409D">
                        <w:trPr>
                          <w:cantSplit/>
                          <w:trHeight w:val="74"/>
                          <w:jc w:val="center"/>
                        </w:trPr>
                        <w:tc>
                          <w:tcPr>
                            <w:tcW w:w="504" w:type="dxa"/>
                            <w:vMerge/>
                            <w:vAlign w:val="center"/>
                          </w:tcPr>
                          <w:p w14:paraId="5AE60CCF" w14:textId="77777777" w:rsidR="00FF3468" w:rsidRPr="007D1DA0" w:rsidRDefault="00FF3468" w:rsidP="0096409D">
                            <w:pPr>
                              <w:spacing w:line="240" w:lineRule="auto"/>
                              <w:jc w:val="center"/>
                              <w:rPr>
                                <w:rFonts w:cs="Times New Roman"/>
                                <w:color w:val="000000"/>
                                <w:sz w:val="22"/>
                              </w:rPr>
                            </w:pPr>
                          </w:p>
                        </w:tc>
                        <w:tc>
                          <w:tcPr>
                            <w:tcW w:w="840" w:type="dxa"/>
                            <w:vAlign w:val="center"/>
                          </w:tcPr>
                          <w:p w14:paraId="468637F7"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6</w:t>
                            </w:r>
                          </w:p>
                        </w:tc>
                        <w:tc>
                          <w:tcPr>
                            <w:tcW w:w="962" w:type="dxa"/>
                            <w:shd w:val="clear" w:color="auto" w:fill="auto"/>
                            <w:noWrap/>
                            <w:vAlign w:val="center"/>
                          </w:tcPr>
                          <w:p w14:paraId="261DE59C"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9.5</w:t>
                            </w:r>
                          </w:p>
                        </w:tc>
                        <w:tc>
                          <w:tcPr>
                            <w:tcW w:w="1072" w:type="dxa"/>
                            <w:shd w:val="clear" w:color="auto" w:fill="auto"/>
                            <w:noWrap/>
                            <w:vAlign w:val="center"/>
                          </w:tcPr>
                          <w:p w14:paraId="63FE5435"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48</w:t>
                            </w:r>
                          </w:p>
                        </w:tc>
                        <w:tc>
                          <w:tcPr>
                            <w:tcW w:w="1243" w:type="dxa"/>
                            <w:shd w:val="clear" w:color="auto" w:fill="auto"/>
                            <w:noWrap/>
                            <w:vAlign w:val="center"/>
                          </w:tcPr>
                          <w:p w14:paraId="2EF15A7C"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5.1</w:t>
                            </w:r>
                          </w:p>
                        </w:tc>
                        <w:tc>
                          <w:tcPr>
                            <w:tcW w:w="1304" w:type="dxa"/>
                            <w:shd w:val="clear" w:color="auto" w:fill="auto"/>
                            <w:noWrap/>
                            <w:vAlign w:val="center"/>
                          </w:tcPr>
                          <w:p w14:paraId="7C2909BB"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17</w:t>
                            </w:r>
                          </w:p>
                        </w:tc>
                        <w:tc>
                          <w:tcPr>
                            <w:tcW w:w="878" w:type="dxa"/>
                            <w:shd w:val="clear" w:color="auto" w:fill="auto"/>
                            <w:noWrap/>
                            <w:vAlign w:val="center"/>
                          </w:tcPr>
                          <w:p w14:paraId="4D673E19"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0.4</w:t>
                            </w:r>
                          </w:p>
                        </w:tc>
                        <w:tc>
                          <w:tcPr>
                            <w:tcW w:w="929" w:type="dxa"/>
                            <w:gridSpan w:val="2"/>
                            <w:shd w:val="clear" w:color="auto" w:fill="auto"/>
                            <w:vAlign w:val="center"/>
                          </w:tcPr>
                          <w:p w14:paraId="0CC625F8" w14:textId="77777777" w:rsidR="00FF3468" w:rsidRPr="007D1DA0" w:rsidRDefault="00FF3468" w:rsidP="0096409D">
                            <w:pPr>
                              <w:spacing w:line="240" w:lineRule="auto"/>
                              <w:jc w:val="center"/>
                              <w:rPr>
                                <w:rFonts w:cs="Times New Roman"/>
                                <w:color w:val="000000"/>
                                <w:sz w:val="22"/>
                              </w:rPr>
                            </w:pPr>
                          </w:p>
                        </w:tc>
                        <w:tc>
                          <w:tcPr>
                            <w:tcW w:w="743" w:type="dxa"/>
                            <w:vAlign w:val="center"/>
                          </w:tcPr>
                          <w:p w14:paraId="28AB4940"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69</w:t>
                            </w:r>
                          </w:p>
                        </w:tc>
                        <w:tc>
                          <w:tcPr>
                            <w:tcW w:w="1205" w:type="dxa"/>
                            <w:shd w:val="clear" w:color="auto" w:fill="auto"/>
                            <w:noWrap/>
                            <w:vAlign w:val="center"/>
                          </w:tcPr>
                          <w:p w14:paraId="4E25F1E4"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66</w:t>
                            </w:r>
                          </w:p>
                        </w:tc>
                        <w:tc>
                          <w:tcPr>
                            <w:tcW w:w="744" w:type="dxa"/>
                            <w:vAlign w:val="center"/>
                          </w:tcPr>
                          <w:p w14:paraId="20BDA946" w14:textId="77777777" w:rsidR="00FF3468" w:rsidRPr="007D1DA0" w:rsidRDefault="00FF3468" w:rsidP="0096409D">
                            <w:pPr>
                              <w:spacing w:line="240" w:lineRule="auto"/>
                              <w:jc w:val="center"/>
                              <w:rPr>
                                <w:rFonts w:cs="Times New Roman"/>
                                <w:color w:val="000000"/>
                                <w:sz w:val="22"/>
                              </w:rPr>
                            </w:pPr>
                          </w:p>
                        </w:tc>
                        <w:tc>
                          <w:tcPr>
                            <w:tcW w:w="769" w:type="dxa"/>
                            <w:vAlign w:val="center"/>
                          </w:tcPr>
                          <w:p w14:paraId="2713960F" w14:textId="77777777" w:rsidR="00FF3468" w:rsidRPr="007D1DA0" w:rsidRDefault="00FF3468" w:rsidP="0096409D">
                            <w:pPr>
                              <w:spacing w:line="240" w:lineRule="auto"/>
                              <w:jc w:val="center"/>
                              <w:rPr>
                                <w:rFonts w:cs="Times New Roman"/>
                                <w:color w:val="000000"/>
                                <w:sz w:val="22"/>
                              </w:rPr>
                            </w:pPr>
                          </w:p>
                        </w:tc>
                      </w:tr>
                      <w:tr w:rsidR="00FF3468" w:rsidRPr="007D1DA0" w14:paraId="4FEAAC3C" w14:textId="77777777" w:rsidTr="0096409D">
                        <w:trPr>
                          <w:cantSplit/>
                          <w:trHeight w:val="74"/>
                          <w:jc w:val="center"/>
                        </w:trPr>
                        <w:tc>
                          <w:tcPr>
                            <w:tcW w:w="504" w:type="dxa"/>
                            <w:vMerge/>
                            <w:vAlign w:val="center"/>
                          </w:tcPr>
                          <w:p w14:paraId="36865BD0" w14:textId="77777777" w:rsidR="00FF3468" w:rsidRPr="007D1DA0" w:rsidRDefault="00FF3468" w:rsidP="0096409D">
                            <w:pPr>
                              <w:spacing w:line="240" w:lineRule="auto"/>
                              <w:jc w:val="center"/>
                              <w:rPr>
                                <w:rFonts w:cs="Times New Roman"/>
                                <w:color w:val="000000"/>
                                <w:sz w:val="22"/>
                              </w:rPr>
                            </w:pPr>
                          </w:p>
                        </w:tc>
                        <w:tc>
                          <w:tcPr>
                            <w:tcW w:w="840" w:type="dxa"/>
                            <w:vAlign w:val="center"/>
                          </w:tcPr>
                          <w:p w14:paraId="5B7D0989"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6</w:t>
                            </w:r>
                          </w:p>
                        </w:tc>
                        <w:tc>
                          <w:tcPr>
                            <w:tcW w:w="962" w:type="dxa"/>
                            <w:shd w:val="clear" w:color="auto" w:fill="auto"/>
                            <w:noWrap/>
                            <w:vAlign w:val="center"/>
                          </w:tcPr>
                          <w:p w14:paraId="66E3B7D7"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6.6</w:t>
                            </w:r>
                          </w:p>
                        </w:tc>
                        <w:tc>
                          <w:tcPr>
                            <w:tcW w:w="1072" w:type="dxa"/>
                            <w:shd w:val="clear" w:color="auto" w:fill="auto"/>
                            <w:noWrap/>
                            <w:vAlign w:val="center"/>
                          </w:tcPr>
                          <w:p w14:paraId="4910A299"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23</w:t>
                            </w:r>
                          </w:p>
                        </w:tc>
                        <w:tc>
                          <w:tcPr>
                            <w:tcW w:w="1243" w:type="dxa"/>
                            <w:shd w:val="clear" w:color="auto" w:fill="auto"/>
                            <w:noWrap/>
                            <w:vAlign w:val="center"/>
                          </w:tcPr>
                          <w:p w14:paraId="1E3AAC37"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4.7</w:t>
                            </w:r>
                          </w:p>
                        </w:tc>
                        <w:tc>
                          <w:tcPr>
                            <w:tcW w:w="1304" w:type="dxa"/>
                            <w:shd w:val="clear" w:color="auto" w:fill="auto"/>
                            <w:noWrap/>
                            <w:vAlign w:val="center"/>
                          </w:tcPr>
                          <w:p w14:paraId="4BED6B48"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14</w:t>
                            </w:r>
                          </w:p>
                        </w:tc>
                        <w:tc>
                          <w:tcPr>
                            <w:tcW w:w="878" w:type="dxa"/>
                            <w:shd w:val="clear" w:color="auto" w:fill="auto"/>
                            <w:noWrap/>
                            <w:vAlign w:val="center"/>
                          </w:tcPr>
                          <w:p w14:paraId="6E3996EC"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0.7</w:t>
                            </w:r>
                          </w:p>
                        </w:tc>
                        <w:tc>
                          <w:tcPr>
                            <w:tcW w:w="929" w:type="dxa"/>
                            <w:gridSpan w:val="2"/>
                            <w:shd w:val="clear" w:color="auto" w:fill="auto"/>
                            <w:vAlign w:val="center"/>
                          </w:tcPr>
                          <w:p w14:paraId="325FDFE9" w14:textId="77777777" w:rsidR="00FF3468" w:rsidRPr="007D1DA0" w:rsidRDefault="00FF3468" w:rsidP="0096409D">
                            <w:pPr>
                              <w:spacing w:line="240" w:lineRule="auto"/>
                              <w:jc w:val="center"/>
                              <w:rPr>
                                <w:rFonts w:cs="Times New Roman"/>
                                <w:color w:val="000000"/>
                                <w:sz w:val="22"/>
                              </w:rPr>
                            </w:pPr>
                          </w:p>
                        </w:tc>
                        <w:tc>
                          <w:tcPr>
                            <w:tcW w:w="743" w:type="dxa"/>
                            <w:vAlign w:val="center"/>
                          </w:tcPr>
                          <w:p w14:paraId="231DB102"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48</w:t>
                            </w:r>
                          </w:p>
                        </w:tc>
                        <w:tc>
                          <w:tcPr>
                            <w:tcW w:w="1205" w:type="dxa"/>
                            <w:shd w:val="clear" w:color="auto" w:fill="auto"/>
                            <w:noWrap/>
                            <w:vAlign w:val="center"/>
                          </w:tcPr>
                          <w:p w14:paraId="451C5884"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43</w:t>
                            </w:r>
                          </w:p>
                        </w:tc>
                        <w:tc>
                          <w:tcPr>
                            <w:tcW w:w="744" w:type="dxa"/>
                            <w:vAlign w:val="center"/>
                          </w:tcPr>
                          <w:p w14:paraId="6B7CA208" w14:textId="77777777" w:rsidR="00FF3468" w:rsidRPr="007D1DA0" w:rsidRDefault="00FF3468" w:rsidP="0096409D">
                            <w:pPr>
                              <w:spacing w:line="240" w:lineRule="auto"/>
                              <w:jc w:val="center"/>
                              <w:rPr>
                                <w:rFonts w:cs="Times New Roman"/>
                                <w:color w:val="000000"/>
                                <w:sz w:val="22"/>
                              </w:rPr>
                            </w:pPr>
                          </w:p>
                        </w:tc>
                        <w:tc>
                          <w:tcPr>
                            <w:tcW w:w="769" w:type="dxa"/>
                            <w:vAlign w:val="center"/>
                          </w:tcPr>
                          <w:p w14:paraId="27610432" w14:textId="77777777" w:rsidR="00FF3468" w:rsidRPr="007D1DA0" w:rsidRDefault="00FF3468" w:rsidP="0096409D">
                            <w:pPr>
                              <w:spacing w:line="240" w:lineRule="auto"/>
                              <w:jc w:val="center"/>
                              <w:rPr>
                                <w:rFonts w:cs="Times New Roman"/>
                                <w:color w:val="000000"/>
                                <w:sz w:val="22"/>
                              </w:rPr>
                            </w:pPr>
                          </w:p>
                        </w:tc>
                      </w:tr>
                      <w:tr w:rsidR="00FF3468" w:rsidRPr="007D1DA0" w14:paraId="31DE03A8" w14:textId="77777777" w:rsidTr="0096409D">
                        <w:trPr>
                          <w:cantSplit/>
                          <w:trHeight w:val="74"/>
                          <w:jc w:val="center"/>
                        </w:trPr>
                        <w:tc>
                          <w:tcPr>
                            <w:tcW w:w="504" w:type="dxa"/>
                            <w:vMerge/>
                            <w:vAlign w:val="center"/>
                          </w:tcPr>
                          <w:p w14:paraId="78DE4ADE" w14:textId="77777777" w:rsidR="00FF3468" w:rsidRPr="007D1DA0" w:rsidRDefault="00FF3468" w:rsidP="0096409D">
                            <w:pPr>
                              <w:spacing w:line="240" w:lineRule="auto"/>
                              <w:jc w:val="center"/>
                              <w:rPr>
                                <w:rFonts w:cs="Times New Roman"/>
                                <w:color w:val="000000"/>
                                <w:sz w:val="22"/>
                              </w:rPr>
                            </w:pPr>
                          </w:p>
                        </w:tc>
                        <w:tc>
                          <w:tcPr>
                            <w:tcW w:w="840" w:type="dxa"/>
                            <w:vAlign w:val="center"/>
                          </w:tcPr>
                          <w:p w14:paraId="02EB1506"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6</w:t>
                            </w:r>
                          </w:p>
                        </w:tc>
                        <w:tc>
                          <w:tcPr>
                            <w:tcW w:w="962" w:type="dxa"/>
                            <w:shd w:val="clear" w:color="auto" w:fill="auto"/>
                            <w:noWrap/>
                            <w:vAlign w:val="center"/>
                          </w:tcPr>
                          <w:p w14:paraId="0F9229BA"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6.5</w:t>
                            </w:r>
                          </w:p>
                        </w:tc>
                        <w:tc>
                          <w:tcPr>
                            <w:tcW w:w="1072" w:type="dxa"/>
                            <w:shd w:val="clear" w:color="auto" w:fill="auto"/>
                            <w:noWrap/>
                            <w:vAlign w:val="center"/>
                          </w:tcPr>
                          <w:p w14:paraId="75576DEE"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23</w:t>
                            </w:r>
                          </w:p>
                        </w:tc>
                        <w:tc>
                          <w:tcPr>
                            <w:tcW w:w="1243" w:type="dxa"/>
                            <w:shd w:val="clear" w:color="auto" w:fill="auto"/>
                            <w:noWrap/>
                            <w:vAlign w:val="center"/>
                          </w:tcPr>
                          <w:p w14:paraId="36213E7E"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4.4</w:t>
                            </w:r>
                          </w:p>
                        </w:tc>
                        <w:tc>
                          <w:tcPr>
                            <w:tcW w:w="1304" w:type="dxa"/>
                            <w:shd w:val="clear" w:color="auto" w:fill="auto"/>
                            <w:noWrap/>
                            <w:vAlign w:val="center"/>
                          </w:tcPr>
                          <w:p w14:paraId="34674B81"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14</w:t>
                            </w:r>
                          </w:p>
                        </w:tc>
                        <w:tc>
                          <w:tcPr>
                            <w:tcW w:w="878" w:type="dxa"/>
                            <w:shd w:val="clear" w:color="auto" w:fill="auto"/>
                            <w:noWrap/>
                            <w:vAlign w:val="center"/>
                          </w:tcPr>
                          <w:p w14:paraId="79C864A2"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0.7</w:t>
                            </w:r>
                          </w:p>
                        </w:tc>
                        <w:tc>
                          <w:tcPr>
                            <w:tcW w:w="929" w:type="dxa"/>
                            <w:gridSpan w:val="2"/>
                            <w:shd w:val="clear" w:color="auto" w:fill="auto"/>
                            <w:vAlign w:val="center"/>
                          </w:tcPr>
                          <w:p w14:paraId="17C993B7" w14:textId="77777777" w:rsidR="00FF3468" w:rsidRPr="007D1DA0" w:rsidRDefault="00FF3468" w:rsidP="0096409D">
                            <w:pPr>
                              <w:spacing w:line="240" w:lineRule="auto"/>
                              <w:jc w:val="center"/>
                              <w:rPr>
                                <w:rFonts w:cs="Times New Roman"/>
                                <w:color w:val="000000"/>
                                <w:sz w:val="22"/>
                              </w:rPr>
                            </w:pPr>
                          </w:p>
                        </w:tc>
                        <w:tc>
                          <w:tcPr>
                            <w:tcW w:w="743" w:type="dxa"/>
                            <w:vAlign w:val="center"/>
                          </w:tcPr>
                          <w:p w14:paraId="2B348682"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48</w:t>
                            </w:r>
                          </w:p>
                        </w:tc>
                        <w:tc>
                          <w:tcPr>
                            <w:tcW w:w="1205" w:type="dxa"/>
                            <w:shd w:val="clear" w:color="auto" w:fill="auto"/>
                            <w:noWrap/>
                            <w:vAlign w:val="center"/>
                          </w:tcPr>
                          <w:p w14:paraId="1918F774"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42</w:t>
                            </w:r>
                          </w:p>
                        </w:tc>
                        <w:tc>
                          <w:tcPr>
                            <w:tcW w:w="744" w:type="dxa"/>
                            <w:vAlign w:val="center"/>
                          </w:tcPr>
                          <w:p w14:paraId="6DD9E8E4" w14:textId="77777777" w:rsidR="00FF3468" w:rsidRPr="007D1DA0" w:rsidRDefault="00FF3468" w:rsidP="0096409D">
                            <w:pPr>
                              <w:spacing w:line="240" w:lineRule="auto"/>
                              <w:jc w:val="center"/>
                              <w:rPr>
                                <w:rFonts w:cs="Times New Roman"/>
                                <w:color w:val="000000"/>
                                <w:sz w:val="22"/>
                              </w:rPr>
                            </w:pPr>
                          </w:p>
                        </w:tc>
                        <w:tc>
                          <w:tcPr>
                            <w:tcW w:w="769" w:type="dxa"/>
                            <w:vAlign w:val="center"/>
                          </w:tcPr>
                          <w:p w14:paraId="5BC8652B" w14:textId="77777777" w:rsidR="00FF3468" w:rsidRPr="007D1DA0" w:rsidRDefault="00FF3468" w:rsidP="0096409D">
                            <w:pPr>
                              <w:spacing w:line="240" w:lineRule="auto"/>
                              <w:jc w:val="center"/>
                              <w:rPr>
                                <w:rFonts w:cs="Times New Roman"/>
                                <w:color w:val="000000"/>
                                <w:sz w:val="22"/>
                              </w:rPr>
                            </w:pPr>
                          </w:p>
                        </w:tc>
                      </w:tr>
                      <w:tr w:rsidR="00FF3468" w:rsidRPr="007D1DA0" w14:paraId="49F841BB" w14:textId="77777777" w:rsidTr="0096409D">
                        <w:trPr>
                          <w:cantSplit/>
                          <w:trHeight w:val="74"/>
                          <w:jc w:val="center"/>
                        </w:trPr>
                        <w:tc>
                          <w:tcPr>
                            <w:tcW w:w="504" w:type="dxa"/>
                            <w:vMerge/>
                            <w:vAlign w:val="center"/>
                          </w:tcPr>
                          <w:p w14:paraId="2D3F0020" w14:textId="77777777" w:rsidR="00FF3468" w:rsidRPr="007D1DA0" w:rsidRDefault="00FF3468" w:rsidP="0096409D">
                            <w:pPr>
                              <w:spacing w:line="240" w:lineRule="auto"/>
                              <w:jc w:val="center"/>
                              <w:rPr>
                                <w:rFonts w:cs="Times New Roman"/>
                                <w:color w:val="000000"/>
                                <w:sz w:val="22"/>
                              </w:rPr>
                            </w:pPr>
                          </w:p>
                        </w:tc>
                        <w:tc>
                          <w:tcPr>
                            <w:tcW w:w="840" w:type="dxa"/>
                            <w:tcBorders>
                              <w:bottom w:val="single" w:sz="4" w:space="0" w:color="auto"/>
                            </w:tcBorders>
                            <w:vAlign w:val="center"/>
                          </w:tcPr>
                          <w:p w14:paraId="64F49906"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6</w:t>
                            </w:r>
                          </w:p>
                        </w:tc>
                        <w:tc>
                          <w:tcPr>
                            <w:tcW w:w="962" w:type="dxa"/>
                            <w:tcBorders>
                              <w:bottom w:val="single" w:sz="4" w:space="0" w:color="auto"/>
                            </w:tcBorders>
                            <w:shd w:val="clear" w:color="auto" w:fill="auto"/>
                            <w:noWrap/>
                            <w:vAlign w:val="center"/>
                          </w:tcPr>
                          <w:p w14:paraId="169F6D60"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4.2</w:t>
                            </w:r>
                          </w:p>
                        </w:tc>
                        <w:tc>
                          <w:tcPr>
                            <w:tcW w:w="1072" w:type="dxa"/>
                            <w:tcBorders>
                              <w:bottom w:val="single" w:sz="4" w:space="0" w:color="auto"/>
                            </w:tcBorders>
                            <w:shd w:val="clear" w:color="auto" w:fill="auto"/>
                            <w:noWrap/>
                            <w:vAlign w:val="center"/>
                          </w:tcPr>
                          <w:p w14:paraId="7D33A874"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13</w:t>
                            </w:r>
                          </w:p>
                        </w:tc>
                        <w:tc>
                          <w:tcPr>
                            <w:tcW w:w="1243" w:type="dxa"/>
                            <w:tcBorders>
                              <w:bottom w:val="single" w:sz="4" w:space="0" w:color="auto"/>
                            </w:tcBorders>
                            <w:shd w:val="clear" w:color="auto" w:fill="auto"/>
                            <w:noWrap/>
                            <w:vAlign w:val="center"/>
                          </w:tcPr>
                          <w:p w14:paraId="41D26D44"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3.0</w:t>
                            </w:r>
                          </w:p>
                        </w:tc>
                        <w:tc>
                          <w:tcPr>
                            <w:tcW w:w="1304" w:type="dxa"/>
                            <w:tcBorders>
                              <w:bottom w:val="single" w:sz="4" w:space="0" w:color="auto"/>
                            </w:tcBorders>
                            <w:shd w:val="clear" w:color="auto" w:fill="auto"/>
                            <w:noWrap/>
                            <w:vAlign w:val="center"/>
                          </w:tcPr>
                          <w:p w14:paraId="40B69EBF"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13</w:t>
                            </w:r>
                          </w:p>
                        </w:tc>
                        <w:tc>
                          <w:tcPr>
                            <w:tcW w:w="878" w:type="dxa"/>
                            <w:tcBorders>
                              <w:bottom w:val="single" w:sz="4" w:space="0" w:color="auto"/>
                            </w:tcBorders>
                            <w:shd w:val="clear" w:color="auto" w:fill="auto"/>
                            <w:noWrap/>
                            <w:vAlign w:val="center"/>
                          </w:tcPr>
                          <w:p w14:paraId="38F4E572"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4.2</w:t>
                            </w:r>
                          </w:p>
                        </w:tc>
                        <w:tc>
                          <w:tcPr>
                            <w:tcW w:w="929" w:type="dxa"/>
                            <w:gridSpan w:val="2"/>
                            <w:tcBorders>
                              <w:bottom w:val="single" w:sz="4" w:space="0" w:color="auto"/>
                            </w:tcBorders>
                            <w:shd w:val="clear" w:color="auto" w:fill="auto"/>
                            <w:vAlign w:val="center"/>
                          </w:tcPr>
                          <w:p w14:paraId="26131B03" w14:textId="77777777" w:rsidR="00FF3468" w:rsidRPr="007D1DA0" w:rsidRDefault="00FF3468" w:rsidP="0096409D">
                            <w:pPr>
                              <w:spacing w:line="240" w:lineRule="auto"/>
                              <w:jc w:val="center"/>
                              <w:rPr>
                                <w:rFonts w:cs="Times New Roman"/>
                                <w:color w:val="000000"/>
                                <w:sz w:val="22"/>
                              </w:rPr>
                            </w:pPr>
                          </w:p>
                        </w:tc>
                        <w:tc>
                          <w:tcPr>
                            <w:tcW w:w="743" w:type="dxa"/>
                            <w:tcBorders>
                              <w:bottom w:val="single" w:sz="4" w:space="0" w:color="auto"/>
                            </w:tcBorders>
                            <w:vAlign w:val="center"/>
                          </w:tcPr>
                          <w:p w14:paraId="45FFF857"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31</w:t>
                            </w:r>
                          </w:p>
                        </w:tc>
                        <w:tc>
                          <w:tcPr>
                            <w:tcW w:w="1205" w:type="dxa"/>
                            <w:tcBorders>
                              <w:bottom w:val="single" w:sz="4" w:space="0" w:color="auto"/>
                            </w:tcBorders>
                            <w:shd w:val="clear" w:color="auto" w:fill="auto"/>
                            <w:noWrap/>
                            <w:vAlign w:val="center"/>
                          </w:tcPr>
                          <w:p w14:paraId="07E6E891"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0</w:t>
                            </w:r>
                          </w:p>
                        </w:tc>
                        <w:tc>
                          <w:tcPr>
                            <w:tcW w:w="744" w:type="dxa"/>
                            <w:tcBorders>
                              <w:bottom w:val="single" w:sz="4" w:space="0" w:color="auto"/>
                            </w:tcBorders>
                            <w:vAlign w:val="center"/>
                          </w:tcPr>
                          <w:p w14:paraId="4074B6AD" w14:textId="77777777" w:rsidR="00FF3468" w:rsidRPr="007D1DA0" w:rsidRDefault="00FF3468" w:rsidP="0096409D">
                            <w:pPr>
                              <w:spacing w:line="240" w:lineRule="auto"/>
                              <w:jc w:val="center"/>
                              <w:rPr>
                                <w:rFonts w:cs="Times New Roman"/>
                                <w:color w:val="000000"/>
                                <w:sz w:val="22"/>
                              </w:rPr>
                            </w:pPr>
                          </w:p>
                        </w:tc>
                        <w:tc>
                          <w:tcPr>
                            <w:tcW w:w="769" w:type="dxa"/>
                            <w:tcBorders>
                              <w:bottom w:val="single" w:sz="4" w:space="0" w:color="auto"/>
                            </w:tcBorders>
                            <w:vAlign w:val="center"/>
                          </w:tcPr>
                          <w:p w14:paraId="5890E6EF" w14:textId="77777777" w:rsidR="00FF3468" w:rsidRPr="007D1DA0" w:rsidRDefault="00FF3468" w:rsidP="0096409D">
                            <w:pPr>
                              <w:spacing w:line="240" w:lineRule="auto"/>
                              <w:jc w:val="center"/>
                              <w:rPr>
                                <w:rFonts w:cs="Times New Roman"/>
                                <w:color w:val="000000"/>
                                <w:sz w:val="22"/>
                              </w:rPr>
                            </w:pPr>
                          </w:p>
                        </w:tc>
                      </w:tr>
                      <w:tr w:rsidR="00FF3468" w:rsidRPr="007D1DA0" w14:paraId="1FF2B150" w14:textId="77777777" w:rsidTr="0096409D">
                        <w:trPr>
                          <w:cantSplit/>
                          <w:trHeight w:val="64"/>
                          <w:jc w:val="center"/>
                        </w:trPr>
                        <w:tc>
                          <w:tcPr>
                            <w:tcW w:w="504" w:type="dxa"/>
                            <w:shd w:val="clear" w:color="auto" w:fill="D9D9D9" w:themeFill="background1" w:themeFillShade="D9"/>
                            <w:noWrap/>
                            <w:textDirection w:val="btLr"/>
                            <w:vAlign w:val="center"/>
                          </w:tcPr>
                          <w:p w14:paraId="53FE73C8"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w:t>
                            </w:r>
                          </w:p>
                        </w:tc>
                        <w:tc>
                          <w:tcPr>
                            <w:tcW w:w="840" w:type="dxa"/>
                            <w:tcBorders>
                              <w:top w:val="single" w:sz="4" w:space="0" w:color="auto"/>
                            </w:tcBorders>
                            <w:shd w:val="clear" w:color="auto" w:fill="D9D9D9" w:themeFill="background1" w:themeFillShade="D9"/>
                            <w:vAlign w:val="center"/>
                          </w:tcPr>
                          <w:p w14:paraId="63AC991E" w14:textId="77777777" w:rsidR="00FF3468" w:rsidRPr="007D1DA0" w:rsidRDefault="00FF3468" w:rsidP="0096409D">
                            <w:pPr>
                              <w:spacing w:line="240" w:lineRule="auto"/>
                              <w:jc w:val="center"/>
                              <w:rPr>
                                <w:rFonts w:cs="Times New Roman"/>
                                <w:color w:val="000000"/>
                                <w:sz w:val="22"/>
                              </w:rPr>
                            </w:pPr>
                          </w:p>
                        </w:tc>
                        <w:tc>
                          <w:tcPr>
                            <w:tcW w:w="962" w:type="dxa"/>
                            <w:tcBorders>
                              <w:top w:val="single" w:sz="4" w:space="0" w:color="auto"/>
                            </w:tcBorders>
                            <w:shd w:val="clear" w:color="auto" w:fill="D9D9D9" w:themeFill="background1" w:themeFillShade="D9"/>
                            <w:noWrap/>
                            <w:vAlign w:val="center"/>
                          </w:tcPr>
                          <w:p w14:paraId="6F7B0F74" w14:textId="77777777" w:rsidR="00FF3468" w:rsidRPr="007D1DA0" w:rsidRDefault="00FF3468" w:rsidP="0096409D">
                            <w:pPr>
                              <w:spacing w:line="240" w:lineRule="auto"/>
                              <w:jc w:val="center"/>
                              <w:rPr>
                                <w:rFonts w:cs="Times New Roman"/>
                                <w:color w:val="000000"/>
                                <w:sz w:val="22"/>
                              </w:rPr>
                            </w:pPr>
                          </w:p>
                        </w:tc>
                        <w:tc>
                          <w:tcPr>
                            <w:tcW w:w="1072" w:type="dxa"/>
                            <w:tcBorders>
                              <w:top w:val="single" w:sz="4" w:space="0" w:color="auto"/>
                            </w:tcBorders>
                            <w:shd w:val="clear" w:color="auto" w:fill="D9D9D9" w:themeFill="background1" w:themeFillShade="D9"/>
                            <w:noWrap/>
                            <w:vAlign w:val="center"/>
                          </w:tcPr>
                          <w:p w14:paraId="5F0CC322" w14:textId="77777777" w:rsidR="00FF3468" w:rsidRPr="007D1DA0" w:rsidRDefault="00FF3468" w:rsidP="0096409D">
                            <w:pPr>
                              <w:spacing w:line="240" w:lineRule="auto"/>
                              <w:jc w:val="center"/>
                              <w:rPr>
                                <w:rFonts w:cs="Times New Roman"/>
                                <w:color w:val="000000"/>
                                <w:sz w:val="22"/>
                              </w:rPr>
                            </w:pPr>
                          </w:p>
                        </w:tc>
                        <w:tc>
                          <w:tcPr>
                            <w:tcW w:w="1243" w:type="dxa"/>
                            <w:tcBorders>
                              <w:top w:val="single" w:sz="4" w:space="0" w:color="auto"/>
                            </w:tcBorders>
                            <w:shd w:val="clear" w:color="auto" w:fill="D9D9D9" w:themeFill="background1" w:themeFillShade="D9"/>
                            <w:noWrap/>
                            <w:vAlign w:val="center"/>
                          </w:tcPr>
                          <w:p w14:paraId="07A6E212" w14:textId="77777777" w:rsidR="00FF3468" w:rsidRPr="007D1DA0" w:rsidRDefault="00FF3468" w:rsidP="0096409D">
                            <w:pPr>
                              <w:spacing w:line="240" w:lineRule="auto"/>
                              <w:jc w:val="center"/>
                              <w:rPr>
                                <w:rFonts w:cs="Times New Roman"/>
                                <w:color w:val="000000"/>
                                <w:sz w:val="22"/>
                              </w:rPr>
                            </w:pPr>
                          </w:p>
                        </w:tc>
                        <w:tc>
                          <w:tcPr>
                            <w:tcW w:w="1304" w:type="dxa"/>
                            <w:tcBorders>
                              <w:top w:val="single" w:sz="4" w:space="0" w:color="auto"/>
                            </w:tcBorders>
                            <w:shd w:val="clear" w:color="auto" w:fill="D9D9D9" w:themeFill="background1" w:themeFillShade="D9"/>
                            <w:noWrap/>
                            <w:vAlign w:val="center"/>
                          </w:tcPr>
                          <w:p w14:paraId="283B838A" w14:textId="77777777" w:rsidR="00FF3468" w:rsidRPr="007D1DA0" w:rsidRDefault="00FF3468" w:rsidP="0096409D">
                            <w:pPr>
                              <w:spacing w:line="240" w:lineRule="auto"/>
                              <w:jc w:val="center"/>
                              <w:rPr>
                                <w:rFonts w:cs="Times New Roman"/>
                                <w:color w:val="000000"/>
                                <w:sz w:val="22"/>
                              </w:rPr>
                            </w:pPr>
                          </w:p>
                        </w:tc>
                        <w:tc>
                          <w:tcPr>
                            <w:tcW w:w="1028" w:type="dxa"/>
                            <w:gridSpan w:val="2"/>
                            <w:tcBorders>
                              <w:top w:val="single" w:sz="4" w:space="0" w:color="auto"/>
                            </w:tcBorders>
                            <w:shd w:val="clear" w:color="auto" w:fill="D9D9D9" w:themeFill="background1" w:themeFillShade="D9"/>
                            <w:noWrap/>
                            <w:vAlign w:val="center"/>
                          </w:tcPr>
                          <w:p w14:paraId="0E32050D" w14:textId="77777777" w:rsidR="00FF3468" w:rsidRPr="007D1DA0" w:rsidRDefault="00FF3468" w:rsidP="0096409D">
                            <w:pPr>
                              <w:spacing w:line="240" w:lineRule="auto"/>
                              <w:jc w:val="center"/>
                              <w:rPr>
                                <w:rFonts w:cs="Times New Roman"/>
                                <w:color w:val="000000"/>
                                <w:sz w:val="22"/>
                              </w:rPr>
                            </w:pPr>
                            <w:r>
                              <w:rPr>
                                <w:rFonts w:cs="Times New Roman"/>
                                <w:color w:val="000000"/>
                                <w:sz w:val="22"/>
                              </w:rPr>
                              <w:t>0%</w:t>
                            </w:r>
                          </w:p>
                        </w:tc>
                        <w:tc>
                          <w:tcPr>
                            <w:tcW w:w="779" w:type="dxa"/>
                            <w:tcBorders>
                              <w:top w:val="single" w:sz="4" w:space="0" w:color="auto"/>
                            </w:tcBorders>
                            <w:shd w:val="clear" w:color="auto" w:fill="D9D9D9" w:themeFill="background1" w:themeFillShade="D9"/>
                            <w:vAlign w:val="center"/>
                          </w:tcPr>
                          <w:p w14:paraId="2FF874E0"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1%</w:t>
                            </w:r>
                          </w:p>
                        </w:tc>
                        <w:tc>
                          <w:tcPr>
                            <w:tcW w:w="1948" w:type="dxa"/>
                            <w:gridSpan w:val="2"/>
                            <w:tcBorders>
                              <w:top w:val="single" w:sz="4" w:space="0" w:color="auto"/>
                            </w:tcBorders>
                            <w:shd w:val="clear" w:color="auto" w:fill="D9D9D9" w:themeFill="background1" w:themeFillShade="D9"/>
                            <w:vAlign w:val="center"/>
                          </w:tcPr>
                          <w:p w14:paraId="69A89535" w14:textId="77777777" w:rsidR="00FF3468" w:rsidRPr="007D1DA0" w:rsidRDefault="00FF3468" w:rsidP="0096409D">
                            <w:pPr>
                              <w:spacing w:line="240" w:lineRule="auto"/>
                              <w:jc w:val="center"/>
                              <w:rPr>
                                <w:rFonts w:cs="Times New Roman"/>
                                <w:color w:val="000000"/>
                                <w:sz w:val="22"/>
                              </w:rPr>
                            </w:pPr>
                            <w:r>
                              <w:rPr>
                                <w:rFonts w:cs="Times New Roman"/>
                                <w:color w:val="000000"/>
                                <w:sz w:val="22"/>
                              </w:rPr>
                              <w:t>0%</w:t>
                            </w:r>
                          </w:p>
                        </w:tc>
                        <w:tc>
                          <w:tcPr>
                            <w:tcW w:w="1513" w:type="dxa"/>
                            <w:gridSpan w:val="2"/>
                            <w:tcBorders>
                              <w:top w:val="single" w:sz="4" w:space="0" w:color="auto"/>
                            </w:tcBorders>
                            <w:shd w:val="clear" w:color="auto" w:fill="D9D9D9" w:themeFill="background1" w:themeFillShade="D9"/>
                            <w:vAlign w:val="center"/>
                          </w:tcPr>
                          <w:p w14:paraId="0370F84F"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1%</w:t>
                            </w:r>
                          </w:p>
                        </w:tc>
                      </w:tr>
                      <w:tr w:rsidR="00FF3468" w:rsidRPr="007D1DA0" w14:paraId="002A5E6B" w14:textId="77777777" w:rsidTr="0096409D">
                        <w:trPr>
                          <w:cantSplit/>
                          <w:trHeight w:val="74"/>
                          <w:jc w:val="center"/>
                        </w:trPr>
                        <w:tc>
                          <w:tcPr>
                            <w:tcW w:w="504" w:type="dxa"/>
                            <w:vMerge w:val="restart"/>
                            <w:shd w:val="clear" w:color="auto" w:fill="auto"/>
                            <w:noWrap/>
                            <w:textDirection w:val="btLr"/>
                            <w:vAlign w:val="center"/>
                            <w:hideMark/>
                          </w:tcPr>
                          <w:p w14:paraId="3C890FE5"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Conventional</w:t>
                            </w:r>
                          </w:p>
                        </w:tc>
                        <w:tc>
                          <w:tcPr>
                            <w:tcW w:w="840" w:type="dxa"/>
                            <w:vAlign w:val="center"/>
                          </w:tcPr>
                          <w:p w14:paraId="7133A91E"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18</w:t>
                            </w:r>
                          </w:p>
                        </w:tc>
                        <w:tc>
                          <w:tcPr>
                            <w:tcW w:w="962" w:type="dxa"/>
                            <w:shd w:val="clear" w:color="auto" w:fill="auto"/>
                            <w:noWrap/>
                            <w:vAlign w:val="center"/>
                          </w:tcPr>
                          <w:p w14:paraId="65EBD770"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5.4</w:t>
                            </w:r>
                          </w:p>
                        </w:tc>
                        <w:tc>
                          <w:tcPr>
                            <w:tcW w:w="1072" w:type="dxa"/>
                            <w:shd w:val="clear" w:color="auto" w:fill="auto"/>
                            <w:noWrap/>
                            <w:vAlign w:val="center"/>
                          </w:tcPr>
                          <w:p w14:paraId="23B4C120"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14</w:t>
                            </w:r>
                          </w:p>
                        </w:tc>
                        <w:tc>
                          <w:tcPr>
                            <w:tcW w:w="1243" w:type="dxa"/>
                            <w:shd w:val="clear" w:color="auto" w:fill="auto"/>
                            <w:noWrap/>
                            <w:vAlign w:val="center"/>
                          </w:tcPr>
                          <w:p w14:paraId="6861AF81"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0.1</w:t>
                            </w:r>
                          </w:p>
                        </w:tc>
                        <w:tc>
                          <w:tcPr>
                            <w:tcW w:w="1304" w:type="dxa"/>
                            <w:shd w:val="clear" w:color="auto" w:fill="auto"/>
                            <w:noWrap/>
                            <w:vAlign w:val="center"/>
                          </w:tcPr>
                          <w:p w14:paraId="0696E1A0"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101</w:t>
                            </w:r>
                          </w:p>
                        </w:tc>
                        <w:tc>
                          <w:tcPr>
                            <w:tcW w:w="1028" w:type="dxa"/>
                            <w:gridSpan w:val="2"/>
                            <w:shd w:val="clear" w:color="auto" w:fill="auto"/>
                            <w:noWrap/>
                            <w:vAlign w:val="center"/>
                          </w:tcPr>
                          <w:p w14:paraId="655A70F8"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5.4</w:t>
                            </w:r>
                          </w:p>
                        </w:tc>
                        <w:tc>
                          <w:tcPr>
                            <w:tcW w:w="779" w:type="dxa"/>
                            <w:vAlign w:val="center"/>
                          </w:tcPr>
                          <w:p w14:paraId="59ACBCA0"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0.1</w:t>
                            </w:r>
                          </w:p>
                        </w:tc>
                        <w:tc>
                          <w:tcPr>
                            <w:tcW w:w="743" w:type="dxa"/>
                            <w:vAlign w:val="center"/>
                          </w:tcPr>
                          <w:p w14:paraId="52CD1A7E"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47</w:t>
                            </w:r>
                          </w:p>
                        </w:tc>
                        <w:tc>
                          <w:tcPr>
                            <w:tcW w:w="1205" w:type="dxa"/>
                            <w:shd w:val="clear" w:color="auto" w:fill="auto"/>
                            <w:noWrap/>
                            <w:vAlign w:val="center"/>
                          </w:tcPr>
                          <w:p w14:paraId="217E41D8"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0.0</w:t>
                            </w:r>
                          </w:p>
                        </w:tc>
                        <w:tc>
                          <w:tcPr>
                            <w:tcW w:w="744" w:type="dxa"/>
                            <w:vAlign w:val="center"/>
                          </w:tcPr>
                          <w:p w14:paraId="03B0CECB"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148</w:t>
                            </w:r>
                          </w:p>
                        </w:tc>
                        <w:tc>
                          <w:tcPr>
                            <w:tcW w:w="769" w:type="dxa"/>
                            <w:vAlign w:val="center"/>
                          </w:tcPr>
                          <w:p w14:paraId="30F9F4A0"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147</w:t>
                            </w:r>
                          </w:p>
                        </w:tc>
                      </w:tr>
                      <w:tr w:rsidR="00FF3468" w:rsidRPr="007D1DA0" w14:paraId="46A18A6B" w14:textId="77777777" w:rsidTr="0096409D">
                        <w:trPr>
                          <w:cantSplit/>
                          <w:trHeight w:val="74"/>
                          <w:jc w:val="center"/>
                        </w:trPr>
                        <w:tc>
                          <w:tcPr>
                            <w:tcW w:w="504" w:type="dxa"/>
                            <w:vMerge/>
                            <w:vAlign w:val="center"/>
                            <w:hideMark/>
                          </w:tcPr>
                          <w:p w14:paraId="7474DC80" w14:textId="77777777" w:rsidR="00FF3468" w:rsidRPr="007D1DA0" w:rsidRDefault="00FF3468" w:rsidP="0096409D">
                            <w:pPr>
                              <w:spacing w:line="240" w:lineRule="auto"/>
                              <w:jc w:val="center"/>
                              <w:rPr>
                                <w:rFonts w:cs="Times New Roman"/>
                                <w:color w:val="000000"/>
                                <w:sz w:val="22"/>
                              </w:rPr>
                            </w:pPr>
                          </w:p>
                        </w:tc>
                        <w:tc>
                          <w:tcPr>
                            <w:tcW w:w="840" w:type="dxa"/>
                            <w:vAlign w:val="center"/>
                          </w:tcPr>
                          <w:p w14:paraId="423C0C18"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18</w:t>
                            </w:r>
                          </w:p>
                        </w:tc>
                        <w:tc>
                          <w:tcPr>
                            <w:tcW w:w="962" w:type="dxa"/>
                            <w:shd w:val="clear" w:color="auto" w:fill="auto"/>
                            <w:noWrap/>
                            <w:vAlign w:val="center"/>
                          </w:tcPr>
                          <w:p w14:paraId="14A8C4AC"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9.3</w:t>
                            </w:r>
                          </w:p>
                        </w:tc>
                        <w:tc>
                          <w:tcPr>
                            <w:tcW w:w="1072" w:type="dxa"/>
                            <w:shd w:val="clear" w:color="auto" w:fill="auto"/>
                            <w:noWrap/>
                            <w:vAlign w:val="center"/>
                          </w:tcPr>
                          <w:p w14:paraId="298DA6B2"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95</w:t>
                            </w:r>
                          </w:p>
                        </w:tc>
                        <w:tc>
                          <w:tcPr>
                            <w:tcW w:w="1243" w:type="dxa"/>
                            <w:shd w:val="clear" w:color="auto" w:fill="auto"/>
                            <w:noWrap/>
                            <w:vAlign w:val="center"/>
                          </w:tcPr>
                          <w:p w14:paraId="3A40B496"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0.3</w:t>
                            </w:r>
                          </w:p>
                        </w:tc>
                        <w:tc>
                          <w:tcPr>
                            <w:tcW w:w="1304" w:type="dxa"/>
                            <w:shd w:val="clear" w:color="auto" w:fill="auto"/>
                            <w:noWrap/>
                            <w:vAlign w:val="center"/>
                          </w:tcPr>
                          <w:p w14:paraId="5F5CA1A0"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127</w:t>
                            </w:r>
                          </w:p>
                        </w:tc>
                        <w:tc>
                          <w:tcPr>
                            <w:tcW w:w="1028" w:type="dxa"/>
                            <w:gridSpan w:val="2"/>
                            <w:shd w:val="clear" w:color="auto" w:fill="auto"/>
                            <w:noWrap/>
                            <w:vAlign w:val="center"/>
                          </w:tcPr>
                          <w:p w14:paraId="7FB16DBC"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9.3</w:t>
                            </w:r>
                          </w:p>
                        </w:tc>
                        <w:tc>
                          <w:tcPr>
                            <w:tcW w:w="779" w:type="dxa"/>
                            <w:vAlign w:val="center"/>
                          </w:tcPr>
                          <w:p w14:paraId="54CBB3BE"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0.4</w:t>
                            </w:r>
                          </w:p>
                        </w:tc>
                        <w:tc>
                          <w:tcPr>
                            <w:tcW w:w="743" w:type="dxa"/>
                            <w:vAlign w:val="center"/>
                          </w:tcPr>
                          <w:p w14:paraId="25BB4FF9"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80</w:t>
                            </w:r>
                          </w:p>
                        </w:tc>
                        <w:tc>
                          <w:tcPr>
                            <w:tcW w:w="1205" w:type="dxa"/>
                            <w:shd w:val="clear" w:color="auto" w:fill="auto"/>
                            <w:noWrap/>
                            <w:vAlign w:val="center"/>
                          </w:tcPr>
                          <w:p w14:paraId="1DF7D608"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0.0</w:t>
                            </w:r>
                          </w:p>
                        </w:tc>
                        <w:tc>
                          <w:tcPr>
                            <w:tcW w:w="744" w:type="dxa"/>
                            <w:vAlign w:val="center"/>
                          </w:tcPr>
                          <w:p w14:paraId="47DAAAD3"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182</w:t>
                            </w:r>
                          </w:p>
                        </w:tc>
                        <w:tc>
                          <w:tcPr>
                            <w:tcW w:w="769" w:type="dxa"/>
                            <w:vAlign w:val="center"/>
                          </w:tcPr>
                          <w:p w14:paraId="2AD84A27"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178</w:t>
                            </w:r>
                          </w:p>
                        </w:tc>
                      </w:tr>
                      <w:tr w:rsidR="00FF3468" w:rsidRPr="007D1DA0" w14:paraId="0896D382" w14:textId="77777777" w:rsidTr="0096409D">
                        <w:trPr>
                          <w:cantSplit/>
                          <w:trHeight w:val="74"/>
                          <w:jc w:val="center"/>
                        </w:trPr>
                        <w:tc>
                          <w:tcPr>
                            <w:tcW w:w="504" w:type="dxa"/>
                            <w:vMerge/>
                            <w:vAlign w:val="center"/>
                            <w:hideMark/>
                          </w:tcPr>
                          <w:p w14:paraId="3E47F2F4" w14:textId="77777777" w:rsidR="00FF3468" w:rsidRPr="007D1DA0" w:rsidRDefault="00FF3468" w:rsidP="0096409D">
                            <w:pPr>
                              <w:spacing w:line="240" w:lineRule="auto"/>
                              <w:jc w:val="center"/>
                              <w:rPr>
                                <w:rFonts w:cs="Times New Roman"/>
                                <w:color w:val="000000"/>
                                <w:sz w:val="22"/>
                              </w:rPr>
                            </w:pPr>
                          </w:p>
                        </w:tc>
                        <w:tc>
                          <w:tcPr>
                            <w:tcW w:w="840" w:type="dxa"/>
                            <w:vAlign w:val="center"/>
                          </w:tcPr>
                          <w:p w14:paraId="69404A70"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18</w:t>
                            </w:r>
                          </w:p>
                        </w:tc>
                        <w:tc>
                          <w:tcPr>
                            <w:tcW w:w="962" w:type="dxa"/>
                            <w:shd w:val="clear" w:color="auto" w:fill="auto"/>
                            <w:noWrap/>
                            <w:vAlign w:val="center"/>
                          </w:tcPr>
                          <w:p w14:paraId="627495AF"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5.6</w:t>
                            </w:r>
                          </w:p>
                        </w:tc>
                        <w:tc>
                          <w:tcPr>
                            <w:tcW w:w="1072" w:type="dxa"/>
                            <w:shd w:val="clear" w:color="auto" w:fill="auto"/>
                            <w:noWrap/>
                            <w:vAlign w:val="center"/>
                          </w:tcPr>
                          <w:p w14:paraId="2D9F431A"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56</w:t>
                            </w:r>
                          </w:p>
                        </w:tc>
                        <w:tc>
                          <w:tcPr>
                            <w:tcW w:w="1243" w:type="dxa"/>
                            <w:shd w:val="clear" w:color="auto" w:fill="auto"/>
                            <w:noWrap/>
                            <w:vAlign w:val="center"/>
                          </w:tcPr>
                          <w:p w14:paraId="51DDFED5"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0.4</w:t>
                            </w:r>
                          </w:p>
                        </w:tc>
                        <w:tc>
                          <w:tcPr>
                            <w:tcW w:w="1304" w:type="dxa"/>
                            <w:shd w:val="clear" w:color="auto" w:fill="auto"/>
                            <w:noWrap/>
                            <w:vAlign w:val="center"/>
                          </w:tcPr>
                          <w:p w14:paraId="4C8608AC"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93</w:t>
                            </w:r>
                          </w:p>
                        </w:tc>
                        <w:tc>
                          <w:tcPr>
                            <w:tcW w:w="1028" w:type="dxa"/>
                            <w:gridSpan w:val="2"/>
                            <w:shd w:val="clear" w:color="auto" w:fill="auto"/>
                            <w:noWrap/>
                            <w:vAlign w:val="center"/>
                          </w:tcPr>
                          <w:p w14:paraId="4D07796A"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5.6</w:t>
                            </w:r>
                          </w:p>
                        </w:tc>
                        <w:tc>
                          <w:tcPr>
                            <w:tcW w:w="779" w:type="dxa"/>
                            <w:vAlign w:val="center"/>
                          </w:tcPr>
                          <w:p w14:paraId="32C9A390"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0.4</w:t>
                            </w:r>
                          </w:p>
                        </w:tc>
                        <w:tc>
                          <w:tcPr>
                            <w:tcW w:w="743" w:type="dxa"/>
                            <w:vAlign w:val="center"/>
                          </w:tcPr>
                          <w:p w14:paraId="7C948CCC"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48</w:t>
                            </w:r>
                          </w:p>
                        </w:tc>
                        <w:tc>
                          <w:tcPr>
                            <w:tcW w:w="1205" w:type="dxa"/>
                            <w:shd w:val="clear" w:color="auto" w:fill="auto"/>
                            <w:noWrap/>
                            <w:vAlign w:val="center"/>
                          </w:tcPr>
                          <w:p w14:paraId="69EA64DE"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0.0</w:t>
                            </w:r>
                          </w:p>
                        </w:tc>
                        <w:tc>
                          <w:tcPr>
                            <w:tcW w:w="744" w:type="dxa"/>
                            <w:vAlign w:val="center"/>
                          </w:tcPr>
                          <w:p w14:paraId="602C951A"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150</w:t>
                            </w:r>
                          </w:p>
                        </w:tc>
                        <w:tc>
                          <w:tcPr>
                            <w:tcW w:w="769" w:type="dxa"/>
                            <w:vAlign w:val="center"/>
                          </w:tcPr>
                          <w:p w14:paraId="2960FB56"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149</w:t>
                            </w:r>
                          </w:p>
                        </w:tc>
                      </w:tr>
                      <w:tr w:rsidR="00FF3468" w:rsidRPr="007D1DA0" w14:paraId="3FEF42B4" w14:textId="77777777" w:rsidTr="0096409D">
                        <w:trPr>
                          <w:cantSplit/>
                          <w:trHeight w:val="74"/>
                          <w:jc w:val="center"/>
                        </w:trPr>
                        <w:tc>
                          <w:tcPr>
                            <w:tcW w:w="504" w:type="dxa"/>
                            <w:vMerge/>
                            <w:vAlign w:val="center"/>
                            <w:hideMark/>
                          </w:tcPr>
                          <w:p w14:paraId="1D3CDDB9" w14:textId="77777777" w:rsidR="00FF3468" w:rsidRPr="007D1DA0" w:rsidRDefault="00FF3468" w:rsidP="0096409D">
                            <w:pPr>
                              <w:spacing w:line="240" w:lineRule="auto"/>
                              <w:jc w:val="center"/>
                              <w:rPr>
                                <w:rFonts w:cs="Times New Roman"/>
                                <w:color w:val="000000"/>
                                <w:sz w:val="22"/>
                              </w:rPr>
                            </w:pPr>
                          </w:p>
                        </w:tc>
                        <w:tc>
                          <w:tcPr>
                            <w:tcW w:w="840" w:type="dxa"/>
                            <w:vAlign w:val="center"/>
                          </w:tcPr>
                          <w:p w14:paraId="4312BE3A"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18</w:t>
                            </w:r>
                          </w:p>
                        </w:tc>
                        <w:tc>
                          <w:tcPr>
                            <w:tcW w:w="962" w:type="dxa"/>
                            <w:shd w:val="clear" w:color="auto" w:fill="auto"/>
                            <w:noWrap/>
                            <w:vAlign w:val="center"/>
                          </w:tcPr>
                          <w:p w14:paraId="41187D81"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9.4</w:t>
                            </w:r>
                          </w:p>
                        </w:tc>
                        <w:tc>
                          <w:tcPr>
                            <w:tcW w:w="1072" w:type="dxa"/>
                            <w:shd w:val="clear" w:color="auto" w:fill="auto"/>
                            <w:noWrap/>
                            <w:vAlign w:val="center"/>
                          </w:tcPr>
                          <w:p w14:paraId="63938DCF"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136</w:t>
                            </w:r>
                          </w:p>
                        </w:tc>
                        <w:tc>
                          <w:tcPr>
                            <w:tcW w:w="1243" w:type="dxa"/>
                            <w:shd w:val="clear" w:color="auto" w:fill="auto"/>
                            <w:noWrap/>
                            <w:vAlign w:val="center"/>
                          </w:tcPr>
                          <w:p w14:paraId="2EB43723"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0.5</w:t>
                            </w:r>
                          </w:p>
                        </w:tc>
                        <w:tc>
                          <w:tcPr>
                            <w:tcW w:w="1304" w:type="dxa"/>
                            <w:shd w:val="clear" w:color="auto" w:fill="auto"/>
                            <w:noWrap/>
                            <w:vAlign w:val="center"/>
                          </w:tcPr>
                          <w:p w14:paraId="52B3F3A2"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118</w:t>
                            </w:r>
                          </w:p>
                        </w:tc>
                        <w:tc>
                          <w:tcPr>
                            <w:tcW w:w="1028" w:type="dxa"/>
                            <w:gridSpan w:val="2"/>
                            <w:shd w:val="clear" w:color="auto" w:fill="auto"/>
                            <w:noWrap/>
                            <w:vAlign w:val="center"/>
                          </w:tcPr>
                          <w:p w14:paraId="5C967759"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9.4</w:t>
                            </w:r>
                          </w:p>
                        </w:tc>
                        <w:tc>
                          <w:tcPr>
                            <w:tcW w:w="779" w:type="dxa"/>
                            <w:vAlign w:val="center"/>
                          </w:tcPr>
                          <w:p w14:paraId="136D87F2"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0.6</w:t>
                            </w:r>
                          </w:p>
                        </w:tc>
                        <w:tc>
                          <w:tcPr>
                            <w:tcW w:w="743" w:type="dxa"/>
                            <w:vAlign w:val="center"/>
                          </w:tcPr>
                          <w:p w14:paraId="6C0516FE"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81</w:t>
                            </w:r>
                          </w:p>
                        </w:tc>
                        <w:tc>
                          <w:tcPr>
                            <w:tcW w:w="1205" w:type="dxa"/>
                            <w:shd w:val="clear" w:color="auto" w:fill="auto"/>
                            <w:noWrap/>
                            <w:vAlign w:val="center"/>
                          </w:tcPr>
                          <w:p w14:paraId="1A500470"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0.0</w:t>
                            </w:r>
                          </w:p>
                        </w:tc>
                        <w:tc>
                          <w:tcPr>
                            <w:tcW w:w="744" w:type="dxa"/>
                            <w:vAlign w:val="center"/>
                          </w:tcPr>
                          <w:p w14:paraId="0AC70166"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182</w:t>
                            </w:r>
                          </w:p>
                        </w:tc>
                        <w:tc>
                          <w:tcPr>
                            <w:tcW w:w="769" w:type="dxa"/>
                            <w:vAlign w:val="center"/>
                          </w:tcPr>
                          <w:p w14:paraId="0F8D6F30"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177</w:t>
                            </w:r>
                          </w:p>
                        </w:tc>
                      </w:tr>
                      <w:tr w:rsidR="00FF3468" w:rsidRPr="007D1DA0" w14:paraId="6253405E" w14:textId="77777777" w:rsidTr="0096409D">
                        <w:trPr>
                          <w:cantSplit/>
                          <w:trHeight w:val="74"/>
                          <w:jc w:val="center"/>
                        </w:trPr>
                        <w:tc>
                          <w:tcPr>
                            <w:tcW w:w="504" w:type="dxa"/>
                            <w:vMerge/>
                            <w:vAlign w:val="center"/>
                          </w:tcPr>
                          <w:p w14:paraId="58DECB0E" w14:textId="77777777" w:rsidR="00FF3468" w:rsidRPr="007D1DA0" w:rsidRDefault="00FF3468" w:rsidP="0096409D">
                            <w:pPr>
                              <w:spacing w:line="240" w:lineRule="auto"/>
                              <w:jc w:val="center"/>
                              <w:rPr>
                                <w:rFonts w:cs="Times New Roman"/>
                                <w:color w:val="000000"/>
                                <w:sz w:val="22"/>
                              </w:rPr>
                            </w:pPr>
                          </w:p>
                        </w:tc>
                        <w:tc>
                          <w:tcPr>
                            <w:tcW w:w="10689" w:type="dxa"/>
                            <w:gridSpan w:val="12"/>
                            <w:vAlign w:val="center"/>
                          </w:tcPr>
                          <w:p w14:paraId="7620C5DA" w14:textId="77777777" w:rsidR="00FF3468" w:rsidRPr="007D1DA0" w:rsidRDefault="00FF3468" w:rsidP="0096409D">
                            <w:pPr>
                              <w:spacing w:line="240" w:lineRule="auto"/>
                              <w:jc w:val="center"/>
                              <w:rPr>
                                <w:rFonts w:cs="Times New Roman"/>
                                <w:color w:val="000000"/>
                                <w:sz w:val="22"/>
                              </w:rPr>
                            </w:pPr>
                            <w:r w:rsidRPr="007D1DA0">
                              <w:rPr>
                                <w:rFonts w:cs="Times New Roman"/>
                                <w:color w:val="000000"/>
                                <w:sz w:val="22"/>
                              </w:rPr>
                              <w:t>* Values in grey indicate model shrinkage.</w:t>
                            </w:r>
                          </w:p>
                        </w:tc>
                      </w:tr>
                    </w:tbl>
                    <w:p w14:paraId="603E8FDA" w14:textId="77777777" w:rsidR="00FF3468" w:rsidRDefault="00FF3468" w:rsidP="0096409D">
                      <w:pPr>
                        <w:jc w:val="center"/>
                      </w:pPr>
                    </w:p>
                  </w:txbxContent>
                </v:textbox>
                <w10:anchorlock/>
              </v:shape>
            </w:pict>
          </mc:Fallback>
        </mc:AlternateContent>
      </w:r>
    </w:p>
    <w:p w14:paraId="4B821E89" w14:textId="6838B302" w:rsidR="003A4913" w:rsidRDefault="003F6A9E" w:rsidP="003F6A9E">
      <w:pPr>
        <w:ind w:firstLine="720"/>
      </w:pPr>
      <w:r w:rsidRPr="00B92BF4">
        <w:lastRenderedPageBreak/>
        <w:t>Figure 5.</w:t>
      </w:r>
      <w:r w:rsidR="00A13088" w:rsidRPr="00B92BF4">
        <w:t>6</w:t>
      </w:r>
      <w:r w:rsidRPr="00B92BF4">
        <w:t xml:space="preserve"> shows the sensitivity analysis of the cement mechanical properties (</w:t>
      </w:r>
      <m:oMath>
        <m:r>
          <w:rPr>
            <w:rFonts w:ascii="Cambria Math" w:hAnsi="Cambria Math"/>
          </w:rPr>
          <m:t>E</m:t>
        </m:r>
      </m:oMath>
      <w:r w:rsidRPr="00B92BF4">
        <w:t xml:space="preserve"> and </w:t>
      </w:r>
      <m:oMath>
        <m:r>
          <w:rPr>
            <w:rFonts w:ascii="Cambria Math" w:hAnsi="Cambria Math"/>
          </w:rPr>
          <m:t>PR</m:t>
        </m:r>
      </m:oMath>
      <w:r w:rsidRPr="00B92BF4">
        <w:t>) with respect to the percent change of the resulting microannuli gap between the cement and casing. The base microannuli</w:t>
      </w:r>
      <w:r>
        <w:t xml:space="preserve"> gap is 13.6 μm. For the cement Young’s modulus (</w:t>
      </w:r>
      <m:oMath>
        <m:r>
          <w:rPr>
            <w:rFonts w:ascii="Cambria Math" w:hAnsi="Cambria Math"/>
          </w:rPr>
          <m:t>E</m:t>
        </m:r>
      </m:oMath>
      <w:r>
        <w:t xml:space="preserve">), the lower the value, the higher the resulting microannuli. As the cement Young’s modulus increased, the </w:t>
      </w:r>
      <w:r w:rsidR="00583441">
        <w:t>microannuli decreased.</w:t>
      </w:r>
      <w:r>
        <w:t xml:space="preserve"> The same trend is seen for the cement Poison’s ratio (</w:t>
      </w:r>
      <m:oMath>
        <m:r>
          <w:rPr>
            <w:rFonts w:ascii="Cambria Math" w:hAnsi="Cambria Math"/>
          </w:rPr>
          <m:t>PR</m:t>
        </m:r>
      </m:oMath>
      <w:r>
        <w:t xml:space="preserve">) however, the degree of magnitude is not as large. For a 25% value of </w:t>
      </w:r>
      <m:oMath>
        <m:r>
          <w:rPr>
            <w:rFonts w:ascii="Cambria Math" w:hAnsi="Cambria Math"/>
          </w:rPr>
          <m:t>E</m:t>
        </m:r>
      </m:oMath>
      <w:r>
        <w:t xml:space="preserve"> (2.45 GPa), the</w:t>
      </w:r>
      <w:r w:rsidR="00583441">
        <w:t xml:space="preserve"> resulting microannuli increased</w:t>
      </w:r>
      <w:r>
        <w:t xml:space="preserve"> 78.3% to a </w:t>
      </w:r>
      <w:r w:rsidR="00583441">
        <w:t>magnitude</w:t>
      </w:r>
      <w:r>
        <w:t xml:space="preserve"> of 24.3 μm</w:t>
      </w:r>
      <w:r w:rsidR="00583441">
        <w:t xml:space="preserve"> whereas</w:t>
      </w:r>
      <w:r>
        <w:t xml:space="preserve"> a 125% value of </w:t>
      </w:r>
      <m:oMath>
        <m:r>
          <w:rPr>
            <w:rFonts w:ascii="Cambria Math" w:hAnsi="Cambria Math"/>
          </w:rPr>
          <m:t>E</m:t>
        </m:r>
      </m:oMath>
      <w:r>
        <w:t xml:space="preserve"> (17.2 GPa</w:t>
      </w:r>
      <w:r w:rsidR="00583441">
        <w:t>) caused a decrease of</w:t>
      </w:r>
      <w:r>
        <w:t xml:space="preserve"> 14.9% to a </w:t>
      </w:r>
      <w:r w:rsidR="00583441">
        <w:t>magnitude</w:t>
      </w:r>
      <w:r>
        <w:t xml:space="preserve"> of 11.6 μm. For a 25% value of </w:t>
      </w:r>
      <m:oMath>
        <m:r>
          <w:rPr>
            <w:rFonts w:ascii="Cambria Math" w:hAnsi="Cambria Math"/>
          </w:rPr>
          <m:t>PR</m:t>
        </m:r>
      </m:oMath>
      <w:r>
        <w:t xml:space="preserve"> (0.05), the</w:t>
      </w:r>
      <w:r w:rsidR="00583441">
        <w:t xml:space="preserve"> resulting microannuli increased</w:t>
      </w:r>
      <w:r>
        <w:t xml:space="preserve"> 3.8% to a </w:t>
      </w:r>
      <w:r w:rsidR="00583441">
        <w:t xml:space="preserve">magnitude </w:t>
      </w:r>
      <w:r>
        <w:t>of 14.2 μm</w:t>
      </w:r>
      <w:r w:rsidR="00583441">
        <w:t xml:space="preserve"> whereas a</w:t>
      </w:r>
      <w:r>
        <w:t xml:space="preserve"> 125% value of </w:t>
      </w:r>
      <m:oMath>
        <m:r>
          <w:rPr>
            <w:rFonts w:ascii="Cambria Math" w:hAnsi="Cambria Math"/>
          </w:rPr>
          <m:t>PR</m:t>
        </m:r>
      </m:oMath>
      <w:r>
        <w:t xml:space="preserve"> (0.32)</w:t>
      </w:r>
      <w:r w:rsidR="00583441">
        <w:t xml:space="preserve"> caused a decrease of </w:t>
      </w:r>
      <w:r>
        <w:t xml:space="preserve">4.6% to a </w:t>
      </w:r>
      <w:r w:rsidR="00583441">
        <w:t xml:space="preserve">magnitude </w:t>
      </w:r>
      <w:r>
        <w:t>of 13.0 μm.</w:t>
      </w:r>
    </w:p>
    <w:p w14:paraId="5EFEF9E7" w14:textId="76556DDF" w:rsidR="003F6A9E" w:rsidRDefault="00553B76" w:rsidP="00BC23AD">
      <w:pPr>
        <w:pStyle w:val="NoSpacing"/>
      </w:pPr>
      <w:r>
        <w:rPr>
          <w:noProof/>
        </w:rPr>
        <w:drawing>
          <wp:inline distT="0" distB="0" distL="0" distR="0" wp14:anchorId="34284685" wp14:editId="76034405">
            <wp:extent cx="4572635" cy="274320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43A69F2E" w14:textId="4B4609E7" w:rsidR="003F6A9E" w:rsidRPr="003A4913" w:rsidRDefault="003F6A9E" w:rsidP="00BC23AD">
      <w:pPr>
        <w:pStyle w:val="Caption"/>
      </w:pPr>
      <w:bookmarkStart w:id="128" w:name="_Toc67566234"/>
      <w:r>
        <w:t xml:space="preserve">Figure </w:t>
      </w:r>
      <w:r w:rsidR="00077C0B">
        <w:fldChar w:fldCharType="begin"/>
      </w:r>
      <w:r w:rsidR="00077C0B">
        <w:instrText xml:space="preserve"> STYLEREF 1 \s </w:instrText>
      </w:r>
      <w:r w:rsidR="00077C0B">
        <w:fldChar w:fldCharType="separate"/>
      </w:r>
      <w:r w:rsidR="0006023A">
        <w:rPr>
          <w:noProof/>
        </w:rPr>
        <w:t>5</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6</w:t>
      </w:r>
      <w:r w:rsidR="00077C0B">
        <w:rPr>
          <w:noProof/>
        </w:rPr>
        <w:fldChar w:fldCharType="end"/>
      </w:r>
      <w:r>
        <w:t>: Sensitivity analysis of the cement mechanical parameters with respect to the percent change in resulting microannuli. The base microannuli is 13.6 μm.</w:t>
      </w:r>
      <w:r w:rsidR="00553B76">
        <w:t xml:space="preserve"> Cement Young’s modulus (</w:t>
      </w:r>
      <m:oMath>
        <m:r>
          <m:rPr>
            <m:sty m:val="bi"/>
          </m:rPr>
          <w:rPr>
            <w:rFonts w:ascii="Cambria Math" w:hAnsi="Cambria Math"/>
          </w:rPr>
          <m:t>E</m:t>
        </m:r>
      </m:oMath>
      <w:r w:rsidR="00553B76">
        <w:rPr>
          <w:rFonts w:eastAsiaTheme="minorEastAsia"/>
        </w:rPr>
        <w:t>) has a nonlinear effect on microannuli percent change whereas cement Poisson’s ratio (</w:t>
      </w:r>
      <m:oMath>
        <m:r>
          <m:rPr>
            <m:sty m:val="bi"/>
          </m:rPr>
          <w:rPr>
            <w:rFonts w:ascii="Cambria Math" w:eastAsiaTheme="minorEastAsia" w:hAnsi="Cambria Math"/>
          </w:rPr>
          <m:t>PR</m:t>
        </m:r>
      </m:oMath>
      <w:r w:rsidR="00553B76">
        <w:rPr>
          <w:rFonts w:eastAsiaTheme="minorEastAsia"/>
        </w:rPr>
        <w:t>) appears to have a linear effect.</w:t>
      </w:r>
      <w:bookmarkEnd w:id="128"/>
    </w:p>
    <w:p w14:paraId="5F4BE2F5" w14:textId="2B5CA626" w:rsidR="00F36352" w:rsidRDefault="002B40FB" w:rsidP="00C97F18">
      <w:pPr>
        <w:ind w:firstLine="720"/>
      </w:pPr>
      <w:r w:rsidRPr="00DC24DD">
        <w:t>The pressure drop calculations for the</w:t>
      </w:r>
      <w:r w:rsidR="00A13088">
        <w:t xml:space="preserve"> cased wellbore</w:t>
      </w:r>
      <w:r w:rsidRPr="00DC24DD">
        <w:t xml:space="preserve"> FEA</w:t>
      </w:r>
      <w:r w:rsidR="00A13088">
        <w:t xml:space="preserve"> fracture</w:t>
      </w:r>
      <w:r w:rsidR="00583441">
        <w:t xml:space="preserve"> model</w:t>
      </w:r>
      <w:r w:rsidRPr="00DC24DD">
        <w:t xml:space="preserve"> show inconsistent results for the expanding cement. For the lowest initial pressure of 4.2 MPa, the calculations resulted in complete pressure drop causing the microannuli to close before the length of the model. The rest of the initial pressures for the expanding cement resulted in lower simulated </w:t>
      </w:r>
      <w:r w:rsidRPr="00DC24DD">
        <w:lastRenderedPageBreak/>
        <w:t xml:space="preserve">pressure drops than were measured experimentally. This indicates that the model overestimated the flow pathway as shown by the larger simulated microannuli. The overestimation could be due to the fact that the </w:t>
      </w:r>
      <w:r w:rsidRPr="00B92BF4">
        <w:t>volume created by the simulated microannuli gaps is significantly larger than what occurs in experiments. Figure 5.</w:t>
      </w:r>
      <w:r w:rsidR="00A13088" w:rsidRPr="00B92BF4">
        <w:t>7</w:t>
      </w:r>
      <w:r w:rsidRPr="00B92BF4">
        <w:t xml:space="preserve"> depicts a 0.5x magnified directional deformation of the eccentric expandable cement model. As shown in Figure 5.</w:t>
      </w:r>
      <w:r w:rsidR="00A13088" w:rsidRPr="00B92BF4">
        <w:t>7</w:t>
      </w:r>
      <w:r w:rsidRPr="00B92BF4">
        <w:t>, the microannuli gap is continuous and almost uniform</w:t>
      </w:r>
      <w:r w:rsidR="00583441" w:rsidRPr="00B92BF4">
        <w:t xml:space="preserve"> (2.30 μm versus 2.34 μm)</w:t>
      </w:r>
      <w:r w:rsidRPr="00B92BF4">
        <w:t xml:space="preserve"> around the circumference</w:t>
      </w:r>
      <w:r w:rsidRPr="00DC24DD">
        <w:t xml:space="preserve"> of the cement sheath.</w:t>
      </w:r>
    </w:p>
    <w:p w14:paraId="23684DBD" w14:textId="77777777" w:rsidR="002B40FB" w:rsidRDefault="002B40FB" w:rsidP="00BC23AD">
      <w:pPr>
        <w:pStyle w:val="NoSpacing"/>
      </w:pPr>
      <w:r>
        <w:rPr>
          <w:noProof/>
        </w:rPr>
        <w:drawing>
          <wp:inline distT="0" distB="0" distL="0" distR="0" wp14:anchorId="6E250AB9" wp14:editId="1598B1FC">
            <wp:extent cx="4572000" cy="406400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572000" cy="4064000"/>
                    </a:xfrm>
                    <a:prstGeom prst="rect">
                      <a:avLst/>
                    </a:prstGeom>
                    <a:noFill/>
                  </pic:spPr>
                </pic:pic>
              </a:graphicData>
            </a:graphic>
          </wp:inline>
        </w:drawing>
      </w:r>
    </w:p>
    <w:p w14:paraId="46508D57" w14:textId="4CBBB7EA" w:rsidR="002B40FB" w:rsidRDefault="002B40FB" w:rsidP="00BC23AD">
      <w:pPr>
        <w:pStyle w:val="Caption"/>
      </w:pPr>
      <w:bookmarkStart w:id="129" w:name="_Toc67566235"/>
      <w:r>
        <w:t xml:space="preserve">Figure </w:t>
      </w:r>
      <w:r w:rsidR="00077C0B">
        <w:fldChar w:fldCharType="begin"/>
      </w:r>
      <w:r w:rsidR="00077C0B">
        <w:instrText xml:space="preserve"> STYLEREF 1 \s </w:instrText>
      </w:r>
      <w:r w:rsidR="00077C0B">
        <w:fldChar w:fldCharType="separate"/>
      </w:r>
      <w:r w:rsidR="0006023A">
        <w:rPr>
          <w:noProof/>
        </w:rPr>
        <w:t>5</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7</w:t>
      </w:r>
      <w:r w:rsidR="00077C0B">
        <w:rPr>
          <w:noProof/>
        </w:rPr>
        <w:fldChar w:fldCharType="end"/>
      </w:r>
      <w:r>
        <w:t>: 0.5x magnified directional deformation of the eccentric expanding cement model. Note the pressure induced microannuli gap is continuous throughout the circumference of the cement sheath.</w:t>
      </w:r>
      <w:bookmarkEnd w:id="129"/>
    </w:p>
    <w:p w14:paraId="58CF2006" w14:textId="433D6320" w:rsidR="002B40FB" w:rsidRDefault="002B40FB" w:rsidP="002B40FB">
      <w:pPr>
        <w:ind w:firstLine="720"/>
      </w:pPr>
      <w:r w:rsidRPr="00DC24DD">
        <w:t xml:space="preserve">The conventional cement simulations </w:t>
      </w:r>
      <w:r w:rsidR="00A13088">
        <w:t xml:space="preserve">shown </w:t>
      </w:r>
      <w:r w:rsidR="00A13088" w:rsidRPr="00B92BF4">
        <w:t>in Table 5.</w:t>
      </w:r>
      <w:r w:rsidR="008C6FD4">
        <w:t>6</w:t>
      </w:r>
      <w:r w:rsidR="00A13088" w:rsidRPr="00B92BF4">
        <w:t xml:space="preserve"> </w:t>
      </w:r>
      <w:r w:rsidRPr="00B92BF4">
        <w:t>gave comparable pressure drops and higher microannuli gap widths than the experiments</w:t>
      </w:r>
      <w:r w:rsidR="00F53BBF" w:rsidRPr="00B92BF4">
        <w:t xml:space="preserve"> </w:t>
      </w:r>
      <w:r w:rsidR="00DC62CE" w:rsidRPr="00B92BF4">
        <w:t>when 1% volumetric shrinkage was included in the model</w:t>
      </w:r>
      <w:r w:rsidRPr="00B92BF4">
        <w:t>. The Fanning friction factor (</w:t>
      </w:r>
      <m:oMath>
        <m:r>
          <w:rPr>
            <w:rFonts w:ascii="Cambria Math" w:hAnsi="Cambria Math"/>
          </w:rPr>
          <m:t>f</m:t>
        </m:r>
      </m:oMath>
      <w:r w:rsidRPr="00B92BF4">
        <w:t xml:space="preserve">) used in this analysis assumes laminar flow for a smooth constant flow path width. </w:t>
      </w:r>
      <w:r w:rsidR="00583441" w:rsidRPr="00B92BF4">
        <w:t>As discussed in detail in Appendix L, t</w:t>
      </w:r>
      <w:r w:rsidRPr="00B92BF4">
        <w:t xml:space="preserve">he </w:t>
      </w:r>
      <w:r w:rsidR="00583441" w:rsidRPr="00B92BF4">
        <w:t>Fanning</w:t>
      </w:r>
      <w:r w:rsidRPr="00B92BF4">
        <w:t xml:space="preserve"> friction factor is dependent on the Reynold’s number, the roughness of the surface, and the tortuosity</w:t>
      </w:r>
      <w:r w:rsidR="00583441" w:rsidRPr="00B92BF4">
        <w:t xml:space="preserve"> of </w:t>
      </w:r>
      <w:r w:rsidR="00583441" w:rsidRPr="00B92BF4">
        <w:lastRenderedPageBreak/>
        <w:t>the flow path unless the fluid is laminar</w:t>
      </w:r>
      <w:r w:rsidRPr="00B92BF4">
        <w:t xml:space="preserve">. </w:t>
      </w:r>
      <w:r w:rsidR="00583441" w:rsidRPr="00B92BF4">
        <w:t xml:space="preserve">When the fluid is laminar, the </w:t>
      </w:r>
      <w:r w:rsidR="00590B95" w:rsidRPr="00B92BF4">
        <w:t xml:space="preserve">Fanning </w:t>
      </w:r>
      <w:r w:rsidR="00583441" w:rsidRPr="00B92BF4">
        <w:t>friction f</w:t>
      </w:r>
      <w:r w:rsidR="00590B95" w:rsidRPr="00B92BF4">
        <w:t>actor is only dependent on the Reynold’s number as shown in Equation 4.5</w:t>
      </w:r>
      <w:r w:rsidR="002375FE" w:rsidRPr="00B92BF4">
        <w:t>4</w:t>
      </w:r>
      <w:r w:rsidR="00590B95" w:rsidRPr="00B92BF4">
        <w:t xml:space="preserve">. </w:t>
      </w:r>
      <w:r w:rsidRPr="00B92BF4">
        <w:t xml:space="preserve">In the numerical analysis, there are two </w:t>
      </w:r>
      <w:r w:rsidR="00590B95" w:rsidRPr="00B92BF4">
        <w:t>potential variations that could cause the conventional cement results to match the experimental pressure drops</w:t>
      </w:r>
      <w:r w:rsidRPr="00B92BF4">
        <w:t xml:space="preserve">: shrinkage and friction factor. Table </w:t>
      </w:r>
      <w:r w:rsidR="00DC62CE" w:rsidRPr="00B92BF4">
        <w:t>5.</w:t>
      </w:r>
      <w:r w:rsidR="008C6FD4">
        <w:t>7</w:t>
      </w:r>
      <w:r w:rsidRPr="00B92BF4">
        <w:t xml:space="preserve"> shows that altering either the shrinkage or the friction factor independently can force the simulation</w:t>
      </w:r>
      <w:r w:rsidRPr="00DC24DD">
        <w:t xml:space="preserve"> to have the same pressure drop as the experimental data. </w:t>
      </w:r>
      <w:r>
        <w:t>Since the friction factor should not be a variable for laminar flow, th</w:t>
      </w:r>
      <w:r w:rsidR="00DC62CE">
        <w:t>e frictional pressure drop</w:t>
      </w:r>
      <w:r>
        <w:t xml:space="preserve"> fluid </w:t>
      </w:r>
      <w:r w:rsidR="00B21162">
        <w:t xml:space="preserve">model is not the </w:t>
      </w:r>
      <w:r w:rsidR="00876ADD">
        <w:t xml:space="preserve">optimal </w:t>
      </w:r>
      <w:r w:rsidR="00B21162">
        <w:t>method to model cased wellbore potential leakage.</w:t>
      </w:r>
    </w:p>
    <w:p w14:paraId="1D0C6797" w14:textId="22DC3837" w:rsidR="002B40FB" w:rsidRDefault="002B40FB" w:rsidP="00BC23AD">
      <w:pPr>
        <w:pStyle w:val="Caption"/>
      </w:pPr>
      <w:bookmarkStart w:id="130" w:name="_Toc67566102"/>
      <w:r>
        <w:t xml:space="preserve">Table </w:t>
      </w:r>
      <w:r w:rsidR="00077C0B">
        <w:fldChar w:fldCharType="begin"/>
      </w:r>
      <w:r w:rsidR="00077C0B">
        <w:instrText xml:space="preserve"> STYLEREF 1 \s </w:instrText>
      </w:r>
      <w:r w:rsidR="00077C0B">
        <w:fldChar w:fldCharType="separate"/>
      </w:r>
      <w:r w:rsidR="0006023A">
        <w:rPr>
          <w:noProof/>
        </w:rPr>
        <w:t>5</w:t>
      </w:r>
      <w:r w:rsidR="00077C0B">
        <w:rPr>
          <w:noProof/>
        </w:rPr>
        <w:fldChar w:fldCharType="end"/>
      </w:r>
      <w:r w:rsidR="00DD1F74">
        <w:t>.</w:t>
      </w:r>
      <w:r w:rsidR="00077C0B">
        <w:fldChar w:fldCharType="begin"/>
      </w:r>
      <w:r w:rsidR="00077C0B">
        <w:instrText xml:space="preserve"> SEQ Table \* ARABIC \s 1 </w:instrText>
      </w:r>
      <w:r w:rsidR="00077C0B">
        <w:fldChar w:fldCharType="separate"/>
      </w:r>
      <w:r w:rsidR="0006023A">
        <w:rPr>
          <w:noProof/>
        </w:rPr>
        <w:t>7</w:t>
      </w:r>
      <w:r w:rsidR="00077C0B">
        <w:rPr>
          <w:noProof/>
        </w:rPr>
        <w:fldChar w:fldCharType="end"/>
      </w:r>
      <w:r>
        <w:t>: Representation that the simulated pressure drops can mimic the experimental data by altering either the shrinkage or the fluid friction factor in the simulations.</w:t>
      </w:r>
      <w:bookmarkEnd w:id="130"/>
    </w:p>
    <w:tbl>
      <w:tblPr>
        <w:tblW w:w="5612" w:type="dxa"/>
        <w:jc w:val="center"/>
        <w:tblLook w:val="04A0" w:firstRow="1" w:lastRow="0" w:firstColumn="1" w:lastColumn="0" w:noHBand="0" w:noVBand="1"/>
      </w:tblPr>
      <w:tblGrid>
        <w:gridCol w:w="236"/>
        <w:gridCol w:w="1030"/>
        <w:gridCol w:w="1150"/>
        <w:gridCol w:w="1030"/>
        <w:gridCol w:w="1190"/>
        <w:gridCol w:w="976"/>
      </w:tblGrid>
      <w:tr w:rsidR="002B40FB" w:rsidRPr="00172DAD" w14:paraId="078680CB" w14:textId="77777777" w:rsidTr="008D7893">
        <w:trPr>
          <w:cantSplit/>
          <w:trHeight w:val="288"/>
          <w:jc w:val="center"/>
        </w:trPr>
        <w:tc>
          <w:tcPr>
            <w:tcW w:w="236" w:type="dxa"/>
            <w:shd w:val="clear" w:color="auto" w:fill="auto"/>
            <w:noWrap/>
            <w:vAlign w:val="center"/>
            <w:hideMark/>
          </w:tcPr>
          <w:p w14:paraId="7FEEC46C" w14:textId="77777777" w:rsidR="002B40FB" w:rsidRPr="00172DAD" w:rsidRDefault="002B40FB" w:rsidP="008D7893">
            <w:pPr>
              <w:spacing w:line="240" w:lineRule="auto"/>
              <w:jc w:val="center"/>
              <w:rPr>
                <w:rFonts w:cs="Times New Roman"/>
              </w:rPr>
            </w:pPr>
          </w:p>
        </w:tc>
        <w:tc>
          <w:tcPr>
            <w:tcW w:w="1030" w:type="dxa"/>
            <w:vMerge w:val="restart"/>
            <w:shd w:val="clear" w:color="auto" w:fill="auto"/>
            <w:vAlign w:val="center"/>
            <w:hideMark/>
          </w:tcPr>
          <w:p w14:paraId="05F268C3" w14:textId="77777777" w:rsidR="002B40FB" w:rsidRPr="00172DAD" w:rsidRDefault="002B40FB" w:rsidP="008D7893">
            <w:pPr>
              <w:spacing w:line="240" w:lineRule="auto"/>
              <w:jc w:val="center"/>
              <w:rPr>
                <w:rFonts w:cs="Times New Roman"/>
                <w:color w:val="000000"/>
              </w:rPr>
            </w:pPr>
            <w:r w:rsidRPr="00172DAD">
              <w:rPr>
                <w:rFonts w:cs="Times New Roman"/>
                <w:color w:val="000000"/>
              </w:rPr>
              <w:t>Initial Pressure</w:t>
            </w:r>
          </w:p>
        </w:tc>
        <w:tc>
          <w:tcPr>
            <w:tcW w:w="1150" w:type="dxa"/>
            <w:vMerge w:val="restart"/>
            <w:shd w:val="clear" w:color="auto" w:fill="auto"/>
            <w:vAlign w:val="center"/>
            <w:hideMark/>
          </w:tcPr>
          <w:p w14:paraId="3FA9A854" w14:textId="77777777" w:rsidR="002B40FB" w:rsidRPr="00172DAD" w:rsidRDefault="002B40FB" w:rsidP="008D7893">
            <w:pPr>
              <w:spacing w:line="240" w:lineRule="auto"/>
              <w:jc w:val="center"/>
              <w:rPr>
                <w:rFonts w:cs="Times New Roman"/>
                <w:color w:val="000000"/>
              </w:rPr>
            </w:pPr>
            <w:r w:rsidRPr="00172DAD">
              <w:rPr>
                <w:rFonts w:cs="Times New Roman"/>
                <w:color w:val="000000"/>
              </w:rPr>
              <w:t>Flow Rate</w:t>
            </w:r>
          </w:p>
        </w:tc>
        <w:tc>
          <w:tcPr>
            <w:tcW w:w="1030" w:type="dxa"/>
            <w:vMerge w:val="restart"/>
            <w:shd w:val="clear" w:color="auto" w:fill="auto"/>
            <w:vAlign w:val="center"/>
            <w:hideMark/>
          </w:tcPr>
          <w:p w14:paraId="6AAB6DCA" w14:textId="77777777" w:rsidR="002B40FB" w:rsidRPr="00172DAD" w:rsidRDefault="002B40FB" w:rsidP="008D7893">
            <w:pPr>
              <w:spacing w:line="240" w:lineRule="auto"/>
              <w:jc w:val="center"/>
              <w:rPr>
                <w:rFonts w:cs="Times New Roman"/>
                <w:color w:val="000000"/>
              </w:rPr>
            </w:pPr>
            <w:r w:rsidRPr="00172DAD">
              <w:rPr>
                <w:rFonts w:cs="Times New Roman"/>
                <w:color w:val="000000"/>
              </w:rPr>
              <w:t>Pressure Drop</w:t>
            </w:r>
          </w:p>
        </w:tc>
        <w:tc>
          <w:tcPr>
            <w:tcW w:w="1190" w:type="dxa"/>
            <w:vMerge w:val="restart"/>
            <w:shd w:val="clear" w:color="auto" w:fill="auto"/>
            <w:vAlign w:val="center"/>
            <w:hideMark/>
          </w:tcPr>
          <w:p w14:paraId="4D9FBEF7" w14:textId="77777777" w:rsidR="002B40FB" w:rsidRPr="00172DAD" w:rsidRDefault="002B40FB" w:rsidP="008D7893">
            <w:pPr>
              <w:spacing w:line="240" w:lineRule="auto"/>
              <w:jc w:val="center"/>
              <w:rPr>
                <w:rFonts w:cs="Times New Roman"/>
                <w:color w:val="000000"/>
              </w:rPr>
            </w:pPr>
            <w:r w:rsidRPr="00172DAD">
              <w:rPr>
                <w:rFonts w:cs="Times New Roman"/>
                <w:color w:val="000000"/>
              </w:rPr>
              <w:t>Shrinkage</w:t>
            </w:r>
          </w:p>
        </w:tc>
        <w:tc>
          <w:tcPr>
            <w:tcW w:w="976" w:type="dxa"/>
            <w:vMerge w:val="restart"/>
          </w:tcPr>
          <w:p w14:paraId="046DE8BE" w14:textId="77777777" w:rsidR="002B40FB" w:rsidRPr="00172DAD" w:rsidRDefault="002B40FB" w:rsidP="008D7893">
            <w:pPr>
              <w:spacing w:line="240" w:lineRule="auto"/>
              <w:jc w:val="center"/>
              <w:rPr>
                <w:rFonts w:cs="Times New Roman"/>
                <w:color w:val="000000"/>
              </w:rPr>
            </w:pPr>
            <w:r w:rsidRPr="00172DAD">
              <w:rPr>
                <w:rFonts w:cs="Times New Roman"/>
                <w:color w:val="000000"/>
              </w:rPr>
              <w:t>Friction Factor</w:t>
            </w:r>
          </w:p>
        </w:tc>
      </w:tr>
      <w:tr w:rsidR="002B40FB" w:rsidRPr="00172DAD" w14:paraId="4BFBC309" w14:textId="77777777" w:rsidTr="008D7893">
        <w:trPr>
          <w:cantSplit/>
          <w:trHeight w:val="20"/>
          <w:jc w:val="center"/>
        </w:trPr>
        <w:tc>
          <w:tcPr>
            <w:tcW w:w="236" w:type="dxa"/>
            <w:shd w:val="clear" w:color="auto" w:fill="auto"/>
            <w:noWrap/>
            <w:vAlign w:val="center"/>
          </w:tcPr>
          <w:p w14:paraId="4E078EF6" w14:textId="77777777" w:rsidR="002B40FB" w:rsidRPr="00172DAD" w:rsidRDefault="002B40FB" w:rsidP="008D7893">
            <w:pPr>
              <w:spacing w:line="240" w:lineRule="auto"/>
              <w:jc w:val="center"/>
              <w:rPr>
                <w:rFonts w:cs="Times New Roman"/>
              </w:rPr>
            </w:pPr>
          </w:p>
        </w:tc>
        <w:tc>
          <w:tcPr>
            <w:tcW w:w="1030" w:type="dxa"/>
            <w:vMerge/>
            <w:shd w:val="clear" w:color="auto" w:fill="auto"/>
            <w:vAlign w:val="center"/>
          </w:tcPr>
          <w:p w14:paraId="13045B72" w14:textId="77777777" w:rsidR="002B40FB" w:rsidRPr="00172DAD" w:rsidRDefault="002B40FB" w:rsidP="008D7893">
            <w:pPr>
              <w:spacing w:line="240" w:lineRule="auto"/>
              <w:jc w:val="center"/>
              <w:rPr>
                <w:rFonts w:cs="Times New Roman"/>
                <w:color w:val="000000"/>
              </w:rPr>
            </w:pPr>
          </w:p>
        </w:tc>
        <w:tc>
          <w:tcPr>
            <w:tcW w:w="1150" w:type="dxa"/>
            <w:vMerge/>
            <w:shd w:val="clear" w:color="auto" w:fill="auto"/>
            <w:vAlign w:val="center"/>
          </w:tcPr>
          <w:p w14:paraId="2934E35B" w14:textId="77777777" w:rsidR="002B40FB" w:rsidRPr="00172DAD" w:rsidRDefault="002B40FB" w:rsidP="008D7893">
            <w:pPr>
              <w:spacing w:line="240" w:lineRule="auto"/>
              <w:jc w:val="center"/>
              <w:rPr>
                <w:rFonts w:cs="Times New Roman"/>
                <w:color w:val="000000"/>
              </w:rPr>
            </w:pPr>
          </w:p>
        </w:tc>
        <w:tc>
          <w:tcPr>
            <w:tcW w:w="1030" w:type="dxa"/>
            <w:vMerge/>
            <w:shd w:val="clear" w:color="auto" w:fill="auto"/>
            <w:vAlign w:val="center"/>
          </w:tcPr>
          <w:p w14:paraId="6D02E3B6" w14:textId="77777777" w:rsidR="002B40FB" w:rsidRPr="00172DAD" w:rsidRDefault="002B40FB" w:rsidP="008D7893">
            <w:pPr>
              <w:spacing w:line="240" w:lineRule="auto"/>
              <w:jc w:val="center"/>
              <w:rPr>
                <w:rFonts w:cs="Times New Roman"/>
                <w:color w:val="000000"/>
              </w:rPr>
            </w:pPr>
          </w:p>
        </w:tc>
        <w:tc>
          <w:tcPr>
            <w:tcW w:w="1190" w:type="dxa"/>
            <w:vMerge/>
            <w:shd w:val="clear" w:color="auto" w:fill="auto"/>
            <w:vAlign w:val="center"/>
          </w:tcPr>
          <w:p w14:paraId="22E6AC2A" w14:textId="77777777" w:rsidR="002B40FB" w:rsidRPr="00172DAD" w:rsidRDefault="002B40FB" w:rsidP="008D7893">
            <w:pPr>
              <w:spacing w:line="240" w:lineRule="auto"/>
              <w:jc w:val="center"/>
              <w:rPr>
                <w:rFonts w:cs="Times New Roman"/>
                <w:color w:val="000000"/>
              </w:rPr>
            </w:pPr>
          </w:p>
        </w:tc>
        <w:tc>
          <w:tcPr>
            <w:tcW w:w="976" w:type="dxa"/>
            <w:vMerge/>
          </w:tcPr>
          <w:p w14:paraId="0667823B" w14:textId="77777777" w:rsidR="002B40FB" w:rsidRPr="00172DAD" w:rsidRDefault="002B40FB" w:rsidP="008D7893">
            <w:pPr>
              <w:spacing w:line="240" w:lineRule="auto"/>
              <w:rPr>
                <w:rFonts w:cs="Times New Roman"/>
                <w:color w:val="000000"/>
              </w:rPr>
            </w:pPr>
          </w:p>
        </w:tc>
      </w:tr>
      <w:tr w:rsidR="002B40FB" w:rsidRPr="00172DAD" w14:paraId="38535871" w14:textId="77777777" w:rsidTr="008D7893">
        <w:trPr>
          <w:cantSplit/>
          <w:trHeight w:val="20"/>
          <w:jc w:val="center"/>
        </w:trPr>
        <w:tc>
          <w:tcPr>
            <w:tcW w:w="236" w:type="dxa"/>
            <w:shd w:val="clear" w:color="auto" w:fill="auto"/>
            <w:noWrap/>
            <w:vAlign w:val="center"/>
            <w:hideMark/>
          </w:tcPr>
          <w:p w14:paraId="1476138D" w14:textId="77777777" w:rsidR="002B40FB" w:rsidRPr="00172DAD" w:rsidRDefault="002B40FB" w:rsidP="008D7893">
            <w:pPr>
              <w:spacing w:line="240" w:lineRule="auto"/>
              <w:jc w:val="center"/>
              <w:rPr>
                <w:rFonts w:cs="Times New Roman"/>
                <w:color w:val="000000"/>
              </w:rPr>
            </w:pPr>
          </w:p>
        </w:tc>
        <w:tc>
          <w:tcPr>
            <w:tcW w:w="1030" w:type="dxa"/>
            <w:tcBorders>
              <w:bottom w:val="single" w:sz="4" w:space="0" w:color="auto"/>
            </w:tcBorders>
            <w:shd w:val="clear" w:color="auto" w:fill="auto"/>
            <w:noWrap/>
            <w:vAlign w:val="center"/>
            <w:hideMark/>
          </w:tcPr>
          <w:p w14:paraId="10D8D58D" w14:textId="77777777" w:rsidR="002B40FB" w:rsidRPr="00172DAD" w:rsidRDefault="002B40FB" w:rsidP="008D7893">
            <w:pPr>
              <w:spacing w:line="240" w:lineRule="auto"/>
              <w:jc w:val="center"/>
              <w:rPr>
                <w:rFonts w:cs="Times New Roman"/>
                <w:color w:val="000000"/>
              </w:rPr>
            </w:pPr>
            <w:r w:rsidRPr="00172DAD">
              <w:rPr>
                <w:rFonts w:cs="Times New Roman"/>
                <w:color w:val="000000"/>
              </w:rPr>
              <w:t>(MPa)</w:t>
            </w:r>
          </w:p>
        </w:tc>
        <w:tc>
          <w:tcPr>
            <w:tcW w:w="1150" w:type="dxa"/>
            <w:tcBorders>
              <w:bottom w:val="single" w:sz="4" w:space="0" w:color="auto"/>
            </w:tcBorders>
            <w:shd w:val="clear" w:color="auto" w:fill="auto"/>
            <w:noWrap/>
            <w:vAlign w:val="center"/>
            <w:hideMark/>
          </w:tcPr>
          <w:p w14:paraId="69854714" w14:textId="77777777" w:rsidR="002B40FB" w:rsidRPr="00172DAD" w:rsidRDefault="002B40FB" w:rsidP="008D7893">
            <w:pPr>
              <w:spacing w:line="240" w:lineRule="auto"/>
              <w:jc w:val="center"/>
              <w:rPr>
                <w:rFonts w:cs="Times New Roman"/>
                <w:color w:val="000000"/>
              </w:rPr>
            </w:pPr>
            <w:r w:rsidRPr="00172DAD">
              <w:rPr>
                <w:rFonts w:cs="Times New Roman"/>
                <w:color w:val="000000"/>
              </w:rPr>
              <w:t>(mL/min)</w:t>
            </w:r>
          </w:p>
        </w:tc>
        <w:tc>
          <w:tcPr>
            <w:tcW w:w="1030" w:type="dxa"/>
            <w:tcBorders>
              <w:bottom w:val="single" w:sz="4" w:space="0" w:color="auto"/>
            </w:tcBorders>
            <w:shd w:val="clear" w:color="auto" w:fill="auto"/>
            <w:noWrap/>
            <w:vAlign w:val="center"/>
            <w:hideMark/>
          </w:tcPr>
          <w:p w14:paraId="3904C7B2" w14:textId="77777777" w:rsidR="002B40FB" w:rsidRPr="00172DAD" w:rsidRDefault="002B40FB" w:rsidP="008D7893">
            <w:pPr>
              <w:spacing w:line="240" w:lineRule="auto"/>
              <w:jc w:val="center"/>
              <w:rPr>
                <w:rFonts w:cs="Times New Roman"/>
                <w:color w:val="000000"/>
              </w:rPr>
            </w:pPr>
            <w:r w:rsidRPr="00172DAD">
              <w:rPr>
                <w:rFonts w:cs="Times New Roman"/>
                <w:color w:val="000000"/>
              </w:rPr>
              <w:t>(MPa)</w:t>
            </w:r>
          </w:p>
        </w:tc>
        <w:tc>
          <w:tcPr>
            <w:tcW w:w="1190" w:type="dxa"/>
            <w:tcBorders>
              <w:bottom w:val="single" w:sz="4" w:space="0" w:color="auto"/>
            </w:tcBorders>
            <w:shd w:val="clear" w:color="auto" w:fill="auto"/>
            <w:noWrap/>
            <w:vAlign w:val="center"/>
            <w:hideMark/>
          </w:tcPr>
          <w:p w14:paraId="076DD40E" w14:textId="77777777" w:rsidR="002B40FB" w:rsidRPr="00172DAD" w:rsidRDefault="002B40FB" w:rsidP="008D7893">
            <w:pPr>
              <w:spacing w:line="240" w:lineRule="auto"/>
              <w:jc w:val="center"/>
              <w:rPr>
                <w:rFonts w:cs="Times New Roman"/>
                <w:color w:val="000000"/>
              </w:rPr>
            </w:pPr>
            <w:r w:rsidRPr="00172DAD">
              <w:rPr>
                <w:rFonts w:cs="Times New Roman"/>
                <w:color w:val="000000"/>
              </w:rPr>
              <w:t>%</w:t>
            </w:r>
          </w:p>
        </w:tc>
        <w:tc>
          <w:tcPr>
            <w:tcW w:w="976" w:type="dxa"/>
            <w:tcBorders>
              <w:bottom w:val="single" w:sz="4" w:space="0" w:color="auto"/>
            </w:tcBorders>
          </w:tcPr>
          <w:p w14:paraId="1B6CCF24" w14:textId="77777777" w:rsidR="002B40FB" w:rsidRPr="00172DAD" w:rsidRDefault="00077C0B" w:rsidP="008D7893">
            <w:pPr>
              <w:spacing w:line="240" w:lineRule="auto"/>
              <w:jc w:val="center"/>
              <w:rPr>
                <w:rFonts w:cs="Times New Roman"/>
                <w:color w:val="000000"/>
              </w:rPr>
            </w:pPr>
            <m:oMathPara>
              <m:oMath>
                <m:f>
                  <m:fPr>
                    <m:ctrlPr>
                      <w:rPr>
                        <w:rFonts w:ascii="Cambria Math" w:hAnsi="Cambria Math" w:cs="Times New Roman"/>
                        <w:i/>
                        <w:color w:val="000000"/>
                      </w:rPr>
                    </m:ctrlPr>
                  </m:fPr>
                  <m:num>
                    <m:r>
                      <w:rPr>
                        <w:rFonts w:ascii="Cambria Math" w:hAnsi="Cambria Math" w:cs="Times New Roman"/>
                        <w:color w:val="000000"/>
                      </w:rPr>
                      <m:t>x</m:t>
                    </m:r>
                  </m:num>
                  <m:den>
                    <m:sSub>
                      <m:sSubPr>
                        <m:ctrlPr>
                          <w:rPr>
                            <w:rFonts w:ascii="Cambria Math" w:hAnsi="Cambria Math" w:cs="Times New Roman"/>
                            <w:i/>
                            <w:color w:val="000000"/>
                          </w:rPr>
                        </m:ctrlPr>
                      </m:sSubPr>
                      <m:e>
                        <m:r>
                          <w:rPr>
                            <w:rFonts w:ascii="Cambria Math" w:hAnsi="Cambria Math" w:cs="Times New Roman"/>
                            <w:color w:val="000000"/>
                          </w:rPr>
                          <m:t>N</m:t>
                        </m:r>
                      </m:e>
                      <m:sub>
                        <m:r>
                          <w:rPr>
                            <w:rFonts w:ascii="Cambria Math" w:hAnsi="Cambria Math" w:cs="Times New Roman"/>
                            <w:color w:val="000000"/>
                          </w:rPr>
                          <m:t>Re</m:t>
                        </m:r>
                      </m:sub>
                    </m:sSub>
                  </m:den>
                </m:f>
              </m:oMath>
            </m:oMathPara>
          </w:p>
        </w:tc>
      </w:tr>
      <w:tr w:rsidR="002B40FB" w:rsidRPr="00172DAD" w14:paraId="273F3833" w14:textId="77777777" w:rsidTr="008D7893">
        <w:trPr>
          <w:cantSplit/>
          <w:trHeight w:val="20"/>
          <w:jc w:val="center"/>
        </w:trPr>
        <w:tc>
          <w:tcPr>
            <w:tcW w:w="236" w:type="dxa"/>
            <w:vMerge w:val="restart"/>
            <w:shd w:val="clear" w:color="auto" w:fill="auto"/>
            <w:noWrap/>
            <w:textDirection w:val="btLr"/>
            <w:vAlign w:val="center"/>
            <w:hideMark/>
          </w:tcPr>
          <w:p w14:paraId="7074C203" w14:textId="77777777" w:rsidR="002B40FB" w:rsidRPr="00172DAD" w:rsidRDefault="002B40FB" w:rsidP="008D7893">
            <w:pPr>
              <w:spacing w:line="240" w:lineRule="auto"/>
              <w:rPr>
                <w:rFonts w:cs="Times New Roman"/>
                <w:color w:val="000000"/>
              </w:rPr>
            </w:pPr>
          </w:p>
        </w:tc>
        <w:tc>
          <w:tcPr>
            <w:tcW w:w="1030" w:type="dxa"/>
            <w:shd w:val="clear" w:color="auto" w:fill="auto"/>
            <w:noWrap/>
            <w:vAlign w:val="center"/>
          </w:tcPr>
          <w:p w14:paraId="4A43DA8F" w14:textId="77777777" w:rsidR="002B40FB" w:rsidRPr="00172DAD" w:rsidRDefault="002B40FB" w:rsidP="008D7893">
            <w:pPr>
              <w:spacing w:line="240" w:lineRule="auto"/>
              <w:jc w:val="center"/>
              <w:rPr>
                <w:rFonts w:cs="Times New Roman"/>
                <w:color w:val="000000"/>
              </w:rPr>
            </w:pPr>
            <w:r w:rsidRPr="00172DAD">
              <w:rPr>
                <w:rFonts w:cs="Times New Roman"/>
                <w:color w:val="000000"/>
              </w:rPr>
              <w:t>5.4</w:t>
            </w:r>
          </w:p>
        </w:tc>
        <w:tc>
          <w:tcPr>
            <w:tcW w:w="1150" w:type="dxa"/>
            <w:shd w:val="clear" w:color="auto" w:fill="auto"/>
            <w:noWrap/>
            <w:vAlign w:val="center"/>
          </w:tcPr>
          <w:p w14:paraId="28248853" w14:textId="77777777" w:rsidR="002B40FB" w:rsidRPr="00172DAD" w:rsidRDefault="002B40FB" w:rsidP="008D7893">
            <w:pPr>
              <w:spacing w:line="240" w:lineRule="auto"/>
              <w:jc w:val="center"/>
              <w:rPr>
                <w:rFonts w:cs="Times New Roman"/>
                <w:color w:val="000000"/>
              </w:rPr>
            </w:pPr>
            <w:r w:rsidRPr="00172DAD">
              <w:rPr>
                <w:rFonts w:cs="Times New Roman"/>
                <w:color w:val="000000"/>
              </w:rPr>
              <w:t>14.0</w:t>
            </w:r>
          </w:p>
        </w:tc>
        <w:tc>
          <w:tcPr>
            <w:tcW w:w="1030" w:type="dxa"/>
            <w:shd w:val="clear" w:color="auto" w:fill="auto"/>
            <w:noWrap/>
            <w:vAlign w:val="center"/>
          </w:tcPr>
          <w:p w14:paraId="1C8EB2F8" w14:textId="77777777" w:rsidR="002B40FB" w:rsidRPr="00172DAD" w:rsidRDefault="002B40FB" w:rsidP="008D7893">
            <w:pPr>
              <w:spacing w:line="240" w:lineRule="auto"/>
              <w:jc w:val="center"/>
              <w:rPr>
                <w:rFonts w:cs="Times New Roman"/>
                <w:color w:val="000000"/>
              </w:rPr>
            </w:pPr>
            <w:r w:rsidRPr="00172DAD">
              <w:rPr>
                <w:rFonts w:cs="Times New Roman"/>
                <w:color w:val="000000"/>
              </w:rPr>
              <w:t>0.1</w:t>
            </w:r>
          </w:p>
        </w:tc>
        <w:tc>
          <w:tcPr>
            <w:tcW w:w="1190" w:type="dxa"/>
            <w:shd w:val="clear" w:color="auto" w:fill="auto"/>
            <w:noWrap/>
            <w:vAlign w:val="center"/>
          </w:tcPr>
          <w:p w14:paraId="29748D44" w14:textId="77777777" w:rsidR="002B40FB" w:rsidRPr="00172DAD" w:rsidRDefault="002B40FB" w:rsidP="008D7893">
            <w:pPr>
              <w:spacing w:line="240" w:lineRule="auto"/>
              <w:jc w:val="center"/>
              <w:rPr>
                <w:rFonts w:cs="Times New Roman"/>
                <w:color w:val="000000"/>
              </w:rPr>
            </w:pPr>
            <w:r w:rsidRPr="00172DAD">
              <w:rPr>
                <w:rFonts w:cs="Times New Roman"/>
                <w:color w:val="000000"/>
              </w:rPr>
              <w:t>1.4%</w:t>
            </w:r>
          </w:p>
        </w:tc>
        <w:tc>
          <w:tcPr>
            <w:tcW w:w="976" w:type="dxa"/>
          </w:tcPr>
          <w:p w14:paraId="775C33E1" w14:textId="77777777" w:rsidR="002B40FB" w:rsidRPr="00172DAD" w:rsidRDefault="002B40FB" w:rsidP="008D7893">
            <w:pPr>
              <w:spacing w:line="240" w:lineRule="auto"/>
              <w:jc w:val="center"/>
              <w:rPr>
                <w:rFonts w:cs="Times New Roman"/>
                <w:color w:val="000000"/>
              </w:rPr>
            </w:pPr>
            <w:r w:rsidRPr="00172DAD">
              <w:rPr>
                <w:rFonts w:cs="Times New Roman"/>
                <w:color w:val="000000"/>
              </w:rPr>
              <w:t>0.2</w:t>
            </w:r>
          </w:p>
        </w:tc>
      </w:tr>
      <w:tr w:rsidR="002B40FB" w:rsidRPr="00172DAD" w14:paraId="1C2B7F09" w14:textId="77777777" w:rsidTr="008D7893">
        <w:trPr>
          <w:cantSplit/>
          <w:trHeight w:val="20"/>
          <w:jc w:val="center"/>
        </w:trPr>
        <w:tc>
          <w:tcPr>
            <w:tcW w:w="236" w:type="dxa"/>
            <w:vMerge/>
            <w:vAlign w:val="center"/>
            <w:hideMark/>
          </w:tcPr>
          <w:p w14:paraId="3F5BC0F0" w14:textId="77777777" w:rsidR="002B40FB" w:rsidRPr="00172DAD" w:rsidRDefault="002B40FB" w:rsidP="008D7893">
            <w:pPr>
              <w:spacing w:line="240" w:lineRule="auto"/>
              <w:jc w:val="center"/>
              <w:rPr>
                <w:rFonts w:cs="Times New Roman"/>
                <w:color w:val="000000"/>
              </w:rPr>
            </w:pPr>
          </w:p>
        </w:tc>
        <w:tc>
          <w:tcPr>
            <w:tcW w:w="1030" w:type="dxa"/>
            <w:shd w:val="clear" w:color="auto" w:fill="auto"/>
            <w:noWrap/>
            <w:vAlign w:val="center"/>
          </w:tcPr>
          <w:p w14:paraId="3E058ACF" w14:textId="77777777" w:rsidR="002B40FB" w:rsidRPr="00172DAD" w:rsidRDefault="002B40FB" w:rsidP="008D7893">
            <w:pPr>
              <w:spacing w:line="240" w:lineRule="auto"/>
              <w:jc w:val="center"/>
              <w:rPr>
                <w:rFonts w:cs="Times New Roman"/>
                <w:color w:val="000000"/>
              </w:rPr>
            </w:pPr>
            <w:r w:rsidRPr="00172DAD">
              <w:rPr>
                <w:rFonts w:cs="Times New Roman"/>
                <w:color w:val="000000"/>
              </w:rPr>
              <w:t>9.3</w:t>
            </w:r>
          </w:p>
        </w:tc>
        <w:tc>
          <w:tcPr>
            <w:tcW w:w="1150" w:type="dxa"/>
            <w:shd w:val="clear" w:color="auto" w:fill="auto"/>
            <w:noWrap/>
            <w:vAlign w:val="center"/>
          </w:tcPr>
          <w:p w14:paraId="75AAF5F2" w14:textId="77777777" w:rsidR="002B40FB" w:rsidRPr="00172DAD" w:rsidRDefault="002B40FB" w:rsidP="008D7893">
            <w:pPr>
              <w:spacing w:line="240" w:lineRule="auto"/>
              <w:jc w:val="center"/>
              <w:rPr>
                <w:rFonts w:cs="Times New Roman"/>
                <w:color w:val="000000"/>
              </w:rPr>
            </w:pPr>
            <w:r w:rsidRPr="00172DAD">
              <w:rPr>
                <w:rFonts w:cs="Times New Roman"/>
                <w:color w:val="000000"/>
              </w:rPr>
              <w:t>95.0</w:t>
            </w:r>
          </w:p>
        </w:tc>
        <w:tc>
          <w:tcPr>
            <w:tcW w:w="1030" w:type="dxa"/>
            <w:shd w:val="clear" w:color="auto" w:fill="auto"/>
            <w:noWrap/>
            <w:vAlign w:val="center"/>
          </w:tcPr>
          <w:p w14:paraId="3AAA4172" w14:textId="77777777" w:rsidR="002B40FB" w:rsidRPr="00172DAD" w:rsidRDefault="002B40FB" w:rsidP="008D7893">
            <w:pPr>
              <w:spacing w:line="240" w:lineRule="auto"/>
              <w:jc w:val="center"/>
              <w:rPr>
                <w:rFonts w:cs="Times New Roman"/>
                <w:color w:val="000000"/>
              </w:rPr>
            </w:pPr>
            <w:r w:rsidRPr="00172DAD">
              <w:rPr>
                <w:rFonts w:cs="Times New Roman"/>
                <w:color w:val="000000"/>
              </w:rPr>
              <w:t>0.3</w:t>
            </w:r>
          </w:p>
        </w:tc>
        <w:tc>
          <w:tcPr>
            <w:tcW w:w="1190" w:type="dxa"/>
            <w:shd w:val="clear" w:color="auto" w:fill="auto"/>
            <w:noWrap/>
            <w:vAlign w:val="center"/>
          </w:tcPr>
          <w:p w14:paraId="309D880F" w14:textId="77777777" w:rsidR="002B40FB" w:rsidRPr="00172DAD" w:rsidRDefault="002B40FB" w:rsidP="008D7893">
            <w:pPr>
              <w:spacing w:line="240" w:lineRule="auto"/>
              <w:jc w:val="center"/>
              <w:rPr>
                <w:rFonts w:cs="Times New Roman"/>
                <w:color w:val="000000"/>
              </w:rPr>
            </w:pPr>
            <w:r w:rsidRPr="00172DAD">
              <w:rPr>
                <w:rFonts w:cs="Times New Roman"/>
                <w:color w:val="000000"/>
              </w:rPr>
              <w:t>1.3%</w:t>
            </w:r>
          </w:p>
        </w:tc>
        <w:tc>
          <w:tcPr>
            <w:tcW w:w="976" w:type="dxa"/>
          </w:tcPr>
          <w:p w14:paraId="26797287" w14:textId="77777777" w:rsidR="002B40FB" w:rsidRPr="00172DAD" w:rsidRDefault="002B40FB" w:rsidP="008D7893">
            <w:pPr>
              <w:spacing w:line="240" w:lineRule="auto"/>
              <w:jc w:val="center"/>
              <w:rPr>
                <w:rFonts w:cs="Times New Roman"/>
                <w:color w:val="000000"/>
              </w:rPr>
            </w:pPr>
            <w:r w:rsidRPr="00172DAD">
              <w:rPr>
                <w:rFonts w:cs="Times New Roman"/>
                <w:color w:val="000000"/>
              </w:rPr>
              <w:t>0.8</w:t>
            </w:r>
          </w:p>
        </w:tc>
      </w:tr>
      <w:tr w:rsidR="002B40FB" w:rsidRPr="00172DAD" w14:paraId="0D39AA3A" w14:textId="77777777" w:rsidTr="008D7893">
        <w:trPr>
          <w:cantSplit/>
          <w:trHeight w:val="20"/>
          <w:jc w:val="center"/>
        </w:trPr>
        <w:tc>
          <w:tcPr>
            <w:tcW w:w="236" w:type="dxa"/>
            <w:vMerge/>
            <w:vAlign w:val="center"/>
            <w:hideMark/>
          </w:tcPr>
          <w:p w14:paraId="4BB53584" w14:textId="77777777" w:rsidR="002B40FB" w:rsidRPr="00172DAD" w:rsidRDefault="002B40FB" w:rsidP="008D7893">
            <w:pPr>
              <w:spacing w:line="240" w:lineRule="auto"/>
              <w:jc w:val="center"/>
              <w:rPr>
                <w:rFonts w:cs="Times New Roman"/>
                <w:color w:val="000000"/>
              </w:rPr>
            </w:pPr>
          </w:p>
        </w:tc>
        <w:tc>
          <w:tcPr>
            <w:tcW w:w="1030" w:type="dxa"/>
            <w:shd w:val="clear" w:color="auto" w:fill="auto"/>
            <w:noWrap/>
            <w:vAlign w:val="center"/>
          </w:tcPr>
          <w:p w14:paraId="01D2DA1B" w14:textId="77777777" w:rsidR="002B40FB" w:rsidRPr="00172DAD" w:rsidRDefault="002B40FB" w:rsidP="008D7893">
            <w:pPr>
              <w:spacing w:line="240" w:lineRule="auto"/>
              <w:jc w:val="center"/>
              <w:rPr>
                <w:rFonts w:cs="Times New Roman"/>
                <w:color w:val="000000"/>
              </w:rPr>
            </w:pPr>
            <w:r w:rsidRPr="00172DAD">
              <w:rPr>
                <w:rFonts w:cs="Times New Roman"/>
                <w:color w:val="000000"/>
              </w:rPr>
              <w:t>5.6</w:t>
            </w:r>
          </w:p>
        </w:tc>
        <w:tc>
          <w:tcPr>
            <w:tcW w:w="1150" w:type="dxa"/>
            <w:shd w:val="clear" w:color="auto" w:fill="auto"/>
            <w:noWrap/>
            <w:vAlign w:val="center"/>
          </w:tcPr>
          <w:p w14:paraId="1105E66C" w14:textId="77777777" w:rsidR="002B40FB" w:rsidRPr="00172DAD" w:rsidRDefault="002B40FB" w:rsidP="008D7893">
            <w:pPr>
              <w:spacing w:line="240" w:lineRule="auto"/>
              <w:jc w:val="center"/>
              <w:rPr>
                <w:rFonts w:cs="Times New Roman"/>
                <w:color w:val="000000"/>
              </w:rPr>
            </w:pPr>
            <w:r w:rsidRPr="00172DAD">
              <w:rPr>
                <w:rFonts w:cs="Times New Roman"/>
                <w:color w:val="000000"/>
              </w:rPr>
              <w:t>56.0</w:t>
            </w:r>
          </w:p>
        </w:tc>
        <w:tc>
          <w:tcPr>
            <w:tcW w:w="1030" w:type="dxa"/>
            <w:shd w:val="clear" w:color="auto" w:fill="auto"/>
            <w:noWrap/>
            <w:vAlign w:val="center"/>
          </w:tcPr>
          <w:p w14:paraId="2A6581F3" w14:textId="77777777" w:rsidR="002B40FB" w:rsidRPr="00172DAD" w:rsidRDefault="002B40FB" w:rsidP="008D7893">
            <w:pPr>
              <w:spacing w:line="240" w:lineRule="auto"/>
              <w:jc w:val="center"/>
              <w:rPr>
                <w:rFonts w:cs="Times New Roman"/>
                <w:color w:val="000000"/>
              </w:rPr>
            </w:pPr>
            <w:r w:rsidRPr="00172DAD">
              <w:rPr>
                <w:rFonts w:cs="Times New Roman"/>
                <w:color w:val="000000"/>
              </w:rPr>
              <w:t>0.4</w:t>
            </w:r>
          </w:p>
        </w:tc>
        <w:tc>
          <w:tcPr>
            <w:tcW w:w="1190" w:type="dxa"/>
            <w:shd w:val="clear" w:color="auto" w:fill="auto"/>
            <w:noWrap/>
            <w:vAlign w:val="center"/>
          </w:tcPr>
          <w:p w14:paraId="1337010D" w14:textId="77777777" w:rsidR="002B40FB" w:rsidRPr="00172DAD" w:rsidRDefault="002B40FB" w:rsidP="008D7893">
            <w:pPr>
              <w:spacing w:line="240" w:lineRule="auto"/>
              <w:jc w:val="center"/>
              <w:rPr>
                <w:rFonts w:cs="Times New Roman"/>
                <w:color w:val="000000"/>
              </w:rPr>
            </w:pPr>
            <w:r w:rsidRPr="00172DAD">
              <w:rPr>
                <w:rFonts w:cs="Times New Roman"/>
                <w:color w:val="000000"/>
              </w:rPr>
              <w:t>1.1%</w:t>
            </w:r>
          </w:p>
        </w:tc>
        <w:tc>
          <w:tcPr>
            <w:tcW w:w="976" w:type="dxa"/>
          </w:tcPr>
          <w:p w14:paraId="403004EC" w14:textId="77777777" w:rsidR="002B40FB" w:rsidRPr="00172DAD" w:rsidRDefault="002B40FB" w:rsidP="008D7893">
            <w:pPr>
              <w:spacing w:line="240" w:lineRule="auto"/>
              <w:jc w:val="center"/>
              <w:rPr>
                <w:rFonts w:cs="Times New Roman"/>
                <w:color w:val="000000"/>
              </w:rPr>
            </w:pPr>
            <w:r w:rsidRPr="00172DAD">
              <w:rPr>
                <w:rFonts w:cs="Times New Roman"/>
                <w:color w:val="000000"/>
              </w:rPr>
              <w:t>0.4</w:t>
            </w:r>
          </w:p>
        </w:tc>
      </w:tr>
      <w:tr w:rsidR="002B40FB" w:rsidRPr="00172DAD" w14:paraId="52F09C6B" w14:textId="77777777" w:rsidTr="008D7893">
        <w:trPr>
          <w:cantSplit/>
          <w:trHeight w:val="20"/>
          <w:jc w:val="center"/>
        </w:trPr>
        <w:tc>
          <w:tcPr>
            <w:tcW w:w="236" w:type="dxa"/>
            <w:vMerge/>
            <w:vAlign w:val="center"/>
            <w:hideMark/>
          </w:tcPr>
          <w:p w14:paraId="78443A66" w14:textId="77777777" w:rsidR="002B40FB" w:rsidRPr="00172DAD" w:rsidRDefault="002B40FB" w:rsidP="008D7893">
            <w:pPr>
              <w:spacing w:line="240" w:lineRule="auto"/>
              <w:jc w:val="center"/>
              <w:rPr>
                <w:rFonts w:cs="Times New Roman"/>
                <w:color w:val="000000"/>
              </w:rPr>
            </w:pPr>
          </w:p>
        </w:tc>
        <w:tc>
          <w:tcPr>
            <w:tcW w:w="1030" w:type="dxa"/>
            <w:shd w:val="clear" w:color="auto" w:fill="auto"/>
            <w:noWrap/>
            <w:vAlign w:val="center"/>
          </w:tcPr>
          <w:p w14:paraId="6C815842" w14:textId="77777777" w:rsidR="002B40FB" w:rsidRPr="00172DAD" w:rsidRDefault="002B40FB" w:rsidP="008D7893">
            <w:pPr>
              <w:spacing w:line="240" w:lineRule="auto"/>
              <w:jc w:val="center"/>
              <w:rPr>
                <w:rFonts w:cs="Times New Roman"/>
                <w:color w:val="000000"/>
              </w:rPr>
            </w:pPr>
            <w:r w:rsidRPr="00172DAD">
              <w:rPr>
                <w:rFonts w:cs="Times New Roman"/>
                <w:color w:val="000000"/>
              </w:rPr>
              <w:t>9.4</w:t>
            </w:r>
          </w:p>
        </w:tc>
        <w:tc>
          <w:tcPr>
            <w:tcW w:w="1150" w:type="dxa"/>
            <w:shd w:val="clear" w:color="auto" w:fill="auto"/>
            <w:noWrap/>
            <w:vAlign w:val="center"/>
          </w:tcPr>
          <w:p w14:paraId="3923C9E6" w14:textId="77777777" w:rsidR="002B40FB" w:rsidRPr="00172DAD" w:rsidRDefault="002B40FB" w:rsidP="008D7893">
            <w:pPr>
              <w:spacing w:line="240" w:lineRule="auto"/>
              <w:jc w:val="center"/>
              <w:rPr>
                <w:rFonts w:cs="Times New Roman"/>
                <w:color w:val="000000"/>
              </w:rPr>
            </w:pPr>
            <w:r w:rsidRPr="00172DAD">
              <w:rPr>
                <w:rFonts w:cs="Times New Roman"/>
                <w:color w:val="000000"/>
              </w:rPr>
              <w:t>136.0</w:t>
            </w:r>
          </w:p>
        </w:tc>
        <w:tc>
          <w:tcPr>
            <w:tcW w:w="1030" w:type="dxa"/>
            <w:shd w:val="clear" w:color="auto" w:fill="auto"/>
            <w:noWrap/>
            <w:vAlign w:val="center"/>
          </w:tcPr>
          <w:p w14:paraId="2D054204" w14:textId="77777777" w:rsidR="002B40FB" w:rsidRPr="00172DAD" w:rsidRDefault="002B40FB" w:rsidP="008D7893">
            <w:pPr>
              <w:spacing w:line="240" w:lineRule="auto"/>
              <w:jc w:val="center"/>
              <w:rPr>
                <w:rFonts w:cs="Times New Roman"/>
                <w:color w:val="000000"/>
              </w:rPr>
            </w:pPr>
            <w:r w:rsidRPr="00172DAD">
              <w:rPr>
                <w:rFonts w:cs="Times New Roman"/>
                <w:color w:val="000000"/>
              </w:rPr>
              <w:t>0.5</w:t>
            </w:r>
          </w:p>
        </w:tc>
        <w:tc>
          <w:tcPr>
            <w:tcW w:w="1190" w:type="dxa"/>
            <w:shd w:val="clear" w:color="auto" w:fill="auto"/>
            <w:noWrap/>
            <w:vAlign w:val="center"/>
          </w:tcPr>
          <w:p w14:paraId="3DC2558A" w14:textId="77777777" w:rsidR="002B40FB" w:rsidRPr="00172DAD" w:rsidRDefault="002B40FB" w:rsidP="008D7893">
            <w:pPr>
              <w:spacing w:line="240" w:lineRule="auto"/>
              <w:jc w:val="center"/>
              <w:rPr>
                <w:rFonts w:cs="Times New Roman"/>
                <w:color w:val="000000"/>
              </w:rPr>
            </w:pPr>
            <w:r w:rsidRPr="00172DAD">
              <w:rPr>
                <w:rFonts w:cs="Times New Roman"/>
                <w:color w:val="000000"/>
              </w:rPr>
              <w:t>1.2%</w:t>
            </w:r>
          </w:p>
        </w:tc>
        <w:tc>
          <w:tcPr>
            <w:tcW w:w="976" w:type="dxa"/>
          </w:tcPr>
          <w:p w14:paraId="635870EA" w14:textId="77777777" w:rsidR="002B40FB" w:rsidRPr="00172DAD" w:rsidRDefault="002B40FB" w:rsidP="008D7893">
            <w:pPr>
              <w:spacing w:line="240" w:lineRule="auto"/>
              <w:jc w:val="center"/>
              <w:rPr>
                <w:rFonts w:cs="Times New Roman"/>
                <w:color w:val="000000"/>
              </w:rPr>
            </w:pPr>
            <w:r w:rsidRPr="00172DAD">
              <w:rPr>
                <w:rFonts w:cs="Times New Roman"/>
                <w:color w:val="000000"/>
              </w:rPr>
              <w:t>1.1</w:t>
            </w:r>
          </w:p>
        </w:tc>
      </w:tr>
    </w:tbl>
    <w:p w14:paraId="472675DB" w14:textId="77777777" w:rsidR="002B40FB" w:rsidRDefault="002B40FB" w:rsidP="00C97F18">
      <w:pPr>
        <w:ind w:firstLine="720"/>
      </w:pPr>
    </w:p>
    <w:p w14:paraId="7AE84E4A" w14:textId="3A9B01AB" w:rsidR="00F36352" w:rsidRDefault="00F36352" w:rsidP="003E1B51">
      <w:pPr>
        <w:pStyle w:val="Heading3"/>
      </w:pPr>
      <w:bookmarkStart w:id="131" w:name="_Toc67566058"/>
      <w:r>
        <w:t xml:space="preserve">GoM </w:t>
      </w:r>
      <w:r w:rsidR="006348F1">
        <w:t>Parametric Study</w:t>
      </w:r>
      <w:bookmarkEnd w:id="131"/>
    </w:p>
    <w:p w14:paraId="5E66534D" w14:textId="132C85E4" w:rsidR="00F36352" w:rsidRDefault="00641F4C" w:rsidP="00437804">
      <w:r>
        <w:tab/>
      </w:r>
      <w:r w:rsidR="00437804">
        <w:t>The results of the GoM parametric study of the three wells in the Eugene Island OPD compare the effect of wellbore parameters in terms of stress development and compare the effect of modeling the staged wellbore as a stress continuum or with fracture criteria at the cement interface. The results of the s</w:t>
      </w:r>
      <w:r w:rsidR="00FE54A1">
        <w:t xml:space="preserve">taged </w:t>
      </w:r>
      <w:r>
        <w:t>poro-elastic FEA stress</w:t>
      </w:r>
      <w:r w:rsidR="00437804">
        <w:t xml:space="preserve"> continuum</w:t>
      </w:r>
      <w:r>
        <w:t xml:space="preserve"> model were completed </w:t>
      </w:r>
      <w:r w:rsidR="006D48F6" w:rsidRPr="00B92BF4">
        <w:t xml:space="preserve">previously </w:t>
      </w:r>
      <w:r w:rsidR="00437804" w:rsidRPr="00B92BF4">
        <w:t>in Wise et al. (2019)</w:t>
      </w:r>
      <w:r w:rsidRPr="00B92BF4">
        <w:t>. The full results for the stress</w:t>
      </w:r>
      <w:r w:rsidR="00437804" w:rsidRPr="00B92BF4">
        <w:t xml:space="preserve"> continuum model</w:t>
      </w:r>
      <w:r w:rsidRPr="00B92BF4">
        <w:t xml:space="preserve"> are listed in Appendix </w:t>
      </w:r>
      <w:r w:rsidR="006D48F6" w:rsidRPr="00B92BF4">
        <w:t>I</w:t>
      </w:r>
      <w:r w:rsidRPr="00B92BF4">
        <w:t xml:space="preserve">. </w:t>
      </w:r>
      <w:r w:rsidR="00437804" w:rsidRPr="00B92BF4">
        <w:t>The</w:t>
      </w:r>
      <w:r w:rsidR="00437804">
        <w:t xml:space="preserve"> results of the comparison are </w:t>
      </w:r>
      <w:r w:rsidR="002748DD">
        <w:t xml:space="preserve">presented in two sections. The first section (Section 5.3.1) compares the effective stress of the base case wellbores for the stress continuum and fracture model. Section 5.1.5 compares the parameter sensitivity analysis for the stress contributing factors. </w:t>
      </w:r>
    </w:p>
    <w:p w14:paraId="13B95285" w14:textId="4EEAFFE9" w:rsidR="000959DD" w:rsidRPr="006348F1" w:rsidRDefault="000837A8" w:rsidP="00035812">
      <w:pPr>
        <w:pStyle w:val="Heading4"/>
      </w:pPr>
      <w:r w:rsidRPr="006348F1">
        <w:lastRenderedPageBreak/>
        <w:t>Base Case Wells</w:t>
      </w:r>
    </w:p>
    <w:p w14:paraId="536B0F63" w14:textId="680AB36E" w:rsidR="00DC30BA" w:rsidRDefault="000959DD" w:rsidP="00F36352">
      <w:r>
        <w:tab/>
      </w:r>
      <w:r w:rsidR="00341E81">
        <w:t xml:space="preserve">The three base case wells </w:t>
      </w:r>
      <w:r w:rsidR="00341E81" w:rsidRPr="00587640">
        <w:t xml:space="preserve">compare the effective stress at the cement/rock (C/R) and casing/cement (C/C) interfaces for the stress continuum and fracture model in </w:t>
      </w:r>
      <w:r w:rsidR="000837A8" w:rsidRPr="00587640">
        <w:t>Table 5.</w:t>
      </w:r>
      <w:r w:rsidR="008C6FD4">
        <w:t>8</w:t>
      </w:r>
      <w:r w:rsidR="000837A8" w:rsidRPr="00587640">
        <w:t>. The gray shadowed coloring indicates tensile stresses in the stress</w:t>
      </w:r>
      <w:r w:rsidR="00035812" w:rsidRPr="00587640">
        <w:t xml:space="preserve"> continuum</w:t>
      </w:r>
      <w:r w:rsidR="00341E81" w:rsidRPr="00587640">
        <w:t xml:space="preserve"> model</w:t>
      </w:r>
      <w:r w:rsidR="000837A8" w:rsidRPr="00587640">
        <w:t xml:space="preserve"> and the orange shading indicates tensile stresses in the </w:t>
      </w:r>
      <w:r w:rsidR="00035812" w:rsidRPr="00587640">
        <w:t xml:space="preserve">fracture </w:t>
      </w:r>
      <w:r w:rsidR="000837A8" w:rsidRPr="00587640">
        <w:t>model. The base results for the</w:t>
      </w:r>
      <w:r w:rsidR="000837A8">
        <w:t xml:space="preserve"> </w:t>
      </w:r>
      <w:r w:rsidR="00035812">
        <w:t xml:space="preserve">continuum </w:t>
      </w:r>
      <w:r w:rsidR="000837A8">
        <w:t xml:space="preserve">model show that the medium and deep wells are experiencing tensile stresses in the radial directions which indicates debonding. The medium well is experiencing debonding at both the casing/cement and cement/rock formation interfaces while the deep well is only debonding at the casing/cement interface in the </w:t>
      </w:r>
      <w:r w:rsidR="00035812">
        <w:t xml:space="preserve">continuum </w:t>
      </w:r>
      <w:r w:rsidR="000837A8">
        <w:t xml:space="preserve">model. However, only the medium well is experiencing debonding at the casing/cement interface in the </w:t>
      </w:r>
      <w:r w:rsidR="00035812">
        <w:t>fracture</w:t>
      </w:r>
      <w:r w:rsidR="000837A8">
        <w:t xml:space="preserve"> model. The shallow well is not experiencing any tensile stresses for both models.</w:t>
      </w:r>
      <w:r w:rsidR="00B406A1">
        <w:t xml:space="preserve"> Disking of the cement sheath is not a concern for the three wells since the effective vertical stresses are all compressive.</w:t>
      </w:r>
    </w:p>
    <w:p w14:paraId="7D926903" w14:textId="3B30ACDC" w:rsidR="0096409D" w:rsidRDefault="0096409D" w:rsidP="00F36352"/>
    <w:p w14:paraId="55643CD3" w14:textId="094DE1E5" w:rsidR="0096409D" w:rsidRDefault="0096409D" w:rsidP="00F36352"/>
    <w:p w14:paraId="0BDFB6A8" w14:textId="5D753678" w:rsidR="0096409D" w:rsidRDefault="0096409D" w:rsidP="00F36352"/>
    <w:p w14:paraId="74B78CFB" w14:textId="3BECC611" w:rsidR="0096409D" w:rsidRDefault="0096409D" w:rsidP="00F36352"/>
    <w:p w14:paraId="05774A21" w14:textId="58852D0E" w:rsidR="0096409D" w:rsidRDefault="0096409D" w:rsidP="00F36352"/>
    <w:p w14:paraId="081E6840" w14:textId="503F160C" w:rsidR="0096409D" w:rsidRDefault="0096409D" w:rsidP="00F36352"/>
    <w:p w14:paraId="1F3DBCC7" w14:textId="5EB22588" w:rsidR="0096409D" w:rsidRDefault="0096409D" w:rsidP="00F36352"/>
    <w:p w14:paraId="7356B3E3" w14:textId="35A857C9" w:rsidR="0096409D" w:rsidRDefault="0096409D" w:rsidP="00F36352"/>
    <w:p w14:paraId="163C9A28" w14:textId="0D1C5BD2" w:rsidR="0096409D" w:rsidRDefault="0096409D" w:rsidP="00F36352"/>
    <w:p w14:paraId="13FB45B5" w14:textId="5BA374CC" w:rsidR="0096409D" w:rsidRDefault="0096409D" w:rsidP="00F36352"/>
    <w:p w14:paraId="28C4A767" w14:textId="77777777" w:rsidR="0096409D" w:rsidRDefault="0096409D" w:rsidP="00F36352"/>
    <w:p w14:paraId="25E96A29" w14:textId="3A059C3D" w:rsidR="005D72F0" w:rsidRDefault="005D72F0" w:rsidP="00BC23AD">
      <w:pPr>
        <w:pStyle w:val="Caption"/>
      </w:pPr>
      <w:bookmarkStart w:id="132" w:name="_Toc67566103"/>
      <w:r>
        <w:lastRenderedPageBreak/>
        <w:t xml:space="preserve">Table </w:t>
      </w:r>
      <w:r w:rsidR="00077C0B">
        <w:fldChar w:fldCharType="begin"/>
      </w:r>
      <w:r w:rsidR="00077C0B">
        <w:instrText xml:space="preserve"> STYLEREF 1 \s </w:instrText>
      </w:r>
      <w:r w:rsidR="00077C0B">
        <w:fldChar w:fldCharType="separate"/>
      </w:r>
      <w:r w:rsidR="0006023A">
        <w:rPr>
          <w:noProof/>
        </w:rPr>
        <w:t>5</w:t>
      </w:r>
      <w:r w:rsidR="00077C0B">
        <w:rPr>
          <w:noProof/>
        </w:rPr>
        <w:fldChar w:fldCharType="end"/>
      </w:r>
      <w:r w:rsidR="00DD1F74">
        <w:t>.</w:t>
      </w:r>
      <w:r w:rsidR="00077C0B">
        <w:fldChar w:fldCharType="begin"/>
      </w:r>
      <w:r w:rsidR="00077C0B">
        <w:instrText xml:space="preserve"> SEQ Table \* ARABIC \s 1 </w:instrText>
      </w:r>
      <w:r w:rsidR="00077C0B">
        <w:fldChar w:fldCharType="separate"/>
      </w:r>
      <w:r w:rsidR="0006023A">
        <w:rPr>
          <w:noProof/>
        </w:rPr>
        <w:t>8</w:t>
      </w:r>
      <w:r w:rsidR="00077C0B">
        <w:rPr>
          <w:noProof/>
        </w:rPr>
        <w:fldChar w:fldCharType="end"/>
      </w:r>
      <w:r>
        <w:t xml:space="preserve">: Base case wellbores comparison between the </w:t>
      </w:r>
      <w:r w:rsidR="00035812">
        <w:t>stress continuum</w:t>
      </w:r>
      <w:r>
        <w:t xml:space="preserve"> model</w:t>
      </w:r>
      <w:r w:rsidR="00BB6766">
        <w:t xml:space="preserve"> (stress model)</w:t>
      </w:r>
      <w:r>
        <w:t xml:space="preserve"> and the </w:t>
      </w:r>
      <w:r w:rsidR="00BB6766">
        <w:t xml:space="preserve">fracture </w:t>
      </w:r>
      <w:r>
        <w:t xml:space="preserve">model for the shallow, medium, and deep depth wellbores. The gray shaded cells represent tensile failure in the stress </w:t>
      </w:r>
      <w:r w:rsidR="00BB6766">
        <w:t xml:space="preserve">continuum </w:t>
      </w:r>
      <w:r>
        <w:t xml:space="preserve">model whereas the orange shaded cell represents tensile failure in the </w:t>
      </w:r>
      <w:r w:rsidR="00BB6766">
        <w:t xml:space="preserve">fracture </w:t>
      </w:r>
      <w:r>
        <w:t>model resulting in a microannuli gap width of 13.6 μm.</w:t>
      </w:r>
      <w:bookmarkEnd w:id="132"/>
    </w:p>
    <w:p w14:paraId="43C262F0" w14:textId="0A53C96E" w:rsidR="0096409D" w:rsidRDefault="0096409D" w:rsidP="0096409D">
      <w:r>
        <w:rPr>
          <w:noProof/>
        </w:rPr>
        <mc:AlternateContent>
          <mc:Choice Requires="wps">
            <w:drawing>
              <wp:inline distT="0" distB="0" distL="0" distR="0" wp14:anchorId="4B6326CA" wp14:editId="3B6DA6CA">
                <wp:extent cx="7040880" cy="5943600"/>
                <wp:effectExtent l="0" t="3810" r="3810" b="3810"/>
                <wp:docPr id="90" name="Text Box 90"/>
                <wp:cNvGraphicFramePr/>
                <a:graphic xmlns:a="http://schemas.openxmlformats.org/drawingml/2006/main">
                  <a:graphicData uri="http://schemas.microsoft.com/office/word/2010/wordprocessingShape">
                    <wps:wsp>
                      <wps:cNvSpPr txBox="1"/>
                      <wps:spPr>
                        <a:xfrm rot="16200000">
                          <a:off x="0" y="0"/>
                          <a:ext cx="7040880" cy="5943600"/>
                        </a:xfrm>
                        <a:prstGeom prst="rect">
                          <a:avLst/>
                        </a:prstGeom>
                        <a:solidFill>
                          <a:prstClr val="white"/>
                        </a:solidFill>
                        <a:ln>
                          <a:noFill/>
                        </a:ln>
                      </wps:spPr>
                      <wps:txbx>
                        <w:txbxContent>
                          <w:p w14:paraId="1AD26B19" w14:textId="2FF19441" w:rsidR="00FF3468" w:rsidRDefault="00FF3468" w:rsidP="0096409D">
                            <w:pPr>
                              <w:pStyle w:val="MainText"/>
                              <w:rPr>
                                <w:sz w:val="20"/>
                                <w:lang w:val="en-CA"/>
                              </w:rPr>
                            </w:pPr>
                          </w:p>
                          <w:p w14:paraId="61D15CE0" w14:textId="2C1A1F07" w:rsidR="00FF3468" w:rsidRDefault="00FF3468" w:rsidP="0096409D">
                            <w:pPr>
                              <w:pStyle w:val="MainText"/>
                              <w:rPr>
                                <w:sz w:val="20"/>
                                <w:lang w:val="en-CA"/>
                              </w:rPr>
                            </w:pPr>
                          </w:p>
                          <w:p w14:paraId="01252245" w14:textId="394221A8" w:rsidR="00FF3468" w:rsidRDefault="00FF3468" w:rsidP="0096409D">
                            <w:pPr>
                              <w:pStyle w:val="MainText"/>
                              <w:rPr>
                                <w:sz w:val="20"/>
                                <w:lang w:val="en-CA"/>
                              </w:rPr>
                            </w:pPr>
                          </w:p>
                          <w:p w14:paraId="3911EC58" w14:textId="20A3CF67" w:rsidR="00FF3468" w:rsidRDefault="00FF3468" w:rsidP="0096409D">
                            <w:pPr>
                              <w:pStyle w:val="MainText"/>
                              <w:rPr>
                                <w:sz w:val="20"/>
                                <w:lang w:val="en-CA"/>
                              </w:rPr>
                            </w:pPr>
                          </w:p>
                          <w:p w14:paraId="47586734" w14:textId="1B8C1857" w:rsidR="00FF3468" w:rsidRDefault="00FF3468" w:rsidP="0096409D">
                            <w:pPr>
                              <w:pStyle w:val="MainText"/>
                              <w:rPr>
                                <w:sz w:val="20"/>
                                <w:lang w:val="en-CA"/>
                              </w:rPr>
                            </w:pPr>
                          </w:p>
                          <w:p w14:paraId="688E850A" w14:textId="70F9ED24" w:rsidR="00FF3468" w:rsidRDefault="00FF3468" w:rsidP="0096409D">
                            <w:pPr>
                              <w:pStyle w:val="MainText"/>
                              <w:rPr>
                                <w:sz w:val="20"/>
                                <w:lang w:val="en-CA"/>
                              </w:rPr>
                            </w:pPr>
                          </w:p>
                          <w:p w14:paraId="3F0B755D" w14:textId="1CFFF6EF" w:rsidR="00FF3468" w:rsidRDefault="00FF3468" w:rsidP="0096409D">
                            <w:pPr>
                              <w:pStyle w:val="MainText"/>
                              <w:rPr>
                                <w:sz w:val="20"/>
                                <w:lang w:val="en-CA"/>
                              </w:rPr>
                            </w:pPr>
                          </w:p>
                          <w:p w14:paraId="22B0E24D" w14:textId="77777777" w:rsidR="00FF3468" w:rsidRPr="00117D89" w:rsidRDefault="00FF3468" w:rsidP="0096409D">
                            <w:pPr>
                              <w:pStyle w:val="MainText"/>
                              <w:rPr>
                                <w:sz w:val="20"/>
                              </w:rPr>
                            </w:pPr>
                          </w:p>
                          <w:p w14:paraId="1563535C" w14:textId="5B166236" w:rsidR="00FF3468" w:rsidRDefault="00FF3468" w:rsidP="0096409D"/>
                          <w:tbl>
                            <w:tblPr>
                              <w:tblStyle w:val="TableGrid"/>
                              <w:tblW w:w="10944" w:type="dxa"/>
                              <w:jc w:val="center"/>
                              <w:tblLayout w:type="fixed"/>
                              <w:tblCellMar>
                                <w:left w:w="115" w:type="dxa"/>
                                <w:right w:w="115" w:type="dxa"/>
                              </w:tblCellMar>
                              <w:tblLook w:val="04A0" w:firstRow="1" w:lastRow="0" w:firstColumn="1" w:lastColumn="0" w:noHBand="0" w:noVBand="1"/>
                            </w:tblPr>
                            <w:tblGrid>
                              <w:gridCol w:w="1872"/>
                              <w:gridCol w:w="864"/>
                              <w:gridCol w:w="1296"/>
                              <w:gridCol w:w="864"/>
                              <w:gridCol w:w="864"/>
                              <w:gridCol w:w="1296"/>
                              <w:gridCol w:w="864"/>
                              <w:gridCol w:w="864"/>
                              <w:gridCol w:w="1296"/>
                              <w:gridCol w:w="864"/>
                            </w:tblGrid>
                            <w:tr w:rsidR="00FF3468" w:rsidRPr="00780064" w14:paraId="4CA265EB" w14:textId="77777777" w:rsidTr="0096409D">
                              <w:trPr>
                                <w:cantSplit/>
                                <w:jc w:val="center"/>
                              </w:trPr>
                              <w:tc>
                                <w:tcPr>
                                  <w:tcW w:w="1872" w:type="dxa"/>
                                  <w:tcBorders>
                                    <w:top w:val="nil"/>
                                    <w:left w:val="nil"/>
                                    <w:bottom w:val="nil"/>
                                    <w:right w:val="nil"/>
                                  </w:tcBorders>
                                </w:tcPr>
                                <w:p w14:paraId="629B817D" w14:textId="77777777" w:rsidR="00FF3468" w:rsidRPr="00780064" w:rsidRDefault="00FF3468" w:rsidP="0096409D">
                                  <w:pPr>
                                    <w:spacing w:line="240" w:lineRule="auto"/>
                                    <w:jc w:val="center"/>
                                    <w:rPr>
                                      <w:sz w:val="20"/>
                                      <w:szCs w:val="20"/>
                                    </w:rPr>
                                  </w:pPr>
                                </w:p>
                              </w:tc>
                              <w:tc>
                                <w:tcPr>
                                  <w:tcW w:w="3024" w:type="dxa"/>
                                  <w:gridSpan w:val="3"/>
                                  <w:tcBorders>
                                    <w:top w:val="nil"/>
                                    <w:left w:val="nil"/>
                                    <w:bottom w:val="nil"/>
                                    <w:right w:val="nil"/>
                                  </w:tcBorders>
                                </w:tcPr>
                                <w:p w14:paraId="02C38E34" w14:textId="77777777" w:rsidR="00FF3468" w:rsidRPr="00780064" w:rsidRDefault="00FF3468" w:rsidP="0096409D">
                                  <w:pPr>
                                    <w:spacing w:line="240" w:lineRule="auto"/>
                                    <w:jc w:val="center"/>
                                    <w:rPr>
                                      <w:sz w:val="20"/>
                                      <w:szCs w:val="20"/>
                                    </w:rPr>
                                  </w:pPr>
                                  <w:r w:rsidRPr="00780064">
                                    <w:rPr>
                                      <w:sz w:val="20"/>
                                      <w:szCs w:val="20"/>
                                    </w:rPr>
                                    <w:t>Shallow</w:t>
                                  </w:r>
                                  <w:r>
                                    <w:rPr>
                                      <w:sz w:val="20"/>
                                      <w:szCs w:val="20"/>
                                    </w:rPr>
                                    <w:t xml:space="preserve"> Well</w:t>
                                  </w:r>
                                </w:p>
                              </w:tc>
                              <w:tc>
                                <w:tcPr>
                                  <w:tcW w:w="3024" w:type="dxa"/>
                                  <w:gridSpan w:val="3"/>
                                  <w:tcBorders>
                                    <w:top w:val="nil"/>
                                    <w:left w:val="nil"/>
                                    <w:bottom w:val="nil"/>
                                    <w:right w:val="nil"/>
                                  </w:tcBorders>
                                </w:tcPr>
                                <w:p w14:paraId="233319B0" w14:textId="77777777" w:rsidR="00FF3468" w:rsidRPr="00780064" w:rsidRDefault="00FF3468" w:rsidP="0096409D">
                                  <w:pPr>
                                    <w:spacing w:line="240" w:lineRule="auto"/>
                                    <w:jc w:val="center"/>
                                    <w:rPr>
                                      <w:sz w:val="20"/>
                                      <w:szCs w:val="20"/>
                                    </w:rPr>
                                  </w:pPr>
                                  <w:r w:rsidRPr="00780064">
                                    <w:rPr>
                                      <w:sz w:val="20"/>
                                      <w:szCs w:val="20"/>
                                    </w:rPr>
                                    <w:t>Medium</w:t>
                                  </w:r>
                                  <w:r>
                                    <w:rPr>
                                      <w:sz w:val="20"/>
                                      <w:szCs w:val="20"/>
                                    </w:rPr>
                                    <w:t xml:space="preserve"> Well</w:t>
                                  </w:r>
                                </w:p>
                              </w:tc>
                              <w:tc>
                                <w:tcPr>
                                  <w:tcW w:w="3024" w:type="dxa"/>
                                  <w:gridSpan w:val="3"/>
                                  <w:tcBorders>
                                    <w:top w:val="nil"/>
                                    <w:left w:val="nil"/>
                                    <w:bottom w:val="nil"/>
                                    <w:right w:val="nil"/>
                                  </w:tcBorders>
                                </w:tcPr>
                                <w:p w14:paraId="7A6D42A3" w14:textId="77777777" w:rsidR="00FF3468" w:rsidRPr="00780064" w:rsidRDefault="00FF3468" w:rsidP="0096409D">
                                  <w:pPr>
                                    <w:spacing w:line="240" w:lineRule="auto"/>
                                    <w:jc w:val="center"/>
                                    <w:rPr>
                                      <w:sz w:val="20"/>
                                      <w:szCs w:val="20"/>
                                    </w:rPr>
                                  </w:pPr>
                                  <w:r w:rsidRPr="00780064">
                                    <w:rPr>
                                      <w:sz w:val="20"/>
                                      <w:szCs w:val="20"/>
                                    </w:rPr>
                                    <w:t>Deep</w:t>
                                  </w:r>
                                  <w:r>
                                    <w:rPr>
                                      <w:sz w:val="20"/>
                                      <w:szCs w:val="20"/>
                                    </w:rPr>
                                    <w:t xml:space="preserve"> Well</w:t>
                                  </w:r>
                                </w:p>
                              </w:tc>
                            </w:tr>
                            <w:tr w:rsidR="00FF3468" w:rsidRPr="00780064" w14:paraId="6A76E558" w14:textId="77777777" w:rsidTr="0096409D">
                              <w:trPr>
                                <w:cantSplit/>
                                <w:jc w:val="center"/>
                              </w:trPr>
                              <w:tc>
                                <w:tcPr>
                                  <w:tcW w:w="1872" w:type="dxa"/>
                                  <w:vMerge w:val="restart"/>
                                  <w:tcBorders>
                                    <w:top w:val="nil"/>
                                    <w:left w:val="nil"/>
                                    <w:bottom w:val="nil"/>
                                    <w:right w:val="single" w:sz="4" w:space="0" w:color="auto"/>
                                  </w:tcBorders>
                                  <w:vAlign w:val="bottom"/>
                                </w:tcPr>
                                <w:p w14:paraId="0D2CC835" w14:textId="77777777" w:rsidR="00FF3468" w:rsidRPr="00780064" w:rsidRDefault="00FF3468" w:rsidP="0096409D">
                                  <w:pPr>
                                    <w:spacing w:line="240" w:lineRule="auto"/>
                                    <w:jc w:val="center"/>
                                    <w:rPr>
                                      <w:sz w:val="20"/>
                                      <w:szCs w:val="20"/>
                                    </w:rPr>
                                  </w:pPr>
                                  <w:r w:rsidRPr="00780064">
                                    <w:rPr>
                                      <w:sz w:val="20"/>
                                      <w:szCs w:val="20"/>
                                    </w:rPr>
                                    <w:t>Effective Interface Stresses</w:t>
                                  </w:r>
                                </w:p>
                              </w:tc>
                              <w:tc>
                                <w:tcPr>
                                  <w:tcW w:w="864" w:type="dxa"/>
                                  <w:tcBorders>
                                    <w:top w:val="nil"/>
                                    <w:left w:val="single" w:sz="4" w:space="0" w:color="auto"/>
                                    <w:bottom w:val="nil"/>
                                    <w:right w:val="nil"/>
                                  </w:tcBorders>
                                </w:tcPr>
                                <w:p w14:paraId="0A0958F2" w14:textId="77777777" w:rsidR="00FF3468" w:rsidRPr="00780064" w:rsidRDefault="00FF3468" w:rsidP="0096409D">
                                  <w:pPr>
                                    <w:spacing w:line="240" w:lineRule="auto"/>
                                    <w:jc w:val="center"/>
                                    <w:rPr>
                                      <w:sz w:val="20"/>
                                      <w:szCs w:val="20"/>
                                    </w:rPr>
                                  </w:pPr>
                                  <w:r>
                                    <w:rPr>
                                      <w:sz w:val="20"/>
                                      <w:szCs w:val="20"/>
                                    </w:rPr>
                                    <w:t>Stress</w:t>
                                  </w:r>
                                  <w:r w:rsidRPr="00780064">
                                    <w:rPr>
                                      <w:sz w:val="20"/>
                                      <w:szCs w:val="20"/>
                                    </w:rPr>
                                    <w:t xml:space="preserve"> Model</w:t>
                                  </w:r>
                                </w:p>
                              </w:tc>
                              <w:tc>
                                <w:tcPr>
                                  <w:tcW w:w="1296" w:type="dxa"/>
                                  <w:tcBorders>
                                    <w:top w:val="nil"/>
                                    <w:left w:val="nil"/>
                                    <w:bottom w:val="nil"/>
                                    <w:right w:val="nil"/>
                                  </w:tcBorders>
                                </w:tcPr>
                                <w:p w14:paraId="23A5FE87" w14:textId="77777777" w:rsidR="00FF3468" w:rsidRPr="00780064" w:rsidRDefault="00FF3468" w:rsidP="0096409D">
                                  <w:pPr>
                                    <w:spacing w:line="240" w:lineRule="auto"/>
                                    <w:jc w:val="center"/>
                                    <w:rPr>
                                      <w:sz w:val="20"/>
                                      <w:szCs w:val="20"/>
                                    </w:rPr>
                                  </w:pPr>
                                  <w:r>
                                    <w:rPr>
                                      <w:sz w:val="20"/>
                                      <w:szCs w:val="20"/>
                                    </w:rPr>
                                    <w:t>Fracture</w:t>
                                  </w:r>
                                  <w:r w:rsidRPr="00780064">
                                    <w:rPr>
                                      <w:sz w:val="20"/>
                                      <w:szCs w:val="20"/>
                                    </w:rPr>
                                    <w:t xml:space="preserve"> Model</w:t>
                                  </w:r>
                                </w:p>
                              </w:tc>
                              <w:tc>
                                <w:tcPr>
                                  <w:tcW w:w="864" w:type="dxa"/>
                                  <w:tcBorders>
                                    <w:top w:val="nil"/>
                                    <w:left w:val="nil"/>
                                    <w:bottom w:val="nil"/>
                                    <w:right w:val="single" w:sz="4" w:space="0" w:color="auto"/>
                                  </w:tcBorders>
                                </w:tcPr>
                                <w:p w14:paraId="322246E1" w14:textId="77777777" w:rsidR="00FF3468" w:rsidRPr="00780064" w:rsidRDefault="00FF3468" w:rsidP="0096409D">
                                  <w:pPr>
                                    <w:spacing w:line="240" w:lineRule="auto"/>
                                    <w:jc w:val="center"/>
                                    <w:rPr>
                                      <w:sz w:val="20"/>
                                      <w:szCs w:val="20"/>
                                    </w:rPr>
                                  </w:pPr>
                                  <w:r w:rsidRPr="00780064">
                                    <w:rPr>
                                      <w:sz w:val="20"/>
                                      <w:szCs w:val="20"/>
                                    </w:rPr>
                                    <w:t>Avg. Diff.</w:t>
                                  </w:r>
                                </w:p>
                              </w:tc>
                              <w:tc>
                                <w:tcPr>
                                  <w:tcW w:w="864" w:type="dxa"/>
                                  <w:tcBorders>
                                    <w:top w:val="nil"/>
                                    <w:left w:val="single" w:sz="4" w:space="0" w:color="auto"/>
                                    <w:bottom w:val="nil"/>
                                    <w:right w:val="nil"/>
                                  </w:tcBorders>
                                </w:tcPr>
                                <w:p w14:paraId="6805E44D" w14:textId="77777777" w:rsidR="00FF3468" w:rsidRPr="00780064" w:rsidRDefault="00FF3468" w:rsidP="0096409D">
                                  <w:pPr>
                                    <w:spacing w:line="240" w:lineRule="auto"/>
                                    <w:jc w:val="center"/>
                                    <w:rPr>
                                      <w:sz w:val="20"/>
                                      <w:szCs w:val="20"/>
                                    </w:rPr>
                                  </w:pPr>
                                  <w:r>
                                    <w:rPr>
                                      <w:sz w:val="20"/>
                                      <w:szCs w:val="20"/>
                                    </w:rPr>
                                    <w:t>Stress</w:t>
                                  </w:r>
                                  <w:r w:rsidRPr="00780064">
                                    <w:rPr>
                                      <w:sz w:val="20"/>
                                      <w:szCs w:val="20"/>
                                    </w:rPr>
                                    <w:t xml:space="preserve"> Model</w:t>
                                  </w:r>
                                </w:p>
                              </w:tc>
                              <w:tc>
                                <w:tcPr>
                                  <w:tcW w:w="1296" w:type="dxa"/>
                                  <w:tcBorders>
                                    <w:top w:val="nil"/>
                                    <w:left w:val="nil"/>
                                    <w:bottom w:val="nil"/>
                                    <w:right w:val="nil"/>
                                  </w:tcBorders>
                                </w:tcPr>
                                <w:p w14:paraId="45145183" w14:textId="77777777" w:rsidR="00FF3468" w:rsidRPr="00780064" w:rsidRDefault="00FF3468" w:rsidP="0096409D">
                                  <w:pPr>
                                    <w:spacing w:line="240" w:lineRule="auto"/>
                                    <w:jc w:val="center"/>
                                    <w:rPr>
                                      <w:sz w:val="20"/>
                                      <w:szCs w:val="20"/>
                                    </w:rPr>
                                  </w:pPr>
                                  <w:r>
                                    <w:rPr>
                                      <w:sz w:val="20"/>
                                      <w:szCs w:val="20"/>
                                    </w:rPr>
                                    <w:t>Fracture</w:t>
                                  </w:r>
                                  <w:r w:rsidRPr="00780064">
                                    <w:rPr>
                                      <w:sz w:val="20"/>
                                      <w:szCs w:val="20"/>
                                    </w:rPr>
                                    <w:t xml:space="preserve"> Model</w:t>
                                  </w:r>
                                </w:p>
                              </w:tc>
                              <w:tc>
                                <w:tcPr>
                                  <w:tcW w:w="864" w:type="dxa"/>
                                  <w:tcBorders>
                                    <w:top w:val="nil"/>
                                    <w:left w:val="nil"/>
                                    <w:bottom w:val="nil"/>
                                    <w:right w:val="single" w:sz="4" w:space="0" w:color="auto"/>
                                  </w:tcBorders>
                                </w:tcPr>
                                <w:p w14:paraId="3787EBE0" w14:textId="77777777" w:rsidR="00FF3468" w:rsidRPr="00780064" w:rsidRDefault="00FF3468" w:rsidP="0096409D">
                                  <w:pPr>
                                    <w:spacing w:line="240" w:lineRule="auto"/>
                                    <w:jc w:val="center"/>
                                    <w:rPr>
                                      <w:sz w:val="20"/>
                                      <w:szCs w:val="20"/>
                                    </w:rPr>
                                  </w:pPr>
                                  <w:r w:rsidRPr="00780064">
                                    <w:rPr>
                                      <w:sz w:val="20"/>
                                      <w:szCs w:val="20"/>
                                    </w:rPr>
                                    <w:t>Avg. Diff.</w:t>
                                  </w:r>
                                </w:p>
                              </w:tc>
                              <w:tc>
                                <w:tcPr>
                                  <w:tcW w:w="864" w:type="dxa"/>
                                  <w:tcBorders>
                                    <w:top w:val="nil"/>
                                    <w:left w:val="single" w:sz="4" w:space="0" w:color="auto"/>
                                    <w:bottom w:val="nil"/>
                                    <w:right w:val="nil"/>
                                  </w:tcBorders>
                                </w:tcPr>
                                <w:p w14:paraId="7470CFAE" w14:textId="77777777" w:rsidR="00FF3468" w:rsidRPr="00780064" w:rsidRDefault="00FF3468" w:rsidP="0096409D">
                                  <w:pPr>
                                    <w:spacing w:line="240" w:lineRule="auto"/>
                                    <w:jc w:val="center"/>
                                    <w:rPr>
                                      <w:sz w:val="20"/>
                                      <w:szCs w:val="20"/>
                                    </w:rPr>
                                  </w:pPr>
                                  <w:r>
                                    <w:rPr>
                                      <w:sz w:val="20"/>
                                      <w:szCs w:val="20"/>
                                    </w:rPr>
                                    <w:t>Stress</w:t>
                                  </w:r>
                                  <w:r w:rsidRPr="00780064">
                                    <w:rPr>
                                      <w:sz w:val="20"/>
                                      <w:szCs w:val="20"/>
                                    </w:rPr>
                                    <w:t xml:space="preserve"> Model</w:t>
                                  </w:r>
                                </w:p>
                              </w:tc>
                              <w:tc>
                                <w:tcPr>
                                  <w:tcW w:w="1296" w:type="dxa"/>
                                  <w:tcBorders>
                                    <w:top w:val="nil"/>
                                    <w:left w:val="nil"/>
                                    <w:bottom w:val="nil"/>
                                    <w:right w:val="nil"/>
                                  </w:tcBorders>
                                </w:tcPr>
                                <w:p w14:paraId="26DC4837" w14:textId="77777777" w:rsidR="00FF3468" w:rsidRPr="00780064" w:rsidRDefault="00FF3468" w:rsidP="0096409D">
                                  <w:pPr>
                                    <w:spacing w:line="240" w:lineRule="auto"/>
                                    <w:jc w:val="center"/>
                                    <w:rPr>
                                      <w:sz w:val="20"/>
                                      <w:szCs w:val="20"/>
                                    </w:rPr>
                                  </w:pPr>
                                  <w:r>
                                    <w:rPr>
                                      <w:sz w:val="20"/>
                                      <w:szCs w:val="20"/>
                                    </w:rPr>
                                    <w:t>Fracture</w:t>
                                  </w:r>
                                  <w:r w:rsidRPr="00780064">
                                    <w:rPr>
                                      <w:sz w:val="20"/>
                                      <w:szCs w:val="20"/>
                                    </w:rPr>
                                    <w:t xml:space="preserve"> Model</w:t>
                                  </w:r>
                                </w:p>
                              </w:tc>
                              <w:tc>
                                <w:tcPr>
                                  <w:tcW w:w="864" w:type="dxa"/>
                                  <w:tcBorders>
                                    <w:top w:val="nil"/>
                                    <w:left w:val="nil"/>
                                    <w:bottom w:val="nil"/>
                                    <w:right w:val="nil"/>
                                  </w:tcBorders>
                                </w:tcPr>
                                <w:p w14:paraId="6BCB1F26" w14:textId="77777777" w:rsidR="00FF3468" w:rsidRPr="00780064" w:rsidRDefault="00FF3468" w:rsidP="0096409D">
                                  <w:pPr>
                                    <w:spacing w:line="240" w:lineRule="auto"/>
                                    <w:jc w:val="center"/>
                                    <w:rPr>
                                      <w:sz w:val="20"/>
                                      <w:szCs w:val="20"/>
                                    </w:rPr>
                                  </w:pPr>
                                  <w:r w:rsidRPr="00780064">
                                    <w:rPr>
                                      <w:sz w:val="20"/>
                                      <w:szCs w:val="20"/>
                                    </w:rPr>
                                    <w:t>Avg. Diff.</w:t>
                                  </w:r>
                                </w:p>
                              </w:tc>
                            </w:tr>
                            <w:tr w:rsidR="00FF3468" w:rsidRPr="00780064" w14:paraId="1D2EFCD0" w14:textId="77777777" w:rsidTr="0096409D">
                              <w:trPr>
                                <w:cantSplit/>
                                <w:jc w:val="center"/>
                              </w:trPr>
                              <w:tc>
                                <w:tcPr>
                                  <w:tcW w:w="1872" w:type="dxa"/>
                                  <w:vMerge/>
                                  <w:tcBorders>
                                    <w:top w:val="nil"/>
                                    <w:left w:val="nil"/>
                                    <w:bottom w:val="single" w:sz="4" w:space="0" w:color="auto"/>
                                    <w:right w:val="single" w:sz="4" w:space="0" w:color="auto"/>
                                  </w:tcBorders>
                                </w:tcPr>
                                <w:p w14:paraId="6E495A93" w14:textId="77777777" w:rsidR="00FF3468" w:rsidRPr="00780064" w:rsidRDefault="00FF3468" w:rsidP="0096409D">
                                  <w:pPr>
                                    <w:spacing w:line="240" w:lineRule="auto"/>
                                    <w:jc w:val="center"/>
                                    <w:rPr>
                                      <w:sz w:val="20"/>
                                      <w:szCs w:val="20"/>
                                    </w:rPr>
                                  </w:pPr>
                                </w:p>
                              </w:tc>
                              <w:tc>
                                <w:tcPr>
                                  <w:tcW w:w="864" w:type="dxa"/>
                                  <w:tcBorders>
                                    <w:top w:val="nil"/>
                                    <w:left w:val="single" w:sz="4" w:space="0" w:color="auto"/>
                                    <w:bottom w:val="single" w:sz="4" w:space="0" w:color="auto"/>
                                    <w:right w:val="nil"/>
                                  </w:tcBorders>
                                </w:tcPr>
                                <w:p w14:paraId="0F24B20A" w14:textId="77777777" w:rsidR="00FF3468" w:rsidRPr="00780064" w:rsidRDefault="00FF3468" w:rsidP="0096409D">
                                  <w:pPr>
                                    <w:spacing w:line="240" w:lineRule="auto"/>
                                    <w:jc w:val="center"/>
                                    <w:rPr>
                                      <w:sz w:val="20"/>
                                      <w:szCs w:val="20"/>
                                    </w:rPr>
                                  </w:pPr>
                                  <w:r w:rsidRPr="00780064">
                                    <w:rPr>
                                      <w:sz w:val="20"/>
                                      <w:szCs w:val="20"/>
                                    </w:rPr>
                                    <w:t>MPa</w:t>
                                  </w:r>
                                </w:p>
                              </w:tc>
                              <w:tc>
                                <w:tcPr>
                                  <w:tcW w:w="1296" w:type="dxa"/>
                                  <w:tcBorders>
                                    <w:top w:val="nil"/>
                                    <w:left w:val="nil"/>
                                    <w:bottom w:val="single" w:sz="4" w:space="0" w:color="auto"/>
                                    <w:right w:val="nil"/>
                                  </w:tcBorders>
                                </w:tcPr>
                                <w:p w14:paraId="0DCEEE32" w14:textId="77777777" w:rsidR="00FF3468" w:rsidRPr="00780064" w:rsidRDefault="00FF3468" w:rsidP="0096409D">
                                  <w:pPr>
                                    <w:spacing w:line="240" w:lineRule="auto"/>
                                    <w:jc w:val="center"/>
                                    <w:rPr>
                                      <w:sz w:val="20"/>
                                      <w:szCs w:val="20"/>
                                    </w:rPr>
                                  </w:pPr>
                                  <w:r w:rsidRPr="00780064">
                                    <w:rPr>
                                      <w:sz w:val="20"/>
                                      <w:szCs w:val="20"/>
                                    </w:rPr>
                                    <w:t>MPa</w:t>
                                  </w:r>
                                </w:p>
                              </w:tc>
                              <w:tc>
                                <w:tcPr>
                                  <w:tcW w:w="864" w:type="dxa"/>
                                  <w:tcBorders>
                                    <w:top w:val="nil"/>
                                    <w:left w:val="nil"/>
                                    <w:bottom w:val="single" w:sz="4" w:space="0" w:color="auto"/>
                                    <w:right w:val="single" w:sz="4" w:space="0" w:color="auto"/>
                                  </w:tcBorders>
                                </w:tcPr>
                                <w:p w14:paraId="5694AF5B" w14:textId="77777777" w:rsidR="00FF3468" w:rsidRPr="00780064" w:rsidRDefault="00FF3468" w:rsidP="0096409D">
                                  <w:pPr>
                                    <w:spacing w:line="240" w:lineRule="auto"/>
                                    <w:jc w:val="center"/>
                                    <w:rPr>
                                      <w:sz w:val="20"/>
                                      <w:szCs w:val="20"/>
                                    </w:rPr>
                                  </w:pPr>
                                  <w:r w:rsidRPr="00780064">
                                    <w:rPr>
                                      <w:sz w:val="20"/>
                                      <w:szCs w:val="20"/>
                                    </w:rPr>
                                    <w:t>%</w:t>
                                  </w:r>
                                </w:p>
                              </w:tc>
                              <w:tc>
                                <w:tcPr>
                                  <w:tcW w:w="864" w:type="dxa"/>
                                  <w:tcBorders>
                                    <w:top w:val="nil"/>
                                    <w:left w:val="single" w:sz="4" w:space="0" w:color="auto"/>
                                    <w:bottom w:val="single" w:sz="4" w:space="0" w:color="auto"/>
                                    <w:right w:val="nil"/>
                                  </w:tcBorders>
                                </w:tcPr>
                                <w:p w14:paraId="211822EE" w14:textId="77777777" w:rsidR="00FF3468" w:rsidRPr="00780064" w:rsidRDefault="00FF3468" w:rsidP="0096409D">
                                  <w:pPr>
                                    <w:spacing w:line="240" w:lineRule="auto"/>
                                    <w:jc w:val="center"/>
                                    <w:rPr>
                                      <w:sz w:val="20"/>
                                      <w:szCs w:val="20"/>
                                    </w:rPr>
                                  </w:pPr>
                                  <w:r w:rsidRPr="00780064">
                                    <w:rPr>
                                      <w:sz w:val="20"/>
                                      <w:szCs w:val="20"/>
                                    </w:rPr>
                                    <w:t>MPa</w:t>
                                  </w:r>
                                </w:p>
                              </w:tc>
                              <w:tc>
                                <w:tcPr>
                                  <w:tcW w:w="1296" w:type="dxa"/>
                                  <w:tcBorders>
                                    <w:top w:val="nil"/>
                                    <w:left w:val="nil"/>
                                    <w:bottom w:val="single" w:sz="4" w:space="0" w:color="auto"/>
                                    <w:right w:val="nil"/>
                                  </w:tcBorders>
                                </w:tcPr>
                                <w:p w14:paraId="3600DB61" w14:textId="77777777" w:rsidR="00FF3468" w:rsidRPr="00780064" w:rsidRDefault="00FF3468" w:rsidP="0096409D">
                                  <w:pPr>
                                    <w:spacing w:line="240" w:lineRule="auto"/>
                                    <w:jc w:val="center"/>
                                    <w:rPr>
                                      <w:sz w:val="20"/>
                                      <w:szCs w:val="20"/>
                                    </w:rPr>
                                  </w:pPr>
                                  <w:r w:rsidRPr="00780064">
                                    <w:rPr>
                                      <w:sz w:val="20"/>
                                      <w:szCs w:val="20"/>
                                    </w:rPr>
                                    <w:t>MPa</w:t>
                                  </w:r>
                                </w:p>
                              </w:tc>
                              <w:tc>
                                <w:tcPr>
                                  <w:tcW w:w="864" w:type="dxa"/>
                                  <w:tcBorders>
                                    <w:top w:val="nil"/>
                                    <w:left w:val="nil"/>
                                    <w:bottom w:val="single" w:sz="4" w:space="0" w:color="auto"/>
                                    <w:right w:val="single" w:sz="4" w:space="0" w:color="auto"/>
                                  </w:tcBorders>
                                </w:tcPr>
                                <w:p w14:paraId="59ECE6B0" w14:textId="77777777" w:rsidR="00FF3468" w:rsidRPr="00780064" w:rsidRDefault="00FF3468" w:rsidP="0096409D">
                                  <w:pPr>
                                    <w:spacing w:line="240" w:lineRule="auto"/>
                                    <w:jc w:val="center"/>
                                    <w:rPr>
                                      <w:sz w:val="20"/>
                                      <w:szCs w:val="20"/>
                                    </w:rPr>
                                  </w:pPr>
                                  <w:r w:rsidRPr="00780064">
                                    <w:rPr>
                                      <w:sz w:val="20"/>
                                      <w:szCs w:val="20"/>
                                    </w:rPr>
                                    <w:t>%</w:t>
                                  </w:r>
                                </w:p>
                              </w:tc>
                              <w:tc>
                                <w:tcPr>
                                  <w:tcW w:w="864" w:type="dxa"/>
                                  <w:tcBorders>
                                    <w:top w:val="nil"/>
                                    <w:left w:val="single" w:sz="4" w:space="0" w:color="auto"/>
                                    <w:bottom w:val="single" w:sz="4" w:space="0" w:color="auto"/>
                                    <w:right w:val="nil"/>
                                  </w:tcBorders>
                                </w:tcPr>
                                <w:p w14:paraId="705ACE98" w14:textId="77777777" w:rsidR="00FF3468" w:rsidRPr="00780064" w:rsidRDefault="00FF3468" w:rsidP="0096409D">
                                  <w:pPr>
                                    <w:spacing w:line="240" w:lineRule="auto"/>
                                    <w:jc w:val="center"/>
                                    <w:rPr>
                                      <w:sz w:val="20"/>
                                      <w:szCs w:val="20"/>
                                    </w:rPr>
                                  </w:pPr>
                                  <w:r w:rsidRPr="00780064">
                                    <w:rPr>
                                      <w:sz w:val="20"/>
                                      <w:szCs w:val="20"/>
                                    </w:rPr>
                                    <w:t>MPa</w:t>
                                  </w:r>
                                </w:p>
                              </w:tc>
                              <w:tc>
                                <w:tcPr>
                                  <w:tcW w:w="1296" w:type="dxa"/>
                                  <w:tcBorders>
                                    <w:top w:val="nil"/>
                                    <w:left w:val="nil"/>
                                    <w:bottom w:val="single" w:sz="4" w:space="0" w:color="auto"/>
                                    <w:right w:val="nil"/>
                                  </w:tcBorders>
                                </w:tcPr>
                                <w:p w14:paraId="66B48332" w14:textId="77777777" w:rsidR="00FF3468" w:rsidRPr="00780064" w:rsidRDefault="00FF3468" w:rsidP="0096409D">
                                  <w:pPr>
                                    <w:spacing w:line="240" w:lineRule="auto"/>
                                    <w:jc w:val="center"/>
                                    <w:rPr>
                                      <w:sz w:val="20"/>
                                      <w:szCs w:val="20"/>
                                    </w:rPr>
                                  </w:pPr>
                                  <w:r w:rsidRPr="00780064">
                                    <w:rPr>
                                      <w:sz w:val="20"/>
                                      <w:szCs w:val="20"/>
                                    </w:rPr>
                                    <w:t>MPa</w:t>
                                  </w:r>
                                </w:p>
                              </w:tc>
                              <w:tc>
                                <w:tcPr>
                                  <w:tcW w:w="864" w:type="dxa"/>
                                  <w:tcBorders>
                                    <w:top w:val="nil"/>
                                    <w:left w:val="nil"/>
                                    <w:bottom w:val="single" w:sz="4" w:space="0" w:color="auto"/>
                                    <w:right w:val="nil"/>
                                  </w:tcBorders>
                                </w:tcPr>
                                <w:p w14:paraId="3619F73F" w14:textId="77777777" w:rsidR="00FF3468" w:rsidRPr="00780064" w:rsidRDefault="00FF3468" w:rsidP="0096409D">
                                  <w:pPr>
                                    <w:spacing w:line="240" w:lineRule="auto"/>
                                    <w:jc w:val="center"/>
                                    <w:rPr>
                                      <w:sz w:val="20"/>
                                      <w:szCs w:val="20"/>
                                    </w:rPr>
                                  </w:pPr>
                                  <w:r w:rsidRPr="00780064">
                                    <w:rPr>
                                      <w:sz w:val="20"/>
                                      <w:szCs w:val="20"/>
                                    </w:rPr>
                                    <w:t>%</w:t>
                                  </w:r>
                                </w:p>
                              </w:tc>
                            </w:tr>
                            <w:tr w:rsidR="00FF3468" w:rsidRPr="00780064" w14:paraId="30AD487B" w14:textId="77777777" w:rsidTr="0096409D">
                              <w:trPr>
                                <w:cantSplit/>
                                <w:jc w:val="center"/>
                              </w:trPr>
                              <w:tc>
                                <w:tcPr>
                                  <w:tcW w:w="1872" w:type="dxa"/>
                                  <w:tcBorders>
                                    <w:top w:val="single" w:sz="4" w:space="0" w:color="auto"/>
                                    <w:left w:val="nil"/>
                                    <w:bottom w:val="nil"/>
                                    <w:right w:val="single" w:sz="4" w:space="0" w:color="auto"/>
                                  </w:tcBorders>
                                </w:tcPr>
                                <w:p w14:paraId="2EA571A2" w14:textId="77777777" w:rsidR="00FF3468" w:rsidRPr="00780064" w:rsidRDefault="00FF3468" w:rsidP="0096409D">
                                  <w:pPr>
                                    <w:spacing w:line="240" w:lineRule="auto"/>
                                    <w:jc w:val="center"/>
                                    <w:rPr>
                                      <w:sz w:val="20"/>
                                      <w:szCs w:val="20"/>
                                    </w:rPr>
                                  </w:pPr>
                                  <w:r w:rsidRPr="00780064">
                                    <w:rPr>
                                      <w:sz w:val="20"/>
                                      <w:szCs w:val="20"/>
                                    </w:rPr>
                                    <w:t>Hoop Stress C/C</w:t>
                                  </w:r>
                                </w:p>
                              </w:tc>
                              <w:tc>
                                <w:tcPr>
                                  <w:tcW w:w="864" w:type="dxa"/>
                                  <w:tcBorders>
                                    <w:top w:val="single" w:sz="4" w:space="0" w:color="auto"/>
                                    <w:left w:val="single" w:sz="4" w:space="0" w:color="auto"/>
                                    <w:bottom w:val="nil"/>
                                    <w:right w:val="nil"/>
                                  </w:tcBorders>
                                </w:tcPr>
                                <w:p w14:paraId="1C0524ED" w14:textId="77777777" w:rsidR="00FF3468" w:rsidRPr="00780064" w:rsidRDefault="00FF3468" w:rsidP="0096409D">
                                  <w:pPr>
                                    <w:spacing w:line="240" w:lineRule="auto"/>
                                    <w:jc w:val="center"/>
                                    <w:rPr>
                                      <w:sz w:val="20"/>
                                      <w:szCs w:val="20"/>
                                    </w:rPr>
                                  </w:pPr>
                                  <w:r w:rsidRPr="00780064">
                                    <w:rPr>
                                      <w:sz w:val="20"/>
                                      <w:szCs w:val="20"/>
                                    </w:rPr>
                                    <w:t>0.90</w:t>
                                  </w:r>
                                </w:p>
                              </w:tc>
                              <w:tc>
                                <w:tcPr>
                                  <w:tcW w:w="1296" w:type="dxa"/>
                                  <w:tcBorders>
                                    <w:top w:val="single" w:sz="4" w:space="0" w:color="auto"/>
                                    <w:left w:val="nil"/>
                                    <w:bottom w:val="nil"/>
                                    <w:right w:val="nil"/>
                                  </w:tcBorders>
                                </w:tcPr>
                                <w:p w14:paraId="0C66601B" w14:textId="77777777" w:rsidR="00FF3468" w:rsidRPr="00780064" w:rsidRDefault="00FF3468" w:rsidP="0096409D">
                                  <w:pPr>
                                    <w:spacing w:line="240" w:lineRule="auto"/>
                                    <w:jc w:val="center"/>
                                    <w:rPr>
                                      <w:sz w:val="20"/>
                                      <w:szCs w:val="20"/>
                                    </w:rPr>
                                  </w:pPr>
                                  <w:r w:rsidRPr="00780064">
                                    <w:rPr>
                                      <w:sz w:val="20"/>
                                      <w:szCs w:val="20"/>
                                    </w:rPr>
                                    <w:t>0.95</w:t>
                                  </w:r>
                                </w:p>
                              </w:tc>
                              <w:tc>
                                <w:tcPr>
                                  <w:tcW w:w="864" w:type="dxa"/>
                                  <w:tcBorders>
                                    <w:top w:val="single" w:sz="4" w:space="0" w:color="auto"/>
                                    <w:left w:val="nil"/>
                                    <w:bottom w:val="nil"/>
                                    <w:right w:val="single" w:sz="4" w:space="0" w:color="auto"/>
                                  </w:tcBorders>
                                </w:tcPr>
                                <w:p w14:paraId="4E81B4A3" w14:textId="77777777" w:rsidR="00FF3468" w:rsidRPr="00780064" w:rsidRDefault="00FF3468" w:rsidP="0096409D">
                                  <w:pPr>
                                    <w:spacing w:line="240" w:lineRule="auto"/>
                                    <w:jc w:val="center"/>
                                    <w:rPr>
                                      <w:sz w:val="20"/>
                                      <w:szCs w:val="20"/>
                                    </w:rPr>
                                  </w:pPr>
                                  <w:r w:rsidRPr="00780064">
                                    <w:rPr>
                                      <w:sz w:val="20"/>
                                      <w:szCs w:val="20"/>
                                    </w:rPr>
                                    <w:t>5.4%</w:t>
                                  </w:r>
                                </w:p>
                              </w:tc>
                              <w:tc>
                                <w:tcPr>
                                  <w:tcW w:w="864" w:type="dxa"/>
                                  <w:tcBorders>
                                    <w:top w:val="single" w:sz="4" w:space="0" w:color="auto"/>
                                    <w:left w:val="single" w:sz="4" w:space="0" w:color="auto"/>
                                    <w:bottom w:val="nil"/>
                                    <w:right w:val="nil"/>
                                  </w:tcBorders>
                                </w:tcPr>
                                <w:p w14:paraId="60FBC055" w14:textId="77777777" w:rsidR="00FF3468" w:rsidRPr="00780064" w:rsidRDefault="00FF3468" w:rsidP="0096409D">
                                  <w:pPr>
                                    <w:spacing w:line="240" w:lineRule="auto"/>
                                    <w:jc w:val="center"/>
                                    <w:rPr>
                                      <w:sz w:val="20"/>
                                      <w:szCs w:val="20"/>
                                    </w:rPr>
                                  </w:pPr>
                                  <w:r w:rsidRPr="00780064">
                                    <w:rPr>
                                      <w:sz w:val="20"/>
                                      <w:szCs w:val="20"/>
                                    </w:rPr>
                                    <w:t>5.70</w:t>
                                  </w:r>
                                </w:p>
                              </w:tc>
                              <w:tc>
                                <w:tcPr>
                                  <w:tcW w:w="1296" w:type="dxa"/>
                                  <w:tcBorders>
                                    <w:top w:val="single" w:sz="4" w:space="0" w:color="auto"/>
                                    <w:left w:val="nil"/>
                                    <w:bottom w:val="nil"/>
                                    <w:right w:val="nil"/>
                                  </w:tcBorders>
                                </w:tcPr>
                                <w:p w14:paraId="350E6508" w14:textId="77777777" w:rsidR="00FF3468" w:rsidRPr="00780064" w:rsidRDefault="00FF3468" w:rsidP="0096409D">
                                  <w:pPr>
                                    <w:spacing w:line="240" w:lineRule="auto"/>
                                    <w:jc w:val="center"/>
                                    <w:rPr>
                                      <w:sz w:val="20"/>
                                      <w:szCs w:val="20"/>
                                    </w:rPr>
                                  </w:pPr>
                                  <w:r w:rsidRPr="00780064">
                                    <w:rPr>
                                      <w:sz w:val="20"/>
                                      <w:szCs w:val="20"/>
                                    </w:rPr>
                                    <w:t>5.00</w:t>
                                  </w:r>
                                </w:p>
                              </w:tc>
                              <w:tc>
                                <w:tcPr>
                                  <w:tcW w:w="864" w:type="dxa"/>
                                  <w:tcBorders>
                                    <w:top w:val="single" w:sz="4" w:space="0" w:color="auto"/>
                                    <w:left w:val="nil"/>
                                    <w:bottom w:val="nil"/>
                                    <w:right w:val="single" w:sz="4" w:space="0" w:color="auto"/>
                                  </w:tcBorders>
                                </w:tcPr>
                                <w:p w14:paraId="0446A9D1" w14:textId="77777777" w:rsidR="00FF3468" w:rsidRPr="00780064" w:rsidRDefault="00FF3468" w:rsidP="0096409D">
                                  <w:pPr>
                                    <w:spacing w:line="240" w:lineRule="auto"/>
                                    <w:jc w:val="center"/>
                                    <w:rPr>
                                      <w:sz w:val="20"/>
                                      <w:szCs w:val="20"/>
                                    </w:rPr>
                                  </w:pPr>
                                  <w:r w:rsidRPr="00780064">
                                    <w:rPr>
                                      <w:sz w:val="20"/>
                                      <w:szCs w:val="20"/>
                                    </w:rPr>
                                    <w:t>13.1%</w:t>
                                  </w:r>
                                </w:p>
                              </w:tc>
                              <w:tc>
                                <w:tcPr>
                                  <w:tcW w:w="864" w:type="dxa"/>
                                  <w:tcBorders>
                                    <w:top w:val="single" w:sz="4" w:space="0" w:color="auto"/>
                                    <w:left w:val="single" w:sz="4" w:space="0" w:color="auto"/>
                                    <w:bottom w:val="nil"/>
                                    <w:right w:val="nil"/>
                                  </w:tcBorders>
                                </w:tcPr>
                                <w:p w14:paraId="25ED7C76" w14:textId="77777777" w:rsidR="00FF3468" w:rsidRPr="00780064" w:rsidRDefault="00FF3468" w:rsidP="0096409D">
                                  <w:pPr>
                                    <w:spacing w:line="240" w:lineRule="auto"/>
                                    <w:jc w:val="center"/>
                                    <w:rPr>
                                      <w:sz w:val="20"/>
                                      <w:szCs w:val="20"/>
                                    </w:rPr>
                                  </w:pPr>
                                  <w:r>
                                    <w:rPr>
                                      <w:sz w:val="20"/>
                                      <w:szCs w:val="20"/>
                                    </w:rPr>
                                    <w:t>15.22</w:t>
                                  </w:r>
                                </w:p>
                              </w:tc>
                              <w:tc>
                                <w:tcPr>
                                  <w:tcW w:w="1296" w:type="dxa"/>
                                  <w:tcBorders>
                                    <w:top w:val="single" w:sz="4" w:space="0" w:color="auto"/>
                                    <w:left w:val="nil"/>
                                    <w:bottom w:val="nil"/>
                                    <w:right w:val="nil"/>
                                  </w:tcBorders>
                                </w:tcPr>
                                <w:p w14:paraId="22CC83ED" w14:textId="77777777" w:rsidR="00FF3468" w:rsidRPr="00780064" w:rsidRDefault="00FF3468" w:rsidP="0096409D">
                                  <w:pPr>
                                    <w:spacing w:line="240" w:lineRule="auto"/>
                                    <w:jc w:val="center"/>
                                    <w:rPr>
                                      <w:sz w:val="20"/>
                                      <w:szCs w:val="20"/>
                                    </w:rPr>
                                  </w:pPr>
                                  <w:r>
                                    <w:rPr>
                                      <w:sz w:val="20"/>
                                      <w:szCs w:val="20"/>
                                    </w:rPr>
                                    <w:t>15.16</w:t>
                                  </w:r>
                                </w:p>
                              </w:tc>
                              <w:tc>
                                <w:tcPr>
                                  <w:tcW w:w="864" w:type="dxa"/>
                                  <w:tcBorders>
                                    <w:top w:val="single" w:sz="4" w:space="0" w:color="auto"/>
                                    <w:left w:val="nil"/>
                                    <w:bottom w:val="nil"/>
                                    <w:right w:val="nil"/>
                                  </w:tcBorders>
                                </w:tcPr>
                                <w:p w14:paraId="1AEDD266" w14:textId="77777777" w:rsidR="00FF3468" w:rsidRPr="00780064" w:rsidRDefault="00FF3468" w:rsidP="0096409D">
                                  <w:pPr>
                                    <w:spacing w:line="240" w:lineRule="auto"/>
                                    <w:jc w:val="center"/>
                                    <w:rPr>
                                      <w:sz w:val="20"/>
                                      <w:szCs w:val="20"/>
                                    </w:rPr>
                                  </w:pPr>
                                  <w:r>
                                    <w:rPr>
                                      <w:sz w:val="20"/>
                                      <w:szCs w:val="20"/>
                                    </w:rPr>
                                    <w:t>0.4%</w:t>
                                  </w:r>
                                </w:p>
                              </w:tc>
                            </w:tr>
                            <w:tr w:rsidR="00FF3468" w:rsidRPr="00780064" w14:paraId="0C7E3565" w14:textId="77777777" w:rsidTr="0096409D">
                              <w:trPr>
                                <w:cantSplit/>
                                <w:jc w:val="center"/>
                              </w:trPr>
                              <w:tc>
                                <w:tcPr>
                                  <w:tcW w:w="1872" w:type="dxa"/>
                                  <w:tcBorders>
                                    <w:top w:val="nil"/>
                                    <w:left w:val="nil"/>
                                    <w:bottom w:val="nil"/>
                                    <w:right w:val="single" w:sz="4" w:space="0" w:color="auto"/>
                                  </w:tcBorders>
                                </w:tcPr>
                                <w:p w14:paraId="02C25DB8" w14:textId="77777777" w:rsidR="00FF3468" w:rsidRPr="00780064" w:rsidRDefault="00FF3468" w:rsidP="0096409D">
                                  <w:pPr>
                                    <w:spacing w:line="240" w:lineRule="auto"/>
                                    <w:jc w:val="center"/>
                                    <w:rPr>
                                      <w:sz w:val="20"/>
                                      <w:szCs w:val="20"/>
                                    </w:rPr>
                                  </w:pPr>
                                  <w:r w:rsidRPr="00780064">
                                    <w:rPr>
                                      <w:sz w:val="20"/>
                                      <w:szCs w:val="20"/>
                                    </w:rPr>
                                    <w:t>Hoop Stress C/R</w:t>
                                  </w:r>
                                </w:p>
                              </w:tc>
                              <w:tc>
                                <w:tcPr>
                                  <w:tcW w:w="864" w:type="dxa"/>
                                  <w:tcBorders>
                                    <w:top w:val="nil"/>
                                    <w:left w:val="single" w:sz="4" w:space="0" w:color="auto"/>
                                    <w:bottom w:val="nil"/>
                                    <w:right w:val="nil"/>
                                  </w:tcBorders>
                                </w:tcPr>
                                <w:p w14:paraId="759216CF" w14:textId="77777777" w:rsidR="00FF3468" w:rsidRPr="00780064" w:rsidRDefault="00FF3468" w:rsidP="0096409D">
                                  <w:pPr>
                                    <w:spacing w:line="240" w:lineRule="auto"/>
                                    <w:jc w:val="center"/>
                                    <w:rPr>
                                      <w:sz w:val="20"/>
                                      <w:szCs w:val="20"/>
                                    </w:rPr>
                                  </w:pPr>
                                  <w:r>
                                    <w:rPr>
                                      <w:sz w:val="20"/>
                                      <w:szCs w:val="20"/>
                                    </w:rPr>
                                    <w:t>0.83</w:t>
                                  </w:r>
                                </w:p>
                              </w:tc>
                              <w:tc>
                                <w:tcPr>
                                  <w:tcW w:w="1296" w:type="dxa"/>
                                  <w:tcBorders>
                                    <w:top w:val="nil"/>
                                    <w:left w:val="nil"/>
                                    <w:bottom w:val="nil"/>
                                    <w:right w:val="nil"/>
                                  </w:tcBorders>
                                </w:tcPr>
                                <w:p w14:paraId="00820189" w14:textId="77777777" w:rsidR="00FF3468" w:rsidRPr="00780064" w:rsidRDefault="00FF3468" w:rsidP="0096409D">
                                  <w:pPr>
                                    <w:spacing w:line="240" w:lineRule="auto"/>
                                    <w:jc w:val="center"/>
                                    <w:rPr>
                                      <w:sz w:val="20"/>
                                      <w:szCs w:val="20"/>
                                    </w:rPr>
                                  </w:pPr>
                                  <w:r>
                                    <w:rPr>
                                      <w:sz w:val="20"/>
                                      <w:szCs w:val="20"/>
                                    </w:rPr>
                                    <w:t>0.89</w:t>
                                  </w:r>
                                </w:p>
                              </w:tc>
                              <w:tc>
                                <w:tcPr>
                                  <w:tcW w:w="864" w:type="dxa"/>
                                  <w:tcBorders>
                                    <w:top w:val="nil"/>
                                    <w:left w:val="nil"/>
                                    <w:bottom w:val="nil"/>
                                    <w:right w:val="single" w:sz="4" w:space="0" w:color="auto"/>
                                  </w:tcBorders>
                                </w:tcPr>
                                <w:p w14:paraId="16819267" w14:textId="77777777" w:rsidR="00FF3468" w:rsidRPr="00780064" w:rsidRDefault="00FF3468" w:rsidP="0096409D">
                                  <w:pPr>
                                    <w:spacing w:line="240" w:lineRule="auto"/>
                                    <w:jc w:val="center"/>
                                    <w:rPr>
                                      <w:sz w:val="20"/>
                                      <w:szCs w:val="20"/>
                                    </w:rPr>
                                  </w:pPr>
                                  <w:r>
                                    <w:rPr>
                                      <w:sz w:val="20"/>
                                      <w:szCs w:val="20"/>
                                    </w:rPr>
                                    <w:t>7.0%</w:t>
                                  </w:r>
                                </w:p>
                              </w:tc>
                              <w:tc>
                                <w:tcPr>
                                  <w:tcW w:w="864" w:type="dxa"/>
                                  <w:tcBorders>
                                    <w:top w:val="nil"/>
                                    <w:left w:val="single" w:sz="4" w:space="0" w:color="auto"/>
                                    <w:bottom w:val="nil"/>
                                    <w:right w:val="nil"/>
                                  </w:tcBorders>
                                </w:tcPr>
                                <w:p w14:paraId="03DA44A7" w14:textId="77777777" w:rsidR="00FF3468" w:rsidRPr="00780064" w:rsidRDefault="00FF3468" w:rsidP="0096409D">
                                  <w:pPr>
                                    <w:spacing w:line="240" w:lineRule="auto"/>
                                    <w:jc w:val="center"/>
                                    <w:rPr>
                                      <w:sz w:val="20"/>
                                      <w:szCs w:val="20"/>
                                    </w:rPr>
                                  </w:pPr>
                                  <w:r>
                                    <w:rPr>
                                      <w:sz w:val="20"/>
                                      <w:szCs w:val="20"/>
                                    </w:rPr>
                                    <w:t>3.70</w:t>
                                  </w:r>
                                </w:p>
                              </w:tc>
                              <w:tc>
                                <w:tcPr>
                                  <w:tcW w:w="1296" w:type="dxa"/>
                                  <w:tcBorders>
                                    <w:top w:val="nil"/>
                                    <w:left w:val="nil"/>
                                    <w:bottom w:val="nil"/>
                                    <w:right w:val="nil"/>
                                  </w:tcBorders>
                                </w:tcPr>
                                <w:p w14:paraId="6788615E" w14:textId="77777777" w:rsidR="00FF3468" w:rsidRPr="00780064" w:rsidRDefault="00FF3468" w:rsidP="0096409D">
                                  <w:pPr>
                                    <w:spacing w:line="240" w:lineRule="auto"/>
                                    <w:jc w:val="center"/>
                                    <w:rPr>
                                      <w:sz w:val="20"/>
                                      <w:szCs w:val="20"/>
                                    </w:rPr>
                                  </w:pPr>
                                  <w:r>
                                    <w:rPr>
                                      <w:sz w:val="20"/>
                                      <w:szCs w:val="20"/>
                                    </w:rPr>
                                    <w:t>3.73</w:t>
                                  </w:r>
                                </w:p>
                              </w:tc>
                              <w:tc>
                                <w:tcPr>
                                  <w:tcW w:w="864" w:type="dxa"/>
                                  <w:tcBorders>
                                    <w:top w:val="nil"/>
                                    <w:left w:val="nil"/>
                                    <w:bottom w:val="nil"/>
                                    <w:right w:val="single" w:sz="4" w:space="0" w:color="auto"/>
                                  </w:tcBorders>
                                </w:tcPr>
                                <w:p w14:paraId="760C3929" w14:textId="77777777" w:rsidR="00FF3468" w:rsidRPr="00780064" w:rsidRDefault="00FF3468" w:rsidP="0096409D">
                                  <w:pPr>
                                    <w:spacing w:line="240" w:lineRule="auto"/>
                                    <w:jc w:val="center"/>
                                    <w:rPr>
                                      <w:sz w:val="20"/>
                                      <w:szCs w:val="20"/>
                                    </w:rPr>
                                  </w:pPr>
                                  <w:r>
                                    <w:rPr>
                                      <w:sz w:val="20"/>
                                      <w:szCs w:val="20"/>
                                    </w:rPr>
                                    <w:t>0.8%</w:t>
                                  </w:r>
                                </w:p>
                              </w:tc>
                              <w:tc>
                                <w:tcPr>
                                  <w:tcW w:w="864" w:type="dxa"/>
                                  <w:tcBorders>
                                    <w:top w:val="nil"/>
                                    <w:left w:val="single" w:sz="4" w:space="0" w:color="auto"/>
                                    <w:bottom w:val="nil"/>
                                    <w:right w:val="nil"/>
                                  </w:tcBorders>
                                </w:tcPr>
                                <w:p w14:paraId="4DF9D287" w14:textId="77777777" w:rsidR="00FF3468" w:rsidRPr="00780064" w:rsidRDefault="00FF3468" w:rsidP="0096409D">
                                  <w:pPr>
                                    <w:spacing w:line="240" w:lineRule="auto"/>
                                    <w:jc w:val="center"/>
                                    <w:rPr>
                                      <w:sz w:val="20"/>
                                      <w:szCs w:val="20"/>
                                    </w:rPr>
                                  </w:pPr>
                                  <w:r>
                                    <w:rPr>
                                      <w:sz w:val="20"/>
                                      <w:szCs w:val="20"/>
                                    </w:rPr>
                                    <w:t>12.67</w:t>
                                  </w:r>
                                </w:p>
                              </w:tc>
                              <w:tc>
                                <w:tcPr>
                                  <w:tcW w:w="1296" w:type="dxa"/>
                                  <w:tcBorders>
                                    <w:top w:val="nil"/>
                                    <w:left w:val="nil"/>
                                    <w:bottom w:val="nil"/>
                                    <w:right w:val="nil"/>
                                  </w:tcBorders>
                                </w:tcPr>
                                <w:p w14:paraId="040E6FF8" w14:textId="77777777" w:rsidR="00FF3468" w:rsidRPr="00780064" w:rsidRDefault="00FF3468" w:rsidP="0096409D">
                                  <w:pPr>
                                    <w:spacing w:line="240" w:lineRule="auto"/>
                                    <w:jc w:val="center"/>
                                    <w:rPr>
                                      <w:sz w:val="20"/>
                                      <w:szCs w:val="20"/>
                                    </w:rPr>
                                  </w:pPr>
                                  <w:r>
                                    <w:rPr>
                                      <w:sz w:val="20"/>
                                      <w:szCs w:val="20"/>
                                    </w:rPr>
                                    <w:t>12.50</w:t>
                                  </w:r>
                                </w:p>
                              </w:tc>
                              <w:tc>
                                <w:tcPr>
                                  <w:tcW w:w="864" w:type="dxa"/>
                                  <w:tcBorders>
                                    <w:top w:val="nil"/>
                                    <w:left w:val="nil"/>
                                    <w:bottom w:val="nil"/>
                                    <w:right w:val="nil"/>
                                  </w:tcBorders>
                                </w:tcPr>
                                <w:p w14:paraId="38EA384A" w14:textId="77777777" w:rsidR="00FF3468" w:rsidRPr="00780064" w:rsidRDefault="00FF3468" w:rsidP="0096409D">
                                  <w:pPr>
                                    <w:spacing w:line="240" w:lineRule="auto"/>
                                    <w:jc w:val="center"/>
                                    <w:rPr>
                                      <w:sz w:val="20"/>
                                      <w:szCs w:val="20"/>
                                    </w:rPr>
                                  </w:pPr>
                                  <w:r>
                                    <w:rPr>
                                      <w:sz w:val="20"/>
                                      <w:szCs w:val="20"/>
                                    </w:rPr>
                                    <w:t>1.4%</w:t>
                                  </w:r>
                                </w:p>
                              </w:tc>
                            </w:tr>
                            <w:tr w:rsidR="00FF3468" w:rsidRPr="00780064" w14:paraId="77EB0D4E" w14:textId="77777777" w:rsidTr="0096409D">
                              <w:trPr>
                                <w:cantSplit/>
                                <w:jc w:val="center"/>
                              </w:trPr>
                              <w:tc>
                                <w:tcPr>
                                  <w:tcW w:w="1872" w:type="dxa"/>
                                  <w:tcBorders>
                                    <w:top w:val="nil"/>
                                    <w:left w:val="nil"/>
                                    <w:bottom w:val="nil"/>
                                    <w:right w:val="single" w:sz="4" w:space="0" w:color="auto"/>
                                  </w:tcBorders>
                                </w:tcPr>
                                <w:p w14:paraId="60D3143E" w14:textId="77777777" w:rsidR="00FF3468" w:rsidRPr="00780064" w:rsidRDefault="00FF3468" w:rsidP="0096409D">
                                  <w:pPr>
                                    <w:spacing w:line="240" w:lineRule="auto"/>
                                    <w:jc w:val="center"/>
                                    <w:rPr>
                                      <w:sz w:val="20"/>
                                      <w:szCs w:val="20"/>
                                    </w:rPr>
                                  </w:pPr>
                                  <w:r w:rsidRPr="00780064">
                                    <w:rPr>
                                      <w:sz w:val="20"/>
                                      <w:szCs w:val="20"/>
                                    </w:rPr>
                                    <w:t>Radial Stress C/C</w:t>
                                  </w:r>
                                </w:p>
                              </w:tc>
                              <w:tc>
                                <w:tcPr>
                                  <w:tcW w:w="864" w:type="dxa"/>
                                  <w:tcBorders>
                                    <w:top w:val="nil"/>
                                    <w:left w:val="single" w:sz="4" w:space="0" w:color="auto"/>
                                    <w:bottom w:val="nil"/>
                                    <w:right w:val="nil"/>
                                  </w:tcBorders>
                                </w:tcPr>
                                <w:p w14:paraId="1CBC8357" w14:textId="77777777" w:rsidR="00FF3468" w:rsidRPr="00780064" w:rsidRDefault="00FF3468" w:rsidP="0096409D">
                                  <w:pPr>
                                    <w:spacing w:line="240" w:lineRule="auto"/>
                                    <w:jc w:val="center"/>
                                    <w:rPr>
                                      <w:sz w:val="20"/>
                                      <w:szCs w:val="20"/>
                                    </w:rPr>
                                  </w:pPr>
                                  <w:r>
                                    <w:rPr>
                                      <w:sz w:val="20"/>
                                      <w:szCs w:val="20"/>
                                    </w:rPr>
                                    <w:t>0.58</w:t>
                                  </w:r>
                                </w:p>
                              </w:tc>
                              <w:tc>
                                <w:tcPr>
                                  <w:tcW w:w="1296" w:type="dxa"/>
                                  <w:tcBorders>
                                    <w:top w:val="nil"/>
                                    <w:left w:val="nil"/>
                                    <w:bottom w:val="nil"/>
                                    <w:right w:val="nil"/>
                                  </w:tcBorders>
                                </w:tcPr>
                                <w:p w14:paraId="07075AE7" w14:textId="77777777" w:rsidR="00FF3468" w:rsidRPr="00780064" w:rsidRDefault="00FF3468" w:rsidP="0096409D">
                                  <w:pPr>
                                    <w:spacing w:line="240" w:lineRule="auto"/>
                                    <w:jc w:val="center"/>
                                    <w:rPr>
                                      <w:sz w:val="20"/>
                                      <w:szCs w:val="20"/>
                                    </w:rPr>
                                  </w:pPr>
                                  <w:r>
                                    <w:rPr>
                                      <w:sz w:val="20"/>
                                      <w:szCs w:val="20"/>
                                    </w:rPr>
                                    <w:t>0.66</w:t>
                                  </w:r>
                                </w:p>
                              </w:tc>
                              <w:tc>
                                <w:tcPr>
                                  <w:tcW w:w="864" w:type="dxa"/>
                                  <w:tcBorders>
                                    <w:top w:val="nil"/>
                                    <w:left w:val="nil"/>
                                    <w:bottom w:val="nil"/>
                                    <w:right w:val="single" w:sz="4" w:space="0" w:color="auto"/>
                                  </w:tcBorders>
                                </w:tcPr>
                                <w:p w14:paraId="40370F88" w14:textId="77777777" w:rsidR="00FF3468" w:rsidRPr="00780064" w:rsidRDefault="00FF3468" w:rsidP="0096409D">
                                  <w:pPr>
                                    <w:spacing w:line="240" w:lineRule="auto"/>
                                    <w:jc w:val="center"/>
                                    <w:rPr>
                                      <w:sz w:val="20"/>
                                      <w:szCs w:val="20"/>
                                    </w:rPr>
                                  </w:pPr>
                                  <w:r>
                                    <w:rPr>
                                      <w:sz w:val="20"/>
                                      <w:szCs w:val="20"/>
                                    </w:rPr>
                                    <w:t>12.9%</w:t>
                                  </w:r>
                                </w:p>
                              </w:tc>
                              <w:tc>
                                <w:tcPr>
                                  <w:tcW w:w="864" w:type="dxa"/>
                                  <w:tcBorders>
                                    <w:top w:val="nil"/>
                                    <w:left w:val="single" w:sz="4" w:space="0" w:color="auto"/>
                                    <w:bottom w:val="nil"/>
                                    <w:right w:val="nil"/>
                                  </w:tcBorders>
                                  <w:shd w:val="clear" w:color="auto" w:fill="D9D9D9" w:themeFill="background1" w:themeFillShade="D9"/>
                                </w:tcPr>
                                <w:p w14:paraId="1B5BB66A" w14:textId="77777777" w:rsidR="00FF3468" w:rsidRPr="00780064" w:rsidRDefault="00FF3468" w:rsidP="0096409D">
                                  <w:pPr>
                                    <w:spacing w:line="240" w:lineRule="auto"/>
                                    <w:jc w:val="center"/>
                                    <w:rPr>
                                      <w:sz w:val="20"/>
                                      <w:szCs w:val="20"/>
                                    </w:rPr>
                                  </w:pPr>
                                  <w:r>
                                    <w:rPr>
                                      <w:sz w:val="20"/>
                                      <w:szCs w:val="20"/>
                                    </w:rPr>
                                    <w:t>-2.75</w:t>
                                  </w:r>
                                </w:p>
                              </w:tc>
                              <w:tc>
                                <w:tcPr>
                                  <w:tcW w:w="1296" w:type="dxa"/>
                                  <w:tcBorders>
                                    <w:top w:val="nil"/>
                                    <w:left w:val="nil"/>
                                    <w:bottom w:val="nil"/>
                                    <w:right w:val="nil"/>
                                  </w:tcBorders>
                                  <w:shd w:val="clear" w:color="auto" w:fill="F7CAAC" w:themeFill="accent2" w:themeFillTint="66"/>
                                </w:tcPr>
                                <w:p w14:paraId="2871CA77" w14:textId="77777777" w:rsidR="00FF3468" w:rsidRPr="00780064" w:rsidRDefault="00FF3468" w:rsidP="0096409D">
                                  <w:pPr>
                                    <w:spacing w:line="240" w:lineRule="auto"/>
                                    <w:jc w:val="center"/>
                                    <w:rPr>
                                      <w:sz w:val="20"/>
                                      <w:szCs w:val="20"/>
                                    </w:rPr>
                                  </w:pPr>
                                  <w:r>
                                    <w:rPr>
                                      <w:sz w:val="20"/>
                                      <w:szCs w:val="20"/>
                                    </w:rPr>
                                    <w:t>-0.40</w:t>
                                  </w:r>
                                </w:p>
                              </w:tc>
                              <w:tc>
                                <w:tcPr>
                                  <w:tcW w:w="864" w:type="dxa"/>
                                  <w:tcBorders>
                                    <w:top w:val="nil"/>
                                    <w:left w:val="nil"/>
                                    <w:bottom w:val="nil"/>
                                    <w:right w:val="single" w:sz="4" w:space="0" w:color="auto"/>
                                  </w:tcBorders>
                                </w:tcPr>
                                <w:p w14:paraId="3070F56C" w14:textId="77777777" w:rsidR="00FF3468" w:rsidRPr="00780064" w:rsidRDefault="00FF3468" w:rsidP="0096409D">
                                  <w:pPr>
                                    <w:spacing w:line="240" w:lineRule="auto"/>
                                    <w:jc w:val="center"/>
                                    <w:rPr>
                                      <w:sz w:val="20"/>
                                      <w:szCs w:val="20"/>
                                    </w:rPr>
                                  </w:pPr>
                                  <w:r>
                                    <w:rPr>
                                      <w:sz w:val="20"/>
                                      <w:szCs w:val="20"/>
                                    </w:rPr>
                                    <w:t>149%</w:t>
                                  </w:r>
                                </w:p>
                              </w:tc>
                              <w:tc>
                                <w:tcPr>
                                  <w:tcW w:w="864" w:type="dxa"/>
                                  <w:tcBorders>
                                    <w:top w:val="nil"/>
                                    <w:left w:val="single" w:sz="4" w:space="0" w:color="auto"/>
                                    <w:bottom w:val="nil"/>
                                    <w:right w:val="nil"/>
                                  </w:tcBorders>
                                  <w:shd w:val="clear" w:color="auto" w:fill="D9D9D9" w:themeFill="background1" w:themeFillShade="D9"/>
                                </w:tcPr>
                                <w:p w14:paraId="788400EE" w14:textId="77777777" w:rsidR="00FF3468" w:rsidRPr="00780064" w:rsidRDefault="00FF3468" w:rsidP="0096409D">
                                  <w:pPr>
                                    <w:spacing w:line="240" w:lineRule="auto"/>
                                    <w:jc w:val="center"/>
                                    <w:rPr>
                                      <w:sz w:val="20"/>
                                      <w:szCs w:val="20"/>
                                    </w:rPr>
                                  </w:pPr>
                                  <w:r>
                                    <w:rPr>
                                      <w:sz w:val="20"/>
                                      <w:szCs w:val="20"/>
                                    </w:rPr>
                                    <w:t>-1.13</w:t>
                                  </w:r>
                                </w:p>
                              </w:tc>
                              <w:tc>
                                <w:tcPr>
                                  <w:tcW w:w="1296" w:type="dxa"/>
                                  <w:tcBorders>
                                    <w:top w:val="nil"/>
                                    <w:left w:val="nil"/>
                                    <w:bottom w:val="nil"/>
                                    <w:right w:val="nil"/>
                                  </w:tcBorders>
                                </w:tcPr>
                                <w:p w14:paraId="7B249C59" w14:textId="77777777" w:rsidR="00FF3468" w:rsidRPr="00780064" w:rsidRDefault="00FF3468" w:rsidP="0096409D">
                                  <w:pPr>
                                    <w:spacing w:line="240" w:lineRule="auto"/>
                                    <w:jc w:val="center"/>
                                    <w:rPr>
                                      <w:sz w:val="20"/>
                                      <w:szCs w:val="20"/>
                                    </w:rPr>
                                  </w:pPr>
                                  <w:r>
                                    <w:rPr>
                                      <w:sz w:val="20"/>
                                      <w:szCs w:val="20"/>
                                    </w:rPr>
                                    <w:t>0.37</w:t>
                                  </w:r>
                                </w:p>
                              </w:tc>
                              <w:tc>
                                <w:tcPr>
                                  <w:tcW w:w="864" w:type="dxa"/>
                                  <w:tcBorders>
                                    <w:top w:val="nil"/>
                                    <w:left w:val="nil"/>
                                    <w:bottom w:val="nil"/>
                                    <w:right w:val="nil"/>
                                  </w:tcBorders>
                                </w:tcPr>
                                <w:p w14:paraId="468F0621" w14:textId="77777777" w:rsidR="00FF3468" w:rsidRPr="00780064" w:rsidRDefault="00FF3468" w:rsidP="0096409D">
                                  <w:pPr>
                                    <w:spacing w:line="240" w:lineRule="auto"/>
                                    <w:jc w:val="center"/>
                                    <w:rPr>
                                      <w:sz w:val="20"/>
                                      <w:szCs w:val="20"/>
                                    </w:rPr>
                                  </w:pPr>
                                  <w:r>
                                    <w:rPr>
                                      <w:sz w:val="20"/>
                                      <w:szCs w:val="20"/>
                                    </w:rPr>
                                    <w:t>395%</w:t>
                                  </w:r>
                                </w:p>
                              </w:tc>
                            </w:tr>
                            <w:tr w:rsidR="00FF3468" w:rsidRPr="00780064" w14:paraId="6115F25F" w14:textId="77777777" w:rsidTr="0096409D">
                              <w:trPr>
                                <w:cantSplit/>
                                <w:jc w:val="center"/>
                              </w:trPr>
                              <w:tc>
                                <w:tcPr>
                                  <w:tcW w:w="1872" w:type="dxa"/>
                                  <w:tcBorders>
                                    <w:top w:val="nil"/>
                                    <w:left w:val="nil"/>
                                    <w:bottom w:val="nil"/>
                                    <w:right w:val="single" w:sz="4" w:space="0" w:color="auto"/>
                                  </w:tcBorders>
                                </w:tcPr>
                                <w:p w14:paraId="0F6A6A11" w14:textId="77777777" w:rsidR="00FF3468" w:rsidRPr="00780064" w:rsidRDefault="00FF3468" w:rsidP="0096409D">
                                  <w:pPr>
                                    <w:spacing w:line="240" w:lineRule="auto"/>
                                    <w:jc w:val="center"/>
                                    <w:rPr>
                                      <w:sz w:val="20"/>
                                      <w:szCs w:val="20"/>
                                    </w:rPr>
                                  </w:pPr>
                                  <w:r w:rsidRPr="00780064">
                                    <w:rPr>
                                      <w:sz w:val="20"/>
                                      <w:szCs w:val="20"/>
                                    </w:rPr>
                                    <w:t>Radial Stress C/R</w:t>
                                  </w:r>
                                </w:p>
                              </w:tc>
                              <w:tc>
                                <w:tcPr>
                                  <w:tcW w:w="864" w:type="dxa"/>
                                  <w:tcBorders>
                                    <w:top w:val="nil"/>
                                    <w:left w:val="single" w:sz="4" w:space="0" w:color="auto"/>
                                    <w:bottom w:val="nil"/>
                                    <w:right w:val="nil"/>
                                  </w:tcBorders>
                                </w:tcPr>
                                <w:p w14:paraId="0073C40E" w14:textId="77777777" w:rsidR="00FF3468" w:rsidRPr="00780064" w:rsidRDefault="00FF3468" w:rsidP="0096409D">
                                  <w:pPr>
                                    <w:spacing w:line="240" w:lineRule="auto"/>
                                    <w:jc w:val="center"/>
                                    <w:rPr>
                                      <w:sz w:val="20"/>
                                      <w:szCs w:val="20"/>
                                    </w:rPr>
                                  </w:pPr>
                                  <w:r>
                                    <w:rPr>
                                      <w:sz w:val="20"/>
                                      <w:szCs w:val="20"/>
                                    </w:rPr>
                                    <w:t>0.62</w:t>
                                  </w:r>
                                </w:p>
                              </w:tc>
                              <w:tc>
                                <w:tcPr>
                                  <w:tcW w:w="1296" w:type="dxa"/>
                                  <w:tcBorders>
                                    <w:top w:val="nil"/>
                                    <w:left w:val="nil"/>
                                    <w:bottom w:val="nil"/>
                                    <w:right w:val="nil"/>
                                  </w:tcBorders>
                                </w:tcPr>
                                <w:p w14:paraId="7434F133" w14:textId="77777777" w:rsidR="00FF3468" w:rsidRPr="00780064" w:rsidRDefault="00FF3468" w:rsidP="0096409D">
                                  <w:pPr>
                                    <w:spacing w:line="240" w:lineRule="auto"/>
                                    <w:jc w:val="center"/>
                                    <w:rPr>
                                      <w:sz w:val="20"/>
                                      <w:szCs w:val="20"/>
                                    </w:rPr>
                                  </w:pPr>
                                  <w:r>
                                    <w:rPr>
                                      <w:sz w:val="20"/>
                                      <w:szCs w:val="20"/>
                                    </w:rPr>
                                    <w:t>0.72</w:t>
                                  </w:r>
                                </w:p>
                              </w:tc>
                              <w:tc>
                                <w:tcPr>
                                  <w:tcW w:w="864" w:type="dxa"/>
                                  <w:tcBorders>
                                    <w:top w:val="nil"/>
                                    <w:left w:val="nil"/>
                                    <w:bottom w:val="nil"/>
                                    <w:right w:val="single" w:sz="4" w:space="0" w:color="auto"/>
                                  </w:tcBorders>
                                </w:tcPr>
                                <w:p w14:paraId="2E162080" w14:textId="77777777" w:rsidR="00FF3468" w:rsidRPr="00780064" w:rsidRDefault="00FF3468" w:rsidP="0096409D">
                                  <w:pPr>
                                    <w:spacing w:line="240" w:lineRule="auto"/>
                                    <w:jc w:val="center"/>
                                    <w:rPr>
                                      <w:sz w:val="20"/>
                                      <w:szCs w:val="20"/>
                                    </w:rPr>
                                  </w:pPr>
                                  <w:r>
                                    <w:rPr>
                                      <w:sz w:val="20"/>
                                      <w:szCs w:val="20"/>
                                    </w:rPr>
                                    <w:t>14.9%</w:t>
                                  </w:r>
                                </w:p>
                              </w:tc>
                              <w:tc>
                                <w:tcPr>
                                  <w:tcW w:w="864" w:type="dxa"/>
                                  <w:tcBorders>
                                    <w:top w:val="nil"/>
                                    <w:left w:val="single" w:sz="4" w:space="0" w:color="auto"/>
                                    <w:bottom w:val="nil"/>
                                    <w:right w:val="nil"/>
                                  </w:tcBorders>
                                  <w:shd w:val="clear" w:color="auto" w:fill="D9D9D9" w:themeFill="background1" w:themeFillShade="D9"/>
                                </w:tcPr>
                                <w:p w14:paraId="21E98DF7" w14:textId="77777777" w:rsidR="00FF3468" w:rsidRPr="00780064" w:rsidRDefault="00FF3468" w:rsidP="0096409D">
                                  <w:pPr>
                                    <w:spacing w:line="240" w:lineRule="auto"/>
                                    <w:jc w:val="center"/>
                                    <w:rPr>
                                      <w:sz w:val="20"/>
                                      <w:szCs w:val="20"/>
                                    </w:rPr>
                                  </w:pPr>
                                  <w:r>
                                    <w:rPr>
                                      <w:sz w:val="20"/>
                                      <w:szCs w:val="20"/>
                                    </w:rPr>
                                    <w:t>-0.84</w:t>
                                  </w:r>
                                </w:p>
                              </w:tc>
                              <w:tc>
                                <w:tcPr>
                                  <w:tcW w:w="1296" w:type="dxa"/>
                                  <w:tcBorders>
                                    <w:top w:val="nil"/>
                                    <w:left w:val="nil"/>
                                    <w:bottom w:val="nil"/>
                                    <w:right w:val="nil"/>
                                  </w:tcBorders>
                                </w:tcPr>
                                <w:p w14:paraId="17F810CE" w14:textId="77777777" w:rsidR="00FF3468" w:rsidRPr="00780064" w:rsidRDefault="00FF3468" w:rsidP="0096409D">
                                  <w:pPr>
                                    <w:spacing w:line="240" w:lineRule="auto"/>
                                    <w:jc w:val="center"/>
                                    <w:rPr>
                                      <w:sz w:val="20"/>
                                      <w:szCs w:val="20"/>
                                    </w:rPr>
                                  </w:pPr>
                                  <w:r>
                                    <w:rPr>
                                      <w:sz w:val="20"/>
                                      <w:szCs w:val="20"/>
                                    </w:rPr>
                                    <w:t>0.88</w:t>
                                  </w:r>
                                </w:p>
                              </w:tc>
                              <w:tc>
                                <w:tcPr>
                                  <w:tcW w:w="864" w:type="dxa"/>
                                  <w:tcBorders>
                                    <w:top w:val="nil"/>
                                    <w:left w:val="nil"/>
                                    <w:bottom w:val="nil"/>
                                    <w:right w:val="single" w:sz="4" w:space="0" w:color="auto"/>
                                  </w:tcBorders>
                                </w:tcPr>
                                <w:p w14:paraId="22A95AAC" w14:textId="77777777" w:rsidR="00FF3468" w:rsidRPr="00780064" w:rsidRDefault="00FF3468" w:rsidP="0096409D">
                                  <w:pPr>
                                    <w:spacing w:line="240" w:lineRule="auto"/>
                                    <w:jc w:val="center"/>
                                    <w:rPr>
                                      <w:sz w:val="20"/>
                                      <w:szCs w:val="20"/>
                                    </w:rPr>
                                  </w:pPr>
                                  <w:r w:rsidRPr="00780064">
                                    <w:rPr>
                                      <w:sz w:val="20"/>
                                      <w:szCs w:val="20"/>
                                    </w:rPr>
                                    <w:t>8,600%</w:t>
                                  </w:r>
                                </w:p>
                              </w:tc>
                              <w:tc>
                                <w:tcPr>
                                  <w:tcW w:w="864" w:type="dxa"/>
                                  <w:tcBorders>
                                    <w:top w:val="nil"/>
                                    <w:left w:val="single" w:sz="4" w:space="0" w:color="auto"/>
                                    <w:bottom w:val="nil"/>
                                    <w:right w:val="nil"/>
                                  </w:tcBorders>
                                </w:tcPr>
                                <w:p w14:paraId="560835ED" w14:textId="77777777" w:rsidR="00FF3468" w:rsidRPr="00780064" w:rsidRDefault="00FF3468" w:rsidP="0096409D">
                                  <w:pPr>
                                    <w:spacing w:line="240" w:lineRule="auto"/>
                                    <w:jc w:val="center"/>
                                    <w:rPr>
                                      <w:sz w:val="20"/>
                                      <w:szCs w:val="20"/>
                                    </w:rPr>
                                  </w:pPr>
                                  <w:r>
                                    <w:rPr>
                                      <w:sz w:val="20"/>
                                      <w:szCs w:val="20"/>
                                    </w:rPr>
                                    <w:t>2.44</w:t>
                                  </w:r>
                                </w:p>
                              </w:tc>
                              <w:tc>
                                <w:tcPr>
                                  <w:tcW w:w="1296" w:type="dxa"/>
                                  <w:tcBorders>
                                    <w:top w:val="nil"/>
                                    <w:left w:val="nil"/>
                                    <w:bottom w:val="nil"/>
                                    <w:right w:val="nil"/>
                                  </w:tcBorders>
                                </w:tcPr>
                                <w:p w14:paraId="14099CD7" w14:textId="77777777" w:rsidR="00FF3468" w:rsidRPr="00780064" w:rsidRDefault="00FF3468" w:rsidP="0096409D">
                                  <w:pPr>
                                    <w:spacing w:line="240" w:lineRule="auto"/>
                                    <w:jc w:val="center"/>
                                    <w:rPr>
                                      <w:sz w:val="20"/>
                                      <w:szCs w:val="20"/>
                                    </w:rPr>
                                  </w:pPr>
                                  <w:r>
                                    <w:rPr>
                                      <w:sz w:val="20"/>
                                      <w:szCs w:val="20"/>
                                    </w:rPr>
                                    <w:t>3.05</w:t>
                                  </w:r>
                                </w:p>
                              </w:tc>
                              <w:tc>
                                <w:tcPr>
                                  <w:tcW w:w="864" w:type="dxa"/>
                                  <w:tcBorders>
                                    <w:top w:val="nil"/>
                                    <w:left w:val="nil"/>
                                    <w:bottom w:val="nil"/>
                                    <w:right w:val="nil"/>
                                  </w:tcBorders>
                                </w:tcPr>
                                <w:p w14:paraId="4FD2B27B" w14:textId="77777777" w:rsidR="00FF3468" w:rsidRPr="00780064" w:rsidRDefault="00FF3468" w:rsidP="0096409D">
                                  <w:pPr>
                                    <w:spacing w:line="240" w:lineRule="auto"/>
                                    <w:jc w:val="center"/>
                                    <w:rPr>
                                      <w:sz w:val="20"/>
                                      <w:szCs w:val="20"/>
                                    </w:rPr>
                                  </w:pPr>
                                  <w:r>
                                    <w:rPr>
                                      <w:sz w:val="20"/>
                                      <w:szCs w:val="20"/>
                                    </w:rPr>
                                    <w:t>22.2%</w:t>
                                  </w:r>
                                </w:p>
                              </w:tc>
                            </w:tr>
                            <w:tr w:rsidR="00FF3468" w:rsidRPr="00780064" w14:paraId="2B0EA9EE" w14:textId="77777777" w:rsidTr="0096409D">
                              <w:trPr>
                                <w:cantSplit/>
                                <w:jc w:val="center"/>
                              </w:trPr>
                              <w:tc>
                                <w:tcPr>
                                  <w:tcW w:w="1872" w:type="dxa"/>
                                  <w:tcBorders>
                                    <w:top w:val="nil"/>
                                    <w:left w:val="nil"/>
                                    <w:bottom w:val="nil"/>
                                    <w:right w:val="single" w:sz="4" w:space="0" w:color="auto"/>
                                  </w:tcBorders>
                                </w:tcPr>
                                <w:p w14:paraId="2200109D" w14:textId="77777777" w:rsidR="00FF3468" w:rsidRPr="00780064" w:rsidRDefault="00FF3468" w:rsidP="0096409D">
                                  <w:pPr>
                                    <w:spacing w:line="240" w:lineRule="auto"/>
                                    <w:jc w:val="center"/>
                                    <w:rPr>
                                      <w:sz w:val="20"/>
                                      <w:szCs w:val="20"/>
                                    </w:rPr>
                                  </w:pPr>
                                  <w:r w:rsidRPr="00780064">
                                    <w:rPr>
                                      <w:sz w:val="20"/>
                                      <w:szCs w:val="20"/>
                                    </w:rPr>
                                    <w:t>Vertical Stress C/C</w:t>
                                  </w:r>
                                </w:p>
                              </w:tc>
                              <w:tc>
                                <w:tcPr>
                                  <w:tcW w:w="864" w:type="dxa"/>
                                  <w:tcBorders>
                                    <w:top w:val="nil"/>
                                    <w:left w:val="single" w:sz="4" w:space="0" w:color="auto"/>
                                    <w:bottom w:val="nil"/>
                                    <w:right w:val="nil"/>
                                  </w:tcBorders>
                                </w:tcPr>
                                <w:p w14:paraId="778A124D" w14:textId="77777777" w:rsidR="00FF3468" w:rsidRPr="00780064" w:rsidRDefault="00FF3468" w:rsidP="0096409D">
                                  <w:pPr>
                                    <w:spacing w:line="240" w:lineRule="auto"/>
                                    <w:jc w:val="center"/>
                                    <w:rPr>
                                      <w:sz w:val="20"/>
                                      <w:szCs w:val="20"/>
                                    </w:rPr>
                                  </w:pPr>
                                  <w:r>
                                    <w:rPr>
                                      <w:sz w:val="20"/>
                                      <w:szCs w:val="20"/>
                                    </w:rPr>
                                    <w:t>0.89</w:t>
                                  </w:r>
                                </w:p>
                              </w:tc>
                              <w:tc>
                                <w:tcPr>
                                  <w:tcW w:w="1296" w:type="dxa"/>
                                  <w:tcBorders>
                                    <w:top w:val="nil"/>
                                    <w:left w:val="nil"/>
                                    <w:bottom w:val="nil"/>
                                    <w:right w:val="nil"/>
                                  </w:tcBorders>
                                </w:tcPr>
                                <w:p w14:paraId="06ED07D1" w14:textId="77777777" w:rsidR="00FF3468" w:rsidRPr="00780064" w:rsidRDefault="00FF3468" w:rsidP="0096409D">
                                  <w:pPr>
                                    <w:spacing w:line="240" w:lineRule="auto"/>
                                    <w:jc w:val="center"/>
                                    <w:rPr>
                                      <w:sz w:val="20"/>
                                      <w:szCs w:val="20"/>
                                    </w:rPr>
                                  </w:pPr>
                                  <w:r>
                                    <w:rPr>
                                      <w:sz w:val="20"/>
                                      <w:szCs w:val="20"/>
                                    </w:rPr>
                                    <w:t>0.93</w:t>
                                  </w:r>
                                </w:p>
                              </w:tc>
                              <w:tc>
                                <w:tcPr>
                                  <w:tcW w:w="864" w:type="dxa"/>
                                  <w:tcBorders>
                                    <w:top w:val="nil"/>
                                    <w:left w:val="nil"/>
                                    <w:bottom w:val="nil"/>
                                    <w:right w:val="single" w:sz="4" w:space="0" w:color="auto"/>
                                  </w:tcBorders>
                                </w:tcPr>
                                <w:p w14:paraId="4E518982" w14:textId="77777777" w:rsidR="00FF3468" w:rsidRPr="00780064" w:rsidRDefault="00FF3468" w:rsidP="0096409D">
                                  <w:pPr>
                                    <w:spacing w:line="240" w:lineRule="auto"/>
                                    <w:jc w:val="center"/>
                                    <w:rPr>
                                      <w:sz w:val="20"/>
                                      <w:szCs w:val="20"/>
                                    </w:rPr>
                                  </w:pPr>
                                  <w:r>
                                    <w:rPr>
                                      <w:sz w:val="20"/>
                                      <w:szCs w:val="20"/>
                                    </w:rPr>
                                    <w:t>3.9%</w:t>
                                  </w:r>
                                </w:p>
                              </w:tc>
                              <w:tc>
                                <w:tcPr>
                                  <w:tcW w:w="864" w:type="dxa"/>
                                  <w:tcBorders>
                                    <w:top w:val="nil"/>
                                    <w:left w:val="single" w:sz="4" w:space="0" w:color="auto"/>
                                    <w:bottom w:val="nil"/>
                                    <w:right w:val="nil"/>
                                  </w:tcBorders>
                                </w:tcPr>
                                <w:p w14:paraId="29151CFD" w14:textId="77777777" w:rsidR="00FF3468" w:rsidRPr="00780064" w:rsidRDefault="00FF3468" w:rsidP="0096409D">
                                  <w:pPr>
                                    <w:spacing w:line="240" w:lineRule="auto"/>
                                    <w:jc w:val="center"/>
                                    <w:rPr>
                                      <w:sz w:val="20"/>
                                      <w:szCs w:val="20"/>
                                    </w:rPr>
                                  </w:pPr>
                                  <w:r>
                                    <w:rPr>
                                      <w:sz w:val="20"/>
                                      <w:szCs w:val="20"/>
                                    </w:rPr>
                                    <w:t>3.03</w:t>
                                  </w:r>
                                </w:p>
                              </w:tc>
                              <w:tc>
                                <w:tcPr>
                                  <w:tcW w:w="1296" w:type="dxa"/>
                                  <w:tcBorders>
                                    <w:top w:val="nil"/>
                                    <w:left w:val="nil"/>
                                    <w:bottom w:val="nil"/>
                                    <w:right w:val="nil"/>
                                  </w:tcBorders>
                                </w:tcPr>
                                <w:p w14:paraId="2A05EACE" w14:textId="77777777" w:rsidR="00FF3468" w:rsidRPr="00780064" w:rsidRDefault="00FF3468" w:rsidP="0096409D">
                                  <w:pPr>
                                    <w:spacing w:line="240" w:lineRule="auto"/>
                                    <w:jc w:val="center"/>
                                    <w:rPr>
                                      <w:sz w:val="20"/>
                                      <w:szCs w:val="20"/>
                                    </w:rPr>
                                  </w:pPr>
                                  <w:r>
                                    <w:rPr>
                                      <w:sz w:val="20"/>
                                      <w:szCs w:val="20"/>
                                    </w:rPr>
                                    <w:t>3.44</w:t>
                                  </w:r>
                                </w:p>
                              </w:tc>
                              <w:tc>
                                <w:tcPr>
                                  <w:tcW w:w="864" w:type="dxa"/>
                                  <w:tcBorders>
                                    <w:top w:val="nil"/>
                                    <w:left w:val="nil"/>
                                    <w:bottom w:val="nil"/>
                                    <w:right w:val="single" w:sz="4" w:space="0" w:color="auto"/>
                                  </w:tcBorders>
                                </w:tcPr>
                                <w:p w14:paraId="400DB2F5" w14:textId="77777777" w:rsidR="00FF3468" w:rsidRPr="00780064" w:rsidRDefault="00FF3468" w:rsidP="0096409D">
                                  <w:pPr>
                                    <w:spacing w:line="240" w:lineRule="auto"/>
                                    <w:jc w:val="center"/>
                                    <w:rPr>
                                      <w:sz w:val="20"/>
                                      <w:szCs w:val="20"/>
                                    </w:rPr>
                                  </w:pPr>
                                  <w:r>
                                    <w:rPr>
                                      <w:sz w:val="20"/>
                                      <w:szCs w:val="20"/>
                                    </w:rPr>
                                    <w:t>12.8%</w:t>
                                  </w:r>
                                </w:p>
                              </w:tc>
                              <w:tc>
                                <w:tcPr>
                                  <w:tcW w:w="864" w:type="dxa"/>
                                  <w:tcBorders>
                                    <w:top w:val="nil"/>
                                    <w:left w:val="single" w:sz="4" w:space="0" w:color="auto"/>
                                    <w:bottom w:val="nil"/>
                                    <w:right w:val="nil"/>
                                  </w:tcBorders>
                                </w:tcPr>
                                <w:p w14:paraId="68973DD7" w14:textId="77777777" w:rsidR="00FF3468" w:rsidRPr="00780064" w:rsidRDefault="00FF3468" w:rsidP="0096409D">
                                  <w:pPr>
                                    <w:spacing w:line="240" w:lineRule="auto"/>
                                    <w:jc w:val="center"/>
                                    <w:rPr>
                                      <w:sz w:val="20"/>
                                      <w:szCs w:val="20"/>
                                    </w:rPr>
                                  </w:pPr>
                                  <w:r>
                                    <w:rPr>
                                      <w:sz w:val="20"/>
                                      <w:szCs w:val="20"/>
                                    </w:rPr>
                                    <w:t>11.39</w:t>
                                  </w:r>
                                </w:p>
                              </w:tc>
                              <w:tc>
                                <w:tcPr>
                                  <w:tcW w:w="1296" w:type="dxa"/>
                                  <w:tcBorders>
                                    <w:top w:val="nil"/>
                                    <w:left w:val="nil"/>
                                    <w:bottom w:val="nil"/>
                                    <w:right w:val="nil"/>
                                  </w:tcBorders>
                                </w:tcPr>
                                <w:p w14:paraId="0D2C3CF9" w14:textId="77777777" w:rsidR="00FF3468" w:rsidRPr="00780064" w:rsidRDefault="00FF3468" w:rsidP="0096409D">
                                  <w:pPr>
                                    <w:spacing w:line="240" w:lineRule="auto"/>
                                    <w:jc w:val="center"/>
                                    <w:rPr>
                                      <w:sz w:val="20"/>
                                      <w:szCs w:val="20"/>
                                    </w:rPr>
                                  </w:pPr>
                                  <w:r>
                                    <w:rPr>
                                      <w:sz w:val="20"/>
                                      <w:szCs w:val="20"/>
                                    </w:rPr>
                                    <w:t>11.75</w:t>
                                  </w:r>
                                </w:p>
                              </w:tc>
                              <w:tc>
                                <w:tcPr>
                                  <w:tcW w:w="864" w:type="dxa"/>
                                  <w:tcBorders>
                                    <w:top w:val="nil"/>
                                    <w:left w:val="nil"/>
                                    <w:bottom w:val="nil"/>
                                    <w:right w:val="nil"/>
                                  </w:tcBorders>
                                </w:tcPr>
                                <w:p w14:paraId="752BC417" w14:textId="77777777" w:rsidR="00FF3468" w:rsidRPr="00780064" w:rsidRDefault="00FF3468" w:rsidP="0096409D">
                                  <w:pPr>
                                    <w:spacing w:line="240" w:lineRule="auto"/>
                                    <w:jc w:val="center"/>
                                    <w:rPr>
                                      <w:sz w:val="20"/>
                                      <w:szCs w:val="20"/>
                                    </w:rPr>
                                  </w:pPr>
                                  <w:r>
                                    <w:rPr>
                                      <w:sz w:val="20"/>
                                      <w:szCs w:val="20"/>
                                    </w:rPr>
                                    <w:t>3.1%</w:t>
                                  </w:r>
                                </w:p>
                              </w:tc>
                            </w:tr>
                            <w:tr w:rsidR="00FF3468" w:rsidRPr="00780064" w14:paraId="34F8F9D6" w14:textId="77777777" w:rsidTr="0096409D">
                              <w:trPr>
                                <w:cantSplit/>
                                <w:jc w:val="center"/>
                              </w:trPr>
                              <w:tc>
                                <w:tcPr>
                                  <w:tcW w:w="1872" w:type="dxa"/>
                                  <w:tcBorders>
                                    <w:top w:val="nil"/>
                                    <w:left w:val="nil"/>
                                    <w:bottom w:val="nil"/>
                                    <w:right w:val="single" w:sz="4" w:space="0" w:color="auto"/>
                                  </w:tcBorders>
                                </w:tcPr>
                                <w:p w14:paraId="6C99E7CD" w14:textId="77777777" w:rsidR="00FF3468" w:rsidRPr="00780064" w:rsidRDefault="00FF3468" w:rsidP="0096409D">
                                  <w:pPr>
                                    <w:spacing w:line="240" w:lineRule="auto"/>
                                    <w:jc w:val="center"/>
                                    <w:rPr>
                                      <w:sz w:val="20"/>
                                      <w:szCs w:val="20"/>
                                    </w:rPr>
                                  </w:pPr>
                                  <w:r w:rsidRPr="00780064">
                                    <w:rPr>
                                      <w:sz w:val="20"/>
                                      <w:szCs w:val="20"/>
                                    </w:rPr>
                                    <w:t>Vertical Stress C/R</w:t>
                                  </w:r>
                                </w:p>
                              </w:tc>
                              <w:tc>
                                <w:tcPr>
                                  <w:tcW w:w="864" w:type="dxa"/>
                                  <w:tcBorders>
                                    <w:top w:val="nil"/>
                                    <w:left w:val="single" w:sz="4" w:space="0" w:color="auto"/>
                                    <w:bottom w:val="nil"/>
                                    <w:right w:val="nil"/>
                                  </w:tcBorders>
                                </w:tcPr>
                                <w:p w14:paraId="675E833B" w14:textId="77777777" w:rsidR="00FF3468" w:rsidRPr="00780064" w:rsidRDefault="00FF3468" w:rsidP="0096409D">
                                  <w:pPr>
                                    <w:spacing w:line="240" w:lineRule="auto"/>
                                    <w:jc w:val="center"/>
                                    <w:rPr>
                                      <w:sz w:val="20"/>
                                      <w:szCs w:val="20"/>
                                    </w:rPr>
                                  </w:pPr>
                                  <w:r>
                                    <w:rPr>
                                      <w:sz w:val="20"/>
                                      <w:szCs w:val="20"/>
                                    </w:rPr>
                                    <w:t>0.89</w:t>
                                  </w:r>
                                </w:p>
                              </w:tc>
                              <w:tc>
                                <w:tcPr>
                                  <w:tcW w:w="1296" w:type="dxa"/>
                                  <w:tcBorders>
                                    <w:top w:val="nil"/>
                                    <w:left w:val="nil"/>
                                    <w:bottom w:val="nil"/>
                                    <w:right w:val="nil"/>
                                  </w:tcBorders>
                                </w:tcPr>
                                <w:p w14:paraId="2FDD4DAB" w14:textId="77777777" w:rsidR="00FF3468" w:rsidRPr="00780064" w:rsidRDefault="00FF3468" w:rsidP="0096409D">
                                  <w:pPr>
                                    <w:spacing w:line="240" w:lineRule="auto"/>
                                    <w:jc w:val="center"/>
                                    <w:rPr>
                                      <w:sz w:val="20"/>
                                      <w:szCs w:val="20"/>
                                    </w:rPr>
                                  </w:pPr>
                                  <w:r>
                                    <w:rPr>
                                      <w:sz w:val="20"/>
                                      <w:szCs w:val="20"/>
                                    </w:rPr>
                                    <w:t>0.93</w:t>
                                  </w:r>
                                </w:p>
                              </w:tc>
                              <w:tc>
                                <w:tcPr>
                                  <w:tcW w:w="864" w:type="dxa"/>
                                  <w:tcBorders>
                                    <w:top w:val="nil"/>
                                    <w:left w:val="nil"/>
                                    <w:bottom w:val="nil"/>
                                    <w:right w:val="single" w:sz="4" w:space="0" w:color="auto"/>
                                  </w:tcBorders>
                                </w:tcPr>
                                <w:p w14:paraId="57F96DCA" w14:textId="77777777" w:rsidR="00FF3468" w:rsidRPr="00780064" w:rsidRDefault="00FF3468" w:rsidP="0096409D">
                                  <w:pPr>
                                    <w:spacing w:line="240" w:lineRule="auto"/>
                                    <w:jc w:val="center"/>
                                    <w:rPr>
                                      <w:sz w:val="20"/>
                                      <w:szCs w:val="20"/>
                                    </w:rPr>
                                  </w:pPr>
                                  <w:r>
                                    <w:rPr>
                                      <w:sz w:val="20"/>
                                      <w:szCs w:val="20"/>
                                    </w:rPr>
                                    <w:t>4.9%</w:t>
                                  </w:r>
                                </w:p>
                              </w:tc>
                              <w:tc>
                                <w:tcPr>
                                  <w:tcW w:w="864" w:type="dxa"/>
                                  <w:tcBorders>
                                    <w:top w:val="nil"/>
                                    <w:left w:val="single" w:sz="4" w:space="0" w:color="auto"/>
                                    <w:bottom w:val="nil"/>
                                    <w:right w:val="nil"/>
                                  </w:tcBorders>
                                </w:tcPr>
                                <w:p w14:paraId="16F5C1F7" w14:textId="77777777" w:rsidR="00FF3468" w:rsidRPr="00780064" w:rsidRDefault="00FF3468" w:rsidP="0096409D">
                                  <w:pPr>
                                    <w:spacing w:line="240" w:lineRule="auto"/>
                                    <w:jc w:val="center"/>
                                    <w:rPr>
                                      <w:sz w:val="20"/>
                                      <w:szCs w:val="20"/>
                                    </w:rPr>
                                  </w:pPr>
                                  <w:r>
                                    <w:rPr>
                                      <w:sz w:val="20"/>
                                      <w:szCs w:val="20"/>
                                    </w:rPr>
                                    <w:t>3.01</w:t>
                                  </w:r>
                                </w:p>
                              </w:tc>
                              <w:tc>
                                <w:tcPr>
                                  <w:tcW w:w="1296" w:type="dxa"/>
                                  <w:tcBorders>
                                    <w:top w:val="nil"/>
                                    <w:left w:val="nil"/>
                                    <w:bottom w:val="nil"/>
                                    <w:right w:val="nil"/>
                                  </w:tcBorders>
                                </w:tcPr>
                                <w:p w14:paraId="6D1EE390" w14:textId="77777777" w:rsidR="00FF3468" w:rsidRPr="00780064" w:rsidRDefault="00FF3468" w:rsidP="0096409D">
                                  <w:pPr>
                                    <w:spacing w:line="240" w:lineRule="auto"/>
                                    <w:jc w:val="center"/>
                                    <w:rPr>
                                      <w:sz w:val="20"/>
                                      <w:szCs w:val="20"/>
                                    </w:rPr>
                                  </w:pPr>
                                  <w:r>
                                    <w:rPr>
                                      <w:sz w:val="20"/>
                                      <w:szCs w:val="20"/>
                                    </w:rPr>
                                    <w:t>3.44</w:t>
                                  </w:r>
                                </w:p>
                              </w:tc>
                              <w:tc>
                                <w:tcPr>
                                  <w:tcW w:w="864" w:type="dxa"/>
                                  <w:tcBorders>
                                    <w:top w:val="nil"/>
                                    <w:left w:val="nil"/>
                                    <w:bottom w:val="nil"/>
                                    <w:right w:val="single" w:sz="4" w:space="0" w:color="auto"/>
                                  </w:tcBorders>
                                </w:tcPr>
                                <w:p w14:paraId="550D0C6A" w14:textId="77777777" w:rsidR="00FF3468" w:rsidRPr="00780064" w:rsidRDefault="00FF3468" w:rsidP="0096409D">
                                  <w:pPr>
                                    <w:spacing w:line="240" w:lineRule="auto"/>
                                    <w:jc w:val="center"/>
                                    <w:rPr>
                                      <w:sz w:val="20"/>
                                      <w:szCs w:val="20"/>
                                    </w:rPr>
                                  </w:pPr>
                                  <w:r>
                                    <w:rPr>
                                      <w:sz w:val="20"/>
                                      <w:szCs w:val="20"/>
                                    </w:rPr>
                                    <w:t>13.5%</w:t>
                                  </w:r>
                                </w:p>
                              </w:tc>
                              <w:tc>
                                <w:tcPr>
                                  <w:tcW w:w="864" w:type="dxa"/>
                                  <w:tcBorders>
                                    <w:top w:val="nil"/>
                                    <w:left w:val="single" w:sz="4" w:space="0" w:color="auto"/>
                                    <w:bottom w:val="nil"/>
                                    <w:right w:val="nil"/>
                                  </w:tcBorders>
                                </w:tcPr>
                                <w:p w14:paraId="70A21725" w14:textId="77777777" w:rsidR="00FF3468" w:rsidRPr="00780064" w:rsidRDefault="00FF3468" w:rsidP="0096409D">
                                  <w:pPr>
                                    <w:spacing w:line="240" w:lineRule="auto"/>
                                    <w:jc w:val="center"/>
                                    <w:rPr>
                                      <w:sz w:val="20"/>
                                      <w:szCs w:val="20"/>
                                    </w:rPr>
                                  </w:pPr>
                                  <w:r>
                                    <w:rPr>
                                      <w:sz w:val="20"/>
                                      <w:szCs w:val="20"/>
                                    </w:rPr>
                                    <w:t>11.65</w:t>
                                  </w:r>
                                </w:p>
                              </w:tc>
                              <w:tc>
                                <w:tcPr>
                                  <w:tcW w:w="1296" w:type="dxa"/>
                                  <w:tcBorders>
                                    <w:top w:val="nil"/>
                                    <w:left w:val="nil"/>
                                    <w:bottom w:val="nil"/>
                                    <w:right w:val="nil"/>
                                  </w:tcBorders>
                                </w:tcPr>
                                <w:p w14:paraId="155EE213" w14:textId="77777777" w:rsidR="00FF3468" w:rsidRPr="00780064" w:rsidRDefault="00FF3468" w:rsidP="0096409D">
                                  <w:pPr>
                                    <w:spacing w:line="240" w:lineRule="auto"/>
                                    <w:jc w:val="center"/>
                                    <w:rPr>
                                      <w:sz w:val="20"/>
                                      <w:szCs w:val="20"/>
                                    </w:rPr>
                                  </w:pPr>
                                  <w:r>
                                    <w:rPr>
                                      <w:sz w:val="20"/>
                                      <w:szCs w:val="20"/>
                                    </w:rPr>
                                    <w:t>11.76</w:t>
                                  </w:r>
                                </w:p>
                              </w:tc>
                              <w:tc>
                                <w:tcPr>
                                  <w:tcW w:w="864" w:type="dxa"/>
                                  <w:tcBorders>
                                    <w:top w:val="nil"/>
                                    <w:left w:val="nil"/>
                                    <w:bottom w:val="nil"/>
                                    <w:right w:val="nil"/>
                                  </w:tcBorders>
                                </w:tcPr>
                                <w:p w14:paraId="7413C1A6" w14:textId="77777777" w:rsidR="00FF3468" w:rsidRPr="00780064" w:rsidRDefault="00FF3468" w:rsidP="0096409D">
                                  <w:pPr>
                                    <w:spacing w:line="240" w:lineRule="auto"/>
                                    <w:jc w:val="center"/>
                                    <w:rPr>
                                      <w:sz w:val="20"/>
                                      <w:szCs w:val="20"/>
                                    </w:rPr>
                                  </w:pPr>
                                  <w:r>
                                    <w:rPr>
                                      <w:sz w:val="20"/>
                                      <w:szCs w:val="20"/>
                                    </w:rPr>
                                    <w:t>1.0%</w:t>
                                  </w:r>
                                </w:p>
                              </w:tc>
                            </w:tr>
                          </w:tbl>
                          <w:p w14:paraId="04C2A982" w14:textId="77777777" w:rsidR="00FF3468" w:rsidRDefault="00FF3468" w:rsidP="0096409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4B6326CA" id="Text Box 90" o:spid="_x0000_s1027" type="#_x0000_t202" style="width:554.4pt;height:468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" stroked="f">
                <v:textbox inset="0,0,0,0">
                  <w:txbxContent>
                    <w:p w14:paraId="1AD26B19" w14:textId="2FF19441" w:rsidR="00FF3468" w:rsidRDefault="00FF3468" w:rsidP="0096409D">
                      <w:pPr>
                        <w:pStyle w:val="MainText"/>
                        <w:rPr>
                          <w:sz w:val="20"/>
                          <w:lang w:val="en-CA"/>
                        </w:rPr>
                      </w:pPr>
                    </w:p>
                    <w:p w14:paraId="61D15CE0" w14:textId="2C1A1F07" w:rsidR="00FF3468" w:rsidRDefault="00FF3468" w:rsidP="0096409D">
                      <w:pPr>
                        <w:pStyle w:val="MainText"/>
                        <w:rPr>
                          <w:sz w:val="20"/>
                          <w:lang w:val="en-CA"/>
                        </w:rPr>
                      </w:pPr>
                    </w:p>
                    <w:p w14:paraId="01252245" w14:textId="394221A8" w:rsidR="00FF3468" w:rsidRDefault="00FF3468" w:rsidP="0096409D">
                      <w:pPr>
                        <w:pStyle w:val="MainText"/>
                        <w:rPr>
                          <w:sz w:val="20"/>
                          <w:lang w:val="en-CA"/>
                        </w:rPr>
                      </w:pPr>
                    </w:p>
                    <w:p w14:paraId="3911EC58" w14:textId="20A3CF67" w:rsidR="00FF3468" w:rsidRDefault="00FF3468" w:rsidP="0096409D">
                      <w:pPr>
                        <w:pStyle w:val="MainText"/>
                        <w:rPr>
                          <w:sz w:val="20"/>
                          <w:lang w:val="en-CA"/>
                        </w:rPr>
                      </w:pPr>
                    </w:p>
                    <w:p w14:paraId="47586734" w14:textId="1B8C1857" w:rsidR="00FF3468" w:rsidRDefault="00FF3468" w:rsidP="0096409D">
                      <w:pPr>
                        <w:pStyle w:val="MainText"/>
                        <w:rPr>
                          <w:sz w:val="20"/>
                          <w:lang w:val="en-CA"/>
                        </w:rPr>
                      </w:pPr>
                    </w:p>
                    <w:p w14:paraId="688E850A" w14:textId="70F9ED24" w:rsidR="00FF3468" w:rsidRDefault="00FF3468" w:rsidP="0096409D">
                      <w:pPr>
                        <w:pStyle w:val="MainText"/>
                        <w:rPr>
                          <w:sz w:val="20"/>
                          <w:lang w:val="en-CA"/>
                        </w:rPr>
                      </w:pPr>
                    </w:p>
                    <w:p w14:paraId="3F0B755D" w14:textId="1CFFF6EF" w:rsidR="00FF3468" w:rsidRDefault="00FF3468" w:rsidP="0096409D">
                      <w:pPr>
                        <w:pStyle w:val="MainText"/>
                        <w:rPr>
                          <w:sz w:val="20"/>
                          <w:lang w:val="en-CA"/>
                        </w:rPr>
                      </w:pPr>
                    </w:p>
                    <w:p w14:paraId="22B0E24D" w14:textId="77777777" w:rsidR="00FF3468" w:rsidRPr="00117D89" w:rsidRDefault="00FF3468" w:rsidP="0096409D">
                      <w:pPr>
                        <w:pStyle w:val="MainText"/>
                        <w:rPr>
                          <w:sz w:val="20"/>
                        </w:rPr>
                      </w:pPr>
                    </w:p>
                    <w:p w14:paraId="1563535C" w14:textId="5B166236" w:rsidR="00FF3468" w:rsidRDefault="00FF3468" w:rsidP="0096409D"/>
                    <w:tbl>
                      <w:tblPr>
                        <w:tblStyle w:val="TableGrid"/>
                        <w:tblW w:w="10944" w:type="dxa"/>
                        <w:jc w:val="center"/>
                        <w:tblLayout w:type="fixed"/>
                        <w:tblCellMar>
                          <w:left w:w="115" w:type="dxa"/>
                          <w:right w:w="115" w:type="dxa"/>
                        </w:tblCellMar>
                        <w:tblLook w:val="04A0" w:firstRow="1" w:lastRow="0" w:firstColumn="1" w:lastColumn="0" w:noHBand="0" w:noVBand="1"/>
                      </w:tblPr>
                      <w:tblGrid>
                        <w:gridCol w:w="1872"/>
                        <w:gridCol w:w="864"/>
                        <w:gridCol w:w="1296"/>
                        <w:gridCol w:w="864"/>
                        <w:gridCol w:w="864"/>
                        <w:gridCol w:w="1296"/>
                        <w:gridCol w:w="864"/>
                        <w:gridCol w:w="864"/>
                        <w:gridCol w:w="1296"/>
                        <w:gridCol w:w="864"/>
                      </w:tblGrid>
                      <w:tr w:rsidR="00FF3468" w:rsidRPr="00780064" w14:paraId="4CA265EB" w14:textId="77777777" w:rsidTr="0096409D">
                        <w:trPr>
                          <w:cantSplit/>
                          <w:jc w:val="center"/>
                        </w:trPr>
                        <w:tc>
                          <w:tcPr>
                            <w:tcW w:w="1872" w:type="dxa"/>
                            <w:tcBorders>
                              <w:top w:val="nil"/>
                              <w:left w:val="nil"/>
                              <w:bottom w:val="nil"/>
                              <w:right w:val="nil"/>
                            </w:tcBorders>
                          </w:tcPr>
                          <w:p w14:paraId="629B817D" w14:textId="77777777" w:rsidR="00FF3468" w:rsidRPr="00780064" w:rsidRDefault="00FF3468" w:rsidP="0096409D">
                            <w:pPr>
                              <w:spacing w:line="240" w:lineRule="auto"/>
                              <w:jc w:val="center"/>
                              <w:rPr>
                                <w:sz w:val="20"/>
                                <w:szCs w:val="20"/>
                              </w:rPr>
                            </w:pPr>
                          </w:p>
                        </w:tc>
                        <w:tc>
                          <w:tcPr>
                            <w:tcW w:w="3024" w:type="dxa"/>
                            <w:gridSpan w:val="3"/>
                            <w:tcBorders>
                              <w:top w:val="nil"/>
                              <w:left w:val="nil"/>
                              <w:bottom w:val="nil"/>
                              <w:right w:val="nil"/>
                            </w:tcBorders>
                          </w:tcPr>
                          <w:p w14:paraId="02C38E34" w14:textId="77777777" w:rsidR="00FF3468" w:rsidRPr="00780064" w:rsidRDefault="00FF3468" w:rsidP="0096409D">
                            <w:pPr>
                              <w:spacing w:line="240" w:lineRule="auto"/>
                              <w:jc w:val="center"/>
                              <w:rPr>
                                <w:sz w:val="20"/>
                                <w:szCs w:val="20"/>
                              </w:rPr>
                            </w:pPr>
                            <w:r w:rsidRPr="00780064">
                              <w:rPr>
                                <w:sz w:val="20"/>
                                <w:szCs w:val="20"/>
                              </w:rPr>
                              <w:t>Shallow</w:t>
                            </w:r>
                            <w:r>
                              <w:rPr>
                                <w:sz w:val="20"/>
                                <w:szCs w:val="20"/>
                              </w:rPr>
                              <w:t xml:space="preserve"> Well</w:t>
                            </w:r>
                          </w:p>
                        </w:tc>
                        <w:tc>
                          <w:tcPr>
                            <w:tcW w:w="3024" w:type="dxa"/>
                            <w:gridSpan w:val="3"/>
                            <w:tcBorders>
                              <w:top w:val="nil"/>
                              <w:left w:val="nil"/>
                              <w:bottom w:val="nil"/>
                              <w:right w:val="nil"/>
                            </w:tcBorders>
                          </w:tcPr>
                          <w:p w14:paraId="233319B0" w14:textId="77777777" w:rsidR="00FF3468" w:rsidRPr="00780064" w:rsidRDefault="00FF3468" w:rsidP="0096409D">
                            <w:pPr>
                              <w:spacing w:line="240" w:lineRule="auto"/>
                              <w:jc w:val="center"/>
                              <w:rPr>
                                <w:sz w:val="20"/>
                                <w:szCs w:val="20"/>
                              </w:rPr>
                            </w:pPr>
                            <w:r w:rsidRPr="00780064">
                              <w:rPr>
                                <w:sz w:val="20"/>
                                <w:szCs w:val="20"/>
                              </w:rPr>
                              <w:t>Medium</w:t>
                            </w:r>
                            <w:r>
                              <w:rPr>
                                <w:sz w:val="20"/>
                                <w:szCs w:val="20"/>
                              </w:rPr>
                              <w:t xml:space="preserve"> Well</w:t>
                            </w:r>
                          </w:p>
                        </w:tc>
                        <w:tc>
                          <w:tcPr>
                            <w:tcW w:w="3024" w:type="dxa"/>
                            <w:gridSpan w:val="3"/>
                            <w:tcBorders>
                              <w:top w:val="nil"/>
                              <w:left w:val="nil"/>
                              <w:bottom w:val="nil"/>
                              <w:right w:val="nil"/>
                            </w:tcBorders>
                          </w:tcPr>
                          <w:p w14:paraId="7A6D42A3" w14:textId="77777777" w:rsidR="00FF3468" w:rsidRPr="00780064" w:rsidRDefault="00FF3468" w:rsidP="0096409D">
                            <w:pPr>
                              <w:spacing w:line="240" w:lineRule="auto"/>
                              <w:jc w:val="center"/>
                              <w:rPr>
                                <w:sz w:val="20"/>
                                <w:szCs w:val="20"/>
                              </w:rPr>
                            </w:pPr>
                            <w:r w:rsidRPr="00780064">
                              <w:rPr>
                                <w:sz w:val="20"/>
                                <w:szCs w:val="20"/>
                              </w:rPr>
                              <w:t>Deep</w:t>
                            </w:r>
                            <w:r>
                              <w:rPr>
                                <w:sz w:val="20"/>
                                <w:szCs w:val="20"/>
                              </w:rPr>
                              <w:t xml:space="preserve"> Well</w:t>
                            </w:r>
                          </w:p>
                        </w:tc>
                      </w:tr>
                      <w:tr w:rsidR="00FF3468" w:rsidRPr="00780064" w14:paraId="6A76E558" w14:textId="77777777" w:rsidTr="0096409D">
                        <w:trPr>
                          <w:cantSplit/>
                          <w:jc w:val="center"/>
                        </w:trPr>
                        <w:tc>
                          <w:tcPr>
                            <w:tcW w:w="1872" w:type="dxa"/>
                            <w:vMerge w:val="restart"/>
                            <w:tcBorders>
                              <w:top w:val="nil"/>
                              <w:left w:val="nil"/>
                              <w:bottom w:val="nil"/>
                              <w:right w:val="single" w:sz="4" w:space="0" w:color="auto"/>
                            </w:tcBorders>
                            <w:vAlign w:val="bottom"/>
                          </w:tcPr>
                          <w:p w14:paraId="0D2CC835" w14:textId="77777777" w:rsidR="00FF3468" w:rsidRPr="00780064" w:rsidRDefault="00FF3468" w:rsidP="0096409D">
                            <w:pPr>
                              <w:spacing w:line="240" w:lineRule="auto"/>
                              <w:jc w:val="center"/>
                              <w:rPr>
                                <w:sz w:val="20"/>
                                <w:szCs w:val="20"/>
                              </w:rPr>
                            </w:pPr>
                            <w:r w:rsidRPr="00780064">
                              <w:rPr>
                                <w:sz w:val="20"/>
                                <w:szCs w:val="20"/>
                              </w:rPr>
                              <w:t>Effective Interface Stresses</w:t>
                            </w:r>
                          </w:p>
                        </w:tc>
                        <w:tc>
                          <w:tcPr>
                            <w:tcW w:w="864" w:type="dxa"/>
                            <w:tcBorders>
                              <w:top w:val="nil"/>
                              <w:left w:val="single" w:sz="4" w:space="0" w:color="auto"/>
                              <w:bottom w:val="nil"/>
                              <w:right w:val="nil"/>
                            </w:tcBorders>
                          </w:tcPr>
                          <w:p w14:paraId="0A0958F2" w14:textId="77777777" w:rsidR="00FF3468" w:rsidRPr="00780064" w:rsidRDefault="00FF3468" w:rsidP="0096409D">
                            <w:pPr>
                              <w:spacing w:line="240" w:lineRule="auto"/>
                              <w:jc w:val="center"/>
                              <w:rPr>
                                <w:sz w:val="20"/>
                                <w:szCs w:val="20"/>
                              </w:rPr>
                            </w:pPr>
                            <w:r>
                              <w:rPr>
                                <w:sz w:val="20"/>
                                <w:szCs w:val="20"/>
                              </w:rPr>
                              <w:t>Stress</w:t>
                            </w:r>
                            <w:r w:rsidRPr="00780064">
                              <w:rPr>
                                <w:sz w:val="20"/>
                                <w:szCs w:val="20"/>
                              </w:rPr>
                              <w:t xml:space="preserve"> Model</w:t>
                            </w:r>
                          </w:p>
                        </w:tc>
                        <w:tc>
                          <w:tcPr>
                            <w:tcW w:w="1296" w:type="dxa"/>
                            <w:tcBorders>
                              <w:top w:val="nil"/>
                              <w:left w:val="nil"/>
                              <w:bottom w:val="nil"/>
                              <w:right w:val="nil"/>
                            </w:tcBorders>
                          </w:tcPr>
                          <w:p w14:paraId="23A5FE87" w14:textId="77777777" w:rsidR="00FF3468" w:rsidRPr="00780064" w:rsidRDefault="00FF3468" w:rsidP="0096409D">
                            <w:pPr>
                              <w:spacing w:line="240" w:lineRule="auto"/>
                              <w:jc w:val="center"/>
                              <w:rPr>
                                <w:sz w:val="20"/>
                                <w:szCs w:val="20"/>
                              </w:rPr>
                            </w:pPr>
                            <w:r>
                              <w:rPr>
                                <w:sz w:val="20"/>
                                <w:szCs w:val="20"/>
                              </w:rPr>
                              <w:t>Fracture</w:t>
                            </w:r>
                            <w:r w:rsidRPr="00780064">
                              <w:rPr>
                                <w:sz w:val="20"/>
                                <w:szCs w:val="20"/>
                              </w:rPr>
                              <w:t xml:space="preserve"> Model</w:t>
                            </w:r>
                          </w:p>
                        </w:tc>
                        <w:tc>
                          <w:tcPr>
                            <w:tcW w:w="864" w:type="dxa"/>
                            <w:tcBorders>
                              <w:top w:val="nil"/>
                              <w:left w:val="nil"/>
                              <w:bottom w:val="nil"/>
                              <w:right w:val="single" w:sz="4" w:space="0" w:color="auto"/>
                            </w:tcBorders>
                          </w:tcPr>
                          <w:p w14:paraId="322246E1" w14:textId="77777777" w:rsidR="00FF3468" w:rsidRPr="00780064" w:rsidRDefault="00FF3468" w:rsidP="0096409D">
                            <w:pPr>
                              <w:spacing w:line="240" w:lineRule="auto"/>
                              <w:jc w:val="center"/>
                              <w:rPr>
                                <w:sz w:val="20"/>
                                <w:szCs w:val="20"/>
                              </w:rPr>
                            </w:pPr>
                            <w:r w:rsidRPr="00780064">
                              <w:rPr>
                                <w:sz w:val="20"/>
                                <w:szCs w:val="20"/>
                              </w:rPr>
                              <w:t>Avg. Diff.</w:t>
                            </w:r>
                          </w:p>
                        </w:tc>
                        <w:tc>
                          <w:tcPr>
                            <w:tcW w:w="864" w:type="dxa"/>
                            <w:tcBorders>
                              <w:top w:val="nil"/>
                              <w:left w:val="single" w:sz="4" w:space="0" w:color="auto"/>
                              <w:bottom w:val="nil"/>
                              <w:right w:val="nil"/>
                            </w:tcBorders>
                          </w:tcPr>
                          <w:p w14:paraId="6805E44D" w14:textId="77777777" w:rsidR="00FF3468" w:rsidRPr="00780064" w:rsidRDefault="00FF3468" w:rsidP="0096409D">
                            <w:pPr>
                              <w:spacing w:line="240" w:lineRule="auto"/>
                              <w:jc w:val="center"/>
                              <w:rPr>
                                <w:sz w:val="20"/>
                                <w:szCs w:val="20"/>
                              </w:rPr>
                            </w:pPr>
                            <w:r>
                              <w:rPr>
                                <w:sz w:val="20"/>
                                <w:szCs w:val="20"/>
                              </w:rPr>
                              <w:t>Stress</w:t>
                            </w:r>
                            <w:r w:rsidRPr="00780064">
                              <w:rPr>
                                <w:sz w:val="20"/>
                                <w:szCs w:val="20"/>
                              </w:rPr>
                              <w:t xml:space="preserve"> Model</w:t>
                            </w:r>
                          </w:p>
                        </w:tc>
                        <w:tc>
                          <w:tcPr>
                            <w:tcW w:w="1296" w:type="dxa"/>
                            <w:tcBorders>
                              <w:top w:val="nil"/>
                              <w:left w:val="nil"/>
                              <w:bottom w:val="nil"/>
                              <w:right w:val="nil"/>
                            </w:tcBorders>
                          </w:tcPr>
                          <w:p w14:paraId="45145183" w14:textId="77777777" w:rsidR="00FF3468" w:rsidRPr="00780064" w:rsidRDefault="00FF3468" w:rsidP="0096409D">
                            <w:pPr>
                              <w:spacing w:line="240" w:lineRule="auto"/>
                              <w:jc w:val="center"/>
                              <w:rPr>
                                <w:sz w:val="20"/>
                                <w:szCs w:val="20"/>
                              </w:rPr>
                            </w:pPr>
                            <w:r>
                              <w:rPr>
                                <w:sz w:val="20"/>
                                <w:szCs w:val="20"/>
                              </w:rPr>
                              <w:t>Fracture</w:t>
                            </w:r>
                            <w:r w:rsidRPr="00780064">
                              <w:rPr>
                                <w:sz w:val="20"/>
                                <w:szCs w:val="20"/>
                              </w:rPr>
                              <w:t xml:space="preserve"> Model</w:t>
                            </w:r>
                          </w:p>
                        </w:tc>
                        <w:tc>
                          <w:tcPr>
                            <w:tcW w:w="864" w:type="dxa"/>
                            <w:tcBorders>
                              <w:top w:val="nil"/>
                              <w:left w:val="nil"/>
                              <w:bottom w:val="nil"/>
                              <w:right w:val="single" w:sz="4" w:space="0" w:color="auto"/>
                            </w:tcBorders>
                          </w:tcPr>
                          <w:p w14:paraId="3787EBE0" w14:textId="77777777" w:rsidR="00FF3468" w:rsidRPr="00780064" w:rsidRDefault="00FF3468" w:rsidP="0096409D">
                            <w:pPr>
                              <w:spacing w:line="240" w:lineRule="auto"/>
                              <w:jc w:val="center"/>
                              <w:rPr>
                                <w:sz w:val="20"/>
                                <w:szCs w:val="20"/>
                              </w:rPr>
                            </w:pPr>
                            <w:r w:rsidRPr="00780064">
                              <w:rPr>
                                <w:sz w:val="20"/>
                                <w:szCs w:val="20"/>
                              </w:rPr>
                              <w:t>Avg. Diff.</w:t>
                            </w:r>
                          </w:p>
                        </w:tc>
                        <w:tc>
                          <w:tcPr>
                            <w:tcW w:w="864" w:type="dxa"/>
                            <w:tcBorders>
                              <w:top w:val="nil"/>
                              <w:left w:val="single" w:sz="4" w:space="0" w:color="auto"/>
                              <w:bottom w:val="nil"/>
                              <w:right w:val="nil"/>
                            </w:tcBorders>
                          </w:tcPr>
                          <w:p w14:paraId="7470CFAE" w14:textId="77777777" w:rsidR="00FF3468" w:rsidRPr="00780064" w:rsidRDefault="00FF3468" w:rsidP="0096409D">
                            <w:pPr>
                              <w:spacing w:line="240" w:lineRule="auto"/>
                              <w:jc w:val="center"/>
                              <w:rPr>
                                <w:sz w:val="20"/>
                                <w:szCs w:val="20"/>
                              </w:rPr>
                            </w:pPr>
                            <w:r>
                              <w:rPr>
                                <w:sz w:val="20"/>
                                <w:szCs w:val="20"/>
                              </w:rPr>
                              <w:t>Stress</w:t>
                            </w:r>
                            <w:r w:rsidRPr="00780064">
                              <w:rPr>
                                <w:sz w:val="20"/>
                                <w:szCs w:val="20"/>
                              </w:rPr>
                              <w:t xml:space="preserve"> Model</w:t>
                            </w:r>
                          </w:p>
                        </w:tc>
                        <w:tc>
                          <w:tcPr>
                            <w:tcW w:w="1296" w:type="dxa"/>
                            <w:tcBorders>
                              <w:top w:val="nil"/>
                              <w:left w:val="nil"/>
                              <w:bottom w:val="nil"/>
                              <w:right w:val="nil"/>
                            </w:tcBorders>
                          </w:tcPr>
                          <w:p w14:paraId="26DC4837" w14:textId="77777777" w:rsidR="00FF3468" w:rsidRPr="00780064" w:rsidRDefault="00FF3468" w:rsidP="0096409D">
                            <w:pPr>
                              <w:spacing w:line="240" w:lineRule="auto"/>
                              <w:jc w:val="center"/>
                              <w:rPr>
                                <w:sz w:val="20"/>
                                <w:szCs w:val="20"/>
                              </w:rPr>
                            </w:pPr>
                            <w:r>
                              <w:rPr>
                                <w:sz w:val="20"/>
                                <w:szCs w:val="20"/>
                              </w:rPr>
                              <w:t>Fracture</w:t>
                            </w:r>
                            <w:r w:rsidRPr="00780064">
                              <w:rPr>
                                <w:sz w:val="20"/>
                                <w:szCs w:val="20"/>
                              </w:rPr>
                              <w:t xml:space="preserve"> Model</w:t>
                            </w:r>
                          </w:p>
                        </w:tc>
                        <w:tc>
                          <w:tcPr>
                            <w:tcW w:w="864" w:type="dxa"/>
                            <w:tcBorders>
                              <w:top w:val="nil"/>
                              <w:left w:val="nil"/>
                              <w:bottom w:val="nil"/>
                              <w:right w:val="nil"/>
                            </w:tcBorders>
                          </w:tcPr>
                          <w:p w14:paraId="6BCB1F26" w14:textId="77777777" w:rsidR="00FF3468" w:rsidRPr="00780064" w:rsidRDefault="00FF3468" w:rsidP="0096409D">
                            <w:pPr>
                              <w:spacing w:line="240" w:lineRule="auto"/>
                              <w:jc w:val="center"/>
                              <w:rPr>
                                <w:sz w:val="20"/>
                                <w:szCs w:val="20"/>
                              </w:rPr>
                            </w:pPr>
                            <w:r w:rsidRPr="00780064">
                              <w:rPr>
                                <w:sz w:val="20"/>
                                <w:szCs w:val="20"/>
                              </w:rPr>
                              <w:t>Avg. Diff.</w:t>
                            </w:r>
                          </w:p>
                        </w:tc>
                      </w:tr>
                      <w:tr w:rsidR="00FF3468" w:rsidRPr="00780064" w14:paraId="1D2EFCD0" w14:textId="77777777" w:rsidTr="0096409D">
                        <w:trPr>
                          <w:cantSplit/>
                          <w:jc w:val="center"/>
                        </w:trPr>
                        <w:tc>
                          <w:tcPr>
                            <w:tcW w:w="1872" w:type="dxa"/>
                            <w:vMerge/>
                            <w:tcBorders>
                              <w:top w:val="nil"/>
                              <w:left w:val="nil"/>
                              <w:bottom w:val="single" w:sz="4" w:space="0" w:color="auto"/>
                              <w:right w:val="single" w:sz="4" w:space="0" w:color="auto"/>
                            </w:tcBorders>
                          </w:tcPr>
                          <w:p w14:paraId="6E495A93" w14:textId="77777777" w:rsidR="00FF3468" w:rsidRPr="00780064" w:rsidRDefault="00FF3468" w:rsidP="0096409D">
                            <w:pPr>
                              <w:spacing w:line="240" w:lineRule="auto"/>
                              <w:jc w:val="center"/>
                              <w:rPr>
                                <w:sz w:val="20"/>
                                <w:szCs w:val="20"/>
                              </w:rPr>
                            </w:pPr>
                          </w:p>
                        </w:tc>
                        <w:tc>
                          <w:tcPr>
                            <w:tcW w:w="864" w:type="dxa"/>
                            <w:tcBorders>
                              <w:top w:val="nil"/>
                              <w:left w:val="single" w:sz="4" w:space="0" w:color="auto"/>
                              <w:bottom w:val="single" w:sz="4" w:space="0" w:color="auto"/>
                              <w:right w:val="nil"/>
                            </w:tcBorders>
                          </w:tcPr>
                          <w:p w14:paraId="0F24B20A" w14:textId="77777777" w:rsidR="00FF3468" w:rsidRPr="00780064" w:rsidRDefault="00FF3468" w:rsidP="0096409D">
                            <w:pPr>
                              <w:spacing w:line="240" w:lineRule="auto"/>
                              <w:jc w:val="center"/>
                              <w:rPr>
                                <w:sz w:val="20"/>
                                <w:szCs w:val="20"/>
                              </w:rPr>
                            </w:pPr>
                            <w:r w:rsidRPr="00780064">
                              <w:rPr>
                                <w:sz w:val="20"/>
                                <w:szCs w:val="20"/>
                              </w:rPr>
                              <w:t>MPa</w:t>
                            </w:r>
                          </w:p>
                        </w:tc>
                        <w:tc>
                          <w:tcPr>
                            <w:tcW w:w="1296" w:type="dxa"/>
                            <w:tcBorders>
                              <w:top w:val="nil"/>
                              <w:left w:val="nil"/>
                              <w:bottom w:val="single" w:sz="4" w:space="0" w:color="auto"/>
                              <w:right w:val="nil"/>
                            </w:tcBorders>
                          </w:tcPr>
                          <w:p w14:paraId="0DCEEE32" w14:textId="77777777" w:rsidR="00FF3468" w:rsidRPr="00780064" w:rsidRDefault="00FF3468" w:rsidP="0096409D">
                            <w:pPr>
                              <w:spacing w:line="240" w:lineRule="auto"/>
                              <w:jc w:val="center"/>
                              <w:rPr>
                                <w:sz w:val="20"/>
                                <w:szCs w:val="20"/>
                              </w:rPr>
                            </w:pPr>
                            <w:r w:rsidRPr="00780064">
                              <w:rPr>
                                <w:sz w:val="20"/>
                                <w:szCs w:val="20"/>
                              </w:rPr>
                              <w:t>MPa</w:t>
                            </w:r>
                          </w:p>
                        </w:tc>
                        <w:tc>
                          <w:tcPr>
                            <w:tcW w:w="864" w:type="dxa"/>
                            <w:tcBorders>
                              <w:top w:val="nil"/>
                              <w:left w:val="nil"/>
                              <w:bottom w:val="single" w:sz="4" w:space="0" w:color="auto"/>
                              <w:right w:val="single" w:sz="4" w:space="0" w:color="auto"/>
                            </w:tcBorders>
                          </w:tcPr>
                          <w:p w14:paraId="5694AF5B" w14:textId="77777777" w:rsidR="00FF3468" w:rsidRPr="00780064" w:rsidRDefault="00FF3468" w:rsidP="0096409D">
                            <w:pPr>
                              <w:spacing w:line="240" w:lineRule="auto"/>
                              <w:jc w:val="center"/>
                              <w:rPr>
                                <w:sz w:val="20"/>
                                <w:szCs w:val="20"/>
                              </w:rPr>
                            </w:pPr>
                            <w:r w:rsidRPr="00780064">
                              <w:rPr>
                                <w:sz w:val="20"/>
                                <w:szCs w:val="20"/>
                              </w:rPr>
                              <w:t>%</w:t>
                            </w:r>
                          </w:p>
                        </w:tc>
                        <w:tc>
                          <w:tcPr>
                            <w:tcW w:w="864" w:type="dxa"/>
                            <w:tcBorders>
                              <w:top w:val="nil"/>
                              <w:left w:val="single" w:sz="4" w:space="0" w:color="auto"/>
                              <w:bottom w:val="single" w:sz="4" w:space="0" w:color="auto"/>
                              <w:right w:val="nil"/>
                            </w:tcBorders>
                          </w:tcPr>
                          <w:p w14:paraId="211822EE" w14:textId="77777777" w:rsidR="00FF3468" w:rsidRPr="00780064" w:rsidRDefault="00FF3468" w:rsidP="0096409D">
                            <w:pPr>
                              <w:spacing w:line="240" w:lineRule="auto"/>
                              <w:jc w:val="center"/>
                              <w:rPr>
                                <w:sz w:val="20"/>
                                <w:szCs w:val="20"/>
                              </w:rPr>
                            </w:pPr>
                            <w:r w:rsidRPr="00780064">
                              <w:rPr>
                                <w:sz w:val="20"/>
                                <w:szCs w:val="20"/>
                              </w:rPr>
                              <w:t>MPa</w:t>
                            </w:r>
                          </w:p>
                        </w:tc>
                        <w:tc>
                          <w:tcPr>
                            <w:tcW w:w="1296" w:type="dxa"/>
                            <w:tcBorders>
                              <w:top w:val="nil"/>
                              <w:left w:val="nil"/>
                              <w:bottom w:val="single" w:sz="4" w:space="0" w:color="auto"/>
                              <w:right w:val="nil"/>
                            </w:tcBorders>
                          </w:tcPr>
                          <w:p w14:paraId="3600DB61" w14:textId="77777777" w:rsidR="00FF3468" w:rsidRPr="00780064" w:rsidRDefault="00FF3468" w:rsidP="0096409D">
                            <w:pPr>
                              <w:spacing w:line="240" w:lineRule="auto"/>
                              <w:jc w:val="center"/>
                              <w:rPr>
                                <w:sz w:val="20"/>
                                <w:szCs w:val="20"/>
                              </w:rPr>
                            </w:pPr>
                            <w:r w:rsidRPr="00780064">
                              <w:rPr>
                                <w:sz w:val="20"/>
                                <w:szCs w:val="20"/>
                              </w:rPr>
                              <w:t>MPa</w:t>
                            </w:r>
                          </w:p>
                        </w:tc>
                        <w:tc>
                          <w:tcPr>
                            <w:tcW w:w="864" w:type="dxa"/>
                            <w:tcBorders>
                              <w:top w:val="nil"/>
                              <w:left w:val="nil"/>
                              <w:bottom w:val="single" w:sz="4" w:space="0" w:color="auto"/>
                              <w:right w:val="single" w:sz="4" w:space="0" w:color="auto"/>
                            </w:tcBorders>
                          </w:tcPr>
                          <w:p w14:paraId="59ECE6B0" w14:textId="77777777" w:rsidR="00FF3468" w:rsidRPr="00780064" w:rsidRDefault="00FF3468" w:rsidP="0096409D">
                            <w:pPr>
                              <w:spacing w:line="240" w:lineRule="auto"/>
                              <w:jc w:val="center"/>
                              <w:rPr>
                                <w:sz w:val="20"/>
                                <w:szCs w:val="20"/>
                              </w:rPr>
                            </w:pPr>
                            <w:r w:rsidRPr="00780064">
                              <w:rPr>
                                <w:sz w:val="20"/>
                                <w:szCs w:val="20"/>
                              </w:rPr>
                              <w:t>%</w:t>
                            </w:r>
                          </w:p>
                        </w:tc>
                        <w:tc>
                          <w:tcPr>
                            <w:tcW w:w="864" w:type="dxa"/>
                            <w:tcBorders>
                              <w:top w:val="nil"/>
                              <w:left w:val="single" w:sz="4" w:space="0" w:color="auto"/>
                              <w:bottom w:val="single" w:sz="4" w:space="0" w:color="auto"/>
                              <w:right w:val="nil"/>
                            </w:tcBorders>
                          </w:tcPr>
                          <w:p w14:paraId="705ACE98" w14:textId="77777777" w:rsidR="00FF3468" w:rsidRPr="00780064" w:rsidRDefault="00FF3468" w:rsidP="0096409D">
                            <w:pPr>
                              <w:spacing w:line="240" w:lineRule="auto"/>
                              <w:jc w:val="center"/>
                              <w:rPr>
                                <w:sz w:val="20"/>
                                <w:szCs w:val="20"/>
                              </w:rPr>
                            </w:pPr>
                            <w:r w:rsidRPr="00780064">
                              <w:rPr>
                                <w:sz w:val="20"/>
                                <w:szCs w:val="20"/>
                              </w:rPr>
                              <w:t>MPa</w:t>
                            </w:r>
                          </w:p>
                        </w:tc>
                        <w:tc>
                          <w:tcPr>
                            <w:tcW w:w="1296" w:type="dxa"/>
                            <w:tcBorders>
                              <w:top w:val="nil"/>
                              <w:left w:val="nil"/>
                              <w:bottom w:val="single" w:sz="4" w:space="0" w:color="auto"/>
                              <w:right w:val="nil"/>
                            </w:tcBorders>
                          </w:tcPr>
                          <w:p w14:paraId="66B48332" w14:textId="77777777" w:rsidR="00FF3468" w:rsidRPr="00780064" w:rsidRDefault="00FF3468" w:rsidP="0096409D">
                            <w:pPr>
                              <w:spacing w:line="240" w:lineRule="auto"/>
                              <w:jc w:val="center"/>
                              <w:rPr>
                                <w:sz w:val="20"/>
                                <w:szCs w:val="20"/>
                              </w:rPr>
                            </w:pPr>
                            <w:r w:rsidRPr="00780064">
                              <w:rPr>
                                <w:sz w:val="20"/>
                                <w:szCs w:val="20"/>
                              </w:rPr>
                              <w:t>MPa</w:t>
                            </w:r>
                          </w:p>
                        </w:tc>
                        <w:tc>
                          <w:tcPr>
                            <w:tcW w:w="864" w:type="dxa"/>
                            <w:tcBorders>
                              <w:top w:val="nil"/>
                              <w:left w:val="nil"/>
                              <w:bottom w:val="single" w:sz="4" w:space="0" w:color="auto"/>
                              <w:right w:val="nil"/>
                            </w:tcBorders>
                          </w:tcPr>
                          <w:p w14:paraId="3619F73F" w14:textId="77777777" w:rsidR="00FF3468" w:rsidRPr="00780064" w:rsidRDefault="00FF3468" w:rsidP="0096409D">
                            <w:pPr>
                              <w:spacing w:line="240" w:lineRule="auto"/>
                              <w:jc w:val="center"/>
                              <w:rPr>
                                <w:sz w:val="20"/>
                                <w:szCs w:val="20"/>
                              </w:rPr>
                            </w:pPr>
                            <w:r w:rsidRPr="00780064">
                              <w:rPr>
                                <w:sz w:val="20"/>
                                <w:szCs w:val="20"/>
                              </w:rPr>
                              <w:t>%</w:t>
                            </w:r>
                          </w:p>
                        </w:tc>
                      </w:tr>
                      <w:tr w:rsidR="00FF3468" w:rsidRPr="00780064" w14:paraId="30AD487B" w14:textId="77777777" w:rsidTr="0096409D">
                        <w:trPr>
                          <w:cantSplit/>
                          <w:jc w:val="center"/>
                        </w:trPr>
                        <w:tc>
                          <w:tcPr>
                            <w:tcW w:w="1872" w:type="dxa"/>
                            <w:tcBorders>
                              <w:top w:val="single" w:sz="4" w:space="0" w:color="auto"/>
                              <w:left w:val="nil"/>
                              <w:bottom w:val="nil"/>
                              <w:right w:val="single" w:sz="4" w:space="0" w:color="auto"/>
                            </w:tcBorders>
                          </w:tcPr>
                          <w:p w14:paraId="2EA571A2" w14:textId="77777777" w:rsidR="00FF3468" w:rsidRPr="00780064" w:rsidRDefault="00FF3468" w:rsidP="0096409D">
                            <w:pPr>
                              <w:spacing w:line="240" w:lineRule="auto"/>
                              <w:jc w:val="center"/>
                              <w:rPr>
                                <w:sz w:val="20"/>
                                <w:szCs w:val="20"/>
                              </w:rPr>
                            </w:pPr>
                            <w:r w:rsidRPr="00780064">
                              <w:rPr>
                                <w:sz w:val="20"/>
                                <w:szCs w:val="20"/>
                              </w:rPr>
                              <w:t>Hoop Stress C/C</w:t>
                            </w:r>
                          </w:p>
                        </w:tc>
                        <w:tc>
                          <w:tcPr>
                            <w:tcW w:w="864" w:type="dxa"/>
                            <w:tcBorders>
                              <w:top w:val="single" w:sz="4" w:space="0" w:color="auto"/>
                              <w:left w:val="single" w:sz="4" w:space="0" w:color="auto"/>
                              <w:bottom w:val="nil"/>
                              <w:right w:val="nil"/>
                            </w:tcBorders>
                          </w:tcPr>
                          <w:p w14:paraId="1C0524ED" w14:textId="77777777" w:rsidR="00FF3468" w:rsidRPr="00780064" w:rsidRDefault="00FF3468" w:rsidP="0096409D">
                            <w:pPr>
                              <w:spacing w:line="240" w:lineRule="auto"/>
                              <w:jc w:val="center"/>
                              <w:rPr>
                                <w:sz w:val="20"/>
                                <w:szCs w:val="20"/>
                              </w:rPr>
                            </w:pPr>
                            <w:r w:rsidRPr="00780064">
                              <w:rPr>
                                <w:sz w:val="20"/>
                                <w:szCs w:val="20"/>
                              </w:rPr>
                              <w:t>0.90</w:t>
                            </w:r>
                          </w:p>
                        </w:tc>
                        <w:tc>
                          <w:tcPr>
                            <w:tcW w:w="1296" w:type="dxa"/>
                            <w:tcBorders>
                              <w:top w:val="single" w:sz="4" w:space="0" w:color="auto"/>
                              <w:left w:val="nil"/>
                              <w:bottom w:val="nil"/>
                              <w:right w:val="nil"/>
                            </w:tcBorders>
                          </w:tcPr>
                          <w:p w14:paraId="0C66601B" w14:textId="77777777" w:rsidR="00FF3468" w:rsidRPr="00780064" w:rsidRDefault="00FF3468" w:rsidP="0096409D">
                            <w:pPr>
                              <w:spacing w:line="240" w:lineRule="auto"/>
                              <w:jc w:val="center"/>
                              <w:rPr>
                                <w:sz w:val="20"/>
                                <w:szCs w:val="20"/>
                              </w:rPr>
                            </w:pPr>
                            <w:r w:rsidRPr="00780064">
                              <w:rPr>
                                <w:sz w:val="20"/>
                                <w:szCs w:val="20"/>
                              </w:rPr>
                              <w:t>0.95</w:t>
                            </w:r>
                          </w:p>
                        </w:tc>
                        <w:tc>
                          <w:tcPr>
                            <w:tcW w:w="864" w:type="dxa"/>
                            <w:tcBorders>
                              <w:top w:val="single" w:sz="4" w:space="0" w:color="auto"/>
                              <w:left w:val="nil"/>
                              <w:bottom w:val="nil"/>
                              <w:right w:val="single" w:sz="4" w:space="0" w:color="auto"/>
                            </w:tcBorders>
                          </w:tcPr>
                          <w:p w14:paraId="4E81B4A3" w14:textId="77777777" w:rsidR="00FF3468" w:rsidRPr="00780064" w:rsidRDefault="00FF3468" w:rsidP="0096409D">
                            <w:pPr>
                              <w:spacing w:line="240" w:lineRule="auto"/>
                              <w:jc w:val="center"/>
                              <w:rPr>
                                <w:sz w:val="20"/>
                                <w:szCs w:val="20"/>
                              </w:rPr>
                            </w:pPr>
                            <w:r w:rsidRPr="00780064">
                              <w:rPr>
                                <w:sz w:val="20"/>
                                <w:szCs w:val="20"/>
                              </w:rPr>
                              <w:t>5.4%</w:t>
                            </w:r>
                          </w:p>
                        </w:tc>
                        <w:tc>
                          <w:tcPr>
                            <w:tcW w:w="864" w:type="dxa"/>
                            <w:tcBorders>
                              <w:top w:val="single" w:sz="4" w:space="0" w:color="auto"/>
                              <w:left w:val="single" w:sz="4" w:space="0" w:color="auto"/>
                              <w:bottom w:val="nil"/>
                              <w:right w:val="nil"/>
                            </w:tcBorders>
                          </w:tcPr>
                          <w:p w14:paraId="60FBC055" w14:textId="77777777" w:rsidR="00FF3468" w:rsidRPr="00780064" w:rsidRDefault="00FF3468" w:rsidP="0096409D">
                            <w:pPr>
                              <w:spacing w:line="240" w:lineRule="auto"/>
                              <w:jc w:val="center"/>
                              <w:rPr>
                                <w:sz w:val="20"/>
                                <w:szCs w:val="20"/>
                              </w:rPr>
                            </w:pPr>
                            <w:r w:rsidRPr="00780064">
                              <w:rPr>
                                <w:sz w:val="20"/>
                                <w:szCs w:val="20"/>
                              </w:rPr>
                              <w:t>5.70</w:t>
                            </w:r>
                          </w:p>
                        </w:tc>
                        <w:tc>
                          <w:tcPr>
                            <w:tcW w:w="1296" w:type="dxa"/>
                            <w:tcBorders>
                              <w:top w:val="single" w:sz="4" w:space="0" w:color="auto"/>
                              <w:left w:val="nil"/>
                              <w:bottom w:val="nil"/>
                              <w:right w:val="nil"/>
                            </w:tcBorders>
                          </w:tcPr>
                          <w:p w14:paraId="350E6508" w14:textId="77777777" w:rsidR="00FF3468" w:rsidRPr="00780064" w:rsidRDefault="00FF3468" w:rsidP="0096409D">
                            <w:pPr>
                              <w:spacing w:line="240" w:lineRule="auto"/>
                              <w:jc w:val="center"/>
                              <w:rPr>
                                <w:sz w:val="20"/>
                                <w:szCs w:val="20"/>
                              </w:rPr>
                            </w:pPr>
                            <w:r w:rsidRPr="00780064">
                              <w:rPr>
                                <w:sz w:val="20"/>
                                <w:szCs w:val="20"/>
                              </w:rPr>
                              <w:t>5.00</w:t>
                            </w:r>
                          </w:p>
                        </w:tc>
                        <w:tc>
                          <w:tcPr>
                            <w:tcW w:w="864" w:type="dxa"/>
                            <w:tcBorders>
                              <w:top w:val="single" w:sz="4" w:space="0" w:color="auto"/>
                              <w:left w:val="nil"/>
                              <w:bottom w:val="nil"/>
                              <w:right w:val="single" w:sz="4" w:space="0" w:color="auto"/>
                            </w:tcBorders>
                          </w:tcPr>
                          <w:p w14:paraId="0446A9D1" w14:textId="77777777" w:rsidR="00FF3468" w:rsidRPr="00780064" w:rsidRDefault="00FF3468" w:rsidP="0096409D">
                            <w:pPr>
                              <w:spacing w:line="240" w:lineRule="auto"/>
                              <w:jc w:val="center"/>
                              <w:rPr>
                                <w:sz w:val="20"/>
                                <w:szCs w:val="20"/>
                              </w:rPr>
                            </w:pPr>
                            <w:r w:rsidRPr="00780064">
                              <w:rPr>
                                <w:sz w:val="20"/>
                                <w:szCs w:val="20"/>
                              </w:rPr>
                              <w:t>13.1%</w:t>
                            </w:r>
                          </w:p>
                        </w:tc>
                        <w:tc>
                          <w:tcPr>
                            <w:tcW w:w="864" w:type="dxa"/>
                            <w:tcBorders>
                              <w:top w:val="single" w:sz="4" w:space="0" w:color="auto"/>
                              <w:left w:val="single" w:sz="4" w:space="0" w:color="auto"/>
                              <w:bottom w:val="nil"/>
                              <w:right w:val="nil"/>
                            </w:tcBorders>
                          </w:tcPr>
                          <w:p w14:paraId="25ED7C76" w14:textId="77777777" w:rsidR="00FF3468" w:rsidRPr="00780064" w:rsidRDefault="00FF3468" w:rsidP="0096409D">
                            <w:pPr>
                              <w:spacing w:line="240" w:lineRule="auto"/>
                              <w:jc w:val="center"/>
                              <w:rPr>
                                <w:sz w:val="20"/>
                                <w:szCs w:val="20"/>
                              </w:rPr>
                            </w:pPr>
                            <w:r>
                              <w:rPr>
                                <w:sz w:val="20"/>
                                <w:szCs w:val="20"/>
                              </w:rPr>
                              <w:t>15.22</w:t>
                            </w:r>
                          </w:p>
                        </w:tc>
                        <w:tc>
                          <w:tcPr>
                            <w:tcW w:w="1296" w:type="dxa"/>
                            <w:tcBorders>
                              <w:top w:val="single" w:sz="4" w:space="0" w:color="auto"/>
                              <w:left w:val="nil"/>
                              <w:bottom w:val="nil"/>
                              <w:right w:val="nil"/>
                            </w:tcBorders>
                          </w:tcPr>
                          <w:p w14:paraId="22CC83ED" w14:textId="77777777" w:rsidR="00FF3468" w:rsidRPr="00780064" w:rsidRDefault="00FF3468" w:rsidP="0096409D">
                            <w:pPr>
                              <w:spacing w:line="240" w:lineRule="auto"/>
                              <w:jc w:val="center"/>
                              <w:rPr>
                                <w:sz w:val="20"/>
                                <w:szCs w:val="20"/>
                              </w:rPr>
                            </w:pPr>
                            <w:r>
                              <w:rPr>
                                <w:sz w:val="20"/>
                                <w:szCs w:val="20"/>
                              </w:rPr>
                              <w:t>15.16</w:t>
                            </w:r>
                          </w:p>
                        </w:tc>
                        <w:tc>
                          <w:tcPr>
                            <w:tcW w:w="864" w:type="dxa"/>
                            <w:tcBorders>
                              <w:top w:val="single" w:sz="4" w:space="0" w:color="auto"/>
                              <w:left w:val="nil"/>
                              <w:bottom w:val="nil"/>
                              <w:right w:val="nil"/>
                            </w:tcBorders>
                          </w:tcPr>
                          <w:p w14:paraId="1AEDD266" w14:textId="77777777" w:rsidR="00FF3468" w:rsidRPr="00780064" w:rsidRDefault="00FF3468" w:rsidP="0096409D">
                            <w:pPr>
                              <w:spacing w:line="240" w:lineRule="auto"/>
                              <w:jc w:val="center"/>
                              <w:rPr>
                                <w:sz w:val="20"/>
                                <w:szCs w:val="20"/>
                              </w:rPr>
                            </w:pPr>
                            <w:r>
                              <w:rPr>
                                <w:sz w:val="20"/>
                                <w:szCs w:val="20"/>
                              </w:rPr>
                              <w:t>0.4%</w:t>
                            </w:r>
                          </w:p>
                        </w:tc>
                      </w:tr>
                      <w:tr w:rsidR="00FF3468" w:rsidRPr="00780064" w14:paraId="0C7E3565" w14:textId="77777777" w:rsidTr="0096409D">
                        <w:trPr>
                          <w:cantSplit/>
                          <w:jc w:val="center"/>
                        </w:trPr>
                        <w:tc>
                          <w:tcPr>
                            <w:tcW w:w="1872" w:type="dxa"/>
                            <w:tcBorders>
                              <w:top w:val="nil"/>
                              <w:left w:val="nil"/>
                              <w:bottom w:val="nil"/>
                              <w:right w:val="single" w:sz="4" w:space="0" w:color="auto"/>
                            </w:tcBorders>
                          </w:tcPr>
                          <w:p w14:paraId="02C25DB8" w14:textId="77777777" w:rsidR="00FF3468" w:rsidRPr="00780064" w:rsidRDefault="00FF3468" w:rsidP="0096409D">
                            <w:pPr>
                              <w:spacing w:line="240" w:lineRule="auto"/>
                              <w:jc w:val="center"/>
                              <w:rPr>
                                <w:sz w:val="20"/>
                                <w:szCs w:val="20"/>
                              </w:rPr>
                            </w:pPr>
                            <w:r w:rsidRPr="00780064">
                              <w:rPr>
                                <w:sz w:val="20"/>
                                <w:szCs w:val="20"/>
                              </w:rPr>
                              <w:t>Hoop Stress C/R</w:t>
                            </w:r>
                          </w:p>
                        </w:tc>
                        <w:tc>
                          <w:tcPr>
                            <w:tcW w:w="864" w:type="dxa"/>
                            <w:tcBorders>
                              <w:top w:val="nil"/>
                              <w:left w:val="single" w:sz="4" w:space="0" w:color="auto"/>
                              <w:bottom w:val="nil"/>
                              <w:right w:val="nil"/>
                            </w:tcBorders>
                          </w:tcPr>
                          <w:p w14:paraId="759216CF" w14:textId="77777777" w:rsidR="00FF3468" w:rsidRPr="00780064" w:rsidRDefault="00FF3468" w:rsidP="0096409D">
                            <w:pPr>
                              <w:spacing w:line="240" w:lineRule="auto"/>
                              <w:jc w:val="center"/>
                              <w:rPr>
                                <w:sz w:val="20"/>
                                <w:szCs w:val="20"/>
                              </w:rPr>
                            </w:pPr>
                            <w:r>
                              <w:rPr>
                                <w:sz w:val="20"/>
                                <w:szCs w:val="20"/>
                              </w:rPr>
                              <w:t>0.83</w:t>
                            </w:r>
                          </w:p>
                        </w:tc>
                        <w:tc>
                          <w:tcPr>
                            <w:tcW w:w="1296" w:type="dxa"/>
                            <w:tcBorders>
                              <w:top w:val="nil"/>
                              <w:left w:val="nil"/>
                              <w:bottom w:val="nil"/>
                              <w:right w:val="nil"/>
                            </w:tcBorders>
                          </w:tcPr>
                          <w:p w14:paraId="00820189" w14:textId="77777777" w:rsidR="00FF3468" w:rsidRPr="00780064" w:rsidRDefault="00FF3468" w:rsidP="0096409D">
                            <w:pPr>
                              <w:spacing w:line="240" w:lineRule="auto"/>
                              <w:jc w:val="center"/>
                              <w:rPr>
                                <w:sz w:val="20"/>
                                <w:szCs w:val="20"/>
                              </w:rPr>
                            </w:pPr>
                            <w:r>
                              <w:rPr>
                                <w:sz w:val="20"/>
                                <w:szCs w:val="20"/>
                              </w:rPr>
                              <w:t>0.89</w:t>
                            </w:r>
                          </w:p>
                        </w:tc>
                        <w:tc>
                          <w:tcPr>
                            <w:tcW w:w="864" w:type="dxa"/>
                            <w:tcBorders>
                              <w:top w:val="nil"/>
                              <w:left w:val="nil"/>
                              <w:bottom w:val="nil"/>
                              <w:right w:val="single" w:sz="4" w:space="0" w:color="auto"/>
                            </w:tcBorders>
                          </w:tcPr>
                          <w:p w14:paraId="16819267" w14:textId="77777777" w:rsidR="00FF3468" w:rsidRPr="00780064" w:rsidRDefault="00FF3468" w:rsidP="0096409D">
                            <w:pPr>
                              <w:spacing w:line="240" w:lineRule="auto"/>
                              <w:jc w:val="center"/>
                              <w:rPr>
                                <w:sz w:val="20"/>
                                <w:szCs w:val="20"/>
                              </w:rPr>
                            </w:pPr>
                            <w:r>
                              <w:rPr>
                                <w:sz w:val="20"/>
                                <w:szCs w:val="20"/>
                              </w:rPr>
                              <w:t>7.0%</w:t>
                            </w:r>
                          </w:p>
                        </w:tc>
                        <w:tc>
                          <w:tcPr>
                            <w:tcW w:w="864" w:type="dxa"/>
                            <w:tcBorders>
                              <w:top w:val="nil"/>
                              <w:left w:val="single" w:sz="4" w:space="0" w:color="auto"/>
                              <w:bottom w:val="nil"/>
                              <w:right w:val="nil"/>
                            </w:tcBorders>
                          </w:tcPr>
                          <w:p w14:paraId="03DA44A7" w14:textId="77777777" w:rsidR="00FF3468" w:rsidRPr="00780064" w:rsidRDefault="00FF3468" w:rsidP="0096409D">
                            <w:pPr>
                              <w:spacing w:line="240" w:lineRule="auto"/>
                              <w:jc w:val="center"/>
                              <w:rPr>
                                <w:sz w:val="20"/>
                                <w:szCs w:val="20"/>
                              </w:rPr>
                            </w:pPr>
                            <w:r>
                              <w:rPr>
                                <w:sz w:val="20"/>
                                <w:szCs w:val="20"/>
                              </w:rPr>
                              <w:t>3.70</w:t>
                            </w:r>
                          </w:p>
                        </w:tc>
                        <w:tc>
                          <w:tcPr>
                            <w:tcW w:w="1296" w:type="dxa"/>
                            <w:tcBorders>
                              <w:top w:val="nil"/>
                              <w:left w:val="nil"/>
                              <w:bottom w:val="nil"/>
                              <w:right w:val="nil"/>
                            </w:tcBorders>
                          </w:tcPr>
                          <w:p w14:paraId="6788615E" w14:textId="77777777" w:rsidR="00FF3468" w:rsidRPr="00780064" w:rsidRDefault="00FF3468" w:rsidP="0096409D">
                            <w:pPr>
                              <w:spacing w:line="240" w:lineRule="auto"/>
                              <w:jc w:val="center"/>
                              <w:rPr>
                                <w:sz w:val="20"/>
                                <w:szCs w:val="20"/>
                              </w:rPr>
                            </w:pPr>
                            <w:r>
                              <w:rPr>
                                <w:sz w:val="20"/>
                                <w:szCs w:val="20"/>
                              </w:rPr>
                              <w:t>3.73</w:t>
                            </w:r>
                          </w:p>
                        </w:tc>
                        <w:tc>
                          <w:tcPr>
                            <w:tcW w:w="864" w:type="dxa"/>
                            <w:tcBorders>
                              <w:top w:val="nil"/>
                              <w:left w:val="nil"/>
                              <w:bottom w:val="nil"/>
                              <w:right w:val="single" w:sz="4" w:space="0" w:color="auto"/>
                            </w:tcBorders>
                          </w:tcPr>
                          <w:p w14:paraId="760C3929" w14:textId="77777777" w:rsidR="00FF3468" w:rsidRPr="00780064" w:rsidRDefault="00FF3468" w:rsidP="0096409D">
                            <w:pPr>
                              <w:spacing w:line="240" w:lineRule="auto"/>
                              <w:jc w:val="center"/>
                              <w:rPr>
                                <w:sz w:val="20"/>
                                <w:szCs w:val="20"/>
                              </w:rPr>
                            </w:pPr>
                            <w:r>
                              <w:rPr>
                                <w:sz w:val="20"/>
                                <w:szCs w:val="20"/>
                              </w:rPr>
                              <w:t>0.8%</w:t>
                            </w:r>
                          </w:p>
                        </w:tc>
                        <w:tc>
                          <w:tcPr>
                            <w:tcW w:w="864" w:type="dxa"/>
                            <w:tcBorders>
                              <w:top w:val="nil"/>
                              <w:left w:val="single" w:sz="4" w:space="0" w:color="auto"/>
                              <w:bottom w:val="nil"/>
                              <w:right w:val="nil"/>
                            </w:tcBorders>
                          </w:tcPr>
                          <w:p w14:paraId="4DF9D287" w14:textId="77777777" w:rsidR="00FF3468" w:rsidRPr="00780064" w:rsidRDefault="00FF3468" w:rsidP="0096409D">
                            <w:pPr>
                              <w:spacing w:line="240" w:lineRule="auto"/>
                              <w:jc w:val="center"/>
                              <w:rPr>
                                <w:sz w:val="20"/>
                                <w:szCs w:val="20"/>
                              </w:rPr>
                            </w:pPr>
                            <w:r>
                              <w:rPr>
                                <w:sz w:val="20"/>
                                <w:szCs w:val="20"/>
                              </w:rPr>
                              <w:t>12.67</w:t>
                            </w:r>
                          </w:p>
                        </w:tc>
                        <w:tc>
                          <w:tcPr>
                            <w:tcW w:w="1296" w:type="dxa"/>
                            <w:tcBorders>
                              <w:top w:val="nil"/>
                              <w:left w:val="nil"/>
                              <w:bottom w:val="nil"/>
                              <w:right w:val="nil"/>
                            </w:tcBorders>
                          </w:tcPr>
                          <w:p w14:paraId="040E6FF8" w14:textId="77777777" w:rsidR="00FF3468" w:rsidRPr="00780064" w:rsidRDefault="00FF3468" w:rsidP="0096409D">
                            <w:pPr>
                              <w:spacing w:line="240" w:lineRule="auto"/>
                              <w:jc w:val="center"/>
                              <w:rPr>
                                <w:sz w:val="20"/>
                                <w:szCs w:val="20"/>
                              </w:rPr>
                            </w:pPr>
                            <w:r>
                              <w:rPr>
                                <w:sz w:val="20"/>
                                <w:szCs w:val="20"/>
                              </w:rPr>
                              <w:t>12.50</w:t>
                            </w:r>
                          </w:p>
                        </w:tc>
                        <w:tc>
                          <w:tcPr>
                            <w:tcW w:w="864" w:type="dxa"/>
                            <w:tcBorders>
                              <w:top w:val="nil"/>
                              <w:left w:val="nil"/>
                              <w:bottom w:val="nil"/>
                              <w:right w:val="nil"/>
                            </w:tcBorders>
                          </w:tcPr>
                          <w:p w14:paraId="38EA384A" w14:textId="77777777" w:rsidR="00FF3468" w:rsidRPr="00780064" w:rsidRDefault="00FF3468" w:rsidP="0096409D">
                            <w:pPr>
                              <w:spacing w:line="240" w:lineRule="auto"/>
                              <w:jc w:val="center"/>
                              <w:rPr>
                                <w:sz w:val="20"/>
                                <w:szCs w:val="20"/>
                              </w:rPr>
                            </w:pPr>
                            <w:r>
                              <w:rPr>
                                <w:sz w:val="20"/>
                                <w:szCs w:val="20"/>
                              </w:rPr>
                              <w:t>1.4%</w:t>
                            </w:r>
                          </w:p>
                        </w:tc>
                      </w:tr>
                      <w:tr w:rsidR="00FF3468" w:rsidRPr="00780064" w14:paraId="77EB0D4E" w14:textId="77777777" w:rsidTr="0096409D">
                        <w:trPr>
                          <w:cantSplit/>
                          <w:jc w:val="center"/>
                        </w:trPr>
                        <w:tc>
                          <w:tcPr>
                            <w:tcW w:w="1872" w:type="dxa"/>
                            <w:tcBorders>
                              <w:top w:val="nil"/>
                              <w:left w:val="nil"/>
                              <w:bottom w:val="nil"/>
                              <w:right w:val="single" w:sz="4" w:space="0" w:color="auto"/>
                            </w:tcBorders>
                          </w:tcPr>
                          <w:p w14:paraId="60D3143E" w14:textId="77777777" w:rsidR="00FF3468" w:rsidRPr="00780064" w:rsidRDefault="00FF3468" w:rsidP="0096409D">
                            <w:pPr>
                              <w:spacing w:line="240" w:lineRule="auto"/>
                              <w:jc w:val="center"/>
                              <w:rPr>
                                <w:sz w:val="20"/>
                                <w:szCs w:val="20"/>
                              </w:rPr>
                            </w:pPr>
                            <w:r w:rsidRPr="00780064">
                              <w:rPr>
                                <w:sz w:val="20"/>
                                <w:szCs w:val="20"/>
                              </w:rPr>
                              <w:t>Radial Stress C/C</w:t>
                            </w:r>
                          </w:p>
                        </w:tc>
                        <w:tc>
                          <w:tcPr>
                            <w:tcW w:w="864" w:type="dxa"/>
                            <w:tcBorders>
                              <w:top w:val="nil"/>
                              <w:left w:val="single" w:sz="4" w:space="0" w:color="auto"/>
                              <w:bottom w:val="nil"/>
                              <w:right w:val="nil"/>
                            </w:tcBorders>
                          </w:tcPr>
                          <w:p w14:paraId="1CBC8357" w14:textId="77777777" w:rsidR="00FF3468" w:rsidRPr="00780064" w:rsidRDefault="00FF3468" w:rsidP="0096409D">
                            <w:pPr>
                              <w:spacing w:line="240" w:lineRule="auto"/>
                              <w:jc w:val="center"/>
                              <w:rPr>
                                <w:sz w:val="20"/>
                                <w:szCs w:val="20"/>
                              </w:rPr>
                            </w:pPr>
                            <w:r>
                              <w:rPr>
                                <w:sz w:val="20"/>
                                <w:szCs w:val="20"/>
                              </w:rPr>
                              <w:t>0.58</w:t>
                            </w:r>
                          </w:p>
                        </w:tc>
                        <w:tc>
                          <w:tcPr>
                            <w:tcW w:w="1296" w:type="dxa"/>
                            <w:tcBorders>
                              <w:top w:val="nil"/>
                              <w:left w:val="nil"/>
                              <w:bottom w:val="nil"/>
                              <w:right w:val="nil"/>
                            </w:tcBorders>
                          </w:tcPr>
                          <w:p w14:paraId="07075AE7" w14:textId="77777777" w:rsidR="00FF3468" w:rsidRPr="00780064" w:rsidRDefault="00FF3468" w:rsidP="0096409D">
                            <w:pPr>
                              <w:spacing w:line="240" w:lineRule="auto"/>
                              <w:jc w:val="center"/>
                              <w:rPr>
                                <w:sz w:val="20"/>
                                <w:szCs w:val="20"/>
                              </w:rPr>
                            </w:pPr>
                            <w:r>
                              <w:rPr>
                                <w:sz w:val="20"/>
                                <w:szCs w:val="20"/>
                              </w:rPr>
                              <w:t>0.66</w:t>
                            </w:r>
                          </w:p>
                        </w:tc>
                        <w:tc>
                          <w:tcPr>
                            <w:tcW w:w="864" w:type="dxa"/>
                            <w:tcBorders>
                              <w:top w:val="nil"/>
                              <w:left w:val="nil"/>
                              <w:bottom w:val="nil"/>
                              <w:right w:val="single" w:sz="4" w:space="0" w:color="auto"/>
                            </w:tcBorders>
                          </w:tcPr>
                          <w:p w14:paraId="40370F88" w14:textId="77777777" w:rsidR="00FF3468" w:rsidRPr="00780064" w:rsidRDefault="00FF3468" w:rsidP="0096409D">
                            <w:pPr>
                              <w:spacing w:line="240" w:lineRule="auto"/>
                              <w:jc w:val="center"/>
                              <w:rPr>
                                <w:sz w:val="20"/>
                                <w:szCs w:val="20"/>
                              </w:rPr>
                            </w:pPr>
                            <w:r>
                              <w:rPr>
                                <w:sz w:val="20"/>
                                <w:szCs w:val="20"/>
                              </w:rPr>
                              <w:t>12.9%</w:t>
                            </w:r>
                          </w:p>
                        </w:tc>
                        <w:tc>
                          <w:tcPr>
                            <w:tcW w:w="864" w:type="dxa"/>
                            <w:tcBorders>
                              <w:top w:val="nil"/>
                              <w:left w:val="single" w:sz="4" w:space="0" w:color="auto"/>
                              <w:bottom w:val="nil"/>
                              <w:right w:val="nil"/>
                            </w:tcBorders>
                            <w:shd w:val="clear" w:color="auto" w:fill="D9D9D9" w:themeFill="background1" w:themeFillShade="D9"/>
                          </w:tcPr>
                          <w:p w14:paraId="1B5BB66A" w14:textId="77777777" w:rsidR="00FF3468" w:rsidRPr="00780064" w:rsidRDefault="00FF3468" w:rsidP="0096409D">
                            <w:pPr>
                              <w:spacing w:line="240" w:lineRule="auto"/>
                              <w:jc w:val="center"/>
                              <w:rPr>
                                <w:sz w:val="20"/>
                                <w:szCs w:val="20"/>
                              </w:rPr>
                            </w:pPr>
                            <w:r>
                              <w:rPr>
                                <w:sz w:val="20"/>
                                <w:szCs w:val="20"/>
                              </w:rPr>
                              <w:t>-2.75</w:t>
                            </w:r>
                          </w:p>
                        </w:tc>
                        <w:tc>
                          <w:tcPr>
                            <w:tcW w:w="1296" w:type="dxa"/>
                            <w:tcBorders>
                              <w:top w:val="nil"/>
                              <w:left w:val="nil"/>
                              <w:bottom w:val="nil"/>
                              <w:right w:val="nil"/>
                            </w:tcBorders>
                            <w:shd w:val="clear" w:color="auto" w:fill="F7CAAC" w:themeFill="accent2" w:themeFillTint="66"/>
                          </w:tcPr>
                          <w:p w14:paraId="2871CA77" w14:textId="77777777" w:rsidR="00FF3468" w:rsidRPr="00780064" w:rsidRDefault="00FF3468" w:rsidP="0096409D">
                            <w:pPr>
                              <w:spacing w:line="240" w:lineRule="auto"/>
                              <w:jc w:val="center"/>
                              <w:rPr>
                                <w:sz w:val="20"/>
                                <w:szCs w:val="20"/>
                              </w:rPr>
                            </w:pPr>
                            <w:r>
                              <w:rPr>
                                <w:sz w:val="20"/>
                                <w:szCs w:val="20"/>
                              </w:rPr>
                              <w:t>-0.40</w:t>
                            </w:r>
                          </w:p>
                        </w:tc>
                        <w:tc>
                          <w:tcPr>
                            <w:tcW w:w="864" w:type="dxa"/>
                            <w:tcBorders>
                              <w:top w:val="nil"/>
                              <w:left w:val="nil"/>
                              <w:bottom w:val="nil"/>
                              <w:right w:val="single" w:sz="4" w:space="0" w:color="auto"/>
                            </w:tcBorders>
                          </w:tcPr>
                          <w:p w14:paraId="3070F56C" w14:textId="77777777" w:rsidR="00FF3468" w:rsidRPr="00780064" w:rsidRDefault="00FF3468" w:rsidP="0096409D">
                            <w:pPr>
                              <w:spacing w:line="240" w:lineRule="auto"/>
                              <w:jc w:val="center"/>
                              <w:rPr>
                                <w:sz w:val="20"/>
                                <w:szCs w:val="20"/>
                              </w:rPr>
                            </w:pPr>
                            <w:r>
                              <w:rPr>
                                <w:sz w:val="20"/>
                                <w:szCs w:val="20"/>
                              </w:rPr>
                              <w:t>149%</w:t>
                            </w:r>
                          </w:p>
                        </w:tc>
                        <w:tc>
                          <w:tcPr>
                            <w:tcW w:w="864" w:type="dxa"/>
                            <w:tcBorders>
                              <w:top w:val="nil"/>
                              <w:left w:val="single" w:sz="4" w:space="0" w:color="auto"/>
                              <w:bottom w:val="nil"/>
                              <w:right w:val="nil"/>
                            </w:tcBorders>
                            <w:shd w:val="clear" w:color="auto" w:fill="D9D9D9" w:themeFill="background1" w:themeFillShade="D9"/>
                          </w:tcPr>
                          <w:p w14:paraId="788400EE" w14:textId="77777777" w:rsidR="00FF3468" w:rsidRPr="00780064" w:rsidRDefault="00FF3468" w:rsidP="0096409D">
                            <w:pPr>
                              <w:spacing w:line="240" w:lineRule="auto"/>
                              <w:jc w:val="center"/>
                              <w:rPr>
                                <w:sz w:val="20"/>
                                <w:szCs w:val="20"/>
                              </w:rPr>
                            </w:pPr>
                            <w:r>
                              <w:rPr>
                                <w:sz w:val="20"/>
                                <w:szCs w:val="20"/>
                              </w:rPr>
                              <w:t>-1.13</w:t>
                            </w:r>
                          </w:p>
                        </w:tc>
                        <w:tc>
                          <w:tcPr>
                            <w:tcW w:w="1296" w:type="dxa"/>
                            <w:tcBorders>
                              <w:top w:val="nil"/>
                              <w:left w:val="nil"/>
                              <w:bottom w:val="nil"/>
                              <w:right w:val="nil"/>
                            </w:tcBorders>
                          </w:tcPr>
                          <w:p w14:paraId="7B249C59" w14:textId="77777777" w:rsidR="00FF3468" w:rsidRPr="00780064" w:rsidRDefault="00FF3468" w:rsidP="0096409D">
                            <w:pPr>
                              <w:spacing w:line="240" w:lineRule="auto"/>
                              <w:jc w:val="center"/>
                              <w:rPr>
                                <w:sz w:val="20"/>
                                <w:szCs w:val="20"/>
                              </w:rPr>
                            </w:pPr>
                            <w:r>
                              <w:rPr>
                                <w:sz w:val="20"/>
                                <w:szCs w:val="20"/>
                              </w:rPr>
                              <w:t>0.37</w:t>
                            </w:r>
                          </w:p>
                        </w:tc>
                        <w:tc>
                          <w:tcPr>
                            <w:tcW w:w="864" w:type="dxa"/>
                            <w:tcBorders>
                              <w:top w:val="nil"/>
                              <w:left w:val="nil"/>
                              <w:bottom w:val="nil"/>
                              <w:right w:val="nil"/>
                            </w:tcBorders>
                          </w:tcPr>
                          <w:p w14:paraId="468F0621" w14:textId="77777777" w:rsidR="00FF3468" w:rsidRPr="00780064" w:rsidRDefault="00FF3468" w:rsidP="0096409D">
                            <w:pPr>
                              <w:spacing w:line="240" w:lineRule="auto"/>
                              <w:jc w:val="center"/>
                              <w:rPr>
                                <w:sz w:val="20"/>
                                <w:szCs w:val="20"/>
                              </w:rPr>
                            </w:pPr>
                            <w:r>
                              <w:rPr>
                                <w:sz w:val="20"/>
                                <w:szCs w:val="20"/>
                              </w:rPr>
                              <w:t>395%</w:t>
                            </w:r>
                          </w:p>
                        </w:tc>
                      </w:tr>
                      <w:tr w:rsidR="00FF3468" w:rsidRPr="00780064" w14:paraId="6115F25F" w14:textId="77777777" w:rsidTr="0096409D">
                        <w:trPr>
                          <w:cantSplit/>
                          <w:jc w:val="center"/>
                        </w:trPr>
                        <w:tc>
                          <w:tcPr>
                            <w:tcW w:w="1872" w:type="dxa"/>
                            <w:tcBorders>
                              <w:top w:val="nil"/>
                              <w:left w:val="nil"/>
                              <w:bottom w:val="nil"/>
                              <w:right w:val="single" w:sz="4" w:space="0" w:color="auto"/>
                            </w:tcBorders>
                          </w:tcPr>
                          <w:p w14:paraId="0F6A6A11" w14:textId="77777777" w:rsidR="00FF3468" w:rsidRPr="00780064" w:rsidRDefault="00FF3468" w:rsidP="0096409D">
                            <w:pPr>
                              <w:spacing w:line="240" w:lineRule="auto"/>
                              <w:jc w:val="center"/>
                              <w:rPr>
                                <w:sz w:val="20"/>
                                <w:szCs w:val="20"/>
                              </w:rPr>
                            </w:pPr>
                            <w:r w:rsidRPr="00780064">
                              <w:rPr>
                                <w:sz w:val="20"/>
                                <w:szCs w:val="20"/>
                              </w:rPr>
                              <w:t>Radial Stress C/R</w:t>
                            </w:r>
                          </w:p>
                        </w:tc>
                        <w:tc>
                          <w:tcPr>
                            <w:tcW w:w="864" w:type="dxa"/>
                            <w:tcBorders>
                              <w:top w:val="nil"/>
                              <w:left w:val="single" w:sz="4" w:space="0" w:color="auto"/>
                              <w:bottom w:val="nil"/>
                              <w:right w:val="nil"/>
                            </w:tcBorders>
                          </w:tcPr>
                          <w:p w14:paraId="0073C40E" w14:textId="77777777" w:rsidR="00FF3468" w:rsidRPr="00780064" w:rsidRDefault="00FF3468" w:rsidP="0096409D">
                            <w:pPr>
                              <w:spacing w:line="240" w:lineRule="auto"/>
                              <w:jc w:val="center"/>
                              <w:rPr>
                                <w:sz w:val="20"/>
                                <w:szCs w:val="20"/>
                              </w:rPr>
                            </w:pPr>
                            <w:r>
                              <w:rPr>
                                <w:sz w:val="20"/>
                                <w:szCs w:val="20"/>
                              </w:rPr>
                              <w:t>0.62</w:t>
                            </w:r>
                          </w:p>
                        </w:tc>
                        <w:tc>
                          <w:tcPr>
                            <w:tcW w:w="1296" w:type="dxa"/>
                            <w:tcBorders>
                              <w:top w:val="nil"/>
                              <w:left w:val="nil"/>
                              <w:bottom w:val="nil"/>
                              <w:right w:val="nil"/>
                            </w:tcBorders>
                          </w:tcPr>
                          <w:p w14:paraId="7434F133" w14:textId="77777777" w:rsidR="00FF3468" w:rsidRPr="00780064" w:rsidRDefault="00FF3468" w:rsidP="0096409D">
                            <w:pPr>
                              <w:spacing w:line="240" w:lineRule="auto"/>
                              <w:jc w:val="center"/>
                              <w:rPr>
                                <w:sz w:val="20"/>
                                <w:szCs w:val="20"/>
                              </w:rPr>
                            </w:pPr>
                            <w:r>
                              <w:rPr>
                                <w:sz w:val="20"/>
                                <w:szCs w:val="20"/>
                              </w:rPr>
                              <w:t>0.72</w:t>
                            </w:r>
                          </w:p>
                        </w:tc>
                        <w:tc>
                          <w:tcPr>
                            <w:tcW w:w="864" w:type="dxa"/>
                            <w:tcBorders>
                              <w:top w:val="nil"/>
                              <w:left w:val="nil"/>
                              <w:bottom w:val="nil"/>
                              <w:right w:val="single" w:sz="4" w:space="0" w:color="auto"/>
                            </w:tcBorders>
                          </w:tcPr>
                          <w:p w14:paraId="2E162080" w14:textId="77777777" w:rsidR="00FF3468" w:rsidRPr="00780064" w:rsidRDefault="00FF3468" w:rsidP="0096409D">
                            <w:pPr>
                              <w:spacing w:line="240" w:lineRule="auto"/>
                              <w:jc w:val="center"/>
                              <w:rPr>
                                <w:sz w:val="20"/>
                                <w:szCs w:val="20"/>
                              </w:rPr>
                            </w:pPr>
                            <w:r>
                              <w:rPr>
                                <w:sz w:val="20"/>
                                <w:szCs w:val="20"/>
                              </w:rPr>
                              <w:t>14.9%</w:t>
                            </w:r>
                          </w:p>
                        </w:tc>
                        <w:tc>
                          <w:tcPr>
                            <w:tcW w:w="864" w:type="dxa"/>
                            <w:tcBorders>
                              <w:top w:val="nil"/>
                              <w:left w:val="single" w:sz="4" w:space="0" w:color="auto"/>
                              <w:bottom w:val="nil"/>
                              <w:right w:val="nil"/>
                            </w:tcBorders>
                            <w:shd w:val="clear" w:color="auto" w:fill="D9D9D9" w:themeFill="background1" w:themeFillShade="D9"/>
                          </w:tcPr>
                          <w:p w14:paraId="21E98DF7" w14:textId="77777777" w:rsidR="00FF3468" w:rsidRPr="00780064" w:rsidRDefault="00FF3468" w:rsidP="0096409D">
                            <w:pPr>
                              <w:spacing w:line="240" w:lineRule="auto"/>
                              <w:jc w:val="center"/>
                              <w:rPr>
                                <w:sz w:val="20"/>
                                <w:szCs w:val="20"/>
                              </w:rPr>
                            </w:pPr>
                            <w:r>
                              <w:rPr>
                                <w:sz w:val="20"/>
                                <w:szCs w:val="20"/>
                              </w:rPr>
                              <w:t>-0.84</w:t>
                            </w:r>
                          </w:p>
                        </w:tc>
                        <w:tc>
                          <w:tcPr>
                            <w:tcW w:w="1296" w:type="dxa"/>
                            <w:tcBorders>
                              <w:top w:val="nil"/>
                              <w:left w:val="nil"/>
                              <w:bottom w:val="nil"/>
                              <w:right w:val="nil"/>
                            </w:tcBorders>
                          </w:tcPr>
                          <w:p w14:paraId="17F810CE" w14:textId="77777777" w:rsidR="00FF3468" w:rsidRPr="00780064" w:rsidRDefault="00FF3468" w:rsidP="0096409D">
                            <w:pPr>
                              <w:spacing w:line="240" w:lineRule="auto"/>
                              <w:jc w:val="center"/>
                              <w:rPr>
                                <w:sz w:val="20"/>
                                <w:szCs w:val="20"/>
                              </w:rPr>
                            </w:pPr>
                            <w:r>
                              <w:rPr>
                                <w:sz w:val="20"/>
                                <w:szCs w:val="20"/>
                              </w:rPr>
                              <w:t>0.88</w:t>
                            </w:r>
                          </w:p>
                        </w:tc>
                        <w:tc>
                          <w:tcPr>
                            <w:tcW w:w="864" w:type="dxa"/>
                            <w:tcBorders>
                              <w:top w:val="nil"/>
                              <w:left w:val="nil"/>
                              <w:bottom w:val="nil"/>
                              <w:right w:val="single" w:sz="4" w:space="0" w:color="auto"/>
                            </w:tcBorders>
                          </w:tcPr>
                          <w:p w14:paraId="22A95AAC" w14:textId="77777777" w:rsidR="00FF3468" w:rsidRPr="00780064" w:rsidRDefault="00FF3468" w:rsidP="0096409D">
                            <w:pPr>
                              <w:spacing w:line="240" w:lineRule="auto"/>
                              <w:jc w:val="center"/>
                              <w:rPr>
                                <w:sz w:val="20"/>
                                <w:szCs w:val="20"/>
                              </w:rPr>
                            </w:pPr>
                            <w:r w:rsidRPr="00780064">
                              <w:rPr>
                                <w:sz w:val="20"/>
                                <w:szCs w:val="20"/>
                              </w:rPr>
                              <w:t>8,600%</w:t>
                            </w:r>
                          </w:p>
                        </w:tc>
                        <w:tc>
                          <w:tcPr>
                            <w:tcW w:w="864" w:type="dxa"/>
                            <w:tcBorders>
                              <w:top w:val="nil"/>
                              <w:left w:val="single" w:sz="4" w:space="0" w:color="auto"/>
                              <w:bottom w:val="nil"/>
                              <w:right w:val="nil"/>
                            </w:tcBorders>
                          </w:tcPr>
                          <w:p w14:paraId="560835ED" w14:textId="77777777" w:rsidR="00FF3468" w:rsidRPr="00780064" w:rsidRDefault="00FF3468" w:rsidP="0096409D">
                            <w:pPr>
                              <w:spacing w:line="240" w:lineRule="auto"/>
                              <w:jc w:val="center"/>
                              <w:rPr>
                                <w:sz w:val="20"/>
                                <w:szCs w:val="20"/>
                              </w:rPr>
                            </w:pPr>
                            <w:r>
                              <w:rPr>
                                <w:sz w:val="20"/>
                                <w:szCs w:val="20"/>
                              </w:rPr>
                              <w:t>2.44</w:t>
                            </w:r>
                          </w:p>
                        </w:tc>
                        <w:tc>
                          <w:tcPr>
                            <w:tcW w:w="1296" w:type="dxa"/>
                            <w:tcBorders>
                              <w:top w:val="nil"/>
                              <w:left w:val="nil"/>
                              <w:bottom w:val="nil"/>
                              <w:right w:val="nil"/>
                            </w:tcBorders>
                          </w:tcPr>
                          <w:p w14:paraId="14099CD7" w14:textId="77777777" w:rsidR="00FF3468" w:rsidRPr="00780064" w:rsidRDefault="00FF3468" w:rsidP="0096409D">
                            <w:pPr>
                              <w:spacing w:line="240" w:lineRule="auto"/>
                              <w:jc w:val="center"/>
                              <w:rPr>
                                <w:sz w:val="20"/>
                                <w:szCs w:val="20"/>
                              </w:rPr>
                            </w:pPr>
                            <w:r>
                              <w:rPr>
                                <w:sz w:val="20"/>
                                <w:szCs w:val="20"/>
                              </w:rPr>
                              <w:t>3.05</w:t>
                            </w:r>
                          </w:p>
                        </w:tc>
                        <w:tc>
                          <w:tcPr>
                            <w:tcW w:w="864" w:type="dxa"/>
                            <w:tcBorders>
                              <w:top w:val="nil"/>
                              <w:left w:val="nil"/>
                              <w:bottom w:val="nil"/>
                              <w:right w:val="nil"/>
                            </w:tcBorders>
                          </w:tcPr>
                          <w:p w14:paraId="4FD2B27B" w14:textId="77777777" w:rsidR="00FF3468" w:rsidRPr="00780064" w:rsidRDefault="00FF3468" w:rsidP="0096409D">
                            <w:pPr>
                              <w:spacing w:line="240" w:lineRule="auto"/>
                              <w:jc w:val="center"/>
                              <w:rPr>
                                <w:sz w:val="20"/>
                                <w:szCs w:val="20"/>
                              </w:rPr>
                            </w:pPr>
                            <w:r>
                              <w:rPr>
                                <w:sz w:val="20"/>
                                <w:szCs w:val="20"/>
                              </w:rPr>
                              <w:t>22.2%</w:t>
                            </w:r>
                          </w:p>
                        </w:tc>
                      </w:tr>
                      <w:tr w:rsidR="00FF3468" w:rsidRPr="00780064" w14:paraId="2B0EA9EE" w14:textId="77777777" w:rsidTr="0096409D">
                        <w:trPr>
                          <w:cantSplit/>
                          <w:jc w:val="center"/>
                        </w:trPr>
                        <w:tc>
                          <w:tcPr>
                            <w:tcW w:w="1872" w:type="dxa"/>
                            <w:tcBorders>
                              <w:top w:val="nil"/>
                              <w:left w:val="nil"/>
                              <w:bottom w:val="nil"/>
                              <w:right w:val="single" w:sz="4" w:space="0" w:color="auto"/>
                            </w:tcBorders>
                          </w:tcPr>
                          <w:p w14:paraId="2200109D" w14:textId="77777777" w:rsidR="00FF3468" w:rsidRPr="00780064" w:rsidRDefault="00FF3468" w:rsidP="0096409D">
                            <w:pPr>
                              <w:spacing w:line="240" w:lineRule="auto"/>
                              <w:jc w:val="center"/>
                              <w:rPr>
                                <w:sz w:val="20"/>
                                <w:szCs w:val="20"/>
                              </w:rPr>
                            </w:pPr>
                            <w:r w:rsidRPr="00780064">
                              <w:rPr>
                                <w:sz w:val="20"/>
                                <w:szCs w:val="20"/>
                              </w:rPr>
                              <w:t>Vertical Stress C/C</w:t>
                            </w:r>
                          </w:p>
                        </w:tc>
                        <w:tc>
                          <w:tcPr>
                            <w:tcW w:w="864" w:type="dxa"/>
                            <w:tcBorders>
                              <w:top w:val="nil"/>
                              <w:left w:val="single" w:sz="4" w:space="0" w:color="auto"/>
                              <w:bottom w:val="nil"/>
                              <w:right w:val="nil"/>
                            </w:tcBorders>
                          </w:tcPr>
                          <w:p w14:paraId="778A124D" w14:textId="77777777" w:rsidR="00FF3468" w:rsidRPr="00780064" w:rsidRDefault="00FF3468" w:rsidP="0096409D">
                            <w:pPr>
                              <w:spacing w:line="240" w:lineRule="auto"/>
                              <w:jc w:val="center"/>
                              <w:rPr>
                                <w:sz w:val="20"/>
                                <w:szCs w:val="20"/>
                              </w:rPr>
                            </w:pPr>
                            <w:r>
                              <w:rPr>
                                <w:sz w:val="20"/>
                                <w:szCs w:val="20"/>
                              </w:rPr>
                              <w:t>0.89</w:t>
                            </w:r>
                          </w:p>
                        </w:tc>
                        <w:tc>
                          <w:tcPr>
                            <w:tcW w:w="1296" w:type="dxa"/>
                            <w:tcBorders>
                              <w:top w:val="nil"/>
                              <w:left w:val="nil"/>
                              <w:bottom w:val="nil"/>
                              <w:right w:val="nil"/>
                            </w:tcBorders>
                          </w:tcPr>
                          <w:p w14:paraId="06ED07D1" w14:textId="77777777" w:rsidR="00FF3468" w:rsidRPr="00780064" w:rsidRDefault="00FF3468" w:rsidP="0096409D">
                            <w:pPr>
                              <w:spacing w:line="240" w:lineRule="auto"/>
                              <w:jc w:val="center"/>
                              <w:rPr>
                                <w:sz w:val="20"/>
                                <w:szCs w:val="20"/>
                              </w:rPr>
                            </w:pPr>
                            <w:r>
                              <w:rPr>
                                <w:sz w:val="20"/>
                                <w:szCs w:val="20"/>
                              </w:rPr>
                              <w:t>0.93</w:t>
                            </w:r>
                          </w:p>
                        </w:tc>
                        <w:tc>
                          <w:tcPr>
                            <w:tcW w:w="864" w:type="dxa"/>
                            <w:tcBorders>
                              <w:top w:val="nil"/>
                              <w:left w:val="nil"/>
                              <w:bottom w:val="nil"/>
                              <w:right w:val="single" w:sz="4" w:space="0" w:color="auto"/>
                            </w:tcBorders>
                          </w:tcPr>
                          <w:p w14:paraId="4E518982" w14:textId="77777777" w:rsidR="00FF3468" w:rsidRPr="00780064" w:rsidRDefault="00FF3468" w:rsidP="0096409D">
                            <w:pPr>
                              <w:spacing w:line="240" w:lineRule="auto"/>
                              <w:jc w:val="center"/>
                              <w:rPr>
                                <w:sz w:val="20"/>
                                <w:szCs w:val="20"/>
                              </w:rPr>
                            </w:pPr>
                            <w:r>
                              <w:rPr>
                                <w:sz w:val="20"/>
                                <w:szCs w:val="20"/>
                              </w:rPr>
                              <w:t>3.9%</w:t>
                            </w:r>
                          </w:p>
                        </w:tc>
                        <w:tc>
                          <w:tcPr>
                            <w:tcW w:w="864" w:type="dxa"/>
                            <w:tcBorders>
                              <w:top w:val="nil"/>
                              <w:left w:val="single" w:sz="4" w:space="0" w:color="auto"/>
                              <w:bottom w:val="nil"/>
                              <w:right w:val="nil"/>
                            </w:tcBorders>
                          </w:tcPr>
                          <w:p w14:paraId="29151CFD" w14:textId="77777777" w:rsidR="00FF3468" w:rsidRPr="00780064" w:rsidRDefault="00FF3468" w:rsidP="0096409D">
                            <w:pPr>
                              <w:spacing w:line="240" w:lineRule="auto"/>
                              <w:jc w:val="center"/>
                              <w:rPr>
                                <w:sz w:val="20"/>
                                <w:szCs w:val="20"/>
                              </w:rPr>
                            </w:pPr>
                            <w:r>
                              <w:rPr>
                                <w:sz w:val="20"/>
                                <w:szCs w:val="20"/>
                              </w:rPr>
                              <w:t>3.03</w:t>
                            </w:r>
                          </w:p>
                        </w:tc>
                        <w:tc>
                          <w:tcPr>
                            <w:tcW w:w="1296" w:type="dxa"/>
                            <w:tcBorders>
                              <w:top w:val="nil"/>
                              <w:left w:val="nil"/>
                              <w:bottom w:val="nil"/>
                              <w:right w:val="nil"/>
                            </w:tcBorders>
                          </w:tcPr>
                          <w:p w14:paraId="2A05EACE" w14:textId="77777777" w:rsidR="00FF3468" w:rsidRPr="00780064" w:rsidRDefault="00FF3468" w:rsidP="0096409D">
                            <w:pPr>
                              <w:spacing w:line="240" w:lineRule="auto"/>
                              <w:jc w:val="center"/>
                              <w:rPr>
                                <w:sz w:val="20"/>
                                <w:szCs w:val="20"/>
                              </w:rPr>
                            </w:pPr>
                            <w:r>
                              <w:rPr>
                                <w:sz w:val="20"/>
                                <w:szCs w:val="20"/>
                              </w:rPr>
                              <w:t>3.44</w:t>
                            </w:r>
                          </w:p>
                        </w:tc>
                        <w:tc>
                          <w:tcPr>
                            <w:tcW w:w="864" w:type="dxa"/>
                            <w:tcBorders>
                              <w:top w:val="nil"/>
                              <w:left w:val="nil"/>
                              <w:bottom w:val="nil"/>
                              <w:right w:val="single" w:sz="4" w:space="0" w:color="auto"/>
                            </w:tcBorders>
                          </w:tcPr>
                          <w:p w14:paraId="400DB2F5" w14:textId="77777777" w:rsidR="00FF3468" w:rsidRPr="00780064" w:rsidRDefault="00FF3468" w:rsidP="0096409D">
                            <w:pPr>
                              <w:spacing w:line="240" w:lineRule="auto"/>
                              <w:jc w:val="center"/>
                              <w:rPr>
                                <w:sz w:val="20"/>
                                <w:szCs w:val="20"/>
                              </w:rPr>
                            </w:pPr>
                            <w:r>
                              <w:rPr>
                                <w:sz w:val="20"/>
                                <w:szCs w:val="20"/>
                              </w:rPr>
                              <w:t>12.8%</w:t>
                            </w:r>
                          </w:p>
                        </w:tc>
                        <w:tc>
                          <w:tcPr>
                            <w:tcW w:w="864" w:type="dxa"/>
                            <w:tcBorders>
                              <w:top w:val="nil"/>
                              <w:left w:val="single" w:sz="4" w:space="0" w:color="auto"/>
                              <w:bottom w:val="nil"/>
                              <w:right w:val="nil"/>
                            </w:tcBorders>
                          </w:tcPr>
                          <w:p w14:paraId="68973DD7" w14:textId="77777777" w:rsidR="00FF3468" w:rsidRPr="00780064" w:rsidRDefault="00FF3468" w:rsidP="0096409D">
                            <w:pPr>
                              <w:spacing w:line="240" w:lineRule="auto"/>
                              <w:jc w:val="center"/>
                              <w:rPr>
                                <w:sz w:val="20"/>
                                <w:szCs w:val="20"/>
                              </w:rPr>
                            </w:pPr>
                            <w:r>
                              <w:rPr>
                                <w:sz w:val="20"/>
                                <w:szCs w:val="20"/>
                              </w:rPr>
                              <w:t>11.39</w:t>
                            </w:r>
                          </w:p>
                        </w:tc>
                        <w:tc>
                          <w:tcPr>
                            <w:tcW w:w="1296" w:type="dxa"/>
                            <w:tcBorders>
                              <w:top w:val="nil"/>
                              <w:left w:val="nil"/>
                              <w:bottom w:val="nil"/>
                              <w:right w:val="nil"/>
                            </w:tcBorders>
                          </w:tcPr>
                          <w:p w14:paraId="0D2C3CF9" w14:textId="77777777" w:rsidR="00FF3468" w:rsidRPr="00780064" w:rsidRDefault="00FF3468" w:rsidP="0096409D">
                            <w:pPr>
                              <w:spacing w:line="240" w:lineRule="auto"/>
                              <w:jc w:val="center"/>
                              <w:rPr>
                                <w:sz w:val="20"/>
                                <w:szCs w:val="20"/>
                              </w:rPr>
                            </w:pPr>
                            <w:r>
                              <w:rPr>
                                <w:sz w:val="20"/>
                                <w:szCs w:val="20"/>
                              </w:rPr>
                              <w:t>11.75</w:t>
                            </w:r>
                          </w:p>
                        </w:tc>
                        <w:tc>
                          <w:tcPr>
                            <w:tcW w:w="864" w:type="dxa"/>
                            <w:tcBorders>
                              <w:top w:val="nil"/>
                              <w:left w:val="nil"/>
                              <w:bottom w:val="nil"/>
                              <w:right w:val="nil"/>
                            </w:tcBorders>
                          </w:tcPr>
                          <w:p w14:paraId="752BC417" w14:textId="77777777" w:rsidR="00FF3468" w:rsidRPr="00780064" w:rsidRDefault="00FF3468" w:rsidP="0096409D">
                            <w:pPr>
                              <w:spacing w:line="240" w:lineRule="auto"/>
                              <w:jc w:val="center"/>
                              <w:rPr>
                                <w:sz w:val="20"/>
                                <w:szCs w:val="20"/>
                              </w:rPr>
                            </w:pPr>
                            <w:r>
                              <w:rPr>
                                <w:sz w:val="20"/>
                                <w:szCs w:val="20"/>
                              </w:rPr>
                              <w:t>3.1%</w:t>
                            </w:r>
                          </w:p>
                        </w:tc>
                      </w:tr>
                      <w:tr w:rsidR="00FF3468" w:rsidRPr="00780064" w14:paraId="34F8F9D6" w14:textId="77777777" w:rsidTr="0096409D">
                        <w:trPr>
                          <w:cantSplit/>
                          <w:jc w:val="center"/>
                        </w:trPr>
                        <w:tc>
                          <w:tcPr>
                            <w:tcW w:w="1872" w:type="dxa"/>
                            <w:tcBorders>
                              <w:top w:val="nil"/>
                              <w:left w:val="nil"/>
                              <w:bottom w:val="nil"/>
                              <w:right w:val="single" w:sz="4" w:space="0" w:color="auto"/>
                            </w:tcBorders>
                          </w:tcPr>
                          <w:p w14:paraId="6C99E7CD" w14:textId="77777777" w:rsidR="00FF3468" w:rsidRPr="00780064" w:rsidRDefault="00FF3468" w:rsidP="0096409D">
                            <w:pPr>
                              <w:spacing w:line="240" w:lineRule="auto"/>
                              <w:jc w:val="center"/>
                              <w:rPr>
                                <w:sz w:val="20"/>
                                <w:szCs w:val="20"/>
                              </w:rPr>
                            </w:pPr>
                            <w:r w:rsidRPr="00780064">
                              <w:rPr>
                                <w:sz w:val="20"/>
                                <w:szCs w:val="20"/>
                              </w:rPr>
                              <w:t>Vertical Stress C/R</w:t>
                            </w:r>
                          </w:p>
                        </w:tc>
                        <w:tc>
                          <w:tcPr>
                            <w:tcW w:w="864" w:type="dxa"/>
                            <w:tcBorders>
                              <w:top w:val="nil"/>
                              <w:left w:val="single" w:sz="4" w:space="0" w:color="auto"/>
                              <w:bottom w:val="nil"/>
                              <w:right w:val="nil"/>
                            </w:tcBorders>
                          </w:tcPr>
                          <w:p w14:paraId="675E833B" w14:textId="77777777" w:rsidR="00FF3468" w:rsidRPr="00780064" w:rsidRDefault="00FF3468" w:rsidP="0096409D">
                            <w:pPr>
                              <w:spacing w:line="240" w:lineRule="auto"/>
                              <w:jc w:val="center"/>
                              <w:rPr>
                                <w:sz w:val="20"/>
                                <w:szCs w:val="20"/>
                              </w:rPr>
                            </w:pPr>
                            <w:r>
                              <w:rPr>
                                <w:sz w:val="20"/>
                                <w:szCs w:val="20"/>
                              </w:rPr>
                              <w:t>0.89</w:t>
                            </w:r>
                          </w:p>
                        </w:tc>
                        <w:tc>
                          <w:tcPr>
                            <w:tcW w:w="1296" w:type="dxa"/>
                            <w:tcBorders>
                              <w:top w:val="nil"/>
                              <w:left w:val="nil"/>
                              <w:bottom w:val="nil"/>
                              <w:right w:val="nil"/>
                            </w:tcBorders>
                          </w:tcPr>
                          <w:p w14:paraId="2FDD4DAB" w14:textId="77777777" w:rsidR="00FF3468" w:rsidRPr="00780064" w:rsidRDefault="00FF3468" w:rsidP="0096409D">
                            <w:pPr>
                              <w:spacing w:line="240" w:lineRule="auto"/>
                              <w:jc w:val="center"/>
                              <w:rPr>
                                <w:sz w:val="20"/>
                                <w:szCs w:val="20"/>
                              </w:rPr>
                            </w:pPr>
                            <w:r>
                              <w:rPr>
                                <w:sz w:val="20"/>
                                <w:szCs w:val="20"/>
                              </w:rPr>
                              <w:t>0.93</w:t>
                            </w:r>
                          </w:p>
                        </w:tc>
                        <w:tc>
                          <w:tcPr>
                            <w:tcW w:w="864" w:type="dxa"/>
                            <w:tcBorders>
                              <w:top w:val="nil"/>
                              <w:left w:val="nil"/>
                              <w:bottom w:val="nil"/>
                              <w:right w:val="single" w:sz="4" w:space="0" w:color="auto"/>
                            </w:tcBorders>
                          </w:tcPr>
                          <w:p w14:paraId="57F96DCA" w14:textId="77777777" w:rsidR="00FF3468" w:rsidRPr="00780064" w:rsidRDefault="00FF3468" w:rsidP="0096409D">
                            <w:pPr>
                              <w:spacing w:line="240" w:lineRule="auto"/>
                              <w:jc w:val="center"/>
                              <w:rPr>
                                <w:sz w:val="20"/>
                                <w:szCs w:val="20"/>
                              </w:rPr>
                            </w:pPr>
                            <w:r>
                              <w:rPr>
                                <w:sz w:val="20"/>
                                <w:szCs w:val="20"/>
                              </w:rPr>
                              <w:t>4.9%</w:t>
                            </w:r>
                          </w:p>
                        </w:tc>
                        <w:tc>
                          <w:tcPr>
                            <w:tcW w:w="864" w:type="dxa"/>
                            <w:tcBorders>
                              <w:top w:val="nil"/>
                              <w:left w:val="single" w:sz="4" w:space="0" w:color="auto"/>
                              <w:bottom w:val="nil"/>
                              <w:right w:val="nil"/>
                            </w:tcBorders>
                          </w:tcPr>
                          <w:p w14:paraId="16F5C1F7" w14:textId="77777777" w:rsidR="00FF3468" w:rsidRPr="00780064" w:rsidRDefault="00FF3468" w:rsidP="0096409D">
                            <w:pPr>
                              <w:spacing w:line="240" w:lineRule="auto"/>
                              <w:jc w:val="center"/>
                              <w:rPr>
                                <w:sz w:val="20"/>
                                <w:szCs w:val="20"/>
                              </w:rPr>
                            </w:pPr>
                            <w:r>
                              <w:rPr>
                                <w:sz w:val="20"/>
                                <w:szCs w:val="20"/>
                              </w:rPr>
                              <w:t>3.01</w:t>
                            </w:r>
                          </w:p>
                        </w:tc>
                        <w:tc>
                          <w:tcPr>
                            <w:tcW w:w="1296" w:type="dxa"/>
                            <w:tcBorders>
                              <w:top w:val="nil"/>
                              <w:left w:val="nil"/>
                              <w:bottom w:val="nil"/>
                              <w:right w:val="nil"/>
                            </w:tcBorders>
                          </w:tcPr>
                          <w:p w14:paraId="6D1EE390" w14:textId="77777777" w:rsidR="00FF3468" w:rsidRPr="00780064" w:rsidRDefault="00FF3468" w:rsidP="0096409D">
                            <w:pPr>
                              <w:spacing w:line="240" w:lineRule="auto"/>
                              <w:jc w:val="center"/>
                              <w:rPr>
                                <w:sz w:val="20"/>
                                <w:szCs w:val="20"/>
                              </w:rPr>
                            </w:pPr>
                            <w:r>
                              <w:rPr>
                                <w:sz w:val="20"/>
                                <w:szCs w:val="20"/>
                              </w:rPr>
                              <w:t>3.44</w:t>
                            </w:r>
                          </w:p>
                        </w:tc>
                        <w:tc>
                          <w:tcPr>
                            <w:tcW w:w="864" w:type="dxa"/>
                            <w:tcBorders>
                              <w:top w:val="nil"/>
                              <w:left w:val="nil"/>
                              <w:bottom w:val="nil"/>
                              <w:right w:val="single" w:sz="4" w:space="0" w:color="auto"/>
                            </w:tcBorders>
                          </w:tcPr>
                          <w:p w14:paraId="550D0C6A" w14:textId="77777777" w:rsidR="00FF3468" w:rsidRPr="00780064" w:rsidRDefault="00FF3468" w:rsidP="0096409D">
                            <w:pPr>
                              <w:spacing w:line="240" w:lineRule="auto"/>
                              <w:jc w:val="center"/>
                              <w:rPr>
                                <w:sz w:val="20"/>
                                <w:szCs w:val="20"/>
                              </w:rPr>
                            </w:pPr>
                            <w:r>
                              <w:rPr>
                                <w:sz w:val="20"/>
                                <w:szCs w:val="20"/>
                              </w:rPr>
                              <w:t>13.5%</w:t>
                            </w:r>
                          </w:p>
                        </w:tc>
                        <w:tc>
                          <w:tcPr>
                            <w:tcW w:w="864" w:type="dxa"/>
                            <w:tcBorders>
                              <w:top w:val="nil"/>
                              <w:left w:val="single" w:sz="4" w:space="0" w:color="auto"/>
                              <w:bottom w:val="nil"/>
                              <w:right w:val="nil"/>
                            </w:tcBorders>
                          </w:tcPr>
                          <w:p w14:paraId="70A21725" w14:textId="77777777" w:rsidR="00FF3468" w:rsidRPr="00780064" w:rsidRDefault="00FF3468" w:rsidP="0096409D">
                            <w:pPr>
                              <w:spacing w:line="240" w:lineRule="auto"/>
                              <w:jc w:val="center"/>
                              <w:rPr>
                                <w:sz w:val="20"/>
                                <w:szCs w:val="20"/>
                              </w:rPr>
                            </w:pPr>
                            <w:r>
                              <w:rPr>
                                <w:sz w:val="20"/>
                                <w:szCs w:val="20"/>
                              </w:rPr>
                              <w:t>11.65</w:t>
                            </w:r>
                          </w:p>
                        </w:tc>
                        <w:tc>
                          <w:tcPr>
                            <w:tcW w:w="1296" w:type="dxa"/>
                            <w:tcBorders>
                              <w:top w:val="nil"/>
                              <w:left w:val="nil"/>
                              <w:bottom w:val="nil"/>
                              <w:right w:val="nil"/>
                            </w:tcBorders>
                          </w:tcPr>
                          <w:p w14:paraId="155EE213" w14:textId="77777777" w:rsidR="00FF3468" w:rsidRPr="00780064" w:rsidRDefault="00FF3468" w:rsidP="0096409D">
                            <w:pPr>
                              <w:spacing w:line="240" w:lineRule="auto"/>
                              <w:jc w:val="center"/>
                              <w:rPr>
                                <w:sz w:val="20"/>
                                <w:szCs w:val="20"/>
                              </w:rPr>
                            </w:pPr>
                            <w:r>
                              <w:rPr>
                                <w:sz w:val="20"/>
                                <w:szCs w:val="20"/>
                              </w:rPr>
                              <w:t>11.76</w:t>
                            </w:r>
                          </w:p>
                        </w:tc>
                        <w:tc>
                          <w:tcPr>
                            <w:tcW w:w="864" w:type="dxa"/>
                            <w:tcBorders>
                              <w:top w:val="nil"/>
                              <w:left w:val="nil"/>
                              <w:bottom w:val="nil"/>
                              <w:right w:val="nil"/>
                            </w:tcBorders>
                          </w:tcPr>
                          <w:p w14:paraId="7413C1A6" w14:textId="77777777" w:rsidR="00FF3468" w:rsidRPr="00780064" w:rsidRDefault="00FF3468" w:rsidP="0096409D">
                            <w:pPr>
                              <w:spacing w:line="240" w:lineRule="auto"/>
                              <w:jc w:val="center"/>
                              <w:rPr>
                                <w:sz w:val="20"/>
                                <w:szCs w:val="20"/>
                              </w:rPr>
                            </w:pPr>
                            <w:r>
                              <w:rPr>
                                <w:sz w:val="20"/>
                                <w:szCs w:val="20"/>
                              </w:rPr>
                              <w:t>1.0%</w:t>
                            </w:r>
                          </w:p>
                        </w:tc>
                      </w:tr>
                    </w:tbl>
                    <w:p w14:paraId="04C2A982" w14:textId="77777777" w:rsidR="00FF3468" w:rsidRDefault="00FF3468" w:rsidP="0096409D"/>
                  </w:txbxContent>
                </v:textbox>
                <w10:anchorlock/>
              </v:shape>
            </w:pict>
          </mc:Fallback>
        </mc:AlternateContent>
      </w:r>
    </w:p>
    <w:p w14:paraId="7C5ABFB6" w14:textId="77777777" w:rsidR="0096409D" w:rsidRPr="0096409D" w:rsidRDefault="0096409D" w:rsidP="0096409D"/>
    <w:p w14:paraId="03C2A4C3" w14:textId="7BD68257" w:rsidR="00B406A1" w:rsidRDefault="00B406A1" w:rsidP="00B406A1">
      <w:pPr>
        <w:tabs>
          <w:tab w:val="left" w:pos="910"/>
        </w:tabs>
      </w:pPr>
      <w:r>
        <w:lastRenderedPageBreak/>
        <w:tab/>
        <w:t xml:space="preserve">To analyze the potential of shear failure, Mohr-Coulomb </w:t>
      </w:r>
      <w:r w:rsidR="00083044">
        <w:t xml:space="preserve">criterion </w:t>
      </w:r>
      <w:r>
        <w:t xml:space="preserve">was used to evaluate whether the shear stresses were in </w:t>
      </w:r>
      <w:r w:rsidRPr="00587640">
        <w:t>failure</w:t>
      </w:r>
      <w:r w:rsidR="006A750A">
        <w:t xml:space="preserve"> for the fracture model</w:t>
      </w:r>
      <w:r w:rsidR="00765F17">
        <w:t>.</w:t>
      </w:r>
      <w:r w:rsidR="006A750A">
        <w:t xml:space="preserve"> </w:t>
      </w:r>
      <w:r w:rsidR="00765F17">
        <w:t>Figure</w:t>
      </w:r>
      <w:r w:rsidR="00F1723B" w:rsidRPr="00587640">
        <w:t xml:space="preserve"> 5.8 </w:t>
      </w:r>
      <w:r w:rsidR="006A750A">
        <w:t>shows that all three wells are far from being in shear failure. The deepest well proves closest to shear failure, but the gap between its Mohr circle and the failure envelope is significant. An interesting observation is that the shear stresses in the shallow well are not significant. The stresses are barely visible when compared to the medium and deep wells let alone the failure envelope. Another observation is that Figure 5.8 shows that the medium well has tensile stresses, however, they are not to the tensile failure of the cement. Comparing Figure 5.8 with Table 5.</w:t>
      </w:r>
      <w:r w:rsidR="008C6FD4">
        <w:t>8</w:t>
      </w:r>
      <w:r w:rsidR="006A750A">
        <w:t xml:space="preserve"> shows that debonding of the cement sheath is occurring at the casing/cement interface for the fracture model yet tensile cracks are not occurring. </w:t>
      </w:r>
    </w:p>
    <w:p w14:paraId="4733371D" w14:textId="77777777" w:rsidR="00765F17" w:rsidRDefault="00765F17" w:rsidP="00BC23AD">
      <w:pPr>
        <w:pStyle w:val="NoSpacing"/>
      </w:pPr>
      <w:r>
        <w:rPr>
          <w:noProof/>
        </w:rPr>
        <w:lastRenderedPageBreak/>
        <w:drawing>
          <wp:inline distT="0" distB="0" distL="0" distR="0" wp14:anchorId="3EE4FE8C" wp14:editId="72060890">
            <wp:extent cx="4572000" cy="4779431"/>
            <wp:effectExtent l="0" t="0" r="0" b="254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572000" cy="4779431"/>
                    </a:xfrm>
                    <a:prstGeom prst="rect">
                      <a:avLst/>
                    </a:prstGeom>
                    <a:noFill/>
                  </pic:spPr>
                </pic:pic>
              </a:graphicData>
            </a:graphic>
          </wp:inline>
        </w:drawing>
      </w:r>
    </w:p>
    <w:p w14:paraId="12D63612" w14:textId="3F59F85E" w:rsidR="00765F17" w:rsidRDefault="00765F17" w:rsidP="00BC23AD">
      <w:pPr>
        <w:pStyle w:val="Caption"/>
      </w:pPr>
      <w:bookmarkStart w:id="133" w:name="_Toc67566236"/>
      <w:r>
        <w:t xml:space="preserve">Figure </w:t>
      </w:r>
      <w:r w:rsidR="00077C0B">
        <w:fldChar w:fldCharType="begin"/>
      </w:r>
      <w:r w:rsidR="00077C0B">
        <w:instrText xml:space="preserve"> STYLEREF 1 \s </w:instrText>
      </w:r>
      <w:r w:rsidR="00077C0B">
        <w:fldChar w:fldCharType="separate"/>
      </w:r>
      <w:r w:rsidR="0006023A">
        <w:rPr>
          <w:noProof/>
        </w:rPr>
        <w:t>5</w:t>
      </w:r>
      <w:r w:rsidR="00077C0B">
        <w:rPr>
          <w:noProof/>
        </w:rPr>
        <w:fldChar w:fldCharType="end"/>
      </w:r>
      <w:r>
        <w:t>.</w:t>
      </w:r>
      <w:r w:rsidR="00077C0B">
        <w:fldChar w:fldCharType="begin"/>
      </w:r>
      <w:r w:rsidR="00077C0B">
        <w:instrText xml:space="preserve"> SEQ Figure \* ARABIC \s 1 </w:instrText>
      </w:r>
      <w:r w:rsidR="00077C0B">
        <w:fldChar w:fldCharType="separate"/>
      </w:r>
      <w:r w:rsidR="0006023A">
        <w:rPr>
          <w:noProof/>
        </w:rPr>
        <w:t>8</w:t>
      </w:r>
      <w:r w:rsidR="00077C0B">
        <w:rPr>
          <w:noProof/>
        </w:rPr>
        <w:fldChar w:fldCharType="end"/>
      </w:r>
      <w:r>
        <w:t xml:space="preserve">: </w:t>
      </w:r>
      <w:r w:rsidR="006F7F08">
        <w:t>Mohr-Coulomb s</w:t>
      </w:r>
      <w:r>
        <w:t>hear failure envelope of</w:t>
      </w:r>
      <w:r w:rsidR="006F7F08">
        <w:t xml:space="preserve"> the</w:t>
      </w:r>
      <w:r>
        <w:t xml:space="preserve"> cement sheath for the shallow (black), medium (orange), and deep (blue) wells.</w:t>
      </w:r>
      <w:r w:rsidR="006F7F08">
        <w:t xml:space="preserve"> All three wells are not close to shear failure or cement tensile failure.</w:t>
      </w:r>
      <w:bookmarkEnd w:id="133"/>
    </w:p>
    <w:p w14:paraId="5372C0EA" w14:textId="3FB4F3C5" w:rsidR="00F1723B" w:rsidRDefault="006A750A" w:rsidP="00B406A1">
      <w:pPr>
        <w:tabs>
          <w:tab w:val="left" w:pos="910"/>
        </w:tabs>
      </w:pPr>
      <w:r>
        <w:tab/>
        <w:t xml:space="preserve">Figure 5.9 depicts the graphical results of the base case cement sheaths for the three wells. The effective shear stresses </w:t>
      </w:r>
      <m:oMath>
        <m:d>
          <m:dPr>
            <m:ctrlPr>
              <w:rPr>
                <w:rFonts w:ascii="Cambria Math" w:hAnsi="Cambria Math"/>
                <w:i/>
              </w:rPr>
            </m:ctrlPr>
          </m:dPr>
          <m:e>
            <m:f>
              <m:fPr>
                <m:ctrlPr>
                  <w:rPr>
                    <w:rFonts w:ascii="Cambria Math" w:hAnsi="Cambria Math"/>
                    <w:i/>
                  </w:rPr>
                </m:ctrlPr>
              </m:fPr>
              <m:num>
                <m:sSubSup>
                  <m:sSubSupPr>
                    <m:ctrlPr>
                      <w:rPr>
                        <w:rFonts w:ascii="Cambria Math" w:hAnsi="Cambria Math"/>
                        <w:i/>
                      </w:rPr>
                    </m:ctrlPr>
                  </m:sSubSupPr>
                  <m:e>
                    <m:r>
                      <w:rPr>
                        <w:rFonts w:ascii="Cambria Math" w:hAnsi="Cambria Math"/>
                      </w:rPr>
                      <m:t>σ</m:t>
                    </m:r>
                  </m:e>
                  <m:sub>
                    <m:r>
                      <w:rPr>
                        <w:rFonts w:ascii="Cambria Math" w:hAnsi="Cambria Math"/>
                      </w:rPr>
                      <m:t>1</m:t>
                    </m:r>
                  </m:sub>
                  <m:sup>
                    <m:r>
                      <w:rPr>
                        <w:rFonts w:ascii="Cambria Math" w:hAnsi="Cambria Math"/>
                      </w:rPr>
                      <m:t>'</m:t>
                    </m:r>
                  </m:sup>
                </m:sSubSup>
                <m:r>
                  <w:rPr>
                    <w:rFonts w:ascii="Cambria Math" w:hAnsi="Cambria Math"/>
                  </w:rPr>
                  <m:t>-</m:t>
                </m:r>
                <m:sSubSup>
                  <m:sSubSupPr>
                    <m:ctrlPr>
                      <w:rPr>
                        <w:rFonts w:ascii="Cambria Math" w:hAnsi="Cambria Math"/>
                        <w:i/>
                      </w:rPr>
                    </m:ctrlPr>
                  </m:sSubSupPr>
                  <m:e>
                    <m:r>
                      <w:rPr>
                        <w:rFonts w:ascii="Cambria Math" w:hAnsi="Cambria Math"/>
                      </w:rPr>
                      <m:t>σ</m:t>
                    </m:r>
                  </m:e>
                  <m:sub>
                    <m:r>
                      <w:rPr>
                        <w:rFonts w:ascii="Cambria Math" w:hAnsi="Cambria Math"/>
                      </w:rPr>
                      <m:t>3</m:t>
                    </m:r>
                  </m:sub>
                  <m:sup>
                    <m:r>
                      <w:rPr>
                        <w:rFonts w:ascii="Cambria Math" w:hAnsi="Cambria Math"/>
                      </w:rPr>
                      <m:t>'</m:t>
                    </m:r>
                  </m:sup>
                </m:sSubSup>
              </m:num>
              <m:den>
                <m:r>
                  <w:rPr>
                    <w:rFonts w:ascii="Cambria Math" w:hAnsi="Cambria Math"/>
                  </w:rPr>
                  <m:t>2</m:t>
                </m:r>
              </m:den>
            </m:f>
          </m:e>
        </m:d>
      </m:oMath>
      <w:r>
        <w:t xml:space="preserve"> are depicted on the left, and the effective minimum principal stresses </w:t>
      </w:r>
      <w:r>
        <w:rPr>
          <w:rFonts w:eastAsiaTheme="minorEastAsia"/>
        </w:rPr>
        <w:t>(</w:t>
      </w:r>
      <m:oMath>
        <m:sSubSup>
          <m:sSubSupPr>
            <m:ctrlPr>
              <w:rPr>
                <w:rFonts w:ascii="Cambria Math" w:hAnsi="Cambria Math"/>
                <w:i/>
              </w:rPr>
            </m:ctrlPr>
          </m:sSubSupPr>
          <m:e>
            <m:r>
              <w:rPr>
                <w:rFonts w:ascii="Cambria Math" w:hAnsi="Cambria Math"/>
              </w:rPr>
              <m:t>σ</m:t>
            </m:r>
          </m:e>
          <m:sub>
            <m:r>
              <w:rPr>
                <w:rFonts w:ascii="Cambria Math" w:hAnsi="Cambria Math"/>
              </w:rPr>
              <m:t>3</m:t>
            </m:r>
          </m:sub>
          <m:sup>
            <m:r>
              <w:rPr>
                <w:rFonts w:ascii="Cambria Math" w:hAnsi="Cambria Math"/>
              </w:rPr>
              <m:t>'</m:t>
            </m:r>
          </m:sup>
        </m:sSubSup>
      </m:oMath>
      <w:r>
        <w:rPr>
          <w:rFonts w:eastAsiaTheme="minorEastAsia"/>
        </w:rPr>
        <w:t>)</w:t>
      </w:r>
      <w:r>
        <w:t xml:space="preserve"> are shown on the right. The inner radius of the sheath is the casing/cement interface while the outer radius is the cement/rock formation interface. </w:t>
      </w:r>
    </w:p>
    <w:p w14:paraId="2B9BBB49" w14:textId="77777777" w:rsidR="00765F17" w:rsidRDefault="00765F17" w:rsidP="00BC23AD">
      <w:pPr>
        <w:pStyle w:val="NoSpacing"/>
      </w:pPr>
      <w:r>
        <w:rPr>
          <w:noProof/>
        </w:rPr>
        <w:lastRenderedPageBreak/>
        <w:drawing>
          <wp:inline distT="0" distB="0" distL="0" distR="0" wp14:anchorId="065F5FAC" wp14:editId="5637C271">
            <wp:extent cx="3117285" cy="7772400"/>
            <wp:effectExtent l="0" t="0" r="698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117285" cy="7772400"/>
                    </a:xfrm>
                    <a:prstGeom prst="rect">
                      <a:avLst/>
                    </a:prstGeom>
                    <a:noFill/>
                  </pic:spPr>
                </pic:pic>
              </a:graphicData>
            </a:graphic>
          </wp:inline>
        </w:drawing>
      </w:r>
    </w:p>
    <w:p w14:paraId="7A294378" w14:textId="78AF342C" w:rsidR="00765F17" w:rsidRDefault="00765F17" w:rsidP="00BC23AD">
      <w:pPr>
        <w:pStyle w:val="Caption"/>
      </w:pPr>
      <w:bookmarkStart w:id="134" w:name="_Toc67566237"/>
      <w:r>
        <w:t xml:space="preserve">Figure </w:t>
      </w:r>
      <w:r w:rsidR="00077C0B">
        <w:fldChar w:fldCharType="begin"/>
      </w:r>
      <w:r w:rsidR="00077C0B">
        <w:instrText xml:space="preserve"> STYLEREF 1</w:instrText>
      </w:r>
      <w:r w:rsidR="00077C0B">
        <w:instrText xml:space="preserve"> \s </w:instrText>
      </w:r>
      <w:r w:rsidR="00077C0B">
        <w:fldChar w:fldCharType="separate"/>
      </w:r>
      <w:r w:rsidR="0006023A">
        <w:rPr>
          <w:noProof/>
        </w:rPr>
        <w:t>5</w:t>
      </w:r>
      <w:r w:rsidR="00077C0B">
        <w:rPr>
          <w:noProof/>
        </w:rPr>
        <w:fldChar w:fldCharType="end"/>
      </w:r>
      <w:r>
        <w:t>.</w:t>
      </w:r>
      <w:r w:rsidR="00077C0B">
        <w:fldChar w:fldCharType="begin"/>
      </w:r>
      <w:r w:rsidR="00077C0B">
        <w:instrText xml:space="preserve"> SEQ Figure \* ARABIC \s 1 </w:instrText>
      </w:r>
      <w:r w:rsidR="00077C0B">
        <w:fldChar w:fldCharType="separate"/>
      </w:r>
      <w:r w:rsidR="0006023A">
        <w:rPr>
          <w:noProof/>
        </w:rPr>
        <w:t>9</w:t>
      </w:r>
      <w:r w:rsidR="00077C0B">
        <w:rPr>
          <w:noProof/>
        </w:rPr>
        <w:fldChar w:fldCharType="end"/>
      </w:r>
      <w:r>
        <w:t xml:space="preserve">: </w:t>
      </w:r>
      <w:r w:rsidR="00835BA4">
        <w:t>Graphical results of the base case stress values shown in Table 5.8 for the shallow, medium, and deep</w:t>
      </w:r>
      <w:r w:rsidR="003F1600">
        <w:t xml:space="preserve"> wells for the fracture model</w:t>
      </w:r>
      <w:r w:rsidR="00835BA4">
        <w:t>.</w:t>
      </w:r>
      <w:r w:rsidR="006F7F08">
        <w:t xml:space="preserve"> The shear stresses are depicted on the left and the minimum principal stre</w:t>
      </w:r>
      <w:r w:rsidR="00553B76">
        <w:t>sses are depicted on the right.</w:t>
      </w:r>
      <w:bookmarkEnd w:id="134"/>
    </w:p>
    <w:p w14:paraId="15F555AA" w14:textId="6B0DF810" w:rsidR="00B406A1" w:rsidRDefault="00835BA4" w:rsidP="00B406A1">
      <w:pPr>
        <w:tabs>
          <w:tab w:val="left" w:pos="910"/>
        </w:tabs>
        <w:rPr>
          <w:rFonts w:eastAsiaTheme="minorEastAsia"/>
        </w:rPr>
      </w:pPr>
      <w:r>
        <w:lastRenderedPageBreak/>
        <w:tab/>
        <w:t>For the shallow well, the scale resolution shows that the radial stress is constant throughout the thickness of the cement sheath</w:t>
      </w:r>
      <w:r w:rsidR="00676784">
        <w:t>. Table 5.8 shows that the interface stresses are not tensile and Figure 5.9 shows that the bulk cement is not in tensile.</w:t>
      </w:r>
      <w:r>
        <w:t xml:space="preserve"> The medium well is experiencing tensile stress at the casing/cement interface, but Figure 5.9 shows that the tensile stress is </w:t>
      </w:r>
      <w:r w:rsidR="003F1600">
        <w:t xml:space="preserve">focused towards the interface and does not extend throughout the cement sheath. The deep well follows a similar trend as the medium well except the effective minimum principal stress is not tensile. The results of Figure 5.9 shows that the cement sheath will experience tensile debonding before radial cracks occur. For the shear stress of the wells, the stress concentrations are located at the casing/cement interface of the medium and deep well (and most likely the shallow well, but the scale resolution is not fine enough). This result is interesting since the failure mechanism of debonding is occurring at the casing/cement interface of the medium well. The shear stress is concentrated at this interface due to the shear failure criteria, </w:t>
      </w:r>
      <m:oMath>
        <m:d>
          <m:dPr>
            <m:ctrlPr>
              <w:rPr>
                <w:rFonts w:ascii="Cambria Math" w:hAnsi="Cambria Math"/>
                <w:i/>
              </w:rPr>
            </m:ctrlPr>
          </m:dPr>
          <m:e>
            <m:f>
              <m:fPr>
                <m:ctrlPr>
                  <w:rPr>
                    <w:rFonts w:ascii="Cambria Math" w:hAnsi="Cambria Math"/>
                    <w:i/>
                  </w:rPr>
                </m:ctrlPr>
              </m:fPr>
              <m:num>
                <m:sSubSup>
                  <m:sSubSupPr>
                    <m:ctrlPr>
                      <w:rPr>
                        <w:rFonts w:ascii="Cambria Math" w:hAnsi="Cambria Math"/>
                        <w:i/>
                      </w:rPr>
                    </m:ctrlPr>
                  </m:sSubSupPr>
                  <m:e>
                    <m:r>
                      <w:rPr>
                        <w:rFonts w:ascii="Cambria Math" w:hAnsi="Cambria Math"/>
                      </w:rPr>
                      <m:t>σ</m:t>
                    </m:r>
                  </m:e>
                  <m:sub>
                    <m:r>
                      <w:rPr>
                        <w:rFonts w:ascii="Cambria Math" w:hAnsi="Cambria Math"/>
                      </w:rPr>
                      <m:t>1</m:t>
                    </m:r>
                  </m:sub>
                  <m:sup>
                    <m:r>
                      <w:rPr>
                        <w:rFonts w:ascii="Cambria Math" w:hAnsi="Cambria Math"/>
                      </w:rPr>
                      <m:t>'</m:t>
                    </m:r>
                  </m:sup>
                </m:sSubSup>
                <m:r>
                  <w:rPr>
                    <w:rFonts w:ascii="Cambria Math" w:hAnsi="Cambria Math"/>
                  </w:rPr>
                  <m:t>-</m:t>
                </m:r>
                <m:sSubSup>
                  <m:sSubSupPr>
                    <m:ctrlPr>
                      <w:rPr>
                        <w:rFonts w:ascii="Cambria Math" w:hAnsi="Cambria Math"/>
                        <w:i/>
                      </w:rPr>
                    </m:ctrlPr>
                  </m:sSubSupPr>
                  <m:e>
                    <m:r>
                      <w:rPr>
                        <w:rFonts w:ascii="Cambria Math" w:hAnsi="Cambria Math"/>
                      </w:rPr>
                      <m:t>σ</m:t>
                    </m:r>
                  </m:e>
                  <m:sub>
                    <m:r>
                      <w:rPr>
                        <w:rFonts w:ascii="Cambria Math" w:hAnsi="Cambria Math"/>
                      </w:rPr>
                      <m:t>3</m:t>
                    </m:r>
                  </m:sub>
                  <m:sup>
                    <m:r>
                      <w:rPr>
                        <w:rFonts w:ascii="Cambria Math" w:hAnsi="Cambria Math"/>
                      </w:rPr>
                      <m:t>'</m:t>
                    </m:r>
                  </m:sup>
                </m:sSubSup>
              </m:num>
              <m:den>
                <m:r>
                  <w:rPr>
                    <w:rFonts w:ascii="Cambria Math" w:hAnsi="Cambria Math"/>
                  </w:rPr>
                  <m:t>2</m:t>
                </m:r>
              </m:den>
            </m:f>
          </m:e>
        </m:d>
      </m:oMath>
      <w:r w:rsidR="003F1600">
        <w:rPr>
          <w:rFonts w:eastAsiaTheme="minorEastAsia"/>
        </w:rPr>
        <w:t>. The maximum and minimum effective stresses (hoop and radial) are at the casing/cement interface, as shown in Table 5.</w:t>
      </w:r>
      <w:r w:rsidR="00676784">
        <w:rPr>
          <w:rFonts w:eastAsiaTheme="minorEastAsia"/>
        </w:rPr>
        <w:t>8</w:t>
      </w:r>
      <w:r w:rsidR="003F1600">
        <w:rPr>
          <w:rFonts w:eastAsiaTheme="minorEastAsia"/>
        </w:rPr>
        <w:t xml:space="preserve">, which results in the shear stress concentration being at that location. </w:t>
      </w:r>
    </w:p>
    <w:p w14:paraId="49FF9DAD" w14:textId="6FEBDBD0" w:rsidR="000959DD" w:rsidRPr="006348F1" w:rsidRDefault="00DC30BA" w:rsidP="00035812">
      <w:pPr>
        <w:pStyle w:val="Heading4"/>
      </w:pPr>
      <w:r w:rsidRPr="006348F1">
        <w:t>Parametric Analysis</w:t>
      </w:r>
    </w:p>
    <w:p w14:paraId="1E7125E9" w14:textId="4B266193" w:rsidR="00DC30BA" w:rsidRDefault="00DC30BA" w:rsidP="00DC30BA">
      <w:pPr>
        <w:ind w:firstLine="720"/>
      </w:pPr>
      <w:r>
        <w:t xml:space="preserve">The second analysis for the three GoM wells is the parametric study of the base case wells to rank the stress </w:t>
      </w:r>
      <w:r w:rsidRPr="00587640">
        <w:t>contributing factors</w:t>
      </w:r>
      <w:r w:rsidR="00341E81" w:rsidRPr="00587640">
        <w:t xml:space="preserve"> in comparison of the two models</w:t>
      </w:r>
      <w:r w:rsidRPr="00587640">
        <w:t>. The results</w:t>
      </w:r>
      <w:r w:rsidR="00341E81" w:rsidRPr="00587640">
        <w:t xml:space="preserve"> for the stress continuum model are shown in Figures 5.1</w:t>
      </w:r>
      <w:r w:rsidR="00757125" w:rsidRPr="00587640">
        <w:t>0</w:t>
      </w:r>
      <w:r w:rsidR="00341E81" w:rsidRPr="00587640">
        <w:t>, 5.1</w:t>
      </w:r>
      <w:r w:rsidR="00757125" w:rsidRPr="00587640">
        <w:t>2</w:t>
      </w:r>
      <w:r w:rsidR="00341E81" w:rsidRPr="00587640">
        <w:t>, and 5.1</w:t>
      </w:r>
      <w:r w:rsidR="00757125" w:rsidRPr="00587640">
        <w:t>4</w:t>
      </w:r>
      <w:r w:rsidR="00341E81" w:rsidRPr="00587640">
        <w:t xml:space="preserve"> for the shallow, medium, and deep well, respectively. The results for the fracture model</w:t>
      </w:r>
      <w:r w:rsidRPr="00587640">
        <w:t xml:space="preserve"> are shown in </w:t>
      </w:r>
      <w:r w:rsidR="00341E81" w:rsidRPr="00587640">
        <w:t>Figures 5.1</w:t>
      </w:r>
      <w:r w:rsidR="00757125" w:rsidRPr="00587640">
        <w:t>1</w:t>
      </w:r>
      <w:r w:rsidR="00341E81" w:rsidRPr="00587640">
        <w:t>, 5.1</w:t>
      </w:r>
      <w:r w:rsidR="00757125" w:rsidRPr="00587640">
        <w:t>3</w:t>
      </w:r>
      <w:r w:rsidR="00341E81" w:rsidRPr="00587640">
        <w:t>, and 5.1</w:t>
      </w:r>
      <w:r w:rsidR="00757125" w:rsidRPr="00587640">
        <w:t>5</w:t>
      </w:r>
      <w:r w:rsidR="00341E81" w:rsidRPr="00587640">
        <w:t xml:space="preserve"> for the shallow, medium, and deep well, respectively.</w:t>
      </w:r>
      <w:r w:rsidRPr="00587640">
        <w:t xml:space="preserve"> The maximum and minimum normalized</w:t>
      </w:r>
      <w:r>
        <w:t xml:space="preserve"> effective stress values </w:t>
      </w:r>
      <w:r w:rsidR="007B3D11">
        <w:t xml:space="preserve">for </w:t>
      </w:r>
      <w:r>
        <w:t xml:space="preserve">the three wells are shown. </w:t>
      </w:r>
      <w:r w:rsidR="00F00CE0">
        <w:t>Due to the large variation of the parameters, log scales were used for the x-axis. The solid bars represent a positive percent change while the checkered bars represent a negative percent change.</w:t>
      </w:r>
    </w:p>
    <w:p w14:paraId="07F73168" w14:textId="77777777" w:rsidR="00CA77A1" w:rsidRDefault="00CA77A1" w:rsidP="00BC23AD">
      <w:pPr>
        <w:pStyle w:val="NoSpacing"/>
      </w:pPr>
      <w:r>
        <w:rPr>
          <w:noProof/>
        </w:rPr>
        <w:lastRenderedPageBreak/>
        <w:drawing>
          <wp:inline distT="0" distB="0" distL="0" distR="0" wp14:anchorId="49900F3E" wp14:editId="74BE805C">
            <wp:extent cx="5943600" cy="445782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43600" cy="4457829"/>
                    </a:xfrm>
                    <a:prstGeom prst="rect">
                      <a:avLst/>
                    </a:prstGeom>
                    <a:noFill/>
                  </pic:spPr>
                </pic:pic>
              </a:graphicData>
            </a:graphic>
          </wp:inline>
        </w:drawing>
      </w:r>
    </w:p>
    <w:p w14:paraId="645D343A" w14:textId="32E36885" w:rsidR="00CA77A1" w:rsidRDefault="00CA77A1" w:rsidP="00BC23AD">
      <w:pPr>
        <w:pStyle w:val="Caption"/>
      </w:pPr>
      <w:bookmarkStart w:id="135" w:name="_Toc67566238"/>
      <w:r>
        <w:t xml:space="preserve">Figure </w:t>
      </w:r>
      <w:r w:rsidR="00077C0B">
        <w:fldChar w:fldCharType="begin"/>
      </w:r>
      <w:r w:rsidR="00077C0B">
        <w:instrText xml:space="preserve"> STYLEREF 1 \s </w:instrText>
      </w:r>
      <w:r w:rsidR="00077C0B">
        <w:fldChar w:fldCharType="separate"/>
      </w:r>
      <w:r w:rsidR="0006023A">
        <w:rPr>
          <w:noProof/>
        </w:rPr>
        <w:t>5</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10</w:t>
      </w:r>
      <w:r w:rsidR="00077C0B">
        <w:rPr>
          <w:noProof/>
        </w:rPr>
        <w:fldChar w:fldCharType="end"/>
      </w:r>
      <w:r>
        <w:t>: Results of the parametric study</w:t>
      </w:r>
      <w:r w:rsidR="00DE0458">
        <w:t xml:space="preserve"> with the continuum stress model</w:t>
      </w:r>
      <w:r>
        <w:t xml:space="preserve"> ranking the parameters with the largest impact on stress d</w:t>
      </w:r>
      <w:r w:rsidR="00DE0458">
        <w:t>evelopment for the shallow well.</w:t>
      </w:r>
      <w:r w:rsidR="00553B76">
        <w:t xml:space="preserve"> The cement pore pressure (</w:t>
      </w:r>
      <m:oMath>
        <m:sSub>
          <m:sSubPr>
            <m:ctrlPr>
              <w:rPr>
                <w:rFonts w:ascii="Cambria Math" w:hAnsi="Cambria Math"/>
                <w:i/>
              </w:rPr>
            </m:ctrlPr>
          </m:sSubPr>
          <m:e>
            <m:r>
              <m:rPr>
                <m:sty m:val="bi"/>
              </m:rPr>
              <w:rPr>
                <w:rFonts w:ascii="Cambria Math" w:hAnsi="Cambria Math"/>
              </w:rPr>
              <m:t>P</m:t>
            </m:r>
          </m:e>
          <m:sub>
            <m:r>
              <m:rPr>
                <m:sty m:val="bi"/>
              </m:rPr>
              <w:rPr>
                <w:rFonts w:ascii="Cambria Math" w:hAnsi="Cambria Math"/>
              </w:rPr>
              <m:t>p</m:t>
            </m:r>
          </m:sub>
        </m:sSub>
      </m:oMath>
      <w:r w:rsidR="00553B76">
        <w:t>), cement stress, and internal casing pressure have the most effect on the effective cement stress for the shallow well stress continuum model.</w:t>
      </w:r>
      <w:bookmarkEnd w:id="135"/>
    </w:p>
    <w:p w14:paraId="5311220A" w14:textId="77777777" w:rsidR="00341E81" w:rsidRPr="00341E81" w:rsidRDefault="00341E81" w:rsidP="00341E81"/>
    <w:p w14:paraId="28D8D81E" w14:textId="77777777" w:rsidR="00CA77A1" w:rsidRDefault="00CA77A1" w:rsidP="00BC23AD">
      <w:pPr>
        <w:pStyle w:val="NoSpacing"/>
      </w:pPr>
      <w:r>
        <w:rPr>
          <w:noProof/>
        </w:rPr>
        <w:lastRenderedPageBreak/>
        <w:drawing>
          <wp:inline distT="0" distB="0" distL="0" distR="0" wp14:anchorId="7AA16740" wp14:editId="54486199">
            <wp:extent cx="5943600" cy="4457829"/>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43600" cy="4457829"/>
                    </a:xfrm>
                    <a:prstGeom prst="rect">
                      <a:avLst/>
                    </a:prstGeom>
                    <a:noFill/>
                  </pic:spPr>
                </pic:pic>
              </a:graphicData>
            </a:graphic>
          </wp:inline>
        </w:drawing>
      </w:r>
    </w:p>
    <w:p w14:paraId="3CD09B31" w14:textId="2EC03343" w:rsidR="00CA77A1" w:rsidRDefault="00CA77A1" w:rsidP="00BC23AD">
      <w:pPr>
        <w:pStyle w:val="Caption"/>
      </w:pPr>
      <w:bookmarkStart w:id="136" w:name="_Toc67566239"/>
      <w:r>
        <w:t xml:space="preserve">Figure </w:t>
      </w:r>
      <w:r w:rsidR="00077C0B">
        <w:fldChar w:fldCharType="begin"/>
      </w:r>
      <w:r w:rsidR="00077C0B">
        <w:instrText xml:space="preserve"> STYLEREF 1 \s </w:instrText>
      </w:r>
      <w:r w:rsidR="00077C0B">
        <w:fldChar w:fldCharType="separate"/>
      </w:r>
      <w:r w:rsidR="0006023A">
        <w:rPr>
          <w:noProof/>
        </w:rPr>
        <w:t>5</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11</w:t>
      </w:r>
      <w:r w:rsidR="00077C0B">
        <w:rPr>
          <w:noProof/>
        </w:rPr>
        <w:fldChar w:fldCharType="end"/>
      </w:r>
      <w:r>
        <w:t>:</w:t>
      </w:r>
      <w:r w:rsidR="00DE0458" w:rsidRPr="00DE0458">
        <w:t xml:space="preserve"> </w:t>
      </w:r>
      <w:r w:rsidR="00DE0458">
        <w:t>Results of the parametric study with the fracture model ranking the parameters with the largest impact on stress development for the shallow well.</w:t>
      </w:r>
      <w:r w:rsidR="00553B76">
        <w:t xml:space="preserve"> The cement pore pressure (</w:t>
      </w:r>
      <m:oMath>
        <m:sSub>
          <m:sSubPr>
            <m:ctrlPr>
              <w:rPr>
                <w:rFonts w:ascii="Cambria Math" w:hAnsi="Cambria Math"/>
                <w:i/>
              </w:rPr>
            </m:ctrlPr>
          </m:sSubPr>
          <m:e>
            <m:r>
              <m:rPr>
                <m:sty m:val="bi"/>
              </m:rPr>
              <w:rPr>
                <w:rFonts w:ascii="Cambria Math" w:hAnsi="Cambria Math"/>
              </w:rPr>
              <m:t>P</m:t>
            </m:r>
          </m:e>
          <m:sub>
            <m:r>
              <m:rPr>
                <m:sty m:val="bi"/>
              </m:rPr>
              <w:rPr>
                <w:rFonts w:ascii="Cambria Math" w:hAnsi="Cambria Math"/>
              </w:rPr>
              <m:t>p</m:t>
            </m:r>
          </m:sub>
        </m:sSub>
      </m:oMath>
      <w:r w:rsidR="00553B76">
        <w:t>), cement stress, and internal casing pressure have the most effect on the effective cement stress for the shallow well fracture model.</w:t>
      </w:r>
      <w:bookmarkEnd w:id="136"/>
    </w:p>
    <w:p w14:paraId="39CE4FD2" w14:textId="77777777" w:rsidR="00341E81" w:rsidRPr="00341E81" w:rsidRDefault="00341E81" w:rsidP="00341E81"/>
    <w:p w14:paraId="7DC900CD" w14:textId="77777777" w:rsidR="00CA77A1" w:rsidRDefault="00CA77A1" w:rsidP="00BC23AD">
      <w:pPr>
        <w:pStyle w:val="NoSpacing"/>
      </w:pPr>
      <w:r>
        <w:rPr>
          <w:noProof/>
        </w:rPr>
        <w:lastRenderedPageBreak/>
        <w:drawing>
          <wp:inline distT="0" distB="0" distL="0" distR="0" wp14:anchorId="62640A31" wp14:editId="215FA478">
            <wp:extent cx="5943600" cy="4399028"/>
            <wp:effectExtent l="0" t="0" r="0" b="190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943600" cy="4399028"/>
                    </a:xfrm>
                    <a:prstGeom prst="rect">
                      <a:avLst/>
                    </a:prstGeom>
                    <a:noFill/>
                  </pic:spPr>
                </pic:pic>
              </a:graphicData>
            </a:graphic>
          </wp:inline>
        </w:drawing>
      </w:r>
    </w:p>
    <w:p w14:paraId="4589EAE0" w14:textId="40913703" w:rsidR="00CA77A1" w:rsidRDefault="00CA77A1" w:rsidP="00BC23AD">
      <w:pPr>
        <w:pStyle w:val="Caption"/>
      </w:pPr>
      <w:bookmarkStart w:id="137" w:name="_Toc67566240"/>
      <w:r>
        <w:t xml:space="preserve">Figure </w:t>
      </w:r>
      <w:r w:rsidR="00077C0B">
        <w:fldChar w:fldCharType="begin"/>
      </w:r>
      <w:r w:rsidR="00077C0B">
        <w:instrText xml:space="preserve"> STYLEREF 1 \s </w:instrText>
      </w:r>
      <w:r w:rsidR="00077C0B">
        <w:fldChar w:fldCharType="separate"/>
      </w:r>
      <w:r w:rsidR="0006023A">
        <w:rPr>
          <w:noProof/>
        </w:rPr>
        <w:t>5</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12</w:t>
      </w:r>
      <w:r w:rsidR="00077C0B">
        <w:rPr>
          <w:noProof/>
        </w:rPr>
        <w:fldChar w:fldCharType="end"/>
      </w:r>
      <w:r>
        <w:t>:</w:t>
      </w:r>
      <w:r w:rsidR="00DE0458" w:rsidRPr="00DE0458">
        <w:t xml:space="preserve"> </w:t>
      </w:r>
      <w:r w:rsidR="00DE0458">
        <w:t xml:space="preserve">Results of the parametric study with the continuum stress model ranking the parameters with the largest impact on stress development for the medium well. </w:t>
      </w:r>
      <w:r w:rsidR="00553B76">
        <w:t>The cement pore pressure (</w:t>
      </w:r>
      <m:oMath>
        <m:sSub>
          <m:sSubPr>
            <m:ctrlPr>
              <w:rPr>
                <w:rFonts w:ascii="Cambria Math" w:hAnsi="Cambria Math"/>
                <w:i/>
              </w:rPr>
            </m:ctrlPr>
          </m:sSubPr>
          <m:e>
            <m:r>
              <m:rPr>
                <m:sty m:val="bi"/>
              </m:rPr>
              <w:rPr>
                <w:rFonts w:ascii="Cambria Math" w:hAnsi="Cambria Math"/>
              </w:rPr>
              <m:t>P</m:t>
            </m:r>
          </m:e>
          <m:sub>
            <m:r>
              <m:rPr>
                <m:sty m:val="bi"/>
              </m:rPr>
              <w:rPr>
                <w:rFonts w:ascii="Cambria Math" w:hAnsi="Cambria Math"/>
              </w:rPr>
              <m:t>p</m:t>
            </m:r>
          </m:sub>
        </m:sSub>
      </m:oMath>
      <w:r w:rsidR="00553B76">
        <w:t>), cement stress, and internal casing pressure have the most effect on the effective cement stress for the medium well stress continuum model.</w:t>
      </w:r>
      <w:bookmarkEnd w:id="137"/>
    </w:p>
    <w:p w14:paraId="60489A8D" w14:textId="77777777" w:rsidR="00341E81" w:rsidRPr="00341E81" w:rsidRDefault="00341E81" w:rsidP="00341E81"/>
    <w:p w14:paraId="44FA6005" w14:textId="77777777" w:rsidR="00CA77A1" w:rsidRDefault="00CA77A1" w:rsidP="00BC23AD">
      <w:pPr>
        <w:pStyle w:val="NoSpacing"/>
      </w:pPr>
      <w:r>
        <w:rPr>
          <w:noProof/>
        </w:rPr>
        <w:lastRenderedPageBreak/>
        <w:drawing>
          <wp:inline distT="0" distB="0" distL="0" distR="0" wp14:anchorId="487E9766" wp14:editId="69B778AF">
            <wp:extent cx="5943600" cy="4393937"/>
            <wp:effectExtent l="0" t="0" r="0" b="698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43600" cy="4393937"/>
                    </a:xfrm>
                    <a:prstGeom prst="rect">
                      <a:avLst/>
                    </a:prstGeom>
                    <a:noFill/>
                  </pic:spPr>
                </pic:pic>
              </a:graphicData>
            </a:graphic>
          </wp:inline>
        </w:drawing>
      </w:r>
    </w:p>
    <w:p w14:paraId="39C36337" w14:textId="6BE9D607" w:rsidR="00CA77A1" w:rsidRDefault="00CA77A1" w:rsidP="00BC23AD">
      <w:pPr>
        <w:pStyle w:val="Caption"/>
      </w:pPr>
      <w:bookmarkStart w:id="138" w:name="_Toc67566241"/>
      <w:r>
        <w:t xml:space="preserve">Figure </w:t>
      </w:r>
      <w:r w:rsidR="00077C0B">
        <w:fldChar w:fldCharType="begin"/>
      </w:r>
      <w:r w:rsidR="00077C0B">
        <w:instrText xml:space="preserve"> STYLEREF 1 \s </w:instrText>
      </w:r>
      <w:r w:rsidR="00077C0B">
        <w:fldChar w:fldCharType="separate"/>
      </w:r>
      <w:r w:rsidR="0006023A">
        <w:rPr>
          <w:noProof/>
        </w:rPr>
        <w:t>5</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13</w:t>
      </w:r>
      <w:r w:rsidR="00077C0B">
        <w:rPr>
          <w:noProof/>
        </w:rPr>
        <w:fldChar w:fldCharType="end"/>
      </w:r>
      <w:r>
        <w:t>:</w:t>
      </w:r>
      <w:r w:rsidR="00DE0458" w:rsidRPr="00DE0458">
        <w:t xml:space="preserve"> </w:t>
      </w:r>
      <w:r w:rsidR="00DE0458">
        <w:t>Results of the parametric study with the fracture model ranking the parameters with the largest impact on stress development for the medium well.</w:t>
      </w:r>
      <w:r w:rsidR="00553B76">
        <w:t xml:space="preserve"> The cement pore pressure (</w:t>
      </w:r>
      <m:oMath>
        <m:sSub>
          <m:sSubPr>
            <m:ctrlPr>
              <w:rPr>
                <w:rFonts w:ascii="Cambria Math" w:hAnsi="Cambria Math"/>
                <w:i/>
              </w:rPr>
            </m:ctrlPr>
          </m:sSubPr>
          <m:e>
            <m:r>
              <m:rPr>
                <m:sty m:val="bi"/>
              </m:rPr>
              <w:rPr>
                <w:rFonts w:ascii="Cambria Math" w:hAnsi="Cambria Math"/>
              </w:rPr>
              <m:t>P</m:t>
            </m:r>
          </m:e>
          <m:sub>
            <m:r>
              <m:rPr>
                <m:sty m:val="bi"/>
              </m:rPr>
              <w:rPr>
                <w:rFonts w:ascii="Cambria Math" w:hAnsi="Cambria Math"/>
              </w:rPr>
              <m:t>p</m:t>
            </m:r>
          </m:sub>
        </m:sSub>
      </m:oMath>
      <w:r w:rsidR="00553B76">
        <w:t>), cement stress, and internal casing pressure have the most effect on the effective cement stress for the medium well fracture model.</w:t>
      </w:r>
      <w:bookmarkEnd w:id="138"/>
    </w:p>
    <w:p w14:paraId="4B62A9D3" w14:textId="77777777" w:rsidR="00341E81" w:rsidRPr="00341E81" w:rsidRDefault="00341E81" w:rsidP="00341E81"/>
    <w:p w14:paraId="57D06083" w14:textId="77777777" w:rsidR="00CA77A1" w:rsidRDefault="00CA77A1" w:rsidP="00BC23AD">
      <w:pPr>
        <w:pStyle w:val="NoSpacing"/>
      </w:pPr>
      <w:r>
        <w:rPr>
          <w:noProof/>
        </w:rPr>
        <w:lastRenderedPageBreak/>
        <w:drawing>
          <wp:inline distT="0" distB="0" distL="0" distR="0" wp14:anchorId="0C8FF7DE" wp14:editId="2FFB121E">
            <wp:extent cx="5943600" cy="4453963"/>
            <wp:effectExtent l="0" t="0" r="0" b="381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43600" cy="4453963"/>
                    </a:xfrm>
                    <a:prstGeom prst="rect">
                      <a:avLst/>
                    </a:prstGeom>
                    <a:noFill/>
                  </pic:spPr>
                </pic:pic>
              </a:graphicData>
            </a:graphic>
          </wp:inline>
        </w:drawing>
      </w:r>
    </w:p>
    <w:p w14:paraId="16233A93" w14:textId="28205F55" w:rsidR="00CA77A1" w:rsidRDefault="00CA77A1" w:rsidP="00BC23AD">
      <w:pPr>
        <w:pStyle w:val="Caption"/>
      </w:pPr>
      <w:bookmarkStart w:id="139" w:name="_Toc67566242"/>
      <w:r>
        <w:t xml:space="preserve">Figure </w:t>
      </w:r>
      <w:r w:rsidR="00077C0B">
        <w:fldChar w:fldCharType="begin"/>
      </w:r>
      <w:r w:rsidR="00077C0B">
        <w:instrText xml:space="preserve"> STYLEREF 1 \s </w:instrText>
      </w:r>
      <w:r w:rsidR="00077C0B">
        <w:fldChar w:fldCharType="separate"/>
      </w:r>
      <w:r w:rsidR="0006023A">
        <w:rPr>
          <w:noProof/>
        </w:rPr>
        <w:t>5</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14</w:t>
      </w:r>
      <w:r w:rsidR="00077C0B">
        <w:rPr>
          <w:noProof/>
        </w:rPr>
        <w:fldChar w:fldCharType="end"/>
      </w:r>
      <w:r>
        <w:t>:</w:t>
      </w:r>
      <w:r w:rsidR="00DE0458" w:rsidRPr="00DE0458">
        <w:t xml:space="preserve"> </w:t>
      </w:r>
      <w:r w:rsidR="00DE0458">
        <w:t>Results of the parametric study with the continuum stress model ranking the parameters with the largest impact on stress development for the deep well.</w:t>
      </w:r>
      <w:r w:rsidR="00553B76">
        <w:t xml:space="preserve"> The cement pore pressure (</w:t>
      </w:r>
      <m:oMath>
        <m:sSub>
          <m:sSubPr>
            <m:ctrlPr>
              <w:rPr>
                <w:rFonts w:ascii="Cambria Math" w:hAnsi="Cambria Math"/>
                <w:i/>
              </w:rPr>
            </m:ctrlPr>
          </m:sSubPr>
          <m:e>
            <m:r>
              <m:rPr>
                <m:sty m:val="bi"/>
              </m:rPr>
              <w:rPr>
                <w:rFonts w:ascii="Cambria Math" w:hAnsi="Cambria Math"/>
              </w:rPr>
              <m:t>P</m:t>
            </m:r>
          </m:e>
          <m:sub>
            <m:r>
              <m:rPr>
                <m:sty m:val="bi"/>
              </m:rPr>
              <w:rPr>
                <w:rFonts w:ascii="Cambria Math" w:hAnsi="Cambria Math"/>
              </w:rPr>
              <m:t>p</m:t>
            </m:r>
          </m:sub>
        </m:sSub>
      </m:oMath>
      <w:r w:rsidR="00553B76">
        <w:t>), cement stress, and internal casing pressure have the most effect on the effective cement stress for the deep well stress continuum model.</w:t>
      </w:r>
      <w:bookmarkEnd w:id="139"/>
    </w:p>
    <w:p w14:paraId="0F123FC7" w14:textId="77777777" w:rsidR="00341E81" w:rsidRPr="00341E81" w:rsidRDefault="00341E81" w:rsidP="00341E81"/>
    <w:p w14:paraId="28282B3F" w14:textId="77777777" w:rsidR="00CA77A1" w:rsidRDefault="00CA77A1" w:rsidP="00BC23AD">
      <w:pPr>
        <w:pStyle w:val="NoSpacing"/>
      </w:pPr>
      <w:r>
        <w:rPr>
          <w:noProof/>
        </w:rPr>
        <w:lastRenderedPageBreak/>
        <w:drawing>
          <wp:inline distT="0" distB="0" distL="0" distR="0" wp14:anchorId="6F7E7695" wp14:editId="6C315D80">
            <wp:extent cx="5943600" cy="4448809"/>
            <wp:effectExtent l="0" t="0" r="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43600" cy="4448809"/>
                    </a:xfrm>
                    <a:prstGeom prst="rect">
                      <a:avLst/>
                    </a:prstGeom>
                    <a:noFill/>
                  </pic:spPr>
                </pic:pic>
              </a:graphicData>
            </a:graphic>
          </wp:inline>
        </w:drawing>
      </w:r>
    </w:p>
    <w:p w14:paraId="3766E7C5" w14:textId="51C820CD" w:rsidR="00CA77A1" w:rsidRDefault="00CA77A1" w:rsidP="00BC23AD">
      <w:pPr>
        <w:pStyle w:val="Caption"/>
      </w:pPr>
      <w:bookmarkStart w:id="140" w:name="_Toc67566243"/>
      <w:r>
        <w:t xml:space="preserve">Figure </w:t>
      </w:r>
      <w:r w:rsidR="00077C0B">
        <w:fldChar w:fldCharType="begin"/>
      </w:r>
      <w:r w:rsidR="00077C0B">
        <w:instrText xml:space="preserve"> STYLEREF 1 \s </w:instrText>
      </w:r>
      <w:r w:rsidR="00077C0B">
        <w:fldChar w:fldCharType="separate"/>
      </w:r>
      <w:r w:rsidR="0006023A">
        <w:rPr>
          <w:noProof/>
        </w:rPr>
        <w:t>5</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15</w:t>
      </w:r>
      <w:r w:rsidR="00077C0B">
        <w:rPr>
          <w:noProof/>
        </w:rPr>
        <w:fldChar w:fldCharType="end"/>
      </w:r>
      <w:r>
        <w:t>:</w:t>
      </w:r>
      <w:r w:rsidR="00DE0458" w:rsidRPr="00DE0458">
        <w:t xml:space="preserve"> </w:t>
      </w:r>
      <w:r w:rsidR="00DE0458">
        <w:t xml:space="preserve">Results of the parametric study with the fracture model ranking the parameters with the largest impact on stress development for the deep well. </w:t>
      </w:r>
      <w:r w:rsidR="00553B76">
        <w:t>The cement pore pressure (</w:t>
      </w:r>
      <m:oMath>
        <m:sSub>
          <m:sSubPr>
            <m:ctrlPr>
              <w:rPr>
                <w:rFonts w:ascii="Cambria Math" w:hAnsi="Cambria Math"/>
                <w:i/>
              </w:rPr>
            </m:ctrlPr>
          </m:sSubPr>
          <m:e>
            <m:r>
              <m:rPr>
                <m:sty m:val="bi"/>
              </m:rPr>
              <w:rPr>
                <w:rFonts w:ascii="Cambria Math" w:hAnsi="Cambria Math"/>
              </w:rPr>
              <m:t>P</m:t>
            </m:r>
          </m:e>
          <m:sub>
            <m:r>
              <m:rPr>
                <m:sty m:val="bi"/>
              </m:rPr>
              <w:rPr>
                <w:rFonts w:ascii="Cambria Math" w:hAnsi="Cambria Math"/>
              </w:rPr>
              <m:t>p</m:t>
            </m:r>
          </m:sub>
        </m:sSub>
      </m:oMath>
      <w:r w:rsidR="00553B76">
        <w:t>), cement stress, and internal casing pressure have the most effect on the effective cement stress for the deepwell fracture model.</w:t>
      </w:r>
      <w:bookmarkEnd w:id="140"/>
    </w:p>
    <w:p w14:paraId="6526B0B4" w14:textId="6084F422" w:rsidR="0052163E" w:rsidRDefault="00757125" w:rsidP="00914D1D">
      <w:pPr>
        <w:ind w:firstLine="720"/>
      </w:pPr>
      <w:r w:rsidRPr="00587640">
        <w:t>Figures 5.10</w:t>
      </w:r>
      <w:r w:rsidR="00341E81" w:rsidRPr="00587640">
        <w:t>-5.1</w:t>
      </w:r>
      <w:r w:rsidRPr="00587640">
        <w:t>5</w:t>
      </w:r>
      <w:r w:rsidR="00B716CB" w:rsidRPr="00587640">
        <w:t xml:space="preserve"> show that the ranking of the parameters are not the same for all three wells for the stress </w:t>
      </w:r>
      <w:r w:rsidR="00914D1D" w:rsidRPr="00587640">
        <w:t xml:space="preserve">model. </w:t>
      </w:r>
      <w:r w:rsidR="00341E81" w:rsidRPr="00587640">
        <w:t xml:space="preserve">For both the stress continuum and fracture models, </w:t>
      </w:r>
      <w:r w:rsidR="00914D1D" w:rsidRPr="00587640">
        <w:t>cement pore pressure, cement setting stress</w:t>
      </w:r>
      <w:r w:rsidR="00914D1D">
        <w:t xml:space="preserve">, and </w:t>
      </w:r>
      <m:oMath>
        <m:r>
          <w:rPr>
            <w:rFonts w:ascii="Cambria Math" w:hAnsi="Cambria Math"/>
          </w:rPr>
          <m:t>ICP</m:t>
        </m:r>
      </m:oMath>
      <w:r w:rsidR="00341E81">
        <w:rPr>
          <w:rFonts w:eastAsiaTheme="minorEastAsia"/>
        </w:rPr>
        <w:t xml:space="preserve"> cause the most stress variation</w:t>
      </w:r>
      <w:r w:rsidR="00914D1D">
        <w:t xml:space="preserve">. The rest of the wellbore parameters (cement mechanical properties, rock formation mechanical properties, and in-situ stress configurations) have less than 100% change in effective stress values. Therefore, these parameters do not cause the stress to change from compressive to tensile or vice versa. </w:t>
      </w:r>
    </w:p>
    <w:p w14:paraId="45B765FD" w14:textId="341BFD14" w:rsidR="0052163E" w:rsidRDefault="00914D1D" w:rsidP="007B3DBC">
      <w:pPr>
        <w:ind w:firstLine="720"/>
      </w:pPr>
      <w:r>
        <w:t xml:space="preserve">For the </w:t>
      </w:r>
      <w:r w:rsidR="00341E81">
        <w:t xml:space="preserve">fracture </w:t>
      </w:r>
      <w:r>
        <w:t xml:space="preserve">model, </w:t>
      </w:r>
      <w:r w:rsidR="007B3DBC">
        <w:t>all three</w:t>
      </w:r>
      <w:r>
        <w:t xml:space="preserve"> wells follow the same trend as with the stress</w:t>
      </w:r>
      <w:r w:rsidR="00341E81">
        <w:t xml:space="preserve"> continuum</w:t>
      </w:r>
      <w:r>
        <w:t xml:space="preserve"> model. The cement pore pressure, cement setting stress, and </w:t>
      </w:r>
      <m:oMath>
        <m:r>
          <w:rPr>
            <w:rFonts w:ascii="Cambria Math" w:hAnsi="Cambria Math"/>
          </w:rPr>
          <m:t>ICP</m:t>
        </m:r>
      </m:oMath>
      <w:r>
        <w:t xml:space="preserve"> cause the most change in the effective stresses.</w:t>
      </w:r>
      <w:r w:rsidR="007B3DBC">
        <w:t xml:space="preserve"> For the shallow well, only the cement pore pressure and ICP have larger than </w:t>
      </w:r>
      <w:r w:rsidR="007B3DBC">
        <w:lastRenderedPageBreak/>
        <w:t xml:space="preserve">100% change in effective stress values. </w:t>
      </w:r>
      <w:r w:rsidR="00400475">
        <w:t>T</w:t>
      </w:r>
      <w:r w:rsidR="007B3DBC">
        <w:t xml:space="preserve">he cement pore pressure, cement stress, and </w:t>
      </w:r>
      <m:oMath>
        <m:r>
          <w:rPr>
            <w:rFonts w:ascii="Cambria Math" w:hAnsi="Cambria Math"/>
          </w:rPr>
          <m:t>ICP</m:t>
        </m:r>
      </m:oMath>
      <w:r w:rsidR="007B3DBC">
        <w:t xml:space="preserve"> have larger than 100% change in effective stress values</w:t>
      </w:r>
      <w:r w:rsidR="00400475">
        <w:t xml:space="preserve"> for the medium well</w:t>
      </w:r>
      <w:r w:rsidR="007B3DBC">
        <w:t xml:space="preserve">. </w:t>
      </w:r>
      <w:r w:rsidR="00083044">
        <w:t>However,</w:t>
      </w:r>
      <w:r w:rsidR="00400475">
        <w:t xml:space="preserve"> for the deep well</w:t>
      </w:r>
      <w:r>
        <w:t xml:space="preserve"> </w:t>
      </w:r>
      <w:r w:rsidR="00400475">
        <w:t xml:space="preserve">the wellbore parameters follow a different trend. </w:t>
      </w:r>
      <w:r w:rsidR="007B3DBC">
        <w:t xml:space="preserve">The Young’s modulus of the rock formation, the Young’s modulus of the cement, the cement pore pressure, cement stress, and ICP have </w:t>
      </w:r>
      <w:r w:rsidR="00083044">
        <w:t xml:space="preserve">more </w:t>
      </w:r>
      <w:r w:rsidR="007B3DBC">
        <w:t xml:space="preserve">than 100% change in effective stress values. </w:t>
      </w:r>
    </w:p>
    <w:p w14:paraId="5CB60196" w14:textId="2EE1E618" w:rsidR="00A03A83" w:rsidRPr="00400475" w:rsidRDefault="00A03A83" w:rsidP="00400475">
      <w:pPr>
        <w:ind w:firstLine="720"/>
      </w:pPr>
      <w:r w:rsidRPr="00400475">
        <w:t xml:space="preserve">From the parametric analysis, the cement hydration parameters and the </w:t>
      </w:r>
      <m:oMath>
        <m:r>
          <w:rPr>
            <w:rFonts w:ascii="Cambria Math" w:hAnsi="Cambria Math"/>
          </w:rPr>
          <m:t>ICP</m:t>
        </m:r>
      </m:oMath>
      <w:r w:rsidR="00400475">
        <w:t xml:space="preserve"> </w:t>
      </w:r>
      <w:r w:rsidRPr="00400475">
        <w:t>are two of the most critical parameters in the stress development of the cement sheath. The results of this study are in agreement with Bois et al. (2011) which state</w:t>
      </w:r>
      <w:r w:rsidR="00920297">
        <w:t>s</w:t>
      </w:r>
      <w:r w:rsidRPr="00400475">
        <w:t xml:space="preserve"> that</w:t>
      </w:r>
      <w:r w:rsidR="00400475">
        <w:t xml:space="preserve"> the cement hydration parameters (pore pressure and setting stress)</w:t>
      </w:r>
      <w:r w:rsidRPr="00400475">
        <w:t xml:space="preserve"> one of the most critical aspects of cement sheath integrity. Simulating the setting stress from the maximum possible value (minimum horizontal stress) to the lowest possible scenario (zero effective stress) significantly affects the cement sheath stress by 100% in both the radial and hoop stresses. The change in effective stresses is significant enough to take the cement sheath from compressive to tensile and vice versa. The cement pore pressure acts the same way. A maximum pore pressure (equal to the setting stress resulting in an effective stress of zero) and a minimum pore pressure (zero pore pressure) affects the cement stress from 100% to greater than 1,000% in some instances. From Figures </w:t>
      </w:r>
      <w:r w:rsidR="00400475">
        <w:t>5.12-5.17</w:t>
      </w:r>
      <w:r w:rsidRPr="00400475">
        <w:t xml:space="preserve">, the radial stresses in the cement are more sensitive to than the hoop stresses with variations in the hydration parameters which indicate that tensile debonding is more probable than radial cracks. This is in agreement with Bois et al. (2017) and Vu et al. (2018) in which the authors’ numerical model showed that hydration can cause debonding of the cement sheath. </w:t>
      </w:r>
    </w:p>
    <w:p w14:paraId="1A7C70DD" w14:textId="77777777" w:rsidR="00A03A83" w:rsidRDefault="00A03A83" w:rsidP="007B3DBC">
      <w:pPr>
        <w:ind w:firstLine="720"/>
      </w:pPr>
    </w:p>
    <w:p w14:paraId="07F1988D" w14:textId="12DC64A5" w:rsidR="00F36352" w:rsidRDefault="00F36352" w:rsidP="003E1B51">
      <w:pPr>
        <w:pStyle w:val="Heading3"/>
      </w:pPr>
      <w:bookmarkStart w:id="141" w:name="_Toc67566059"/>
      <w:r>
        <w:lastRenderedPageBreak/>
        <w:t>GoM Continuous Leakage Path</w:t>
      </w:r>
      <w:bookmarkEnd w:id="141"/>
    </w:p>
    <w:p w14:paraId="3E303AC1" w14:textId="3ABBE5CF" w:rsidR="00D80A53" w:rsidRDefault="00400475" w:rsidP="0020753E">
      <w:pPr>
        <w:ind w:firstLine="720"/>
      </w:pPr>
      <w:r>
        <w:t xml:space="preserve">The leakage path from the simulation depth to the surface of the three GoM wells is investigated when the pressure reduction is 40%. </w:t>
      </w:r>
      <w:r w:rsidR="0020753E">
        <w:t xml:space="preserve">The results for the continuous leakage path for </w:t>
      </w:r>
      <w:r w:rsidR="00BF11A7">
        <w:t xml:space="preserve">the three wells </w:t>
      </w:r>
      <w:r w:rsidR="0020753E">
        <w:t xml:space="preserve">are </w:t>
      </w:r>
      <w:r w:rsidR="0020753E" w:rsidRPr="00587640">
        <w:t>shown in Figure 5.</w:t>
      </w:r>
      <w:r w:rsidRPr="00587640">
        <w:t>1</w:t>
      </w:r>
      <w:r w:rsidR="00757125" w:rsidRPr="00587640">
        <w:t>6</w:t>
      </w:r>
      <w:r w:rsidRPr="00587640">
        <w:t>.</w:t>
      </w:r>
      <w:r w:rsidR="00BF11A7" w:rsidRPr="00587640">
        <w:t xml:space="preserve"> </w:t>
      </w:r>
      <w:r w:rsidRPr="00587640">
        <w:t>T</w:t>
      </w:r>
      <w:r w:rsidR="00BF11A7" w:rsidRPr="00587640">
        <w:t>he</w:t>
      </w:r>
      <w:r w:rsidR="00BF11A7">
        <w:t xml:space="preserve"> shallow well is shown with black data, the medium well is shown with blue data, and the deep well is shown with orange data</w:t>
      </w:r>
      <w:r w:rsidR="0020753E">
        <w:t>. The leakage path</w:t>
      </w:r>
      <w:r w:rsidR="00BF11A7">
        <w:t>s</w:t>
      </w:r>
      <w:r w:rsidR="0020753E">
        <w:t xml:space="preserve"> due</w:t>
      </w:r>
      <w:r w:rsidR="00BF11A7">
        <w:t xml:space="preserve"> to water filled microannuli are </w:t>
      </w:r>
      <w:r w:rsidR="0020753E">
        <w:t xml:space="preserve">shown in the solid lines whereas the leakage path </w:t>
      </w:r>
      <w:r w:rsidR="00BF11A7">
        <w:t>due to gas filled microannuli are</w:t>
      </w:r>
      <w:r w:rsidR="0020753E">
        <w:t xml:space="preserve"> shown in the dashed lines.</w:t>
      </w:r>
    </w:p>
    <w:p w14:paraId="1361F1DD" w14:textId="77777777" w:rsidR="00D80A53" w:rsidRDefault="00D80A53" w:rsidP="00BC23AD">
      <w:pPr>
        <w:pStyle w:val="NoSpacing"/>
      </w:pPr>
      <w:r>
        <w:rPr>
          <w:noProof/>
        </w:rPr>
        <w:drawing>
          <wp:inline distT="0" distB="0" distL="0" distR="0" wp14:anchorId="77335637" wp14:editId="193FE487">
            <wp:extent cx="4578143" cy="4451230"/>
            <wp:effectExtent l="0" t="0" r="0" b="698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4">
                      <a:extLst>
                        <a:ext uri="{28A0092B-C50C-407E-A947-70E740481C1C}">
                          <a14:useLocalDpi xmlns:a14="http://schemas.microsoft.com/office/drawing/2010/main" val="0"/>
                        </a:ext>
                      </a:extLst>
                    </a:blip>
                    <a:srcRect t="1509" b="1141"/>
                    <a:stretch/>
                  </pic:blipFill>
                  <pic:spPr bwMode="auto">
                    <a:xfrm>
                      <a:off x="0" y="0"/>
                      <a:ext cx="4578350" cy="4451432"/>
                    </a:xfrm>
                    <a:prstGeom prst="rect">
                      <a:avLst/>
                    </a:prstGeom>
                    <a:noFill/>
                    <a:ln>
                      <a:noFill/>
                    </a:ln>
                    <a:extLst>
                      <a:ext uri="{53640926-AAD7-44D8-BBD7-CCE9431645EC}">
                        <a14:shadowObscured xmlns:a14="http://schemas.microsoft.com/office/drawing/2010/main"/>
                      </a:ext>
                    </a:extLst>
                  </pic:spPr>
                </pic:pic>
              </a:graphicData>
            </a:graphic>
          </wp:inline>
        </w:drawing>
      </w:r>
    </w:p>
    <w:p w14:paraId="78660816" w14:textId="3A14CD69" w:rsidR="00F36352" w:rsidRDefault="00D80A53" w:rsidP="00BC23AD">
      <w:pPr>
        <w:pStyle w:val="Caption"/>
      </w:pPr>
      <w:bookmarkStart w:id="142" w:name="_Toc67566244"/>
      <w:r>
        <w:t xml:space="preserve">Figure </w:t>
      </w:r>
      <w:r w:rsidR="00077C0B">
        <w:fldChar w:fldCharType="begin"/>
      </w:r>
      <w:r w:rsidR="00077C0B">
        <w:instrText xml:space="preserve"> STYLEREF 1 \s </w:instrText>
      </w:r>
      <w:r w:rsidR="00077C0B">
        <w:fldChar w:fldCharType="separate"/>
      </w:r>
      <w:r w:rsidR="0006023A">
        <w:rPr>
          <w:noProof/>
        </w:rPr>
        <w:t>5</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16</w:t>
      </w:r>
      <w:r w:rsidR="00077C0B">
        <w:rPr>
          <w:noProof/>
        </w:rPr>
        <w:fldChar w:fldCharType="end"/>
      </w:r>
      <w:r>
        <w:t>: Continuous leakage pathways for the shallow</w:t>
      </w:r>
      <w:r w:rsidR="00BF11A7">
        <w:t xml:space="preserve"> well (black)</w:t>
      </w:r>
      <w:r>
        <w:t>, medium</w:t>
      </w:r>
      <w:r w:rsidR="00BF11A7">
        <w:t xml:space="preserve"> well (blue), and deep well (orange)</w:t>
      </w:r>
      <w:r>
        <w:t xml:space="preserve"> in the Eugene Island OPD. The solid line is the water induced microannuli while the dashed line is the gas induced microannuli.</w:t>
      </w:r>
      <w:r w:rsidR="00553B76">
        <w:t xml:space="preserve"> The water induced microannuli do not propagate up the wellbore whereas the gas </w:t>
      </w:r>
      <w:r w:rsidR="009C5699">
        <w:t>induced</w:t>
      </w:r>
      <w:r w:rsidR="00553B76">
        <w:t xml:space="preserve"> microannuli propagate up the wellbore for the medium and deep wells.</w:t>
      </w:r>
      <w:bookmarkEnd w:id="142"/>
    </w:p>
    <w:p w14:paraId="7A8E98A6" w14:textId="77777777" w:rsidR="00553B76" w:rsidRPr="00553B76" w:rsidRDefault="00553B76" w:rsidP="00553B76"/>
    <w:p w14:paraId="56027890" w14:textId="544BBD5C" w:rsidR="0020753E" w:rsidRDefault="006B25F9" w:rsidP="00400475">
      <w:pPr>
        <w:ind w:firstLine="720"/>
      </w:pPr>
      <w:r>
        <w:lastRenderedPageBreak/>
        <w:t xml:space="preserve">From </w:t>
      </w:r>
      <w:r w:rsidRPr="00587640">
        <w:t>Figure 5.1</w:t>
      </w:r>
      <w:r w:rsidR="00757125" w:rsidRPr="00587640">
        <w:t>6</w:t>
      </w:r>
      <w:r w:rsidRPr="00587640">
        <w:t>, the shallow well did</w:t>
      </w:r>
      <w:r w:rsidR="0020753E" w:rsidRPr="00587640">
        <w:t xml:space="preserve"> not have a microannuli at 40% </w:t>
      </w:r>
      <m:oMath>
        <m:r>
          <w:rPr>
            <w:rFonts w:ascii="Cambria Math" w:hAnsi="Cambria Math"/>
          </w:rPr>
          <m:t>ΔP</m:t>
        </m:r>
      </m:oMath>
      <w:r w:rsidR="0020753E" w:rsidRPr="00587640">
        <w:t xml:space="preserve"> at the </w:t>
      </w:r>
      <w:r w:rsidR="00D657EE">
        <w:t xml:space="preserve">simulation depth </w:t>
      </w:r>
      <w:r w:rsidR="0020753E" w:rsidRPr="00587640">
        <w:t>of 468 m (1,536 ft.) or at the surface</w:t>
      </w:r>
      <w:r w:rsidR="0020753E">
        <w:t>.</w:t>
      </w:r>
      <w:r>
        <w:t xml:space="preserve"> T</w:t>
      </w:r>
      <w:r w:rsidR="0020753E">
        <w:t xml:space="preserve">he medium well has a 24.2 μm microannuli at 40% </w:t>
      </w:r>
      <m:oMath>
        <m:r>
          <w:rPr>
            <w:rFonts w:ascii="Cambria Math" w:hAnsi="Cambria Math"/>
          </w:rPr>
          <m:t>ΔP</m:t>
        </m:r>
      </m:oMath>
      <w:r w:rsidR="0020753E">
        <w:t xml:space="preserve"> at the </w:t>
      </w:r>
      <w:r w:rsidR="00D657EE">
        <w:t xml:space="preserve">simulation depth </w:t>
      </w:r>
      <w:r w:rsidR="0020753E">
        <w:t>of 2,697 m (8,850 ft.). With the water induced fracture, the microannuli decreases as the well becomes shallow until a microannuli does not form at a depth of 1,999 m (6,558 ft.). With the gas induced fracture, the microannuli increases as the depth decreases. The microannuli at the surface is 254.5 μm. Therefore, a continuous leakage path</w:t>
      </w:r>
      <w:r>
        <w:t xml:space="preserve">way occurs for the medium well. </w:t>
      </w:r>
      <w:r w:rsidR="0020753E">
        <w:t xml:space="preserve">The deep well has a 15.9 μm microannuli at 40% </w:t>
      </w:r>
      <m:oMath>
        <m:r>
          <w:rPr>
            <w:rFonts w:ascii="Cambria Math" w:hAnsi="Cambria Math"/>
          </w:rPr>
          <m:t>ΔP</m:t>
        </m:r>
      </m:oMath>
      <w:r w:rsidR="0020753E">
        <w:t xml:space="preserve"> at the </w:t>
      </w:r>
      <w:r w:rsidR="00D657EE">
        <w:t xml:space="preserve">simulation depth </w:t>
      </w:r>
      <w:r w:rsidR="0020753E">
        <w:t xml:space="preserve">of 4,317 m (14,165 ft.). With the water induced fracture, the microannuli decreases as the well becomes shallow until a microannuli does not form at a depth of 3,842 m (12,606 ft.). With the gas induced fracture, the microannuli increases as the depth decreases. The microannuli at the surface is 414.1 μm. Therefore, a continuous leakage pathway occurs </w:t>
      </w:r>
      <w:r w:rsidR="009D6869">
        <w:t xml:space="preserve">in </w:t>
      </w:r>
      <w:r w:rsidR="0020753E">
        <w:t>the deep well.</w:t>
      </w:r>
    </w:p>
    <w:p w14:paraId="6E7610F8" w14:textId="0535D38E" w:rsidR="00F36352" w:rsidRDefault="00F36352" w:rsidP="003E1B51">
      <w:pPr>
        <w:pStyle w:val="Heading3"/>
      </w:pPr>
      <w:bookmarkStart w:id="143" w:name="_Toc67566060"/>
      <w:r w:rsidRPr="003E1B51">
        <w:t>Case</w:t>
      </w:r>
      <w:r>
        <w:t xml:space="preserve"> Study Well</w:t>
      </w:r>
      <w:bookmarkEnd w:id="143"/>
    </w:p>
    <w:p w14:paraId="7D01A175" w14:textId="388C2FB3" w:rsidR="00D377E0" w:rsidRDefault="00D377E0" w:rsidP="00D377E0">
      <w:pPr>
        <w:ind w:firstLine="720"/>
      </w:pPr>
      <w:r>
        <w:t xml:space="preserve">The methodology developed to analyze the Eugene Island OPD wells is used for a comprehensive analysis for a case study well in the High Island OPD. The analysis consists of investigating debonding of the cement sheath when pressure or temperature inside the casing is reduced (Section 5.5.1). Section 5.5.2 </w:t>
      </w:r>
      <w:r w:rsidR="007D1CB8">
        <w:t>presents the results for the wellbore parameter sensitivity analysis with respect to casing/cement microannuli magnitude. Heat maps at four different depths are analyzed for concurrent pressure and temperature variations in Section 5.5.3. The continuous leakage pathway from the simulation depth to the top of cement (TOC) is discussed in Section 5.5.4 with a leakage rate assessment in Section 5.5.5.</w:t>
      </w:r>
    </w:p>
    <w:p w14:paraId="1C6815DB" w14:textId="7E661E8E" w:rsidR="000959DD" w:rsidRPr="006348F1" w:rsidRDefault="000959DD" w:rsidP="00035812">
      <w:pPr>
        <w:pStyle w:val="Heading4"/>
      </w:pPr>
      <w:r w:rsidRPr="006348F1">
        <w:t>Microannuli versus Pressure and Temperature Reductions</w:t>
      </w:r>
    </w:p>
    <w:p w14:paraId="0B476053" w14:textId="5B6A314A" w:rsidR="000959DD" w:rsidRDefault="00191B9E" w:rsidP="000959DD">
      <w:pPr>
        <w:ind w:firstLine="720"/>
      </w:pPr>
      <w:r w:rsidRPr="00191B9E">
        <w:t xml:space="preserve">The microannuli at the casing/cement and rock formation/cement interface with respect to temperature and pressure reductions are presented </w:t>
      </w:r>
      <w:r w:rsidRPr="00587640">
        <w:t xml:space="preserve">below. </w:t>
      </w:r>
      <w:r w:rsidR="000959DD" w:rsidRPr="00587640">
        <w:t>Figure 5.</w:t>
      </w:r>
      <w:r w:rsidRPr="00587640">
        <w:t>1</w:t>
      </w:r>
      <w:r w:rsidR="00757125" w:rsidRPr="00587640">
        <w:t>7</w:t>
      </w:r>
      <w:r w:rsidR="000959DD" w:rsidRPr="00587640">
        <w:t xml:space="preserve"> shows the reduction (</w:t>
      </w:r>
      <m:oMath>
        <m:r>
          <w:rPr>
            <w:rFonts w:ascii="Cambria Math" w:hAnsi="Cambria Math"/>
          </w:rPr>
          <m:t>Δ</m:t>
        </m:r>
      </m:oMath>
      <w:r w:rsidR="000959DD" w:rsidRPr="00587640">
        <w:t xml:space="preserve">) </w:t>
      </w:r>
      <w:r w:rsidR="000959DD" w:rsidRPr="00587640">
        <w:lastRenderedPageBreak/>
        <w:t>versus microannuli width for the casing/cement interfaces and Figure 5.1</w:t>
      </w:r>
      <w:r w:rsidR="00757125" w:rsidRPr="00587640">
        <w:t>8</w:t>
      </w:r>
      <w:r w:rsidR="000959DD" w:rsidRPr="00587640">
        <w:t xml:space="preserve"> shows the cement/rock interfaces results. The microannuli primarily occur at the interface between the casing and cement sheath (Figure 5.</w:t>
      </w:r>
      <w:r w:rsidRPr="00587640">
        <w:t>1</w:t>
      </w:r>
      <w:r w:rsidR="00757125" w:rsidRPr="00587640">
        <w:t>7</w:t>
      </w:r>
      <w:r w:rsidR="000959DD" w:rsidRPr="00587640">
        <w:t>). The cement/rock interface has micr</w:t>
      </w:r>
      <w:r w:rsidR="000959DD">
        <w:t>oannuli</w:t>
      </w:r>
      <w:r w:rsidR="000959DD" w:rsidRPr="00C82D8E">
        <w:t xml:space="preserve">, yet </w:t>
      </w:r>
      <w:r w:rsidR="000959DD">
        <w:t>they</w:t>
      </w:r>
      <w:r w:rsidR="000959DD" w:rsidRPr="00C82D8E">
        <w:t xml:space="preserve"> are on the nanometer scale whereas the </w:t>
      </w:r>
      <w:r w:rsidR="000959DD">
        <w:t>microannuli</w:t>
      </w:r>
      <w:r w:rsidR="000959DD" w:rsidRPr="00C82D8E">
        <w:t xml:space="preserve"> associated with the casing/cement inte</w:t>
      </w:r>
      <w:r w:rsidR="000959DD">
        <w:t xml:space="preserve">rface are on the micron scale. </w:t>
      </w:r>
      <w:r w:rsidR="000959DD" w:rsidRPr="00C82D8E">
        <w:t xml:space="preserve">Therefore, the </w:t>
      </w:r>
      <w:r w:rsidR="000959DD">
        <w:t>microannuli</w:t>
      </w:r>
      <w:r w:rsidR="000959DD" w:rsidRPr="00C82D8E">
        <w:t xml:space="preserve"> (or lack thereof) at the cement/rock interface </w:t>
      </w:r>
      <w:r w:rsidR="000959DD">
        <w:t>are deemed negligible</w:t>
      </w:r>
      <w:r w:rsidR="000959DD" w:rsidRPr="00C82D8E">
        <w:t xml:space="preserve">.  </w:t>
      </w:r>
    </w:p>
    <w:p w14:paraId="4C471589" w14:textId="77777777" w:rsidR="000959DD" w:rsidRDefault="000959DD" w:rsidP="00BC23AD">
      <w:pPr>
        <w:pStyle w:val="NoSpacing"/>
      </w:pPr>
      <w:r>
        <w:rPr>
          <w:noProof/>
        </w:rPr>
        <w:drawing>
          <wp:inline distT="0" distB="0" distL="0" distR="0" wp14:anchorId="6BE815A2" wp14:editId="47F737E5">
            <wp:extent cx="4572000" cy="3964267"/>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Figure 3_single column.jpg"/>
                    <pic:cNvPicPr/>
                  </pic:nvPicPr>
                  <pic:blipFill rotWithShape="1">
                    <a:blip r:embed="rId75">
                      <a:extLst>
                        <a:ext uri="{28A0092B-C50C-407E-A947-70E740481C1C}">
                          <a14:useLocalDpi xmlns:a14="http://schemas.microsoft.com/office/drawing/2010/main" val="0"/>
                        </a:ext>
                      </a:extLst>
                    </a:blip>
                    <a:srcRect t="10007" b="3170"/>
                    <a:stretch/>
                  </pic:blipFill>
                  <pic:spPr bwMode="auto">
                    <a:xfrm>
                      <a:off x="0" y="0"/>
                      <a:ext cx="4572000" cy="3964267"/>
                    </a:xfrm>
                    <a:prstGeom prst="rect">
                      <a:avLst/>
                    </a:prstGeom>
                    <a:ln>
                      <a:noFill/>
                    </a:ln>
                    <a:extLst>
                      <a:ext uri="{53640926-AAD7-44D8-BBD7-CCE9431645EC}">
                        <a14:shadowObscured xmlns:a14="http://schemas.microsoft.com/office/drawing/2010/main"/>
                      </a:ext>
                    </a:extLst>
                  </pic:spPr>
                </pic:pic>
              </a:graphicData>
            </a:graphic>
          </wp:inline>
        </w:drawing>
      </w:r>
    </w:p>
    <w:p w14:paraId="5E120A40" w14:textId="028FE13B" w:rsidR="000959DD" w:rsidRDefault="000959DD" w:rsidP="00BC23AD">
      <w:pPr>
        <w:pStyle w:val="Caption"/>
      </w:pPr>
      <w:bookmarkStart w:id="144" w:name="_Toc67566245"/>
      <w:r>
        <w:t xml:space="preserve">Figure </w:t>
      </w:r>
      <w:r w:rsidR="00077C0B">
        <w:fldChar w:fldCharType="begin"/>
      </w:r>
      <w:r w:rsidR="00077C0B">
        <w:instrText xml:space="preserve"> STYLEREF 1 \s </w:instrText>
      </w:r>
      <w:r w:rsidR="00077C0B">
        <w:fldChar w:fldCharType="separate"/>
      </w:r>
      <w:r w:rsidR="0006023A">
        <w:rPr>
          <w:noProof/>
        </w:rPr>
        <w:t>5</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17</w:t>
      </w:r>
      <w:r w:rsidR="00077C0B">
        <w:rPr>
          <w:noProof/>
        </w:rPr>
        <w:fldChar w:fldCharType="end"/>
      </w:r>
      <w:r>
        <w:t>: Microannuli magnitude versus reduction in pressure (</w:t>
      </w:r>
      <m:oMath>
        <m:r>
          <m:rPr>
            <m:sty m:val="bi"/>
          </m:rPr>
          <w:rPr>
            <w:rFonts w:ascii="Cambria Math" w:hAnsi="Cambria Math"/>
          </w:rPr>
          <m:t>ΔP</m:t>
        </m:r>
      </m:oMath>
      <w:r>
        <w:t>) and temperature (</w:t>
      </w:r>
      <m:oMath>
        <m:r>
          <m:rPr>
            <m:sty m:val="bi"/>
          </m:rPr>
          <w:rPr>
            <w:rFonts w:ascii="Cambria Math" w:hAnsi="Cambria Math"/>
          </w:rPr>
          <m:t>ΔT</m:t>
        </m:r>
      </m:oMath>
      <w:r>
        <w:t>) at the casing/cement interface.</w:t>
      </w:r>
      <w:r w:rsidR="00955BB0">
        <w:t xml:space="preserve"> Micron (μm) sized microannuli initiate at </w:t>
      </w:r>
      <m:oMath>
        <m:r>
          <m:rPr>
            <m:sty m:val="bi"/>
          </m:rPr>
          <w:rPr>
            <w:rFonts w:ascii="Cambria Math" w:hAnsi="Cambria Math"/>
          </w:rPr>
          <m:t>ΔP</m:t>
        </m:r>
      </m:oMath>
      <w:r w:rsidR="00955BB0">
        <w:rPr>
          <w:rFonts w:eastAsiaTheme="minorEastAsia"/>
        </w:rPr>
        <w:t xml:space="preserve"> </w:t>
      </w:r>
      <w:r w:rsidR="00955BB0">
        <w:t xml:space="preserve">= </w:t>
      </w:r>
      <w:r w:rsidR="00955BB0" w:rsidRPr="00C82D8E">
        <w:t>43.3% and</w:t>
      </w:r>
      <w:r w:rsidR="00955BB0">
        <w:t xml:space="preserve"> </w:t>
      </w:r>
      <m:oMath>
        <m:r>
          <m:rPr>
            <m:sty m:val="bi"/>
          </m:rPr>
          <w:rPr>
            <w:rFonts w:ascii="Cambria Math" w:hAnsi="Cambria Math"/>
          </w:rPr>
          <m:t>ΔT</m:t>
        </m:r>
      </m:oMath>
      <w:r w:rsidR="00955BB0">
        <w:rPr>
          <w:rFonts w:eastAsiaTheme="minorEastAsia"/>
        </w:rPr>
        <w:t xml:space="preserve"> =</w:t>
      </w:r>
      <w:r w:rsidR="00955BB0" w:rsidRPr="00C82D8E">
        <w:t xml:space="preserve"> 42.5%</w:t>
      </w:r>
      <w:r w:rsidR="00955BB0">
        <w:t>.</w:t>
      </w:r>
      <w:bookmarkEnd w:id="144"/>
      <w:r w:rsidR="00955BB0">
        <w:t xml:space="preserve"> </w:t>
      </w:r>
    </w:p>
    <w:p w14:paraId="6366F1EE" w14:textId="77777777" w:rsidR="00191B9E" w:rsidRPr="00191B9E" w:rsidRDefault="00191B9E" w:rsidP="00191B9E"/>
    <w:p w14:paraId="75201F26" w14:textId="77777777" w:rsidR="000959DD" w:rsidRDefault="000959DD" w:rsidP="00BC23AD">
      <w:pPr>
        <w:pStyle w:val="NoSpacing"/>
      </w:pPr>
      <w:r>
        <w:rPr>
          <w:noProof/>
        </w:rPr>
        <w:lastRenderedPageBreak/>
        <w:drawing>
          <wp:inline distT="0" distB="0" distL="0" distR="0" wp14:anchorId="38313D0C" wp14:editId="0651CE21">
            <wp:extent cx="4572000" cy="3959097"/>
            <wp:effectExtent l="0" t="0" r="0" b="381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igure 4_single column.jpg"/>
                    <pic:cNvPicPr/>
                  </pic:nvPicPr>
                  <pic:blipFill rotWithShape="1">
                    <a:blip r:embed="rId76">
                      <a:extLst>
                        <a:ext uri="{28A0092B-C50C-407E-A947-70E740481C1C}">
                          <a14:useLocalDpi xmlns:a14="http://schemas.microsoft.com/office/drawing/2010/main" val="0"/>
                        </a:ext>
                      </a:extLst>
                    </a:blip>
                    <a:srcRect t="9955" b="3335"/>
                    <a:stretch/>
                  </pic:blipFill>
                  <pic:spPr bwMode="auto">
                    <a:xfrm>
                      <a:off x="0" y="0"/>
                      <a:ext cx="4572000" cy="3959097"/>
                    </a:xfrm>
                    <a:prstGeom prst="rect">
                      <a:avLst/>
                    </a:prstGeom>
                    <a:ln>
                      <a:noFill/>
                    </a:ln>
                    <a:extLst>
                      <a:ext uri="{53640926-AAD7-44D8-BBD7-CCE9431645EC}">
                        <a14:shadowObscured xmlns:a14="http://schemas.microsoft.com/office/drawing/2010/main"/>
                      </a:ext>
                    </a:extLst>
                  </pic:spPr>
                </pic:pic>
              </a:graphicData>
            </a:graphic>
          </wp:inline>
        </w:drawing>
      </w:r>
    </w:p>
    <w:p w14:paraId="6C57F634" w14:textId="6412BCD5" w:rsidR="000959DD" w:rsidRDefault="000959DD" w:rsidP="00BC23AD">
      <w:pPr>
        <w:pStyle w:val="Caption"/>
      </w:pPr>
      <w:bookmarkStart w:id="145" w:name="_Toc67566246"/>
      <w:r>
        <w:t xml:space="preserve">Figure </w:t>
      </w:r>
      <w:r w:rsidR="00077C0B">
        <w:fldChar w:fldCharType="begin"/>
      </w:r>
      <w:r w:rsidR="00077C0B">
        <w:instrText xml:space="preserve"> STYLEREF 1 \s </w:instrText>
      </w:r>
      <w:r w:rsidR="00077C0B">
        <w:fldChar w:fldCharType="separate"/>
      </w:r>
      <w:r w:rsidR="0006023A">
        <w:rPr>
          <w:noProof/>
        </w:rPr>
        <w:t>5</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18</w:t>
      </w:r>
      <w:r w:rsidR="00077C0B">
        <w:rPr>
          <w:noProof/>
        </w:rPr>
        <w:fldChar w:fldCharType="end"/>
      </w:r>
      <w:r>
        <w:t xml:space="preserve">: </w:t>
      </w:r>
      <m:oMath>
        <m:r>
          <m:rPr>
            <m:sty m:val="bi"/>
          </m:rPr>
          <w:rPr>
            <w:rFonts w:ascii="Cambria Math" w:hAnsi="Cambria Math"/>
          </w:rPr>
          <m:t>ΔP</m:t>
        </m:r>
      </m:oMath>
      <w:r>
        <w:t xml:space="preserve"> and </w:t>
      </w:r>
      <m:oMath>
        <m:r>
          <m:rPr>
            <m:sty m:val="bi"/>
          </m:rPr>
          <w:rPr>
            <w:rFonts w:ascii="Cambria Math" w:hAnsi="Cambria Math"/>
          </w:rPr>
          <m:t>ΔT</m:t>
        </m:r>
      </m:oMath>
      <w:r>
        <w:t xml:space="preserve"> and their respective microannuli sizes at the cement/rock interface. Note that the max size of the microannuli are two orders of magnitude smaller than the microannuli at the casing/cement interface.</w:t>
      </w:r>
      <w:bookmarkEnd w:id="145"/>
      <w:r w:rsidR="00955BB0">
        <w:t xml:space="preserve"> </w:t>
      </w:r>
    </w:p>
    <w:p w14:paraId="058D1D68" w14:textId="3AFADDE5" w:rsidR="000959DD" w:rsidRDefault="000959DD" w:rsidP="000959DD">
      <w:pPr>
        <w:ind w:firstLine="720"/>
      </w:pPr>
      <w:r w:rsidRPr="00C82D8E">
        <w:t xml:space="preserve">The </w:t>
      </w:r>
      <w:r>
        <w:t>microannuli</w:t>
      </w:r>
      <w:r w:rsidRPr="00C82D8E">
        <w:t xml:space="preserve"> shown </w:t>
      </w:r>
      <w:r w:rsidRPr="00587640">
        <w:t>in Figure 5.</w:t>
      </w:r>
      <w:r w:rsidR="00757125" w:rsidRPr="00587640">
        <w:t>17</w:t>
      </w:r>
      <w:r w:rsidRPr="00587640">
        <w:t xml:space="preserve"> first occur (&gt;1 nm) when pressure and temperature have a reduction of 29.5% and 28.4% respectively for this wellbore. Performing a linear fit to the significant microannuli portion of the data can be used to determine the </w:t>
      </w:r>
      <m:oMath>
        <m:r>
          <w:rPr>
            <w:rFonts w:ascii="Cambria Math" w:hAnsi="Cambria Math"/>
          </w:rPr>
          <m:t>ΔP</m:t>
        </m:r>
      </m:oMath>
      <w:r w:rsidRPr="00587640">
        <w:t xml:space="preserve"> and </w:t>
      </w:r>
      <m:oMath>
        <m:r>
          <w:rPr>
            <w:rFonts w:ascii="Cambria Math" w:hAnsi="Cambria Math"/>
          </w:rPr>
          <m:t>ΔT</m:t>
        </m:r>
      </m:oMath>
      <w:r w:rsidRPr="00587640">
        <w:t xml:space="preserve"> that causes significant microannuli (&gt;1 μm). This method</w:t>
      </w:r>
      <w:r>
        <w:t xml:space="preserve"> determines that micron sized microannuli initiate </w:t>
      </w:r>
      <w:r w:rsidRPr="00C82D8E">
        <w:t xml:space="preserve">at 43.3% and 42.5% for </w:t>
      </w:r>
      <m:oMath>
        <m:r>
          <w:rPr>
            <w:rFonts w:ascii="Cambria Math" w:hAnsi="Cambria Math"/>
          </w:rPr>
          <m:t>ΔP</m:t>
        </m:r>
      </m:oMath>
      <w:r w:rsidRPr="00C82D8E">
        <w:t xml:space="preserve"> and </w:t>
      </w:r>
      <m:oMath>
        <m:r>
          <w:rPr>
            <w:rFonts w:ascii="Cambria Math" w:hAnsi="Cambria Math"/>
          </w:rPr>
          <m:t>ΔT</m:t>
        </m:r>
      </m:oMath>
      <w:r w:rsidRPr="00C82D8E">
        <w:t>, respectively.</w:t>
      </w:r>
      <w:r>
        <w:t xml:space="preserve"> </w:t>
      </w:r>
      <w:r w:rsidRPr="00C82D8E">
        <w:t xml:space="preserve">The change from </w:t>
      </w:r>
      <w:r>
        <w:t>nanometer</w:t>
      </w:r>
      <w:r w:rsidRPr="00C82D8E">
        <w:t xml:space="preserve"> to </w:t>
      </w:r>
      <w:r>
        <w:t>micron</w:t>
      </w:r>
      <w:r w:rsidRPr="00C82D8E">
        <w:t xml:space="preserve"> </w:t>
      </w:r>
      <w:r>
        <w:t>microannuli</w:t>
      </w:r>
      <w:r w:rsidRPr="00C82D8E">
        <w:t xml:space="preserve"> sizes is </w:t>
      </w:r>
      <w:r>
        <w:t>a decrease</w:t>
      </w:r>
      <w:r w:rsidRPr="00C82D8E">
        <w:t xml:space="preserve"> in load of approximately 14% for both</w:t>
      </w:r>
      <w:r>
        <w:t xml:space="preserve"> pressure and temperature. The</w:t>
      </w:r>
      <w:r w:rsidRPr="00C82D8E">
        <w:t xml:space="preserve"> non-linearity of </w:t>
      </w:r>
      <w:r>
        <w:t>microannuli</w:t>
      </w:r>
      <w:r w:rsidRPr="00C82D8E">
        <w:t xml:space="preserve"> size versus </w:t>
      </w:r>
      <w:r>
        <w:t xml:space="preserve">load reduction </w:t>
      </w:r>
      <w:r w:rsidRPr="00C82D8E">
        <w:t xml:space="preserve">is due to the </w:t>
      </w:r>
      <w:r>
        <w:t xml:space="preserve">traction separation law. </w:t>
      </w:r>
      <w:r w:rsidRPr="00C82D8E">
        <w:t xml:space="preserve">The </w:t>
      </w:r>
      <w:r>
        <w:t>microannuli</w:t>
      </w:r>
      <w:r w:rsidRPr="00C82D8E">
        <w:t xml:space="preserve"> are initiated at </w:t>
      </w:r>
      <m:oMath>
        <m:r>
          <w:rPr>
            <w:rFonts w:ascii="Cambria Math" w:hAnsi="Cambria Math"/>
          </w:rPr>
          <m:t>Δ</m:t>
        </m:r>
      </m:oMath>
      <w:r w:rsidRPr="00C82D8E">
        <w:t xml:space="preserve"> = 29% but do not reach linearity until </w:t>
      </w:r>
      <m:oMath>
        <m:r>
          <w:rPr>
            <w:rFonts w:ascii="Cambria Math" w:hAnsi="Cambria Math"/>
          </w:rPr>
          <m:t>Δ</m:t>
        </m:r>
      </m:oMath>
      <w:r w:rsidRPr="00C82D8E">
        <w:t xml:space="preserve"> = 43</w:t>
      </w:r>
      <w:r>
        <w:t xml:space="preserve">%. </w:t>
      </w:r>
      <w:r w:rsidRPr="00C82D8E">
        <w:t>For the remainder of this work,</w:t>
      </w:r>
      <w:r>
        <w:t xml:space="preserve"> the microannuli initiation threshold of micron sized microannuli will be used, but it is important to note that nanometer sized microannuli are occurring prior to this point</w:t>
      </w:r>
      <w:r w:rsidRPr="00323D97">
        <w:t>.</w:t>
      </w:r>
      <w:r>
        <w:t xml:space="preserve"> </w:t>
      </w:r>
      <w:r w:rsidRPr="00323D97">
        <w:t xml:space="preserve">The </w:t>
      </w:r>
      <w:r w:rsidRPr="00587640">
        <w:lastRenderedPageBreak/>
        <w:t xml:space="preserve">maximum microannuli for both </w:t>
      </w:r>
      <m:oMath>
        <m:r>
          <w:rPr>
            <w:rFonts w:ascii="Cambria Math" w:hAnsi="Cambria Math"/>
          </w:rPr>
          <m:t>ΔP</m:t>
        </m:r>
      </m:oMath>
      <w:r w:rsidRPr="00587640">
        <w:t xml:space="preserve"> = 0 and </w:t>
      </w:r>
      <m:oMath>
        <m:r>
          <w:rPr>
            <w:rFonts w:ascii="Cambria Math" w:hAnsi="Cambria Math"/>
          </w:rPr>
          <m:t>ΔT</m:t>
        </m:r>
      </m:oMath>
      <w:r w:rsidRPr="00587640">
        <w:t xml:space="preserve"> = 0 are 73.8 and 76.3 μm, respectively, as shown in Table 5.</w:t>
      </w:r>
      <w:r w:rsidR="00676784">
        <w:t>9</w:t>
      </w:r>
      <w:r w:rsidRPr="00587640">
        <w:t>. The slope of the temperature induced microannuli is steeper than the pressure induced microannuli</w:t>
      </w:r>
      <w:r>
        <w:t xml:space="preserve"> curve indicating that </w:t>
      </w:r>
      <m:oMath>
        <m:r>
          <w:rPr>
            <w:rFonts w:ascii="Cambria Math" w:hAnsi="Cambria Math"/>
          </w:rPr>
          <m:t>ΔT</m:t>
        </m:r>
      </m:oMath>
      <w:r>
        <w:t xml:space="preserve"> has a slightly greater impact on microannuli magnitude </w:t>
      </w:r>
      <w:r w:rsidRPr="00DC286D">
        <w:t xml:space="preserve">versus </w:t>
      </w:r>
      <m:oMath>
        <m:r>
          <w:rPr>
            <w:rFonts w:ascii="Cambria Math" w:hAnsi="Cambria Math"/>
          </w:rPr>
          <m:t>ΔP</m:t>
        </m:r>
      </m:oMath>
      <w:r w:rsidRPr="00DC286D">
        <w:t xml:space="preserve">.  The results of the </w:t>
      </w:r>
      <w:r>
        <w:t>microannuli</w:t>
      </w:r>
      <w:r w:rsidRPr="00DC286D">
        <w:t xml:space="preserve"> initiation are in agreement with Nygaard et al. (2014) and Gray et al. (2009) in which debonding occurs at the casing/cement interface whereas Zhang et al. (2017)</w:t>
      </w:r>
      <w:r>
        <w:t xml:space="preserve"> and Crain et al. (2018)</w:t>
      </w:r>
      <w:r w:rsidRPr="00DC286D">
        <w:t xml:space="preserve"> observed debonding</w:t>
      </w:r>
      <w:r>
        <w:t xml:space="preserve"> at the cement/rock interface. </w:t>
      </w:r>
    </w:p>
    <w:p w14:paraId="11ADE3A5" w14:textId="02CAD05E" w:rsidR="000959DD" w:rsidRDefault="000959DD" w:rsidP="00BC23AD">
      <w:pPr>
        <w:pStyle w:val="Caption"/>
      </w:pPr>
      <w:bookmarkStart w:id="146" w:name="_Toc67566104"/>
      <w:r>
        <w:t xml:space="preserve">Table </w:t>
      </w:r>
      <w:r w:rsidR="00077C0B">
        <w:fldChar w:fldCharType="begin"/>
      </w:r>
      <w:r w:rsidR="00077C0B">
        <w:instrText xml:space="preserve"> STYLEREF 1 \s </w:instrText>
      </w:r>
      <w:r w:rsidR="00077C0B">
        <w:fldChar w:fldCharType="separate"/>
      </w:r>
      <w:r w:rsidR="0006023A">
        <w:rPr>
          <w:noProof/>
        </w:rPr>
        <w:t>5</w:t>
      </w:r>
      <w:r w:rsidR="00077C0B">
        <w:rPr>
          <w:noProof/>
        </w:rPr>
        <w:fldChar w:fldCharType="end"/>
      </w:r>
      <w:r w:rsidR="00DD1F74">
        <w:t>.</w:t>
      </w:r>
      <w:r w:rsidR="00077C0B">
        <w:fldChar w:fldCharType="begin"/>
      </w:r>
      <w:r w:rsidR="00077C0B">
        <w:instrText xml:space="preserve"> SEQ Table \* ARABIC \s 1 </w:instrText>
      </w:r>
      <w:r w:rsidR="00077C0B">
        <w:fldChar w:fldCharType="separate"/>
      </w:r>
      <w:r w:rsidR="0006023A">
        <w:rPr>
          <w:noProof/>
        </w:rPr>
        <w:t>9</w:t>
      </w:r>
      <w:r w:rsidR="00077C0B">
        <w:rPr>
          <w:noProof/>
        </w:rPr>
        <w:fldChar w:fldCharType="end"/>
      </w:r>
      <w:r>
        <w:t xml:space="preserve">: Microannuli gap initiation reduction changes for </w:t>
      </w:r>
      <m:oMath>
        <m:r>
          <m:rPr>
            <m:sty m:val="bi"/>
          </m:rPr>
          <w:rPr>
            <w:rFonts w:ascii="Cambria Math" w:hAnsi="Cambria Math"/>
          </w:rPr>
          <m:t>ΔP</m:t>
        </m:r>
      </m:oMath>
      <w:r>
        <w:t xml:space="preserve"> and </w:t>
      </w:r>
      <m:oMath>
        <m:r>
          <m:rPr>
            <m:sty m:val="bi"/>
          </m:rPr>
          <w:rPr>
            <w:rFonts w:ascii="Cambria Math" w:hAnsi="Cambria Math"/>
          </w:rPr>
          <m:t>ΔT</m:t>
        </m:r>
      </m:oMath>
      <w:r>
        <w:t xml:space="preserve"> including nanometer (nm) gap and micrometer (μm) gap initiation </w:t>
      </w:r>
      <m:oMath>
        <m:r>
          <m:rPr>
            <m:sty m:val="bi"/>
          </m:rPr>
          <w:rPr>
            <w:rFonts w:ascii="Cambria Math" w:hAnsi="Cambria Math"/>
          </w:rPr>
          <m:t>Δ</m:t>
        </m:r>
      </m:oMath>
      <w:r>
        <w:t>’s.</w:t>
      </w:r>
      <w:bookmarkEnd w:id="146"/>
    </w:p>
    <w:tbl>
      <w:tblPr>
        <w:tblW w:w="3893" w:type="dxa"/>
        <w:jc w:val="center"/>
        <w:tblLook w:val="04A0" w:firstRow="1" w:lastRow="0" w:firstColumn="1" w:lastColumn="0" w:noHBand="0" w:noVBand="1"/>
      </w:tblPr>
      <w:tblGrid>
        <w:gridCol w:w="602"/>
        <w:gridCol w:w="1066"/>
        <w:gridCol w:w="1074"/>
        <w:gridCol w:w="1151"/>
      </w:tblGrid>
      <w:tr w:rsidR="000959DD" w:rsidRPr="002C109A" w14:paraId="2938B667" w14:textId="77777777" w:rsidTr="00890D03">
        <w:trPr>
          <w:trHeight w:val="261"/>
          <w:jc w:val="center"/>
        </w:trPr>
        <w:tc>
          <w:tcPr>
            <w:tcW w:w="602" w:type="dxa"/>
            <w:tcBorders>
              <w:top w:val="nil"/>
              <w:left w:val="nil"/>
              <w:bottom w:val="nil"/>
              <w:right w:val="nil"/>
            </w:tcBorders>
            <w:shd w:val="clear" w:color="auto" w:fill="auto"/>
            <w:noWrap/>
            <w:vAlign w:val="bottom"/>
            <w:hideMark/>
          </w:tcPr>
          <w:p w14:paraId="5702E1A5" w14:textId="77777777" w:rsidR="000959DD" w:rsidRPr="002C109A" w:rsidRDefault="000959DD" w:rsidP="00890D03">
            <w:pPr>
              <w:spacing w:line="240" w:lineRule="auto"/>
              <w:jc w:val="center"/>
              <w:rPr>
                <w:rFonts w:eastAsia="Times New Roman" w:cs="Times New Roman"/>
                <w:szCs w:val="20"/>
              </w:rPr>
            </w:pPr>
          </w:p>
        </w:tc>
        <w:tc>
          <w:tcPr>
            <w:tcW w:w="1066" w:type="dxa"/>
            <w:tcBorders>
              <w:top w:val="nil"/>
              <w:left w:val="nil"/>
              <w:bottom w:val="single" w:sz="4" w:space="0" w:color="auto"/>
              <w:right w:val="nil"/>
            </w:tcBorders>
            <w:shd w:val="clear" w:color="auto" w:fill="auto"/>
            <w:noWrap/>
            <w:vAlign w:val="bottom"/>
            <w:hideMark/>
          </w:tcPr>
          <w:p w14:paraId="24975354" w14:textId="77777777" w:rsidR="000959DD" w:rsidRPr="002C109A" w:rsidRDefault="000959DD" w:rsidP="00890D03">
            <w:pPr>
              <w:spacing w:line="240" w:lineRule="auto"/>
              <w:jc w:val="center"/>
              <w:rPr>
                <w:rFonts w:eastAsia="Times New Roman" w:cs="Times New Roman"/>
                <w:color w:val="000000"/>
              </w:rPr>
            </w:pPr>
            <w:r w:rsidRPr="002C109A">
              <w:rPr>
                <w:rFonts w:eastAsia="Times New Roman" w:cs="Times New Roman"/>
                <w:color w:val="000000"/>
              </w:rPr>
              <w:t>nm gaps</w:t>
            </w:r>
          </w:p>
        </w:tc>
        <w:tc>
          <w:tcPr>
            <w:tcW w:w="1074" w:type="dxa"/>
            <w:tcBorders>
              <w:top w:val="nil"/>
              <w:left w:val="nil"/>
              <w:bottom w:val="single" w:sz="4" w:space="0" w:color="auto"/>
              <w:right w:val="nil"/>
            </w:tcBorders>
            <w:shd w:val="clear" w:color="auto" w:fill="auto"/>
            <w:noWrap/>
            <w:vAlign w:val="bottom"/>
            <w:hideMark/>
          </w:tcPr>
          <w:p w14:paraId="5C6495EE" w14:textId="77777777" w:rsidR="000959DD" w:rsidRPr="002C109A" w:rsidRDefault="000959DD" w:rsidP="00890D03">
            <w:pPr>
              <w:spacing w:line="240" w:lineRule="auto"/>
              <w:jc w:val="center"/>
              <w:rPr>
                <w:rFonts w:eastAsia="Times New Roman" w:cs="Times New Roman"/>
                <w:color w:val="000000"/>
              </w:rPr>
            </w:pPr>
            <w:r w:rsidRPr="002C109A">
              <w:rPr>
                <w:rFonts w:eastAsia="Times New Roman" w:cs="Times New Roman"/>
                <w:color w:val="000000"/>
              </w:rPr>
              <w:t>μm gaps</w:t>
            </w:r>
          </w:p>
        </w:tc>
        <w:tc>
          <w:tcPr>
            <w:tcW w:w="1151" w:type="dxa"/>
            <w:tcBorders>
              <w:top w:val="nil"/>
              <w:left w:val="nil"/>
              <w:bottom w:val="single" w:sz="4" w:space="0" w:color="auto"/>
              <w:right w:val="nil"/>
            </w:tcBorders>
            <w:shd w:val="clear" w:color="auto" w:fill="auto"/>
            <w:noWrap/>
            <w:vAlign w:val="bottom"/>
            <w:hideMark/>
          </w:tcPr>
          <w:p w14:paraId="19D8B231" w14:textId="77777777" w:rsidR="000959DD" w:rsidRPr="002C109A" w:rsidRDefault="000959DD" w:rsidP="00890D03">
            <w:pPr>
              <w:spacing w:line="240" w:lineRule="auto"/>
              <w:jc w:val="center"/>
              <w:rPr>
                <w:rFonts w:eastAsia="Times New Roman" w:cs="Times New Roman"/>
                <w:color w:val="000000"/>
              </w:rPr>
            </w:pPr>
            <w:r w:rsidRPr="002C109A">
              <w:rPr>
                <w:rFonts w:eastAsia="Times New Roman" w:cs="Times New Roman"/>
                <w:color w:val="000000"/>
              </w:rPr>
              <w:t>Max Gap (μm)</w:t>
            </w:r>
          </w:p>
        </w:tc>
      </w:tr>
      <w:tr w:rsidR="000959DD" w:rsidRPr="002C109A" w14:paraId="273BD755" w14:textId="77777777" w:rsidTr="00890D03">
        <w:trPr>
          <w:trHeight w:val="64"/>
          <w:jc w:val="center"/>
        </w:trPr>
        <w:tc>
          <w:tcPr>
            <w:tcW w:w="602" w:type="dxa"/>
            <w:tcBorders>
              <w:top w:val="nil"/>
              <w:left w:val="nil"/>
              <w:bottom w:val="nil"/>
              <w:right w:val="nil"/>
            </w:tcBorders>
            <w:shd w:val="clear" w:color="auto" w:fill="auto"/>
            <w:noWrap/>
            <w:vAlign w:val="bottom"/>
            <w:hideMark/>
          </w:tcPr>
          <w:p w14:paraId="7FBA5485" w14:textId="77777777" w:rsidR="000959DD" w:rsidRPr="002C109A" w:rsidRDefault="000959DD" w:rsidP="00890D03">
            <w:pPr>
              <w:spacing w:line="240" w:lineRule="auto"/>
              <w:jc w:val="center"/>
              <w:rPr>
                <w:rFonts w:eastAsia="Times New Roman" w:cs="Times New Roman"/>
                <w:color w:val="000000"/>
              </w:rPr>
            </w:pPr>
            <w:r w:rsidRPr="002C109A">
              <w:rPr>
                <w:rFonts w:eastAsia="Times New Roman" w:cs="Times New Roman"/>
                <w:color w:val="000000"/>
              </w:rPr>
              <w:t>ΔP</w:t>
            </w:r>
          </w:p>
        </w:tc>
        <w:tc>
          <w:tcPr>
            <w:tcW w:w="1066" w:type="dxa"/>
            <w:tcBorders>
              <w:top w:val="single" w:sz="4" w:space="0" w:color="auto"/>
              <w:left w:val="nil"/>
              <w:bottom w:val="nil"/>
              <w:right w:val="nil"/>
            </w:tcBorders>
            <w:shd w:val="clear" w:color="auto" w:fill="auto"/>
            <w:noWrap/>
            <w:vAlign w:val="bottom"/>
            <w:hideMark/>
          </w:tcPr>
          <w:p w14:paraId="2A4980FB" w14:textId="77777777" w:rsidR="000959DD" w:rsidRPr="002C109A" w:rsidRDefault="000959DD" w:rsidP="00890D03">
            <w:pPr>
              <w:spacing w:line="240" w:lineRule="auto"/>
              <w:jc w:val="center"/>
              <w:rPr>
                <w:rFonts w:eastAsia="Times New Roman" w:cs="Times New Roman"/>
                <w:color w:val="000000"/>
              </w:rPr>
            </w:pPr>
            <w:r w:rsidRPr="002C109A">
              <w:rPr>
                <w:rFonts w:eastAsia="Times New Roman" w:cs="Times New Roman"/>
                <w:color w:val="000000"/>
              </w:rPr>
              <w:t>29.5%</w:t>
            </w:r>
          </w:p>
        </w:tc>
        <w:tc>
          <w:tcPr>
            <w:tcW w:w="1074" w:type="dxa"/>
            <w:tcBorders>
              <w:top w:val="single" w:sz="4" w:space="0" w:color="auto"/>
              <w:left w:val="nil"/>
              <w:bottom w:val="nil"/>
              <w:right w:val="nil"/>
            </w:tcBorders>
            <w:shd w:val="clear" w:color="auto" w:fill="auto"/>
            <w:noWrap/>
            <w:vAlign w:val="bottom"/>
            <w:hideMark/>
          </w:tcPr>
          <w:p w14:paraId="60E5F107" w14:textId="77777777" w:rsidR="000959DD" w:rsidRPr="002C109A" w:rsidRDefault="000959DD" w:rsidP="00890D03">
            <w:pPr>
              <w:spacing w:line="240" w:lineRule="auto"/>
              <w:jc w:val="center"/>
              <w:rPr>
                <w:rFonts w:eastAsia="Times New Roman" w:cs="Times New Roman"/>
                <w:color w:val="000000"/>
              </w:rPr>
            </w:pPr>
            <w:r w:rsidRPr="002C109A">
              <w:rPr>
                <w:rFonts w:eastAsia="Times New Roman" w:cs="Times New Roman"/>
                <w:color w:val="000000"/>
              </w:rPr>
              <w:t>43.3%</w:t>
            </w:r>
          </w:p>
        </w:tc>
        <w:tc>
          <w:tcPr>
            <w:tcW w:w="1151" w:type="dxa"/>
            <w:tcBorders>
              <w:top w:val="single" w:sz="4" w:space="0" w:color="auto"/>
              <w:left w:val="nil"/>
              <w:bottom w:val="nil"/>
              <w:right w:val="nil"/>
            </w:tcBorders>
            <w:shd w:val="clear" w:color="auto" w:fill="auto"/>
            <w:noWrap/>
            <w:vAlign w:val="bottom"/>
            <w:hideMark/>
          </w:tcPr>
          <w:p w14:paraId="705C7D32" w14:textId="77777777" w:rsidR="000959DD" w:rsidRPr="002C109A" w:rsidRDefault="000959DD" w:rsidP="00890D03">
            <w:pPr>
              <w:spacing w:line="240" w:lineRule="auto"/>
              <w:jc w:val="center"/>
              <w:rPr>
                <w:rFonts w:eastAsia="Times New Roman" w:cs="Times New Roman"/>
                <w:color w:val="000000"/>
              </w:rPr>
            </w:pPr>
            <w:r w:rsidRPr="002C109A">
              <w:rPr>
                <w:rFonts w:eastAsia="Times New Roman" w:cs="Times New Roman"/>
                <w:color w:val="000000"/>
              </w:rPr>
              <w:t>73.8</w:t>
            </w:r>
          </w:p>
        </w:tc>
      </w:tr>
      <w:tr w:rsidR="000959DD" w:rsidRPr="002C109A" w14:paraId="4EC3186B" w14:textId="77777777" w:rsidTr="00890D03">
        <w:trPr>
          <w:trHeight w:val="74"/>
          <w:jc w:val="center"/>
        </w:trPr>
        <w:tc>
          <w:tcPr>
            <w:tcW w:w="602" w:type="dxa"/>
            <w:tcBorders>
              <w:top w:val="nil"/>
              <w:left w:val="nil"/>
              <w:bottom w:val="nil"/>
              <w:right w:val="nil"/>
            </w:tcBorders>
            <w:shd w:val="clear" w:color="auto" w:fill="auto"/>
            <w:noWrap/>
            <w:vAlign w:val="bottom"/>
            <w:hideMark/>
          </w:tcPr>
          <w:p w14:paraId="3DC0AE92" w14:textId="77777777" w:rsidR="000959DD" w:rsidRPr="002C109A" w:rsidRDefault="000959DD" w:rsidP="00890D03">
            <w:pPr>
              <w:spacing w:line="240" w:lineRule="auto"/>
              <w:jc w:val="center"/>
              <w:rPr>
                <w:rFonts w:eastAsia="Times New Roman" w:cs="Times New Roman"/>
                <w:color w:val="000000"/>
              </w:rPr>
            </w:pPr>
            <w:r w:rsidRPr="002C109A">
              <w:rPr>
                <w:rFonts w:eastAsia="Times New Roman" w:cs="Times New Roman"/>
                <w:color w:val="000000"/>
              </w:rPr>
              <w:t>ΔT</w:t>
            </w:r>
          </w:p>
        </w:tc>
        <w:tc>
          <w:tcPr>
            <w:tcW w:w="1066" w:type="dxa"/>
            <w:tcBorders>
              <w:top w:val="nil"/>
              <w:left w:val="nil"/>
              <w:bottom w:val="nil"/>
              <w:right w:val="nil"/>
            </w:tcBorders>
            <w:shd w:val="clear" w:color="auto" w:fill="auto"/>
            <w:noWrap/>
            <w:vAlign w:val="bottom"/>
            <w:hideMark/>
          </w:tcPr>
          <w:p w14:paraId="23F5F6F3" w14:textId="77777777" w:rsidR="000959DD" w:rsidRPr="002C109A" w:rsidRDefault="000959DD" w:rsidP="00890D03">
            <w:pPr>
              <w:spacing w:line="240" w:lineRule="auto"/>
              <w:jc w:val="center"/>
              <w:rPr>
                <w:rFonts w:eastAsia="Times New Roman" w:cs="Times New Roman"/>
                <w:color w:val="000000"/>
              </w:rPr>
            </w:pPr>
            <w:r w:rsidRPr="002C109A">
              <w:rPr>
                <w:rFonts w:eastAsia="Times New Roman" w:cs="Times New Roman"/>
                <w:color w:val="000000"/>
              </w:rPr>
              <w:t>28.4%</w:t>
            </w:r>
          </w:p>
        </w:tc>
        <w:tc>
          <w:tcPr>
            <w:tcW w:w="1074" w:type="dxa"/>
            <w:tcBorders>
              <w:top w:val="nil"/>
              <w:left w:val="nil"/>
              <w:bottom w:val="nil"/>
              <w:right w:val="nil"/>
            </w:tcBorders>
            <w:shd w:val="clear" w:color="auto" w:fill="auto"/>
            <w:noWrap/>
            <w:vAlign w:val="bottom"/>
            <w:hideMark/>
          </w:tcPr>
          <w:p w14:paraId="2E0F8EF0" w14:textId="77777777" w:rsidR="000959DD" w:rsidRPr="002C109A" w:rsidRDefault="000959DD" w:rsidP="00890D03">
            <w:pPr>
              <w:spacing w:line="240" w:lineRule="auto"/>
              <w:jc w:val="center"/>
              <w:rPr>
                <w:rFonts w:eastAsia="Times New Roman" w:cs="Times New Roman"/>
                <w:color w:val="000000"/>
              </w:rPr>
            </w:pPr>
            <w:r w:rsidRPr="002C109A">
              <w:rPr>
                <w:rFonts w:eastAsia="Times New Roman" w:cs="Times New Roman"/>
                <w:color w:val="000000"/>
              </w:rPr>
              <w:t>42.5%</w:t>
            </w:r>
          </w:p>
        </w:tc>
        <w:tc>
          <w:tcPr>
            <w:tcW w:w="1151" w:type="dxa"/>
            <w:tcBorders>
              <w:top w:val="nil"/>
              <w:left w:val="nil"/>
              <w:bottom w:val="nil"/>
              <w:right w:val="nil"/>
            </w:tcBorders>
            <w:shd w:val="clear" w:color="auto" w:fill="auto"/>
            <w:noWrap/>
            <w:vAlign w:val="bottom"/>
            <w:hideMark/>
          </w:tcPr>
          <w:p w14:paraId="25EB4BAE" w14:textId="77777777" w:rsidR="000959DD" w:rsidRPr="002C109A" w:rsidRDefault="000959DD" w:rsidP="00890D03">
            <w:pPr>
              <w:spacing w:line="240" w:lineRule="auto"/>
              <w:jc w:val="center"/>
              <w:rPr>
                <w:rFonts w:eastAsia="Times New Roman" w:cs="Times New Roman"/>
                <w:color w:val="000000"/>
              </w:rPr>
            </w:pPr>
            <w:r w:rsidRPr="002C109A">
              <w:rPr>
                <w:rFonts w:eastAsia="Times New Roman" w:cs="Times New Roman"/>
                <w:color w:val="000000"/>
              </w:rPr>
              <w:t>76.3</w:t>
            </w:r>
          </w:p>
        </w:tc>
      </w:tr>
    </w:tbl>
    <w:p w14:paraId="2D8CA248" w14:textId="77777777" w:rsidR="000959DD" w:rsidRDefault="000959DD" w:rsidP="000959DD">
      <w:pPr>
        <w:ind w:firstLine="720"/>
      </w:pPr>
    </w:p>
    <w:p w14:paraId="073A5CBB" w14:textId="56F9693C" w:rsidR="000959DD" w:rsidRPr="00DC286D" w:rsidRDefault="000959DD" w:rsidP="000959DD">
      <w:pPr>
        <w:ind w:firstLine="720"/>
      </w:pPr>
      <w:r w:rsidRPr="00DC286D">
        <w:t xml:space="preserve">The results </w:t>
      </w:r>
      <w:r w:rsidRPr="00587640">
        <w:t>from Figure 5.1</w:t>
      </w:r>
      <w:r w:rsidR="00757125" w:rsidRPr="00587640">
        <w:t>8</w:t>
      </w:r>
      <w:r w:rsidRPr="00587640">
        <w:t xml:space="preserve"> indicate that debonding occurs at the cement/rock interface on the nanometer scale whereas Zhang</w:t>
      </w:r>
      <w:r w:rsidRPr="00DC286D">
        <w:t xml:space="preserve"> et al. (2017)</w:t>
      </w:r>
      <w:r>
        <w:t xml:space="preserve"> </w:t>
      </w:r>
      <w:r w:rsidRPr="00DC286D">
        <w:t xml:space="preserve">observed micron sized </w:t>
      </w:r>
      <w:r>
        <w:t>microannuli</w:t>
      </w:r>
      <w:r w:rsidRPr="00DC286D">
        <w:t xml:space="preserve">. Debonding of the cement to the casing is most likely due to the vast difference between the material stiffness (Young’s modulus, </w:t>
      </w:r>
      <m:oMath>
        <m:r>
          <w:rPr>
            <w:rFonts w:ascii="Cambria Math" w:hAnsi="Cambria Math"/>
          </w:rPr>
          <m:t>E</m:t>
        </m:r>
      </m:oMath>
      <w:r>
        <w:t>). T</w:t>
      </w:r>
      <w:r w:rsidRPr="00DC286D">
        <w:t>he stiffness of casing is an order of magnitude larger than the stiffness of the cement whereas the stiffness of the rock formation is the same ord</w:t>
      </w:r>
      <w:r>
        <w:t xml:space="preserve">er of magnitude as the cement. </w:t>
      </w:r>
      <w:r w:rsidRPr="00DC286D">
        <w:t>Therefore, it is to be expected that debonding occurs at the casing/cement interface.</w:t>
      </w:r>
      <w:r>
        <w:t xml:space="preserve"> The results from this paper are in agreement with experimental results from </w:t>
      </w:r>
      <w:r w:rsidRPr="004006E4">
        <w:t>Vrålstad</w:t>
      </w:r>
      <w:r>
        <w:t xml:space="preserve"> et al. (2015) and later expanded by De Andrade et al. (2016). The experiments consisted of thermal cycle tests on casing/cement/formation samples which were then scanned by CT. Their results show that cement sheath debonding occurs between the cement/casing interface when shale is the rock formation. Debonding between the cement/rock formation occurs when sandstone is the rock formation. </w:t>
      </w:r>
    </w:p>
    <w:p w14:paraId="2EAF198F" w14:textId="66757F51" w:rsidR="000959DD" w:rsidRDefault="000959DD" w:rsidP="006B25F9">
      <w:pPr>
        <w:ind w:firstLine="720"/>
      </w:pPr>
      <w:r>
        <w:lastRenderedPageBreak/>
        <w:t xml:space="preserve">The magnitude of the microannuli at the casing/cement interface is in agreement with the reported </w:t>
      </w:r>
      <w:r w:rsidRPr="00587640">
        <w:t xml:space="preserve">value from Gray et al. (2009). Gray et al. (2009) reported a microannuli of 13.7 μm with a </w:t>
      </w:r>
      <m:oMath>
        <m:r>
          <w:rPr>
            <w:rFonts w:ascii="Cambria Math" w:hAnsi="Cambria Math"/>
          </w:rPr>
          <m:t>ΔP</m:t>
        </m:r>
      </m:oMath>
      <w:r w:rsidRPr="00587640">
        <w:t xml:space="preserve"> = 61%. From Figure 5.</w:t>
      </w:r>
      <w:r w:rsidR="00191B9E" w:rsidRPr="00587640">
        <w:t>1</w:t>
      </w:r>
      <w:r w:rsidR="00757125" w:rsidRPr="00587640">
        <w:t>7</w:t>
      </w:r>
      <w:r w:rsidRPr="00587640">
        <w:t xml:space="preserve">, </w:t>
      </w:r>
      <m:oMath>
        <m:r>
          <w:rPr>
            <w:rFonts w:ascii="Cambria Math" w:hAnsi="Cambria Math"/>
          </w:rPr>
          <m:t>ΔP</m:t>
        </m:r>
      </m:oMath>
      <w:r w:rsidRPr="00587640">
        <w:t xml:space="preserve"> = 61% results in a microannuli of 23.1 μm. The slight discrepancy between the results can</w:t>
      </w:r>
      <w:r>
        <w:t xml:space="preserve"> be attributed to the difference in wellbore dimensions (311.15 mm [12.25”] hole size with 244.48 mm [9.625”] casing thickness versus 241.30 mm [9.5”] hole size with 193.68 mm [7.625”] casing thickness), simulated depths (1,920 m [6,300 ft.] versus 4,572 m [15,000 ft.]), and specific wellbore parameters.</w:t>
      </w:r>
    </w:p>
    <w:p w14:paraId="1B1C679D" w14:textId="513D30F7" w:rsidR="000959DD" w:rsidRPr="006348F1" w:rsidRDefault="000959DD" w:rsidP="00035812">
      <w:pPr>
        <w:pStyle w:val="Heading4"/>
      </w:pPr>
      <w:r w:rsidRPr="006348F1">
        <w:t>Wellbore Parameter Sensitivity Analysis</w:t>
      </w:r>
    </w:p>
    <w:p w14:paraId="65774F76" w14:textId="5CB9227A" w:rsidR="000959DD" w:rsidRDefault="000959DD" w:rsidP="000959DD">
      <w:pPr>
        <w:ind w:firstLine="720"/>
      </w:pPr>
      <w:r w:rsidRPr="007D5F9B">
        <w:t>The change in pressure and temperature (</w:t>
      </w:r>
      <m:oMath>
        <m:r>
          <w:rPr>
            <w:rFonts w:ascii="Cambria Math" w:hAnsi="Cambria Math"/>
          </w:rPr>
          <m:t>ΔP</m:t>
        </m:r>
      </m:oMath>
      <w:r w:rsidRPr="007D5F9B">
        <w:t xml:space="preserve"> and </w:t>
      </w:r>
      <m:oMath>
        <m:r>
          <w:rPr>
            <w:rFonts w:ascii="Cambria Math" w:hAnsi="Cambria Math"/>
          </w:rPr>
          <m:t>ΔT</m:t>
        </m:r>
      </m:oMath>
      <w:r w:rsidRPr="007D5F9B">
        <w:t xml:space="preserve">) have been shown to cause microannuli gaps, but there are </w:t>
      </w:r>
      <w:r>
        <w:t xml:space="preserve">numerous </w:t>
      </w:r>
      <w:r w:rsidRPr="007D5F9B">
        <w:t>parameters within a wellbore that can affect the magnitud</w:t>
      </w:r>
      <w:r>
        <w:t xml:space="preserve">e and initiation of such gaps. </w:t>
      </w:r>
      <w:r w:rsidRPr="007D5F9B">
        <w:t xml:space="preserve">The </w:t>
      </w:r>
      <w:r w:rsidR="00191B9E">
        <w:t xml:space="preserve">wellbore </w:t>
      </w:r>
      <w:r w:rsidRPr="007D5F9B">
        <w:t xml:space="preserve">parameters are tested with different </w:t>
      </w:r>
      <m:oMath>
        <m:r>
          <w:rPr>
            <w:rFonts w:ascii="Cambria Math" w:hAnsi="Cambria Math"/>
          </w:rPr>
          <m:t>ΔP</m:t>
        </m:r>
      </m:oMath>
      <w:r w:rsidRPr="007D5F9B">
        <w:t xml:space="preserve">’s and </w:t>
      </w:r>
      <m:oMath>
        <m:r>
          <w:rPr>
            <w:rFonts w:ascii="Cambria Math" w:hAnsi="Cambria Math"/>
          </w:rPr>
          <m:t>ΔT</m:t>
        </m:r>
      </m:oMath>
      <w:r w:rsidRPr="007D5F9B">
        <w:t xml:space="preserve">’s to determine </w:t>
      </w:r>
      <w:r>
        <w:t xml:space="preserve">which parameters are contributing factors to microannuli initiation and magnitude. </w:t>
      </w:r>
      <w:r w:rsidRPr="007D5F9B">
        <w:t xml:space="preserve">The </w:t>
      </w:r>
      <m:oMath>
        <m:r>
          <w:rPr>
            <w:rFonts w:ascii="Cambria Math" w:hAnsi="Cambria Math"/>
          </w:rPr>
          <m:t>Δ</m:t>
        </m:r>
      </m:oMath>
      <w:r w:rsidRPr="007D5F9B">
        <w:t>’s are a</w:t>
      </w:r>
      <w:r>
        <w:t xml:space="preserve"> </w:t>
      </w:r>
      <w:r w:rsidRPr="00587640">
        <w:t>reduction in both pressure and temperature of 29%, 44%, 50%, and 67% based off of the curves shown in Figure 5.</w:t>
      </w:r>
      <w:r w:rsidR="00191B9E" w:rsidRPr="00587640">
        <w:t>1</w:t>
      </w:r>
      <w:r w:rsidR="00757125" w:rsidRPr="00587640">
        <w:t>7</w:t>
      </w:r>
      <w:r w:rsidRPr="00587640">
        <w:t>. For a reduction of 29%, nanometer gaps were created from the base case curves and micron gaps were initiated at a 44% reduction. A reduction of 50% resulted in microannuli of approximately 10 μm. A reduction of 67% resulted in microannuli of approximately 30 μm. The results for all four percent reductions are shown in Figure 5.1</w:t>
      </w:r>
      <w:r w:rsidR="00757125" w:rsidRPr="00587640">
        <w:t>9</w:t>
      </w:r>
      <w:r w:rsidRPr="00587640">
        <w:t xml:space="preserve"> for </w:t>
      </w:r>
      <m:oMath>
        <m:r>
          <w:rPr>
            <w:rFonts w:ascii="Cambria Math" w:hAnsi="Cambria Math"/>
          </w:rPr>
          <m:t>ΔP</m:t>
        </m:r>
      </m:oMath>
      <w:r w:rsidRPr="00587640">
        <w:t xml:space="preserve"> and Figure 5.</w:t>
      </w:r>
      <w:r w:rsidR="00757125" w:rsidRPr="00587640">
        <w:t>20</w:t>
      </w:r>
      <w:r w:rsidRPr="00587640">
        <w:t xml:space="preserve"> for </w:t>
      </w:r>
      <m:oMath>
        <m:r>
          <w:rPr>
            <w:rFonts w:ascii="Cambria Math" w:hAnsi="Cambria Math"/>
          </w:rPr>
          <m:t>ΔT</m:t>
        </m:r>
      </m:oMath>
      <w:r w:rsidRPr="00587640">
        <w:t xml:space="preserve"> for the maximum</w:t>
      </w:r>
      <w:r w:rsidRPr="007D5F9B">
        <w:t xml:space="preserve"> and minimum </w:t>
      </w:r>
      <w:r>
        <w:t>microannuli gap</w:t>
      </w:r>
      <w:r w:rsidRPr="007D5F9B">
        <w:t xml:space="preserve"> sizes.</w:t>
      </w:r>
      <w:r>
        <w:t xml:space="preserve"> An individual analysis of each percent reduction for both </w:t>
      </w:r>
      <m:oMath>
        <m:r>
          <w:rPr>
            <w:rFonts w:ascii="Cambria Math" w:hAnsi="Cambria Math"/>
          </w:rPr>
          <m:t>ΔP</m:t>
        </m:r>
      </m:oMath>
      <w:r>
        <w:t xml:space="preserve"> and </w:t>
      </w:r>
      <m:oMath>
        <m:r>
          <w:rPr>
            <w:rFonts w:ascii="Cambria Math" w:hAnsi="Cambria Math"/>
          </w:rPr>
          <m:t>ΔT</m:t>
        </m:r>
      </m:oMath>
      <w:r>
        <w:t xml:space="preserve"> is discussed in the subsequent sections.</w:t>
      </w:r>
    </w:p>
    <w:p w14:paraId="2D303BDC" w14:textId="77777777" w:rsidR="000959DD" w:rsidRDefault="000959DD" w:rsidP="00BC23AD">
      <w:pPr>
        <w:pStyle w:val="NoSpacing"/>
      </w:pPr>
      <w:r>
        <w:rPr>
          <w:noProof/>
        </w:rPr>
        <w:lastRenderedPageBreak/>
        <w:drawing>
          <wp:inline distT="0" distB="0" distL="0" distR="0" wp14:anchorId="431C8F35" wp14:editId="0C43069B">
            <wp:extent cx="7772400" cy="3311575"/>
            <wp:effectExtent l="1587" t="0" r="1588" b="1587"/>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Figure 5_two column.jpg"/>
                    <pic:cNvPicPr/>
                  </pic:nvPicPr>
                  <pic:blipFill>
                    <a:blip r:embed="rId77" cstate="print">
                      <a:extLst>
                        <a:ext uri="{28A0092B-C50C-407E-A947-70E740481C1C}">
                          <a14:useLocalDpi xmlns:a14="http://schemas.microsoft.com/office/drawing/2010/main" val="0"/>
                        </a:ext>
                      </a:extLst>
                    </a:blip>
                    <a:stretch>
                      <a:fillRect/>
                    </a:stretch>
                  </pic:blipFill>
                  <pic:spPr>
                    <a:xfrm rot="16200000">
                      <a:off x="0" y="0"/>
                      <a:ext cx="7772400" cy="3311575"/>
                    </a:xfrm>
                    <a:prstGeom prst="rect">
                      <a:avLst/>
                    </a:prstGeom>
                  </pic:spPr>
                </pic:pic>
              </a:graphicData>
            </a:graphic>
          </wp:inline>
        </w:drawing>
      </w:r>
    </w:p>
    <w:p w14:paraId="3AD7B348" w14:textId="0649E105" w:rsidR="00191B9E" w:rsidRPr="00191B9E" w:rsidRDefault="000959DD" w:rsidP="00BC23AD">
      <w:pPr>
        <w:pStyle w:val="Caption"/>
      </w:pPr>
      <w:bookmarkStart w:id="147" w:name="_Toc67566247"/>
      <w:r>
        <w:t xml:space="preserve">Figure </w:t>
      </w:r>
      <w:r w:rsidR="00077C0B">
        <w:fldChar w:fldCharType="begin"/>
      </w:r>
      <w:r w:rsidR="00077C0B">
        <w:instrText xml:space="preserve"> STYLEREF 1 \s </w:instrText>
      </w:r>
      <w:r w:rsidR="00077C0B">
        <w:fldChar w:fldCharType="separate"/>
      </w:r>
      <w:r w:rsidR="0006023A">
        <w:rPr>
          <w:noProof/>
        </w:rPr>
        <w:t>5</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19</w:t>
      </w:r>
      <w:r w:rsidR="00077C0B">
        <w:rPr>
          <w:noProof/>
        </w:rPr>
        <w:fldChar w:fldCharType="end"/>
      </w:r>
      <w:r>
        <w:t xml:space="preserve">: </w:t>
      </w:r>
      <w:r w:rsidRPr="00761DCF">
        <w:t>Parametric analysis of the maximum and minimum variables tested for change in wellbore pressures (</w:t>
      </w:r>
      <m:oMath>
        <m:r>
          <m:rPr>
            <m:sty m:val="bi"/>
          </m:rPr>
          <w:rPr>
            <w:rFonts w:ascii="Cambria Math" w:hAnsi="Cambria Math"/>
          </w:rPr>
          <m:t>ΔP</m:t>
        </m:r>
      </m:oMath>
      <w:r>
        <w:t xml:space="preserve">) of 29%, 44%, 50%, and 67%. </w:t>
      </w:r>
      <w:r w:rsidRPr="006D567F">
        <w:t>Variances in the hole size and casing thickness have the largest change in resulting gap magnitudes</w:t>
      </w:r>
      <w:r>
        <w:t>.</w:t>
      </w:r>
      <w:bookmarkEnd w:id="147"/>
      <w:r>
        <w:t xml:space="preserve"> </w:t>
      </w:r>
    </w:p>
    <w:p w14:paraId="5E5FE2C4" w14:textId="77777777" w:rsidR="000959DD" w:rsidRDefault="000959DD" w:rsidP="00BC23AD">
      <w:pPr>
        <w:pStyle w:val="NoSpacing"/>
      </w:pPr>
      <w:r>
        <w:rPr>
          <w:noProof/>
        </w:rPr>
        <w:lastRenderedPageBreak/>
        <w:drawing>
          <wp:inline distT="0" distB="0" distL="0" distR="0" wp14:anchorId="7D3E6D3A" wp14:editId="498A7847">
            <wp:extent cx="7772400" cy="3311574"/>
            <wp:effectExtent l="1587" t="0" r="1588" b="1587"/>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Figure 6_two column.jpg"/>
                    <pic:cNvPicPr/>
                  </pic:nvPicPr>
                  <pic:blipFill>
                    <a:blip r:embed="rId78" cstate="print">
                      <a:extLst>
                        <a:ext uri="{28A0092B-C50C-407E-A947-70E740481C1C}">
                          <a14:useLocalDpi xmlns:a14="http://schemas.microsoft.com/office/drawing/2010/main" val="0"/>
                        </a:ext>
                      </a:extLst>
                    </a:blip>
                    <a:stretch>
                      <a:fillRect/>
                    </a:stretch>
                  </pic:blipFill>
                  <pic:spPr>
                    <a:xfrm rot="16200000">
                      <a:off x="0" y="0"/>
                      <a:ext cx="7772400" cy="3311574"/>
                    </a:xfrm>
                    <a:prstGeom prst="rect">
                      <a:avLst/>
                    </a:prstGeom>
                  </pic:spPr>
                </pic:pic>
              </a:graphicData>
            </a:graphic>
          </wp:inline>
        </w:drawing>
      </w:r>
    </w:p>
    <w:p w14:paraId="1F8B6E8B" w14:textId="1CF99F54" w:rsidR="000959DD" w:rsidRDefault="000959DD" w:rsidP="00BC23AD">
      <w:pPr>
        <w:pStyle w:val="Caption"/>
      </w:pPr>
      <w:bookmarkStart w:id="148" w:name="_Toc67566248"/>
      <w:r>
        <w:t xml:space="preserve">Figure </w:t>
      </w:r>
      <w:r w:rsidR="00077C0B">
        <w:fldChar w:fldCharType="begin"/>
      </w:r>
      <w:r w:rsidR="00077C0B">
        <w:instrText xml:space="preserve"> STYLEREF 1 \s </w:instrText>
      </w:r>
      <w:r w:rsidR="00077C0B">
        <w:fldChar w:fldCharType="separate"/>
      </w:r>
      <w:r w:rsidR="0006023A">
        <w:rPr>
          <w:noProof/>
        </w:rPr>
        <w:t>5</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20</w:t>
      </w:r>
      <w:r w:rsidR="00077C0B">
        <w:rPr>
          <w:noProof/>
        </w:rPr>
        <w:fldChar w:fldCharType="end"/>
      </w:r>
      <w:r>
        <w:t xml:space="preserve">: </w:t>
      </w:r>
      <w:r w:rsidRPr="00800601">
        <w:t>Parametric analysis of the maximum and minimum variables tested for change in wellbore temperatures (</w:t>
      </w:r>
      <m:oMath>
        <m:r>
          <m:rPr>
            <m:sty m:val="bi"/>
          </m:rPr>
          <w:rPr>
            <w:rFonts w:ascii="Cambria Math" w:hAnsi="Cambria Math"/>
          </w:rPr>
          <m:t>ΔT</m:t>
        </m:r>
      </m:oMath>
      <w:r>
        <w:t>) of 29%, 44%, 50%, and 67%.</w:t>
      </w:r>
      <w:r w:rsidRPr="00800601">
        <w:t xml:space="preserve"> None of the wellbore parameters change gap magnitude as significantly as hole size and casing thickness do for change in pressures (</w:t>
      </w:r>
      <m:oMath>
        <m:r>
          <m:rPr>
            <m:sty m:val="bi"/>
          </m:rPr>
          <w:rPr>
            <w:rFonts w:ascii="Cambria Math" w:hAnsi="Cambria Math"/>
          </w:rPr>
          <m:t>ΔP</m:t>
        </m:r>
      </m:oMath>
      <w:r>
        <w:t>).</w:t>
      </w:r>
      <w:bookmarkEnd w:id="148"/>
    </w:p>
    <w:p w14:paraId="0BA61B7F" w14:textId="363E3FAF" w:rsidR="00190D60" w:rsidRPr="00BB51C6" w:rsidRDefault="00190D60" w:rsidP="00190D60">
      <w:pPr>
        <w:rPr>
          <w:b/>
        </w:rPr>
      </w:pPr>
      <w:r w:rsidRPr="00BB51C6">
        <w:rPr>
          <w:b/>
        </w:rPr>
        <w:lastRenderedPageBreak/>
        <w:t>29% Reduction</w:t>
      </w:r>
    </w:p>
    <w:p w14:paraId="7E799540" w14:textId="1E4C9C8F" w:rsidR="00190D60" w:rsidRDefault="00190D60" w:rsidP="00190D60">
      <w:pPr>
        <w:ind w:firstLine="720"/>
      </w:pPr>
      <w:r>
        <w:t>For a reduction of 29</w:t>
      </w:r>
      <w:r w:rsidRPr="007D5F9B">
        <w:t xml:space="preserve">%, </w:t>
      </w:r>
      <w:r>
        <w:t xml:space="preserve">nanometer sized gaps occur in the base well, but variations of </w:t>
      </w:r>
      <m:oMath>
        <m:sSub>
          <m:sSubPr>
            <m:ctrlPr>
              <w:rPr>
                <w:rFonts w:ascii="Cambria Math" w:hAnsi="Cambria Math"/>
                <w:i/>
              </w:rPr>
            </m:ctrlPr>
          </m:sSubPr>
          <m:e>
            <m:r>
              <w:rPr>
                <w:rFonts w:ascii="Cambria Math" w:hAnsi="Cambria Math"/>
              </w:rPr>
              <m:t>E</m:t>
            </m:r>
          </m:e>
          <m:sub>
            <m:r>
              <w:rPr>
                <w:rFonts w:ascii="Cambria Math" w:hAnsi="Cambria Math"/>
              </w:rPr>
              <m:t>cement</m:t>
            </m:r>
          </m:sub>
        </m:sSub>
      </m:oMath>
      <w:r>
        <w:t xml:space="preserve">, </w:t>
      </w:r>
      <m:oMath>
        <m:sSub>
          <m:sSubPr>
            <m:ctrlPr>
              <w:rPr>
                <w:rFonts w:ascii="Cambria Math" w:hAnsi="Cambria Math"/>
                <w:i/>
              </w:rPr>
            </m:ctrlPr>
          </m:sSubPr>
          <m:e>
            <m:r>
              <w:rPr>
                <w:rFonts w:ascii="Cambria Math" w:hAnsi="Cambria Math"/>
              </w:rPr>
              <m:t>σ</m:t>
            </m:r>
          </m:e>
          <m:sub>
            <m:r>
              <w:rPr>
                <w:rFonts w:ascii="Cambria Math" w:hAnsi="Cambria Math"/>
              </w:rPr>
              <m:t>cement</m:t>
            </m:r>
          </m:sub>
        </m:sSub>
      </m:oMath>
      <w:r>
        <w:t xml:space="preserve">, </w:t>
      </w:r>
      <m:oMath>
        <m:r>
          <w:rPr>
            <w:rFonts w:ascii="Cambria Math" w:hAnsi="Cambria Math"/>
          </w:rPr>
          <m:t>Hole Size</m:t>
        </m:r>
      </m:oMath>
      <w:r>
        <w:t xml:space="preserve">, and </w:t>
      </w:r>
      <m:oMath>
        <m:sSub>
          <m:sSubPr>
            <m:ctrlPr>
              <w:rPr>
                <w:rFonts w:ascii="Cambria Math" w:hAnsi="Cambria Math"/>
                <w:i/>
              </w:rPr>
            </m:ctrlPr>
          </m:sSubPr>
          <m:e>
            <m:r>
              <w:rPr>
                <w:rFonts w:ascii="Cambria Math" w:hAnsi="Cambria Math"/>
              </w:rPr>
              <m:t>ω</m:t>
            </m:r>
          </m:e>
          <m:sub>
            <m:r>
              <w:rPr>
                <w:rFonts w:ascii="Cambria Math" w:hAnsi="Cambria Math"/>
              </w:rPr>
              <m:t>casing</m:t>
            </m:r>
          </m:sub>
        </m:sSub>
      </m:oMath>
      <w:r>
        <w:t xml:space="preserve"> cause micron sized gaps to occur. It should be noted that only </w:t>
      </w:r>
      <m:oMath>
        <m:sSub>
          <m:sSubPr>
            <m:ctrlPr>
              <w:rPr>
                <w:rFonts w:ascii="Cambria Math" w:hAnsi="Cambria Math"/>
                <w:i/>
              </w:rPr>
            </m:ctrlPr>
          </m:sSubPr>
          <m:e>
            <m:r>
              <w:rPr>
                <w:rFonts w:ascii="Cambria Math" w:hAnsi="Cambria Math"/>
              </w:rPr>
              <m:t>E</m:t>
            </m:r>
          </m:e>
          <m:sub>
            <m:r>
              <w:rPr>
                <w:rFonts w:ascii="Cambria Math" w:hAnsi="Cambria Math"/>
              </w:rPr>
              <m:t>cement</m:t>
            </m:r>
          </m:sub>
        </m:sSub>
      </m:oMath>
      <w:r>
        <w:t xml:space="preserve"> and </w:t>
      </w:r>
      <m:oMath>
        <m:sSub>
          <m:sSubPr>
            <m:ctrlPr>
              <w:rPr>
                <w:rFonts w:ascii="Cambria Math" w:hAnsi="Cambria Math"/>
                <w:i/>
              </w:rPr>
            </m:ctrlPr>
          </m:sSubPr>
          <m:e>
            <m:r>
              <w:rPr>
                <w:rFonts w:ascii="Cambria Math" w:hAnsi="Cambria Math"/>
              </w:rPr>
              <m:t>σ</m:t>
            </m:r>
          </m:e>
          <m:sub>
            <m:r>
              <w:rPr>
                <w:rFonts w:ascii="Cambria Math" w:hAnsi="Cambria Math"/>
              </w:rPr>
              <m:t>cement</m:t>
            </m:r>
          </m:sub>
        </m:sSub>
      </m:oMath>
      <w:r>
        <w:t xml:space="preserve"> cause gaps to occur with </w:t>
      </w:r>
      <m:oMath>
        <m:r>
          <w:rPr>
            <w:rFonts w:ascii="Cambria Math" w:hAnsi="Cambria Math"/>
          </w:rPr>
          <m:t>ΔT</m:t>
        </m:r>
      </m:oMath>
      <w:r>
        <w:t xml:space="preserve"> while all four cause gaps to occur with </w:t>
      </w:r>
      <m:oMath>
        <m:r>
          <w:rPr>
            <w:rFonts w:ascii="Cambria Math" w:hAnsi="Cambria Math"/>
          </w:rPr>
          <m:t>ΔT</m:t>
        </m:r>
      </m:oMath>
      <w:r>
        <w:t>. The microannuli</w:t>
      </w:r>
      <w:r w:rsidRPr="007D5F9B">
        <w:t xml:space="preserve"> range from a size of 0 μm (no gap</w:t>
      </w:r>
      <w:r>
        <w:t>/</w:t>
      </w:r>
      <w:r w:rsidRPr="00587640">
        <w:t xml:space="preserve">nanometer size gap) to a maximum gap of 7.2 μm implying that these four parameters can cause the gap initiation to decrease from 43% to 29% (i.e. lower </w:t>
      </w:r>
      <m:oMath>
        <m:r>
          <w:rPr>
            <w:rFonts w:ascii="Cambria Math" w:hAnsi="Cambria Math"/>
          </w:rPr>
          <m:t>ΔP</m:t>
        </m:r>
      </m:oMath>
      <w:r w:rsidRPr="00587640">
        <w:t xml:space="preserve"> and </w:t>
      </w:r>
      <m:oMath>
        <m:r>
          <w:rPr>
            <w:rFonts w:ascii="Cambria Math" w:hAnsi="Cambria Math"/>
          </w:rPr>
          <m:t>ΔT</m:t>
        </m:r>
      </m:oMath>
      <w:r w:rsidRPr="00587640">
        <w:t>). The variations of the four parameters are shown in Table 5.</w:t>
      </w:r>
      <w:r w:rsidR="00676784">
        <w:t>10</w:t>
      </w:r>
      <w:r w:rsidRPr="00587640">
        <w:t xml:space="preserve"> along with their respective gap sizes. An interesting observation is that the change in hole size effects</w:t>
      </w:r>
      <w:r w:rsidRPr="007D5F9B">
        <w:t xml:space="preserve"> the gaps created by pressure and temperature inversely</w:t>
      </w:r>
      <w:r>
        <w:t xml:space="preserve">. </w:t>
      </w:r>
      <w:r w:rsidRPr="007D5F9B">
        <w:t xml:space="preserve">A larger hole size </w:t>
      </w:r>
      <w:r>
        <w:t>results in gaps with a 29</w:t>
      </w:r>
      <w:r w:rsidRPr="007D5F9B">
        <w:t xml:space="preserve">% </w:t>
      </w:r>
      <m:oMath>
        <m:r>
          <w:rPr>
            <w:rFonts w:ascii="Cambria Math" w:hAnsi="Cambria Math"/>
          </w:rPr>
          <m:t>ΔP</m:t>
        </m:r>
      </m:oMath>
      <w:r w:rsidRPr="007D5F9B">
        <w:t xml:space="preserve"> while a smaller hole </w:t>
      </w:r>
      <w:r>
        <w:t>size results is gaps with a 29</w:t>
      </w:r>
      <w:r w:rsidRPr="007D5F9B">
        <w:t xml:space="preserve">% </w:t>
      </w:r>
      <m:oMath>
        <m:r>
          <w:rPr>
            <w:rFonts w:ascii="Cambria Math" w:hAnsi="Cambria Math"/>
          </w:rPr>
          <m:t>ΔT</m:t>
        </m:r>
      </m:oMath>
      <w:r w:rsidRPr="007D5F9B">
        <w:t>.</w:t>
      </w:r>
    </w:p>
    <w:p w14:paraId="195FA858" w14:textId="5E91B681" w:rsidR="00190D60" w:rsidRDefault="00190D60" w:rsidP="00BC23AD">
      <w:pPr>
        <w:pStyle w:val="Caption"/>
      </w:pPr>
      <w:bookmarkStart w:id="149" w:name="_Toc67566105"/>
      <w:r>
        <w:t xml:space="preserve">Table </w:t>
      </w:r>
      <w:r w:rsidR="00077C0B">
        <w:fldChar w:fldCharType="begin"/>
      </w:r>
      <w:r w:rsidR="00077C0B">
        <w:instrText xml:space="preserve"> STYLEREF 1 \s </w:instrText>
      </w:r>
      <w:r w:rsidR="00077C0B">
        <w:fldChar w:fldCharType="separate"/>
      </w:r>
      <w:r w:rsidR="0006023A">
        <w:rPr>
          <w:noProof/>
        </w:rPr>
        <w:t>5</w:t>
      </w:r>
      <w:r w:rsidR="00077C0B">
        <w:rPr>
          <w:noProof/>
        </w:rPr>
        <w:fldChar w:fldCharType="end"/>
      </w:r>
      <w:r w:rsidR="00DD1F74">
        <w:t>.</w:t>
      </w:r>
      <w:r w:rsidR="00077C0B">
        <w:fldChar w:fldCharType="begin"/>
      </w:r>
      <w:r w:rsidR="00077C0B">
        <w:instrText xml:space="preserve"> SEQ Table \* ARABIC \s 1 </w:instrText>
      </w:r>
      <w:r w:rsidR="00077C0B">
        <w:fldChar w:fldCharType="separate"/>
      </w:r>
      <w:r w:rsidR="0006023A">
        <w:rPr>
          <w:noProof/>
        </w:rPr>
        <w:t>10</w:t>
      </w:r>
      <w:r w:rsidR="00077C0B">
        <w:rPr>
          <w:noProof/>
        </w:rPr>
        <w:fldChar w:fldCharType="end"/>
      </w:r>
      <w:r>
        <w:t xml:space="preserve">: </w:t>
      </w:r>
      <w:r w:rsidRPr="00800601">
        <w:t xml:space="preserve">Gap magnitudes created by change in wellbore parameters for a 29% </w:t>
      </w:r>
      <m:oMath>
        <m:r>
          <m:rPr>
            <m:sty m:val="bi"/>
          </m:rPr>
          <w:rPr>
            <w:rFonts w:ascii="Cambria Math" w:hAnsi="Cambria Math"/>
          </w:rPr>
          <m:t>ΔP</m:t>
        </m:r>
      </m:oMath>
      <w:r w:rsidRPr="00800601">
        <w:t xml:space="preserve"> and </w:t>
      </w:r>
      <m:oMath>
        <m:r>
          <m:rPr>
            <m:sty m:val="bi"/>
          </m:rPr>
          <w:rPr>
            <w:rFonts w:ascii="Cambria Math" w:hAnsi="Cambria Math"/>
          </w:rPr>
          <m:t>ΔT</m:t>
        </m:r>
      </m:oMath>
      <w:r w:rsidRPr="00800601">
        <w:t xml:space="preserve">.  These parameters cause gaps to occur when the base case wellbore did not have gaps at 29% </w:t>
      </w:r>
      <m:oMath>
        <m:r>
          <m:rPr>
            <m:sty m:val="bi"/>
          </m:rPr>
          <w:rPr>
            <w:rFonts w:ascii="Cambria Math" w:hAnsi="Cambria Math"/>
          </w:rPr>
          <m:t>ΔP</m:t>
        </m:r>
      </m:oMath>
      <w:r w:rsidRPr="00800601">
        <w:t xml:space="preserve"> and </w:t>
      </w:r>
      <m:oMath>
        <m:r>
          <m:rPr>
            <m:sty m:val="bi"/>
          </m:rPr>
          <w:rPr>
            <w:rFonts w:ascii="Cambria Math" w:hAnsi="Cambria Math"/>
          </w:rPr>
          <m:t>ΔT</m:t>
        </m:r>
      </m:oMath>
      <w:r>
        <w:t>.</w:t>
      </w:r>
      <w:bookmarkEnd w:id="149"/>
    </w:p>
    <w:tbl>
      <w:tblPr>
        <w:tblW w:w="4652" w:type="dxa"/>
        <w:jc w:val="center"/>
        <w:tblLook w:val="04A0" w:firstRow="1" w:lastRow="0" w:firstColumn="1" w:lastColumn="0" w:noHBand="0" w:noVBand="1"/>
      </w:tblPr>
      <w:tblGrid>
        <w:gridCol w:w="1216"/>
        <w:gridCol w:w="1189"/>
        <w:gridCol w:w="692"/>
        <w:gridCol w:w="1189"/>
        <w:gridCol w:w="692"/>
      </w:tblGrid>
      <w:tr w:rsidR="00190D60" w:rsidRPr="002C109A" w14:paraId="721BB110" w14:textId="77777777" w:rsidTr="002C109A">
        <w:trPr>
          <w:trHeight w:val="288"/>
          <w:jc w:val="center"/>
        </w:trPr>
        <w:tc>
          <w:tcPr>
            <w:tcW w:w="1132" w:type="dxa"/>
            <w:tcBorders>
              <w:right w:val="single" w:sz="4" w:space="0" w:color="auto"/>
            </w:tcBorders>
            <w:shd w:val="clear" w:color="auto" w:fill="auto"/>
            <w:noWrap/>
            <w:vAlign w:val="center"/>
            <w:hideMark/>
          </w:tcPr>
          <w:p w14:paraId="05CA079F" w14:textId="77777777" w:rsidR="00190D60" w:rsidRPr="002C109A" w:rsidRDefault="00190D60" w:rsidP="00890D03">
            <w:pPr>
              <w:spacing w:line="240" w:lineRule="auto"/>
              <w:jc w:val="center"/>
              <w:rPr>
                <w:rFonts w:eastAsia="Times New Roman" w:cs="Times New Roman"/>
                <w:color w:val="000000"/>
              </w:rPr>
            </w:pPr>
          </w:p>
        </w:tc>
        <w:tc>
          <w:tcPr>
            <w:tcW w:w="1760" w:type="dxa"/>
            <w:gridSpan w:val="2"/>
            <w:tcBorders>
              <w:left w:val="single" w:sz="4" w:space="0" w:color="auto"/>
              <w:right w:val="single" w:sz="4" w:space="0" w:color="auto"/>
            </w:tcBorders>
            <w:shd w:val="clear" w:color="auto" w:fill="auto"/>
            <w:noWrap/>
            <w:vAlign w:val="center"/>
            <w:hideMark/>
          </w:tcPr>
          <w:p w14:paraId="32931576" w14:textId="77777777" w:rsidR="00190D60" w:rsidRPr="002C109A" w:rsidRDefault="00190D60" w:rsidP="00890D03">
            <w:pPr>
              <w:spacing w:line="240" w:lineRule="auto"/>
              <w:jc w:val="center"/>
              <w:rPr>
                <w:rFonts w:eastAsia="Times New Roman" w:cs="Times New Roman"/>
                <w:color w:val="000000"/>
              </w:rPr>
            </w:pPr>
            <w:r w:rsidRPr="002C109A">
              <w:rPr>
                <w:rFonts w:eastAsia="Times New Roman" w:cs="Times New Roman"/>
                <w:color w:val="000000"/>
              </w:rPr>
              <w:t>ΔP</w:t>
            </w:r>
          </w:p>
        </w:tc>
        <w:tc>
          <w:tcPr>
            <w:tcW w:w="1760" w:type="dxa"/>
            <w:gridSpan w:val="2"/>
            <w:tcBorders>
              <w:left w:val="single" w:sz="4" w:space="0" w:color="auto"/>
            </w:tcBorders>
            <w:shd w:val="clear" w:color="auto" w:fill="auto"/>
            <w:noWrap/>
            <w:vAlign w:val="center"/>
            <w:hideMark/>
          </w:tcPr>
          <w:p w14:paraId="4FAB1A45" w14:textId="77777777" w:rsidR="00190D60" w:rsidRPr="002C109A" w:rsidRDefault="00190D60" w:rsidP="00890D03">
            <w:pPr>
              <w:spacing w:line="240" w:lineRule="auto"/>
              <w:jc w:val="center"/>
              <w:rPr>
                <w:rFonts w:eastAsia="Times New Roman" w:cs="Times New Roman"/>
                <w:color w:val="000000"/>
              </w:rPr>
            </w:pPr>
            <w:r w:rsidRPr="002C109A">
              <w:rPr>
                <w:rFonts w:eastAsia="Times New Roman" w:cs="Times New Roman"/>
                <w:color w:val="000000"/>
              </w:rPr>
              <w:t>ΔT</w:t>
            </w:r>
          </w:p>
        </w:tc>
      </w:tr>
      <w:tr w:rsidR="00190D60" w:rsidRPr="002C109A" w14:paraId="2C5D2577" w14:textId="77777777" w:rsidTr="002C109A">
        <w:trPr>
          <w:trHeight w:val="288"/>
          <w:jc w:val="center"/>
        </w:trPr>
        <w:tc>
          <w:tcPr>
            <w:tcW w:w="1132" w:type="dxa"/>
            <w:tcBorders>
              <w:bottom w:val="single" w:sz="4" w:space="0" w:color="auto"/>
              <w:right w:val="single" w:sz="4" w:space="0" w:color="auto"/>
            </w:tcBorders>
            <w:shd w:val="clear" w:color="auto" w:fill="auto"/>
            <w:noWrap/>
            <w:vAlign w:val="center"/>
            <w:hideMark/>
          </w:tcPr>
          <w:p w14:paraId="2B64B783" w14:textId="77777777" w:rsidR="00190D60" w:rsidRPr="002C109A" w:rsidRDefault="00190D60" w:rsidP="00890D03">
            <w:pPr>
              <w:spacing w:line="240" w:lineRule="auto"/>
              <w:jc w:val="center"/>
              <w:rPr>
                <w:rFonts w:eastAsia="Times New Roman" w:cs="Times New Roman"/>
                <w:color w:val="000000"/>
              </w:rPr>
            </w:pPr>
            <w:r w:rsidRPr="002C109A">
              <w:rPr>
                <w:rFonts w:eastAsia="Times New Roman" w:cs="Times New Roman"/>
                <w:color w:val="000000"/>
              </w:rPr>
              <w:t>Parameter</w:t>
            </w:r>
          </w:p>
        </w:tc>
        <w:tc>
          <w:tcPr>
            <w:tcW w:w="1108" w:type="dxa"/>
            <w:tcBorders>
              <w:left w:val="single" w:sz="4" w:space="0" w:color="auto"/>
              <w:bottom w:val="single" w:sz="4" w:space="0" w:color="auto"/>
            </w:tcBorders>
            <w:shd w:val="clear" w:color="auto" w:fill="auto"/>
            <w:noWrap/>
            <w:vAlign w:val="center"/>
            <w:hideMark/>
          </w:tcPr>
          <w:p w14:paraId="51E0EA71" w14:textId="77777777" w:rsidR="00190D60" w:rsidRPr="002C109A" w:rsidRDefault="00190D60" w:rsidP="00890D03">
            <w:pPr>
              <w:spacing w:line="240" w:lineRule="auto"/>
              <w:jc w:val="center"/>
              <w:rPr>
                <w:rFonts w:eastAsia="Times New Roman" w:cs="Times New Roman"/>
                <w:color w:val="000000"/>
              </w:rPr>
            </w:pPr>
            <w:r w:rsidRPr="002C109A">
              <w:rPr>
                <w:rFonts w:eastAsia="Times New Roman" w:cs="Times New Roman"/>
                <w:color w:val="000000"/>
              </w:rPr>
              <w:t>Parameter Change</w:t>
            </w:r>
          </w:p>
        </w:tc>
        <w:tc>
          <w:tcPr>
            <w:tcW w:w="652" w:type="dxa"/>
            <w:tcBorders>
              <w:bottom w:val="single" w:sz="4" w:space="0" w:color="auto"/>
              <w:right w:val="single" w:sz="4" w:space="0" w:color="auto"/>
            </w:tcBorders>
            <w:shd w:val="clear" w:color="auto" w:fill="auto"/>
            <w:noWrap/>
            <w:vAlign w:val="center"/>
            <w:hideMark/>
          </w:tcPr>
          <w:p w14:paraId="3C8EC053" w14:textId="77777777" w:rsidR="00190D60" w:rsidRPr="002C109A" w:rsidRDefault="00190D60" w:rsidP="00890D03">
            <w:pPr>
              <w:spacing w:line="240" w:lineRule="auto"/>
              <w:jc w:val="center"/>
              <w:rPr>
                <w:rFonts w:eastAsia="Times New Roman" w:cs="Times New Roman"/>
                <w:color w:val="000000"/>
              </w:rPr>
            </w:pPr>
            <w:r w:rsidRPr="002C109A">
              <w:rPr>
                <w:rFonts w:eastAsia="Times New Roman" w:cs="Times New Roman"/>
                <w:color w:val="000000"/>
              </w:rPr>
              <w:t>Gap (μm)</w:t>
            </w:r>
          </w:p>
        </w:tc>
        <w:tc>
          <w:tcPr>
            <w:tcW w:w="1108" w:type="dxa"/>
            <w:tcBorders>
              <w:left w:val="single" w:sz="4" w:space="0" w:color="auto"/>
              <w:bottom w:val="single" w:sz="4" w:space="0" w:color="auto"/>
            </w:tcBorders>
            <w:shd w:val="clear" w:color="auto" w:fill="auto"/>
            <w:noWrap/>
            <w:vAlign w:val="center"/>
            <w:hideMark/>
          </w:tcPr>
          <w:p w14:paraId="4B7510BC" w14:textId="77777777" w:rsidR="00190D60" w:rsidRPr="002C109A" w:rsidRDefault="00190D60" w:rsidP="00890D03">
            <w:pPr>
              <w:spacing w:line="240" w:lineRule="auto"/>
              <w:jc w:val="center"/>
              <w:rPr>
                <w:rFonts w:eastAsia="Times New Roman" w:cs="Times New Roman"/>
                <w:color w:val="000000"/>
              </w:rPr>
            </w:pPr>
            <w:r w:rsidRPr="002C109A">
              <w:rPr>
                <w:rFonts w:eastAsia="Times New Roman" w:cs="Times New Roman"/>
                <w:color w:val="000000"/>
              </w:rPr>
              <w:t>Parameter Change</w:t>
            </w:r>
          </w:p>
        </w:tc>
        <w:tc>
          <w:tcPr>
            <w:tcW w:w="652" w:type="dxa"/>
            <w:tcBorders>
              <w:bottom w:val="single" w:sz="4" w:space="0" w:color="auto"/>
            </w:tcBorders>
            <w:shd w:val="clear" w:color="auto" w:fill="auto"/>
            <w:noWrap/>
            <w:vAlign w:val="center"/>
            <w:hideMark/>
          </w:tcPr>
          <w:p w14:paraId="650FDB4E" w14:textId="77777777" w:rsidR="00190D60" w:rsidRPr="002C109A" w:rsidRDefault="00190D60" w:rsidP="00890D03">
            <w:pPr>
              <w:spacing w:line="240" w:lineRule="auto"/>
              <w:jc w:val="center"/>
              <w:rPr>
                <w:rFonts w:eastAsia="Times New Roman" w:cs="Times New Roman"/>
                <w:color w:val="000000"/>
              </w:rPr>
            </w:pPr>
            <w:r w:rsidRPr="002C109A">
              <w:rPr>
                <w:rFonts w:eastAsia="Times New Roman" w:cs="Times New Roman"/>
                <w:color w:val="000000"/>
              </w:rPr>
              <w:t>Gap (μm)</w:t>
            </w:r>
          </w:p>
        </w:tc>
      </w:tr>
      <w:tr w:rsidR="00190D60" w:rsidRPr="002C109A" w14:paraId="6F0B26F8" w14:textId="77777777" w:rsidTr="002C109A">
        <w:trPr>
          <w:trHeight w:val="288"/>
          <w:jc w:val="center"/>
        </w:trPr>
        <w:tc>
          <w:tcPr>
            <w:tcW w:w="1132" w:type="dxa"/>
            <w:tcBorders>
              <w:top w:val="single" w:sz="4" w:space="0" w:color="auto"/>
              <w:right w:val="single" w:sz="4" w:space="0" w:color="auto"/>
            </w:tcBorders>
            <w:shd w:val="clear" w:color="auto" w:fill="auto"/>
            <w:noWrap/>
            <w:vAlign w:val="center"/>
            <w:hideMark/>
          </w:tcPr>
          <w:p w14:paraId="0C730FD0" w14:textId="77777777" w:rsidR="00190D60" w:rsidRPr="002C109A" w:rsidRDefault="00077C0B" w:rsidP="00890D03">
            <w:pPr>
              <w:spacing w:line="240" w:lineRule="auto"/>
              <w:jc w:val="center"/>
              <w:rPr>
                <w:rFonts w:eastAsia="Times New Roman" w:cs="Times New Roman"/>
                <w:color w:val="000000"/>
              </w:rPr>
            </w:pPr>
            <m:oMathPara>
              <m:oMath>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ω</m:t>
                    </m:r>
                  </m:e>
                  <m:sub>
                    <m:r>
                      <w:rPr>
                        <w:rFonts w:ascii="Cambria Math" w:eastAsia="Times New Roman" w:hAnsi="Cambria Math" w:cs="Times New Roman"/>
                        <w:color w:val="000000"/>
                      </w:rPr>
                      <m:t>casing</m:t>
                    </m:r>
                  </m:sub>
                </m:sSub>
              </m:oMath>
            </m:oMathPara>
          </w:p>
        </w:tc>
        <w:tc>
          <w:tcPr>
            <w:tcW w:w="1108" w:type="dxa"/>
            <w:tcBorders>
              <w:top w:val="single" w:sz="4" w:space="0" w:color="auto"/>
              <w:left w:val="single" w:sz="4" w:space="0" w:color="auto"/>
            </w:tcBorders>
            <w:shd w:val="clear" w:color="auto" w:fill="auto"/>
            <w:noWrap/>
            <w:vAlign w:val="center"/>
            <w:hideMark/>
          </w:tcPr>
          <w:p w14:paraId="35326047" w14:textId="77777777" w:rsidR="00190D60" w:rsidRPr="002C109A" w:rsidRDefault="00190D60" w:rsidP="00890D03">
            <w:pPr>
              <w:spacing w:line="240" w:lineRule="auto"/>
              <w:jc w:val="center"/>
              <w:rPr>
                <w:rFonts w:eastAsia="Times New Roman" w:cs="Times New Roman"/>
                <w:color w:val="000000"/>
              </w:rPr>
            </w:pPr>
            <w:r w:rsidRPr="002C109A">
              <w:rPr>
                <w:rFonts w:eastAsia="Times New Roman" w:cs="Times New Roman"/>
                <w:color w:val="000000"/>
              </w:rPr>
              <w:t>0.60</w:t>
            </w:r>
          </w:p>
        </w:tc>
        <w:tc>
          <w:tcPr>
            <w:tcW w:w="652" w:type="dxa"/>
            <w:tcBorders>
              <w:top w:val="single" w:sz="4" w:space="0" w:color="auto"/>
              <w:right w:val="single" w:sz="4" w:space="0" w:color="auto"/>
            </w:tcBorders>
            <w:shd w:val="clear" w:color="auto" w:fill="auto"/>
            <w:noWrap/>
            <w:vAlign w:val="center"/>
            <w:hideMark/>
          </w:tcPr>
          <w:p w14:paraId="68A442BB" w14:textId="77777777" w:rsidR="00190D60" w:rsidRPr="002C109A" w:rsidRDefault="00190D60" w:rsidP="00890D03">
            <w:pPr>
              <w:spacing w:line="240" w:lineRule="auto"/>
              <w:jc w:val="center"/>
              <w:rPr>
                <w:rFonts w:eastAsia="Times New Roman" w:cs="Times New Roman"/>
                <w:color w:val="000000"/>
              </w:rPr>
            </w:pPr>
            <w:r w:rsidRPr="002C109A">
              <w:rPr>
                <w:rFonts w:eastAsia="Times New Roman" w:cs="Times New Roman"/>
                <w:color w:val="000000"/>
              </w:rPr>
              <w:t>7.21</w:t>
            </w:r>
          </w:p>
        </w:tc>
        <w:tc>
          <w:tcPr>
            <w:tcW w:w="1108" w:type="dxa"/>
            <w:tcBorders>
              <w:top w:val="single" w:sz="4" w:space="0" w:color="auto"/>
              <w:left w:val="single" w:sz="4" w:space="0" w:color="auto"/>
            </w:tcBorders>
            <w:shd w:val="clear" w:color="auto" w:fill="auto"/>
            <w:noWrap/>
            <w:vAlign w:val="center"/>
            <w:hideMark/>
          </w:tcPr>
          <w:p w14:paraId="00A0EFF5" w14:textId="77777777" w:rsidR="00190D60" w:rsidRPr="002C109A" w:rsidRDefault="00190D60" w:rsidP="00890D03">
            <w:pPr>
              <w:spacing w:line="240" w:lineRule="auto"/>
              <w:jc w:val="center"/>
              <w:rPr>
                <w:rFonts w:eastAsia="Times New Roman" w:cs="Times New Roman"/>
                <w:color w:val="000000"/>
              </w:rPr>
            </w:pPr>
          </w:p>
        </w:tc>
        <w:tc>
          <w:tcPr>
            <w:tcW w:w="652" w:type="dxa"/>
            <w:tcBorders>
              <w:top w:val="single" w:sz="4" w:space="0" w:color="auto"/>
            </w:tcBorders>
            <w:shd w:val="clear" w:color="auto" w:fill="auto"/>
            <w:noWrap/>
            <w:vAlign w:val="center"/>
            <w:hideMark/>
          </w:tcPr>
          <w:p w14:paraId="39222C52" w14:textId="77777777" w:rsidR="00190D60" w:rsidRPr="002C109A" w:rsidRDefault="00190D60" w:rsidP="00890D03">
            <w:pPr>
              <w:spacing w:line="240" w:lineRule="auto"/>
              <w:jc w:val="center"/>
              <w:rPr>
                <w:rFonts w:eastAsia="Times New Roman" w:cs="Times New Roman"/>
                <w:color w:val="000000"/>
              </w:rPr>
            </w:pPr>
          </w:p>
        </w:tc>
      </w:tr>
      <w:tr w:rsidR="00190D60" w:rsidRPr="002C109A" w14:paraId="31F43208" w14:textId="77777777" w:rsidTr="002C109A">
        <w:trPr>
          <w:trHeight w:val="288"/>
          <w:jc w:val="center"/>
        </w:trPr>
        <w:tc>
          <w:tcPr>
            <w:tcW w:w="1132" w:type="dxa"/>
            <w:tcBorders>
              <w:right w:val="single" w:sz="4" w:space="0" w:color="auto"/>
            </w:tcBorders>
            <w:shd w:val="clear" w:color="auto" w:fill="auto"/>
            <w:noWrap/>
            <w:hideMark/>
          </w:tcPr>
          <w:p w14:paraId="19E2F3F4" w14:textId="77777777" w:rsidR="00190D60" w:rsidRPr="002C109A" w:rsidRDefault="00077C0B" w:rsidP="00890D03">
            <w:pPr>
              <w:spacing w:line="240" w:lineRule="auto"/>
              <w:jc w:val="center"/>
              <w:rPr>
                <w:rFonts w:eastAsia="Times New Roman" w:cs="Times New Roman"/>
                <w:color w:val="000000"/>
              </w:rPr>
            </w:pPr>
            <m:oMathPara>
              <m:oMath>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σ</m:t>
                    </m:r>
                  </m:e>
                  <m:sub>
                    <m:r>
                      <w:rPr>
                        <w:rFonts w:ascii="Cambria Math" w:eastAsia="Times New Roman" w:hAnsi="Cambria Math" w:cs="Times New Roman"/>
                        <w:color w:val="000000"/>
                      </w:rPr>
                      <m:t>cement</m:t>
                    </m:r>
                  </m:sub>
                </m:sSub>
              </m:oMath>
            </m:oMathPara>
          </w:p>
        </w:tc>
        <w:tc>
          <w:tcPr>
            <w:tcW w:w="1108" w:type="dxa"/>
            <w:tcBorders>
              <w:left w:val="single" w:sz="4" w:space="0" w:color="auto"/>
            </w:tcBorders>
            <w:shd w:val="clear" w:color="auto" w:fill="auto"/>
            <w:noWrap/>
            <w:hideMark/>
          </w:tcPr>
          <w:p w14:paraId="32B594DC" w14:textId="77777777" w:rsidR="00190D60" w:rsidRPr="002C109A" w:rsidRDefault="00190D60" w:rsidP="00890D03">
            <w:pPr>
              <w:spacing w:line="240" w:lineRule="auto"/>
              <w:jc w:val="center"/>
              <w:rPr>
                <w:rFonts w:eastAsia="Times New Roman" w:cs="Times New Roman"/>
                <w:color w:val="000000"/>
              </w:rPr>
            </w:pPr>
            <w:r w:rsidRPr="002C109A">
              <w:rPr>
                <w:rFonts w:eastAsia="Times New Roman" w:cs="Times New Roman"/>
                <w:color w:val="000000"/>
              </w:rPr>
              <w:t>1.21</w:t>
            </w:r>
          </w:p>
        </w:tc>
        <w:tc>
          <w:tcPr>
            <w:tcW w:w="652" w:type="dxa"/>
            <w:tcBorders>
              <w:right w:val="single" w:sz="4" w:space="0" w:color="auto"/>
            </w:tcBorders>
            <w:shd w:val="clear" w:color="auto" w:fill="auto"/>
            <w:noWrap/>
            <w:hideMark/>
          </w:tcPr>
          <w:p w14:paraId="7B1C7EC1" w14:textId="77777777" w:rsidR="00190D60" w:rsidRPr="002C109A" w:rsidRDefault="00190D60" w:rsidP="00890D03">
            <w:pPr>
              <w:spacing w:line="240" w:lineRule="auto"/>
              <w:jc w:val="center"/>
              <w:rPr>
                <w:rFonts w:eastAsia="Times New Roman" w:cs="Times New Roman"/>
                <w:color w:val="000000"/>
              </w:rPr>
            </w:pPr>
            <w:r w:rsidRPr="002C109A">
              <w:rPr>
                <w:rFonts w:eastAsia="Times New Roman" w:cs="Times New Roman"/>
                <w:color w:val="000000"/>
              </w:rPr>
              <w:t>3.71</w:t>
            </w:r>
          </w:p>
        </w:tc>
        <w:tc>
          <w:tcPr>
            <w:tcW w:w="1108" w:type="dxa"/>
            <w:tcBorders>
              <w:left w:val="single" w:sz="4" w:space="0" w:color="auto"/>
            </w:tcBorders>
            <w:shd w:val="clear" w:color="auto" w:fill="auto"/>
            <w:noWrap/>
            <w:hideMark/>
          </w:tcPr>
          <w:p w14:paraId="0F37B338" w14:textId="77777777" w:rsidR="00190D60" w:rsidRPr="002C109A" w:rsidRDefault="00190D60" w:rsidP="00890D03">
            <w:pPr>
              <w:spacing w:line="240" w:lineRule="auto"/>
              <w:jc w:val="center"/>
              <w:rPr>
                <w:rFonts w:eastAsia="Times New Roman" w:cs="Times New Roman"/>
                <w:color w:val="000000"/>
              </w:rPr>
            </w:pPr>
            <w:r w:rsidRPr="002C109A">
              <w:rPr>
                <w:rFonts w:eastAsia="Times New Roman" w:cs="Times New Roman"/>
                <w:color w:val="000000"/>
              </w:rPr>
              <w:t>1.21</w:t>
            </w:r>
          </w:p>
        </w:tc>
        <w:tc>
          <w:tcPr>
            <w:tcW w:w="652" w:type="dxa"/>
            <w:shd w:val="clear" w:color="auto" w:fill="auto"/>
            <w:noWrap/>
            <w:hideMark/>
          </w:tcPr>
          <w:p w14:paraId="66E31D9E" w14:textId="77777777" w:rsidR="00190D60" w:rsidRPr="002C109A" w:rsidRDefault="00190D60" w:rsidP="00890D03">
            <w:pPr>
              <w:spacing w:line="240" w:lineRule="auto"/>
              <w:jc w:val="center"/>
              <w:rPr>
                <w:rFonts w:eastAsia="Times New Roman" w:cs="Times New Roman"/>
                <w:color w:val="000000"/>
              </w:rPr>
            </w:pPr>
            <w:r w:rsidRPr="002C109A">
              <w:rPr>
                <w:rFonts w:eastAsia="Times New Roman" w:cs="Times New Roman"/>
                <w:color w:val="000000"/>
              </w:rPr>
              <w:t>3.50</w:t>
            </w:r>
          </w:p>
        </w:tc>
      </w:tr>
      <w:tr w:rsidR="00190D60" w:rsidRPr="002C109A" w14:paraId="6FE91EDE" w14:textId="77777777" w:rsidTr="002C109A">
        <w:trPr>
          <w:trHeight w:val="288"/>
          <w:jc w:val="center"/>
        </w:trPr>
        <w:tc>
          <w:tcPr>
            <w:tcW w:w="1132" w:type="dxa"/>
            <w:tcBorders>
              <w:right w:val="single" w:sz="4" w:space="0" w:color="auto"/>
            </w:tcBorders>
            <w:shd w:val="clear" w:color="auto" w:fill="auto"/>
            <w:noWrap/>
            <w:vAlign w:val="center"/>
            <w:hideMark/>
          </w:tcPr>
          <w:p w14:paraId="00302B83" w14:textId="77777777" w:rsidR="00190D60" w:rsidRPr="002C109A" w:rsidRDefault="00190D60" w:rsidP="00890D03">
            <w:pPr>
              <w:spacing w:line="240" w:lineRule="auto"/>
              <w:jc w:val="center"/>
              <w:rPr>
                <w:rFonts w:eastAsia="Times New Roman" w:cs="Times New Roman"/>
                <w:color w:val="000000"/>
              </w:rPr>
            </w:pPr>
            <m:oMathPara>
              <m:oMath>
                <m:r>
                  <w:rPr>
                    <w:rFonts w:ascii="Cambria Math" w:eastAsia="Times New Roman" w:hAnsi="Cambria Math" w:cs="Times New Roman"/>
                    <w:color w:val="000000"/>
                  </w:rPr>
                  <m:t>Hole Size</m:t>
                </m:r>
              </m:oMath>
            </m:oMathPara>
          </w:p>
        </w:tc>
        <w:tc>
          <w:tcPr>
            <w:tcW w:w="1108" w:type="dxa"/>
            <w:tcBorders>
              <w:left w:val="single" w:sz="4" w:space="0" w:color="auto"/>
            </w:tcBorders>
            <w:shd w:val="clear" w:color="auto" w:fill="auto"/>
            <w:noWrap/>
            <w:vAlign w:val="center"/>
            <w:hideMark/>
          </w:tcPr>
          <w:p w14:paraId="5301E275" w14:textId="77777777" w:rsidR="00190D60" w:rsidRPr="002C109A" w:rsidRDefault="00190D60" w:rsidP="00890D03">
            <w:pPr>
              <w:spacing w:line="240" w:lineRule="auto"/>
              <w:jc w:val="center"/>
              <w:rPr>
                <w:rFonts w:eastAsia="Times New Roman" w:cs="Times New Roman"/>
                <w:color w:val="000000"/>
              </w:rPr>
            </w:pPr>
            <w:r w:rsidRPr="002C109A">
              <w:rPr>
                <w:rFonts w:eastAsia="Times New Roman" w:cs="Times New Roman"/>
                <w:color w:val="000000"/>
              </w:rPr>
              <w:t>1.40</w:t>
            </w:r>
          </w:p>
        </w:tc>
        <w:tc>
          <w:tcPr>
            <w:tcW w:w="652" w:type="dxa"/>
            <w:tcBorders>
              <w:right w:val="single" w:sz="4" w:space="0" w:color="auto"/>
            </w:tcBorders>
            <w:shd w:val="clear" w:color="auto" w:fill="auto"/>
            <w:noWrap/>
            <w:vAlign w:val="center"/>
            <w:hideMark/>
          </w:tcPr>
          <w:p w14:paraId="0A59803F" w14:textId="77777777" w:rsidR="00190D60" w:rsidRPr="002C109A" w:rsidRDefault="00190D60" w:rsidP="00890D03">
            <w:pPr>
              <w:spacing w:line="240" w:lineRule="auto"/>
              <w:jc w:val="center"/>
              <w:rPr>
                <w:rFonts w:eastAsia="Times New Roman" w:cs="Times New Roman"/>
                <w:color w:val="000000"/>
              </w:rPr>
            </w:pPr>
            <w:r w:rsidRPr="002C109A">
              <w:rPr>
                <w:rFonts w:eastAsia="Times New Roman" w:cs="Times New Roman"/>
                <w:color w:val="000000"/>
              </w:rPr>
              <w:t>2.73</w:t>
            </w:r>
          </w:p>
        </w:tc>
        <w:tc>
          <w:tcPr>
            <w:tcW w:w="1108" w:type="dxa"/>
            <w:tcBorders>
              <w:left w:val="single" w:sz="4" w:space="0" w:color="auto"/>
            </w:tcBorders>
            <w:shd w:val="clear" w:color="auto" w:fill="auto"/>
            <w:noWrap/>
            <w:vAlign w:val="center"/>
            <w:hideMark/>
          </w:tcPr>
          <w:p w14:paraId="2699954E" w14:textId="77777777" w:rsidR="00190D60" w:rsidRPr="002C109A" w:rsidRDefault="00190D60" w:rsidP="00890D03">
            <w:pPr>
              <w:spacing w:line="240" w:lineRule="auto"/>
              <w:jc w:val="center"/>
              <w:rPr>
                <w:rFonts w:eastAsia="Times New Roman" w:cs="Times New Roman"/>
                <w:color w:val="000000"/>
              </w:rPr>
            </w:pPr>
            <w:r w:rsidRPr="002C109A">
              <w:rPr>
                <w:rFonts w:eastAsia="Times New Roman" w:cs="Times New Roman"/>
                <w:color w:val="000000"/>
              </w:rPr>
              <w:t>0.60</w:t>
            </w:r>
          </w:p>
        </w:tc>
        <w:tc>
          <w:tcPr>
            <w:tcW w:w="652" w:type="dxa"/>
            <w:shd w:val="clear" w:color="auto" w:fill="auto"/>
            <w:noWrap/>
            <w:vAlign w:val="center"/>
            <w:hideMark/>
          </w:tcPr>
          <w:p w14:paraId="6D018F73" w14:textId="77777777" w:rsidR="00190D60" w:rsidRPr="002C109A" w:rsidRDefault="00190D60" w:rsidP="00890D03">
            <w:pPr>
              <w:spacing w:line="240" w:lineRule="auto"/>
              <w:jc w:val="center"/>
              <w:rPr>
                <w:rFonts w:eastAsia="Times New Roman" w:cs="Times New Roman"/>
                <w:color w:val="000000"/>
              </w:rPr>
            </w:pPr>
            <w:r w:rsidRPr="002C109A">
              <w:rPr>
                <w:rFonts w:eastAsia="Times New Roman" w:cs="Times New Roman"/>
                <w:color w:val="000000"/>
              </w:rPr>
              <w:t>0.90</w:t>
            </w:r>
          </w:p>
        </w:tc>
      </w:tr>
      <w:tr w:rsidR="00190D60" w:rsidRPr="002C109A" w14:paraId="245F04EC" w14:textId="77777777" w:rsidTr="002C109A">
        <w:trPr>
          <w:trHeight w:val="288"/>
          <w:jc w:val="center"/>
        </w:trPr>
        <w:tc>
          <w:tcPr>
            <w:tcW w:w="1132" w:type="dxa"/>
            <w:tcBorders>
              <w:right w:val="single" w:sz="4" w:space="0" w:color="auto"/>
            </w:tcBorders>
            <w:shd w:val="clear" w:color="auto" w:fill="auto"/>
            <w:noWrap/>
            <w:vAlign w:val="center"/>
            <w:hideMark/>
          </w:tcPr>
          <w:p w14:paraId="5D5220A9" w14:textId="77777777" w:rsidR="00190D60" w:rsidRPr="002C109A" w:rsidRDefault="00077C0B" w:rsidP="00890D03">
            <w:pPr>
              <w:spacing w:line="240" w:lineRule="auto"/>
              <w:jc w:val="center"/>
              <w:rPr>
                <w:rFonts w:eastAsia="Times New Roman" w:cs="Times New Roman"/>
                <w:color w:val="000000"/>
              </w:rPr>
            </w:pPr>
            <m:oMathPara>
              <m:oMath>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E</m:t>
                    </m:r>
                  </m:e>
                  <m:sub>
                    <m:r>
                      <w:rPr>
                        <w:rFonts w:ascii="Cambria Math" w:eastAsia="Times New Roman" w:hAnsi="Cambria Math" w:cs="Times New Roman"/>
                        <w:color w:val="000000"/>
                      </w:rPr>
                      <m:t>cement</m:t>
                    </m:r>
                  </m:sub>
                </m:sSub>
              </m:oMath>
            </m:oMathPara>
          </w:p>
        </w:tc>
        <w:tc>
          <w:tcPr>
            <w:tcW w:w="1108" w:type="dxa"/>
            <w:tcBorders>
              <w:left w:val="single" w:sz="4" w:space="0" w:color="auto"/>
            </w:tcBorders>
            <w:shd w:val="clear" w:color="auto" w:fill="auto"/>
            <w:noWrap/>
            <w:vAlign w:val="center"/>
            <w:hideMark/>
          </w:tcPr>
          <w:p w14:paraId="32BBD088" w14:textId="77777777" w:rsidR="00190D60" w:rsidRPr="002C109A" w:rsidRDefault="00190D60" w:rsidP="00890D03">
            <w:pPr>
              <w:spacing w:line="240" w:lineRule="auto"/>
              <w:jc w:val="center"/>
              <w:rPr>
                <w:rFonts w:eastAsia="Times New Roman" w:cs="Times New Roman"/>
                <w:color w:val="000000"/>
              </w:rPr>
            </w:pPr>
            <w:r w:rsidRPr="002C109A">
              <w:rPr>
                <w:rFonts w:eastAsia="Times New Roman" w:cs="Times New Roman"/>
                <w:color w:val="000000"/>
              </w:rPr>
              <w:t>1.49</w:t>
            </w:r>
          </w:p>
        </w:tc>
        <w:tc>
          <w:tcPr>
            <w:tcW w:w="652" w:type="dxa"/>
            <w:tcBorders>
              <w:right w:val="single" w:sz="4" w:space="0" w:color="auto"/>
            </w:tcBorders>
            <w:shd w:val="clear" w:color="auto" w:fill="auto"/>
            <w:noWrap/>
            <w:vAlign w:val="center"/>
            <w:hideMark/>
          </w:tcPr>
          <w:p w14:paraId="6A3BC2C7" w14:textId="77777777" w:rsidR="00190D60" w:rsidRPr="002C109A" w:rsidRDefault="00190D60" w:rsidP="00890D03">
            <w:pPr>
              <w:spacing w:line="240" w:lineRule="auto"/>
              <w:jc w:val="center"/>
              <w:rPr>
                <w:rFonts w:eastAsia="Times New Roman" w:cs="Times New Roman"/>
                <w:color w:val="000000"/>
              </w:rPr>
            </w:pPr>
            <w:r w:rsidRPr="002C109A">
              <w:rPr>
                <w:rFonts w:eastAsia="Times New Roman" w:cs="Times New Roman"/>
                <w:color w:val="000000"/>
              </w:rPr>
              <w:t>2.52</w:t>
            </w:r>
          </w:p>
        </w:tc>
        <w:tc>
          <w:tcPr>
            <w:tcW w:w="1108" w:type="dxa"/>
            <w:tcBorders>
              <w:left w:val="single" w:sz="4" w:space="0" w:color="auto"/>
            </w:tcBorders>
            <w:shd w:val="clear" w:color="auto" w:fill="auto"/>
            <w:noWrap/>
            <w:vAlign w:val="center"/>
            <w:hideMark/>
          </w:tcPr>
          <w:p w14:paraId="11AC302D" w14:textId="77777777" w:rsidR="00190D60" w:rsidRPr="002C109A" w:rsidRDefault="00190D60" w:rsidP="00890D03">
            <w:pPr>
              <w:spacing w:line="240" w:lineRule="auto"/>
              <w:jc w:val="center"/>
              <w:rPr>
                <w:rFonts w:eastAsia="Times New Roman" w:cs="Times New Roman"/>
                <w:color w:val="000000"/>
              </w:rPr>
            </w:pPr>
            <w:r w:rsidRPr="002C109A">
              <w:rPr>
                <w:rFonts w:eastAsia="Times New Roman" w:cs="Times New Roman"/>
                <w:color w:val="000000"/>
              </w:rPr>
              <w:t>1.49</w:t>
            </w:r>
          </w:p>
        </w:tc>
        <w:tc>
          <w:tcPr>
            <w:tcW w:w="652" w:type="dxa"/>
            <w:shd w:val="clear" w:color="auto" w:fill="auto"/>
            <w:noWrap/>
            <w:vAlign w:val="center"/>
            <w:hideMark/>
          </w:tcPr>
          <w:p w14:paraId="15C0E6B2" w14:textId="77777777" w:rsidR="00190D60" w:rsidRPr="002C109A" w:rsidRDefault="00190D60" w:rsidP="00890D03">
            <w:pPr>
              <w:spacing w:line="240" w:lineRule="auto"/>
              <w:jc w:val="center"/>
              <w:rPr>
                <w:rFonts w:eastAsia="Times New Roman" w:cs="Times New Roman"/>
                <w:color w:val="000000"/>
              </w:rPr>
            </w:pPr>
            <w:r w:rsidRPr="002C109A">
              <w:rPr>
                <w:rFonts w:eastAsia="Times New Roman" w:cs="Times New Roman"/>
                <w:color w:val="000000"/>
              </w:rPr>
              <w:t>1.10</w:t>
            </w:r>
          </w:p>
        </w:tc>
      </w:tr>
    </w:tbl>
    <w:p w14:paraId="6C4C856F" w14:textId="77777777" w:rsidR="00190D60" w:rsidRDefault="00190D60" w:rsidP="00190D60">
      <w:pPr>
        <w:ind w:firstLine="720"/>
      </w:pPr>
    </w:p>
    <w:p w14:paraId="4EA7D9E7" w14:textId="77777777" w:rsidR="00190D60" w:rsidRPr="00BB51C6" w:rsidRDefault="00190D60" w:rsidP="00190D60">
      <w:pPr>
        <w:rPr>
          <w:b/>
        </w:rPr>
      </w:pPr>
      <w:r>
        <w:rPr>
          <w:b/>
        </w:rPr>
        <w:t>44</w:t>
      </w:r>
      <w:r w:rsidRPr="00BB51C6">
        <w:rPr>
          <w:b/>
        </w:rPr>
        <w:t>% Reduction</w:t>
      </w:r>
    </w:p>
    <w:p w14:paraId="185F4006" w14:textId="45CCBE16" w:rsidR="00190D60" w:rsidRDefault="00190D60" w:rsidP="00190D60">
      <w:pPr>
        <w:ind w:firstLine="720"/>
      </w:pPr>
      <w:r w:rsidRPr="00166474">
        <w:t xml:space="preserve">The microannuli gaps for a 44% reduction in </w:t>
      </w:r>
      <m:oMath>
        <m:r>
          <w:rPr>
            <w:rFonts w:ascii="Cambria Math" w:hAnsi="Cambria Math"/>
          </w:rPr>
          <m:t>ΔP</m:t>
        </m:r>
      </m:oMath>
      <w:r w:rsidRPr="00166474">
        <w:t xml:space="preserve"> and </w:t>
      </w:r>
      <m:oMath>
        <m:r>
          <w:rPr>
            <w:rFonts w:ascii="Cambria Math" w:hAnsi="Cambria Math"/>
          </w:rPr>
          <m:t>ΔT</m:t>
        </m:r>
      </m:oMath>
      <w:r w:rsidRPr="00166474">
        <w:t xml:space="preserve"> range in size from 0 μm to 51.2 μm.  For the base wellbore, </w:t>
      </w:r>
      <m:oMath>
        <m:r>
          <w:rPr>
            <w:rFonts w:ascii="Cambria Math" w:hAnsi="Cambria Math"/>
          </w:rPr>
          <m:t>ΔP</m:t>
        </m:r>
      </m:oMath>
      <w:r w:rsidRPr="00166474">
        <w:t xml:space="preserve"> resulted in a gap of 1.25 μm</w:t>
      </w:r>
      <w:r>
        <w:t xml:space="preserve"> and variations of </w:t>
      </w:r>
      <m:oMath>
        <m:sSup>
          <m:sSupPr>
            <m:ctrlPr>
              <w:rPr>
                <w:rFonts w:ascii="Cambria Math" w:hAnsi="Cambria Math"/>
                <w:i/>
              </w:rPr>
            </m:ctrlPr>
          </m:sSupPr>
          <m:e>
            <m:r>
              <w:rPr>
                <w:rFonts w:ascii="Cambria Math" w:hAnsi="Cambria Math"/>
              </w:rPr>
              <m:t>τ</m:t>
            </m:r>
          </m:e>
          <m:sup>
            <m:r>
              <w:rPr>
                <w:rFonts w:ascii="Cambria Math" w:hAnsi="Cambria Math"/>
              </w:rPr>
              <m:t>o</m:t>
            </m:r>
          </m:sup>
        </m:sSup>
      </m:oMath>
      <w:r w:rsidRPr="00166474">
        <w:t xml:space="preserve">, </w:t>
      </w:r>
      <m:oMath>
        <m:sSub>
          <m:sSubPr>
            <m:ctrlPr>
              <w:rPr>
                <w:rFonts w:ascii="Cambria Math" w:hAnsi="Cambria Math"/>
                <w:i/>
              </w:rPr>
            </m:ctrlPr>
          </m:sSubPr>
          <m:e>
            <m:r>
              <w:rPr>
                <w:rFonts w:ascii="Cambria Math" w:hAnsi="Cambria Math"/>
              </w:rPr>
              <m:t>E</m:t>
            </m:r>
          </m:e>
          <m:sub>
            <m:r>
              <w:rPr>
                <w:rFonts w:ascii="Cambria Math" w:hAnsi="Cambria Math"/>
              </w:rPr>
              <m:t>rock</m:t>
            </m:r>
          </m:sub>
        </m:sSub>
      </m:oMath>
      <w:r w:rsidRPr="00166474">
        <w:t xml:space="preserve">, </w:t>
      </w:r>
      <m:oMath>
        <m:sSub>
          <m:sSubPr>
            <m:ctrlPr>
              <w:rPr>
                <w:rFonts w:ascii="Cambria Math" w:hAnsi="Cambria Math"/>
                <w:i/>
              </w:rPr>
            </m:ctrlPr>
          </m:sSubPr>
          <m:e>
            <m:r>
              <w:rPr>
                <w:rFonts w:ascii="Cambria Math" w:hAnsi="Cambria Math"/>
              </w:rPr>
              <m:t>E</m:t>
            </m:r>
          </m:e>
          <m:sub>
            <m:r>
              <w:rPr>
                <w:rFonts w:ascii="Cambria Math" w:hAnsi="Cambria Math"/>
              </w:rPr>
              <m:t>cement</m:t>
            </m:r>
          </m:sub>
        </m:sSub>
      </m:oMath>
      <w:r w:rsidRPr="00166474">
        <w:t xml:space="preserve">, </w:t>
      </w:r>
      <m:oMath>
        <m:sSub>
          <m:sSubPr>
            <m:ctrlPr>
              <w:rPr>
                <w:rFonts w:ascii="Cambria Math" w:hAnsi="Cambria Math"/>
                <w:i/>
              </w:rPr>
            </m:ctrlPr>
          </m:sSubPr>
          <m:e>
            <m:r>
              <w:rPr>
                <w:rFonts w:ascii="Cambria Math" w:hAnsi="Cambria Math"/>
              </w:rPr>
              <m:t>v</m:t>
            </m:r>
          </m:e>
          <m:sub>
            <m:r>
              <w:rPr>
                <w:rFonts w:ascii="Cambria Math" w:hAnsi="Cambria Math"/>
              </w:rPr>
              <m:t>cement</m:t>
            </m:r>
          </m:sub>
        </m:sSub>
      </m:oMath>
      <w:r w:rsidRPr="00166474">
        <w:t xml:space="preserve">, </w:t>
      </w:r>
      <m:oMath>
        <m:sSub>
          <m:sSubPr>
            <m:ctrlPr>
              <w:rPr>
                <w:rFonts w:ascii="Cambria Math" w:hAnsi="Cambria Math"/>
                <w:i/>
              </w:rPr>
            </m:ctrlPr>
          </m:sSubPr>
          <m:e>
            <m:r>
              <w:rPr>
                <w:rFonts w:ascii="Cambria Math" w:hAnsi="Cambria Math"/>
              </w:rPr>
              <m:t>σ</m:t>
            </m:r>
          </m:e>
          <m:sub>
            <m:r>
              <w:rPr>
                <w:rFonts w:ascii="Cambria Math" w:hAnsi="Cambria Math"/>
              </w:rPr>
              <m:t>cement</m:t>
            </m:r>
          </m:sub>
        </m:sSub>
      </m:oMath>
      <w:r w:rsidRPr="00166474">
        <w:t xml:space="preserve">, </w:t>
      </w:r>
      <m:oMath>
        <m:r>
          <w:rPr>
            <w:rFonts w:ascii="Cambria Math" w:hAnsi="Cambria Math"/>
          </w:rPr>
          <m:t>Hole Size</m:t>
        </m:r>
      </m:oMath>
      <w:r w:rsidRPr="00166474">
        <w:t xml:space="preserve">, </w:t>
      </w:r>
      <m:oMath>
        <m:sSub>
          <m:sSubPr>
            <m:ctrlPr>
              <w:rPr>
                <w:rFonts w:ascii="Cambria Math" w:hAnsi="Cambria Math"/>
                <w:i/>
              </w:rPr>
            </m:ctrlPr>
          </m:sSubPr>
          <m:e>
            <m:r>
              <w:rPr>
                <w:rFonts w:ascii="Cambria Math" w:hAnsi="Cambria Math"/>
              </w:rPr>
              <m:t>ω</m:t>
            </m:r>
          </m:e>
          <m:sub>
            <m:r>
              <w:rPr>
                <w:rFonts w:ascii="Cambria Math" w:hAnsi="Cambria Math"/>
              </w:rPr>
              <m:t>cement</m:t>
            </m:r>
          </m:sub>
        </m:sSub>
      </m:oMath>
      <w:r w:rsidRPr="00166474">
        <w:t xml:space="preserve">, and </w:t>
      </w:r>
      <m:oMath>
        <m:sSub>
          <m:sSubPr>
            <m:ctrlPr>
              <w:rPr>
                <w:rFonts w:ascii="Cambria Math" w:hAnsi="Cambria Math"/>
                <w:i/>
              </w:rPr>
            </m:ctrlPr>
          </m:sSubPr>
          <m:e>
            <m:r>
              <w:rPr>
                <w:rFonts w:ascii="Cambria Math" w:hAnsi="Cambria Math"/>
              </w:rPr>
              <m:t>ω</m:t>
            </m:r>
          </m:e>
          <m:sub>
            <m:r>
              <w:rPr>
                <w:rFonts w:ascii="Cambria Math" w:hAnsi="Cambria Math"/>
              </w:rPr>
              <m:t>casing</m:t>
            </m:r>
          </m:sub>
        </m:sSub>
      </m:oMath>
      <w:r>
        <w:t xml:space="preserve"> caused changes in the base gap width. For the base wellbore,</w:t>
      </w:r>
      <w:r w:rsidRPr="00166474">
        <w:t xml:space="preserve"> </w:t>
      </w:r>
      <m:oMath>
        <m:r>
          <w:rPr>
            <w:rFonts w:ascii="Cambria Math" w:hAnsi="Cambria Math"/>
          </w:rPr>
          <m:t>ΔT</m:t>
        </m:r>
      </m:oMath>
      <w:r w:rsidRPr="00166474">
        <w:t xml:space="preserve"> resulted in a gap of 1.95 μm</w:t>
      </w:r>
      <w:r>
        <w:t xml:space="preserve"> and variations in </w:t>
      </w:r>
      <m:oMath>
        <m:sSup>
          <m:sSupPr>
            <m:ctrlPr>
              <w:rPr>
                <w:rFonts w:ascii="Cambria Math" w:hAnsi="Cambria Math"/>
                <w:i/>
              </w:rPr>
            </m:ctrlPr>
          </m:sSupPr>
          <m:e>
            <m:r>
              <w:rPr>
                <w:rFonts w:ascii="Cambria Math" w:hAnsi="Cambria Math"/>
              </w:rPr>
              <m:t>τ</m:t>
            </m:r>
          </m:e>
          <m:sup>
            <m:r>
              <w:rPr>
                <w:rFonts w:ascii="Cambria Math" w:hAnsi="Cambria Math"/>
              </w:rPr>
              <m:t>o</m:t>
            </m:r>
          </m:sup>
        </m:sSup>
      </m:oMath>
      <w:r w:rsidRPr="00166474">
        <w:t>,</w:t>
      </w:r>
      <w:r>
        <w:t xml:space="preserve"> </w:t>
      </w:r>
      <m:oMath>
        <m:sSub>
          <m:sSubPr>
            <m:ctrlPr>
              <w:rPr>
                <w:rFonts w:ascii="Cambria Math" w:hAnsi="Cambria Math"/>
                <w:i/>
              </w:rPr>
            </m:ctrlPr>
          </m:sSubPr>
          <m:e>
            <m:r>
              <w:rPr>
                <w:rFonts w:ascii="Cambria Math" w:hAnsi="Cambria Math"/>
              </w:rPr>
              <m:t>c</m:t>
            </m:r>
          </m:e>
          <m:sub>
            <m:r>
              <w:rPr>
                <w:rFonts w:ascii="Cambria Math" w:hAnsi="Cambria Math"/>
              </w:rPr>
              <m:t>rock</m:t>
            </m:r>
          </m:sub>
        </m:sSub>
      </m:oMath>
      <w:r>
        <w:t xml:space="preserve">, </w:t>
      </w:r>
      <m:oMath>
        <m:sSub>
          <m:sSubPr>
            <m:ctrlPr>
              <w:rPr>
                <w:rFonts w:ascii="Cambria Math" w:hAnsi="Cambria Math"/>
                <w:i/>
              </w:rPr>
            </m:ctrlPr>
          </m:sSubPr>
          <m:e>
            <m:r>
              <w:rPr>
                <w:rFonts w:ascii="Cambria Math" w:hAnsi="Cambria Math"/>
              </w:rPr>
              <m:t>κ</m:t>
            </m:r>
          </m:e>
          <m:sub>
            <m:r>
              <w:rPr>
                <w:rFonts w:ascii="Cambria Math" w:hAnsi="Cambria Math"/>
              </w:rPr>
              <m:t>rock</m:t>
            </m:r>
          </m:sub>
        </m:sSub>
      </m:oMath>
      <w:r w:rsidRPr="00166474">
        <w:t>,</w:t>
      </w:r>
      <w:r>
        <w:t xml:space="preserve"> </w:t>
      </w:r>
      <m:oMath>
        <m:sSub>
          <m:sSubPr>
            <m:ctrlPr>
              <w:rPr>
                <w:rFonts w:ascii="Cambria Math" w:hAnsi="Cambria Math"/>
                <w:i/>
              </w:rPr>
            </m:ctrlPr>
          </m:sSubPr>
          <m:e>
            <m:r>
              <w:rPr>
                <w:rFonts w:ascii="Cambria Math" w:hAnsi="Cambria Math"/>
              </w:rPr>
              <m:t>α</m:t>
            </m:r>
          </m:e>
          <m:sub>
            <m:r>
              <w:rPr>
                <w:rFonts w:ascii="Cambria Math" w:hAnsi="Cambria Math"/>
              </w:rPr>
              <m:t>rock</m:t>
            </m:r>
          </m:sub>
        </m:sSub>
      </m:oMath>
      <w:r>
        <w:t>,</w:t>
      </w:r>
      <w:r w:rsidRPr="00166474">
        <w:t xml:space="preserve"> </w:t>
      </w:r>
      <m:oMath>
        <m:sSub>
          <m:sSubPr>
            <m:ctrlPr>
              <w:rPr>
                <w:rFonts w:ascii="Cambria Math" w:hAnsi="Cambria Math"/>
                <w:i/>
              </w:rPr>
            </m:ctrlPr>
          </m:sSubPr>
          <m:e>
            <m:r>
              <w:rPr>
                <w:rFonts w:ascii="Cambria Math" w:hAnsi="Cambria Math"/>
              </w:rPr>
              <m:t>E</m:t>
            </m:r>
          </m:e>
          <m:sub>
            <m:r>
              <w:rPr>
                <w:rFonts w:ascii="Cambria Math" w:hAnsi="Cambria Math"/>
              </w:rPr>
              <m:t>rock</m:t>
            </m:r>
          </m:sub>
        </m:sSub>
      </m:oMath>
      <w:r w:rsidRPr="00166474">
        <w:t>,</w:t>
      </w:r>
      <w:r>
        <w:t xml:space="preserve"> </w:t>
      </w:r>
      <m:oMath>
        <m:sSub>
          <m:sSubPr>
            <m:ctrlPr>
              <w:rPr>
                <w:rFonts w:ascii="Cambria Math" w:hAnsi="Cambria Math"/>
                <w:i/>
              </w:rPr>
            </m:ctrlPr>
          </m:sSubPr>
          <m:e>
            <m:r>
              <w:rPr>
                <w:rFonts w:ascii="Cambria Math" w:hAnsi="Cambria Math"/>
              </w:rPr>
              <m:t>v</m:t>
            </m:r>
          </m:e>
          <m:sub>
            <m:r>
              <w:rPr>
                <w:rFonts w:ascii="Cambria Math" w:hAnsi="Cambria Math"/>
              </w:rPr>
              <m:t>rock</m:t>
            </m:r>
          </m:sub>
        </m:sSub>
      </m:oMath>
      <w:r>
        <w:t xml:space="preserve">, </w:t>
      </w:r>
      <m:oMath>
        <m:sSub>
          <m:sSubPr>
            <m:ctrlPr>
              <w:rPr>
                <w:rFonts w:ascii="Cambria Math" w:hAnsi="Cambria Math"/>
                <w:i/>
              </w:rPr>
            </m:ctrlPr>
          </m:sSubPr>
          <m:e>
            <m:r>
              <w:rPr>
                <w:rFonts w:ascii="Cambria Math" w:hAnsi="Cambria Math"/>
              </w:rPr>
              <m:t>E</m:t>
            </m:r>
          </m:e>
          <m:sub>
            <m:r>
              <w:rPr>
                <w:rFonts w:ascii="Cambria Math" w:hAnsi="Cambria Math"/>
              </w:rPr>
              <m:t>cement</m:t>
            </m:r>
          </m:sub>
        </m:sSub>
      </m:oMath>
      <w:r w:rsidRPr="00166474">
        <w:t xml:space="preserve">, </w:t>
      </w:r>
      <m:oMath>
        <m:sSub>
          <m:sSubPr>
            <m:ctrlPr>
              <w:rPr>
                <w:rFonts w:ascii="Cambria Math" w:hAnsi="Cambria Math"/>
                <w:i/>
              </w:rPr>
            </m:ctrlPr>
          </m:sSubPr>
          <m:e>
            <m:r>
              <w:rPr>
                <w:rFonts w:ascii="Cambria Math" w:hAnsi="Cambria Math"/>
              </w:rPr>
              <m:t>v</m:t>
            </m:r>
          </m:e>
          <m:sub>
            <m:r>
              <w:rPr>
                <w:rFonts w:ascii="Cambria Math" w:hAnsi="Cambria Math"/>
              </w:rPr>
              <m:t>cement</m:t>
            </m:r>
          </m:sub>
        </m:sSub>
      </m:oMath>
      <w:r w:rsidRPr="00166474">
        <w:t xml:space="preserve">, </w:t>
      </w:r>
      <m:oMath>
        <m:sSub>
          <m:sSubPr>
            <m:ctrlPr>
              <w:rPr>
                <w:rFonts w:ascii="Cambria Math" w:hAnsi="Cambria Math"/>
                <w:i/>
              </w:rPr>
            </m:ctrlPr>
          </m:sSubPr>
          <m:e>
            <m:r>
              <w:rPr>
                <w:rFonts w:ascii="Cambria Math" w:hAnsi="Cambria Math"/>
              </w:rPr>
              <m:t>σ</m:t>
            </m:r>
          </m:e>
          <m:sub>
            <m:r>
              <w:rPr>
                <w:rFonts w:ascii="Cambria Math" w:hAnsi="Cambria Math"/>
              </w:rPr>
              <m:t>cement</m:t>
            </m:r>
          </m:sub>
        </m:sSub>
      </m:oMath>
      <w:r w:rsidRPr="00166474">
        <w:t xml:space="preserve">, </w:t>
      </w:r>
      <m:oMath>
        <m:r>
          <w:rPr>
            <w:rFonts w:ascii="Cambria Math" w:hAnsi="Cambria Math"/>
          </w:rPr>
          <m:t>Hole Size</m:t>
        </m:r>
      </m:oMath>
      <w:r w:rsidRPr="00166474">
        <w:t xml:space="preserve">, </w:t>
      </w:r>
      <m:oMath>
        <m:sSub>
          <m:sSubPr>
            <m:ctrlPr>
              <w:rPr>
                <w:rFonts w:ascii="Cambria Math" w:hAnsi="Cambria Math"/>
                <w:i/>
              </w:rPr>
            </m:ctrlPr>
          </m:sSubPr>
          <m:e>
            <m:r>
              <w:rPr>
                <w:rFonts w:ascii="Cambria Math" w:hAnsi="Cambria Math"/>
              </w:rPr>
              <m:t>ω</m:t>
            </m:r>
          </m:e>
          <m:sub>
            <m:r>
              <w:rPr>
                <w:rFonts w:ascii="Cambria Math" w:hAnsi="Cambria Math"/>
              </w:rPr>
              <m:t>cement</m:t>
            </m:r>
          </m:sub>
        </m:sSub>
      </m:oMath>
      <w:r w:rsidRPr="00166474">
        <w:t xml:space="preserve">, and </w:t>
      </w:r>
      <m:oMath>
        <m:sSub>
          <m:sSubPr>
            <m:ctrlPr>
              <w:rPr>
                <w:rFonts w:ascii="Cambria Math" w:hAnsi="Cambria Math"/>
                <w:i/>
              </w:rPr>
            </m:ctrlPr>
          </m:sSubPr>
          <m:e>
            <m:r>
              <w:rPr>
                <w:rFonts w:ascii="Cambria Math" w:hAnsi="Cambria Math"/>
              </w:rPr>
              <m:t>ω</m:t>
            </m:r>
          </m:e>
          <m:sub>
            <m:r>
              <w:rPr>
                <w:rFonts w:ascii="Cambria Math" w:hAnsi="Cambria Math"/>
              </w:rPr>
              <m:t>casing</m:t>
            </m:r>
          </m:sub>
        </m:sSub>
      </m:oMath>
      <w:r>
        <w:t xml:space="preserve"> all resulted in changes from the base gap. The reduction in temperature had variations in gap size due to more parameters than </w:t>
      </w:r>
      <m:oMath>
        <m:r>
          <w:rPr>
            <w:rFonts w:ascii="Cambria Math" w:hAnsi="Cambria Math"/>
          </w:rPr>
          <w:lastRenderedPageBreak/>
          <m:t>ΔP</m:t>
        </m:r>
      </m:oMath>
      <w:r>
        <w:t xml:space="preserve">, but </w:t>
      </w:r>
      <m:oMath>
        <m:r>
          <w:rPr>
            <w:rFonts w:ascii="Cambria Math" w:hAnsi="Cambria Math"/>
          </w:rPr>
          <m:t>ΔP</m:t>
        </m:r>
      </m:oMath>
      <w:r>
        <w:t xml:space="preserve"> resulted in larger magnitude of gaps; primary due to </w:t>
      </w:r>
      <m:oMath>
        <m:sSub>
          <m:sSubPr>
            <m:ctrlPr>
              <w:rPr>
                <w:rFonts w:ascii="Cambria Math" w:hAnsi="Cambria Math"/>
                <w:i/>
              </w:rPr>
            </m:ctrlPr>
          </m:sSubPr>
          <m:e>
            <m:r>
              <w:rPr>
                <w:rFonts w:ascii="Cambria Math" w:hAnsi="Cambria Math"/>
              </w:rPr>
              <m:t>ω</m:t>
            </m:r>
          </m:e>
          <m:sub>
            <m:r>
              <w:rPr>
                <w:rFonts w:ascii="Cambria Math" w:hAnsi="Cambria Math"/>
              </w:rPr>
              <m:t>casing</m:t>
            </m:r>
          </m:sub>
        </m:sSub>
      </m:oMath>
      <w:r w:rsidRPr="00166474">
        <w:t xml:space="preserve"> and </w:t>
      </w:r>
      <m:oMath>
        <m:r>
          <w:rPr>
            <w:rFonts w:ascii="Cambria Math" w:hAnsi="Cambria Math"/>
          </w:rPr>
          <m:t>Hole Size</m:t>
        </m:r>
      </m:oMath>
      <w:r>
        <w:t xml:space="preserve">. Both of these parameters had gaps larger than 25 μm. One observation with the 44% reduction is that many of the wellbore parameters could be altered such that the base gaps for </w:t>
      </w:r>
      <m:oMath>
        <m:r>
          <w:rPr>
            <w:rFonts w:ascii="Cambria Math" w:hAnsi="Cambria Math"/>
          </w:rPr>
          <m:t>ΔP</m:t>
        </m:r>
      </m:oMath>
      <w:r>
        <w:t xml:space="preserve"> and </w:t>
      </w:r>
      <m:oMath>
        <m:r>
          <w:rPr>
            <w:rFonts w:ascii="Cambria Math" w:hAnsi="Cambria Math"/>
          </w:rPr>
          <m:t>ΔT</m:t>
        </m:r>
      </m:oMath>
      <w:r>
        <w:t xml:space="preserve"> (1.25 </w:t>
      </w:r>
      <w:r w:rsidRPr="00323D97">
        <w:t xml:space="preserve">μm and 1.95 μm respectively) can be reduced down to </w:t>
      </w:r>
      <w:r w:rsidRPr="00587640">
        <w:t>no gap (0 μm). These parameters are listed in Table 5.</w:t>
      </w:r>
      <w:r w:rsidR="00676784">
        <w:t>11</w:t>
      </w:r>
      <w:r w:rsidRPr="00587640">
        <w:t>. Another observation is that the same trend occurs with the 44% reduction as with the 29% reduction. The hole size variations have inverse effects on gap</w:t>
      </w:r>
      <w:r>
        <w:t xml:space="preserve"> widths depending on </w:t>
      </w:r>
      <m:oMath>
        <m:r>
          <w:rPr>
            <w:rFonts w:ascii="Cambria Math" w:hAnsi="Cambria Math"/>
          </w:rPr>
          <m:t>ΔP</m:t>
        </m:r>
      </m:oMath>
      <w:r>
        <w:t xml:space="preserve"> or </w:t>
      </w:r>
      <m:oMath>
        <m:r>
          <w:rPr>
            <w:rFonts w:ascii="Cambria Math" w:hAnsi="Cambria Math"/>
          </w:rPr>
          <m:t>ΔT</m:t>
        </m:r>
      </m:oMath>
      <w:r>
        <w:t xml:space="preserve">. </w:t>
      </w:r>
      <w:r w:rsidRPr="007721A7">
        <w:t>A similar trend occurs for the casing thickness</w:t>
      </w:r>
      <w:r>
        <w:t>,</w:t>
      </w:r>
      <w:r w:rsidRPr="007721A7">
        <w:t xml:space="preserve"> except</w:t>
      </w:r>
      <w:r>
        <w:t xml:space="preserve"> that</w:t>
      </w:r>
      <w:r w:rsidRPr="007721A7">
        <w:t xml:space="preserve"> thicker casings have smaller gaps for </w:t>
      </w:r>
      <m:oMath>
        <m:r>
          <w:rPr>
            <w:rFonts w:ascii="Cambria Math" w:hAnsi="Cambria Math"/>
          </w:rPr>
          <m:t>ΔP</m:t>
        </m:r>
      </m:oMath>
      <w:r w:rsidRPr="007721A7">
        <w:t xml:space="preserve"> while thinner casings have smaller gaps for </w:t>
      </w:r>
      <m:oMath>
        <m:r>
          <w:rPr>
            <w:rFonts w:ascii="Cambria Math" w:hAnsi="Cambria Math"/>
          </w:rPr>
          <m:t>ΔT</m:t>
        </m:r>
      </m:oMath>
      <w:r>
        <w:rPr>
          <w:rFonts w:eastAsiaTheme="minorEastAsia"/>
        </w:rPr>
        <w:t>.</w:t>
      </w:r>
    </w:p>
    <w:p w14:paraId="1927D623" w14:textId="0BED166C" w:rsidR="00190D60" w:rsidRDefault="00190D60" w:rsidP="00BC23AD">
      <w:pPr>
        <w:pStyle w:val="Caption"/>
      </w:pPr>
      <w:bookmarkStart w:id="150" w:name="_Toc67566106"/>
      <w:r>
        <w:t xml:space="preserve">Table </w:t>
      </w:r>
      <w:r w:rsidR="00077C0B">
        <w:fldChar w:fldCharType="begin"/>
      </w:r>
      <w:r w:rsidR="00077C0B">
        <w:instrText xml:space="preserve"> STYLEREF 1 \s </w:instrText>
      </w:r>
      <w:r w:rsidR="00077C0B">
        <w:fldChar w:fldCharType="separate"/>
      </w:r>
      <w:r w:rsidR="0006023A">
        <w:rPr>
          <w:noProof/>
        </w:rPr>
        <w:t>5</w:t>
      </w:r>
      <w:r w:rsidR="00077C0B">
        <w:rPr>
          <w:noProof/>
        </w:rPr>
        <w:fldChar w:fldCharType="end"/>
      </w:r>
      <w:r w:rsidR="00DD1F74">
        <w:t>.</w:t>
      </w:r>
      <w:r w:rsidR="00077C0B">
        <w:fldChar w:fldCharType="begin"/>
      </w:r>
      <w:r w:rsidR="00077C0B">
        <w:instrText xml:space="preserve"> SEQ Table \* ARABIC \s 1 </w:instrText>
      </w:r>
      <w:r w:rsidR="00077C0B">
        <w:fldChar w:fldCharType="separate"/>
      </w:r>
      <w:r w:rsidR="0006023A">
        <w:rPr>
          <w:noProof/>
        </w:rPr>
        <w:t>11</w:t>
      </w:r>
      <w:r w:rsidR="00077C0B">
        <w:rPr>
          <w:noProof/>
        </w:rPr>
        <w:fldChar w:fldCharType="end"/>
      </w:r>
      <w:r>
        <w:t xml:space="preserve">: Parameters that caused the microannuli gap magnitudes to be eliminated (0 μm) with a 44% </w:t>
      </w:r>
      <m:oMath>
        <m:r>
          <m:rPr>
            <m:sty m:val="bi"/>
          </m:rPr>
          <w:rPr>
            <w:rFonts w:ascii="Cambria Math" w:hAnsi="Cambria Math"/>
          </w:rPr>
          <m:t>ΔP</m:t>
        </m:r>
      </m:oMath>
      <w:r>
        <w:t xml:space="preserve"> and </w:t>
      </w:r>
      <m:oMath>
        <m:r>
          <m:rPr>
            <m:sty m:val="bi"/>
          </m:rPr>
          <w:rPr>
            <w:rFonts w:ascii="Cambria Math" w:hAnsi="Cambria Math"/>
          </w:rPr>
          <m:t>ΔT</m:t>
        </m:r>
      </m:oMath>
      <w:r>
        <w:t>.</w:t>
      </w:r>
      <w:bookmarkEnd w:id="150"/>
    </w:p>
    <w:tbl>
      <w:tblPr>
        <w:tblW w:w="4362" w:type="dxa"/>
        <w:jc w:val="center"/>
        <w:tblLook w:val="04A0" w:firstRow="1" w:lastRow="0" w:firstColumn="1" w:lastColumn="0" w:noHBand="0" w:noVBand="1"/>
      </w:tblPr>
      <w:tblGrid>
        <w:gridCol w:w="2146"/>
        <w:gridCol w:w="1189"/>
        <w:gridCol w:w="1189"/>
      </w:tblGrid>
      <w:tr w:rsidR="00190D60" w:rsidRPr="002C109A" w14:paraId="43E80E96" w14:textId="77777777" w:rsidTr="002C109A">
        <w:trPr>
          <w:trHeight w:val="144"/>
          <w:jc w:val="center"/>
        </w:trPr>
        <w:tc>
          <w:tcPr>
            <w:tcW w:w="2146" w:type="dxa"/>
            <w:tcBorders>
              <w:top w:val="nil"/>
              <w:left w:val="nil"/>
              <w:right w:val="nil"/>
            </w:tcBorders>
            <w:shd w:val="clear" w:color="auto" w:fill="auto"/>
            <w:noWrap/>
            <w:vAlign w:val="bottom"/>
            <w:hideMark/>
          </w:tcPr>
          <w:p w14:paraId="284EB9C8" w14:textId="77777777" w:rsidR="00190D60" w:rsidRPr="002C109A" w:rsidRDefault="00190D60" w:rsidP="00890D03">
            <w:pPr>
              <w:spacing w:line="240" w:lineRule="auto"/>
              <w:jc w:val="left"/>
              <w:rPr>
                <w:rFonts w:eastAsia="Times New Roman" w:cs="Times New Roman"/>
                <w:szCs w:val="24"/>
              </w:rPr>
            </w:pPr>
          </w:p>
        </w:tc>
        <w:tc>
          <w:tcPr>
            <w:tcW w:w="1108" w:type="dxa"/>
            <w:tcBorders>
              <w:top w:val="nil"/>
              <w:left w:val="nil"/>
              <w:right w:val="nil"/>
            </w:tcBorders>
            <w:shd w:val="clear" w:color="auto" w:fill="auto"/>
            <w:noWrap/>
            <w:vAlign w:val="center"/>
            <w:hideMark/>
          </w:tcPr>
          <w:p w14:paraId="6F3A08EB" w14:textId="77777777" w:rsidR="00190D60" w:rsidRPr="002C109A" w:rsidRDefault="00190D60" w:rsidP="00890D03">
            <w:pPr>
              <w:spacing w:line="240" w:lineRule="auto"/>
              <w:jc w:val="center"/>
              <w:rPr>
                <w:rFonts w:eastAsia="Times New Roman" w:cs="Times New Roman"/>
                <w:color w:val="000000"/>
                <w:szCs w:val="24"/>
              </w:rPr>
            </w:pPr>
            <w:r w:rsidRPr="002C109A">
              <w:rPr>
                <w:rFonts w:eastAsia="Times New Roman" w:cs="Times New Roman"/>
                <w:color w:val="000000"/>
                <w:szCs w:val="24"/>
              </w:rPr>
              <w:t>ΔP</w:t>
            </w:r>
          </w:p>
        </w:tc>
        <w:tc>
          <w:tcPr>
            <w:tcW w:w="1108" w:type="dxa"/>
            <w:tcBorders>
              <w:top w:val="nil"/>
              <w:left w:val="nil"/>
              <w:right w:val="nil"/>
            </w:tcBorders>
            <w:shd w:val="clear" w:color="auto" w:fill="auto"/>
            <w:noWrap/>
            <w:vAlign w:val="center"/>
            <w:hideMark/>
          </w:tcPr>
          <w:p w14:paraId="2075025B" w14:textId="77777777" w:rsidR="00190D60" w:rsidRPr="002C109A" w:rsidRDefault="00190D60" w:rsidP="00890D03">
            <w:pPr>
              <w:spacing w:line="240" w:lineRule="auto"/>
              <w:jc w:val="center"/>
              <w:rPr>
                <w:rFonts w:eastAsia="Times New Roman" w:cs="Times New Roman"/>
                <w:color w:val="000000"/>
                <w:szCs w:val="24"/>
              </w:rPr>
            </w:pPr>
            <w:r w:rsidRPr="002C109A">
              <w:rPr>
                <w:rFonts w:eastAsia="Times New Roman" w:cs="Times New Roman"/>
                <w:color w:val="000000"/>
                <w:szCs w:val="24"/>
              </w:rPr>
              <w:t>ΔT</w:t>
            </w:r>
          </w:p>
        </w:tc>
      </w:tr>
      <w:tr w:rsidR="00190D60" w:rsidRPr="002C109A" w14:paraId="70BB0DF3" w14:textId="77777777" w:rsidTr="002C109A">
        <w:trPr>
          <w:trHeight w:val="144"/>
          <w:jc w:val="center"/>
        </w:trPr>
        <w:tc>
          <w:tcPr>
            <w:tcW w:w="2146" w:type="dxa"/>
            <w:tcBorders>
              <w:top w:val="nil"/>
              <w:left w:val="nil"/>
              <w:bottom w:val="single" w:sz="4" w:space="0" w:color="auto"/>
              <w:right w:val="nil"/>
            </w:tcBorders>
            <w:shd w:val="clear" w:color="auto" w:fill="auto"/>
            <w:noWrap/>
            <w:vAlign w:val="center"/>
            <w:hideMark/>
          </w:tcPr>
          <w:p w14:paraId="38846CCE" w14:textId="77777777" w:rsidR="00190D60" w:rsidRPr="002C109A" w:rsidRDefault="00190D60" w:rsidP="00890D03">
            <w:pPr>
              <w:spacing w:line="240" w:lineRule="auto"/>
              <w:jc w:val="center"/>
              <w:rPr>
                <w:rFonts w:eastAsia="Times New Roman" w:cs="Times New Roman"/>
                <w:color w:val="000000"/>
                <w:szCs w:val="24"/>
              </w:rPr>
            </w:pPr>
            <w:r w:rsidRPr="002C109A">
              <w:rPr>
                <w:rFonts w:eastAsia="Times New Roman" w:cs="Times New Roman"/>
                <w:color w:val="000000"/>
                <w:szCs w:val="24"/>
              </w:rPr>
              <w:t>Parameter</w:t>
            </w:r>
          </w:p>
        </w:tc>
        <w:tc>
          <w:tcPr>
            <w:tcW w:w="1108" w:type="dxa"/>
            <w:tcBorders>
              <w:top w:val="nil"/>
              <w:left w:val="nil"/>
              <w:bottom w:val="single" w:sz="4" w:space="0" w:color="auto"/>
              <w:right w:val="nil"/>
            </w:tcBorders>
            <w:shd w:val="clear" w:color="auto" w:fill="auto"/>
            <w:noWrap/>
            <w:vAlign w:val="center"/>
            <w:hideMark/>
          </w:tcPr>
          <w:p w14:paraId="4B4EEC48" w14:textId="77777777" w:rsidR="00190D60" w:rsidRPr="002C109A" w:rsidRDefault="00190D60" w:rsidP="00890D03">
            <w:pPr>
              <w:spacing w:line="240" w:lineRule="auto"/>
              <w:jc w:val="center"/>
              <w:rPr>
                <w:rFonts w:eastAsia="Times New Roman" w:cs="Times New Roman"/>
                <w:color w:val="000000"/>
                <w:szCs w:val="24"/>
              </w:rPr>
            </w:pPr>
            <w:r w:rsidRPr="002C109A">
              <w:rPr>
                <w:rFonts w:eastAsia="Times New Roman" w:cs="Times New Roman"/>
                <w:color w:val="000000"/>
                <w:szCs w:val="24"/>
              </w:rPr>
              <w:t>Parameter Change</w:t>
            </w:r>
          </w:p>
        </w:tc>
        <w:tc>
          <w:tcPr>
            <w:tcW w:w="1108" w:type="dxa"/>
            <w:tcBorders>
              <w:top w:val="nil"/>
              <w:left w:val="nil"/>
              <w:bottom w:val="single" w:sz="4" w:space="0" w:color="auto"/>
              <w:right w:val="nil"/>
            </w:tcBorders>
            <w:shd w:val="clear" w:color="auto" w:fill="auto"/>
            <w:noWrap/>
            <w:vAlign w:val="center"/>
            <w:hideMark/>
          </w:tcPr>
          <w:p w14:paraId="2DCB7101" w14:textId="77777777" w:rsidR="00190D60" w:rsidRPr="002C109A" w:rsidRDefault="00190D60" w:rsidP="00890D03">
            <w:pPr>
              <w:spacing w:line="240" w:lineRule="auto"/>
              <w:jc w:val="center"/>
              <w:rPr>
                <w:rFonts w:eastAsia="Times New Roman" w:cs="Times New Roman"/>
                <w:color w:val="000000"/>
                <w:szCs w:val="24"/>
              </w:rPr>
            </w:pPr>
            <w:r w:rsidRPr="002C109A">
              <w:rPr>
                <w:rFonts w:eastAsia="Times New Roman" w:cs="Times New Roman"/>
                <w:color w:val="000000"/>
                <w:szCs w:val="24"/>
              </w:rPr>
              <w:t>Parameter Change</w:t>
            </w:r>
          </w:p>
        </w:tc>
      </w:tr>
      <w:tr w:rsidR="00190D60" w:rsidRPr="002C109A" w14:paraId="4E226BD7" w14:textId="77777777" w:rsidTr="002C109A">
        <w:trPr>
          <w:trHeight w:val="144"/>
          <w:jc w:val="center"/>
        </w:trPr>
        <w:tc>
          <w:tcPr>
            <w:tcW w:w="2146" w:type="dxa"/>
            <w:tcBorders>
              <w:top w:val="single" w:sz="4" w:space="0" w:color="auto"/>
              <w:left w:val="nil"/>
              <w:bottom w:val="nil"/>
              <w:right w:val="nil"/>
            </w:tcBorders>
            <w:shd w:val="clear" w:color="auto" w:fill="auto"/>
            <w:noWrap/>
            <w:vAlign w:val="center"/>
            <w:hideMark/>
          </w:tcPr>
          <w:p w14:paraId="53131445" w14:textId="77777777" w:rsidR="00190D60" w:rsidRPr="002C109A" w:rsidRDefault="00190D60" w:rsidP="00890D03">
            <w:pPr>
              <w:spacing w:line="240" w:lineRule="auto"/>
              <w:jc w:val="center"/>
              <w:rPr>
                <w:rFonts w:eastAsia="Times New Roman" w:cs="Times New Roman"/>
                <w:color w:val="000000"/>
                <w:szCs w:val="24"/>
              </w:rPr>
            </w:pPr>
            <m:oMathPara>
              <m:oMath>
                <m:r>
                  <w:rPr>
                    <w:rFonts w:ascii="Cambria Math" w:eastAsia="Times New Roman" w:hAnsi="Cambria Math" w:cs="Times New Roman"/>
                    <w:color w:val="000000"/>
                    <w:szCs w:val="24"/>
                  </w:rPr>
                  <m:t>Hole Size</m:t>
                </m:r>
              </m:oMath>
            </m:oMathPara>
          </w:p>
        </w:tc>
        <w:tc>
          <w:tcPr>
            <w:tcW w:w="1108" w:type="dxa"/>
            <w:tcBorders>
              <w:top w:val="single" w:sz="4" w:space="0" w:color="auto"/>
              <w:left w:val="nil"/>
              <w:bottom w:val="nil"/>
              <w:right w:val="nil"/>
            </w:tcBorders>
            <w:shd w:val="clear" w:color="auto" w:fill="auto"/>
            <w:noWrap/>
            <w:vAlign w:val="center"/>
            <w:hideMark/>
          </w:tcPr>
          <w:p w14:paraId="1DFD719C" w14:textId="77777777" w:rsidR="00190D60" w:rsidRPr="002C109A" w:rsidRDefault="00190D60" w:rsidP="00890D03">
            <w:pPr>
              <w:spacing w:line="240" w:lineRule="auto"/>
              <w:jc w:val="center"/>
              <w:rPr>
                <w:rFonts w:eastAsia="Times New Roman" w:cs="Times New Roman"/>
                <w:color w:val="000000"/>
                <w:szCs w:val="24"/>
              </w:rPr>
            </w:pPr>
            <w:r w:rsidRPr="002C109A">
              <w:rPr>
                <w:rFonts w:eastAsia="Times New Roman" w:cs="Times New Roman"/>
                <w:color w:val="000000"/>
                <w:szCs w:val="24"/>
              </w:rPr>
              <w:t>0.60</w:t>
            </w:r>
          </w:p>
        </w:tc>
        <w:tc>
          <w:tcPr>
            <w:tcW w:w="1108" w:type="dxa"/>
            <w:tcBorders>
              <w:top w:val="single" w:sz="4" w:space="0" w:color="auto"/>
              <w:left w:val="nil"/>
              <w:bottom w:val="nil"/>
              <w:right w:val="nil"/>
            </w:tcBorders>
            <w:shd w:val="clear" w:color="auto" w:fill="auto"/>
            <w:noWrap/>
            <w:vAlign w:val="center"/>
            <w:hideMark/>
          </w:tcPr>
          <w:p w14:paraId="1EFC3FA5" w14:textId="77777777" w:rsidR="00190D60" w:rsidRPr="002C109A" w:rsidRDefault="00190D60" w:rsidP="00890D03">
            <w:pPr>
              <w:spacing w:line="240" w:lineRule="auto"/>
              <w:jc w:val="center"/>
              <w:rPr>
                <w:rFonts w:eastAsia="Times New Roman" w:cs="Times New Roman"/>
                <w:color w:val="000000"/>
                <w:szCs w:val="24"/>
              </w:rPr>
            </w:pPr>
            <w:r w:rsidRPr="002C109A">
              <w:rPr>
                <w:rFonts w:eastAsia="Times New Roman" w:cs="Times New Roman"/>
                <w:color w:val="000000"/>
                <w:szCs w:val="24"/>
              </w:rPr>
              <w:t>1.20</w:t>
            </w:r>
          </w:p>
        </w:tc>
      </w:tr>
      <w:tr w:rsidR="00190D60" w:rsidRPr="002C109A" w14:paraId="7D86EC1A" w14:textId="77777777" w:rsidTr="002C109A">
        <w:trPr>
          <w:trHeight w:val="144"/>
          <w:jc w:val="center"/>
        </w:trPr>
        <w:tc>
          <w:tcPr>
            <w:tcW w:w="2146" w:type="dxa"/>
            <w:tcBorders>
              <w:top w:val="nil"/>
              <w:left w:val="nil"/>
              <w:bottom w:val="nil"/>
              <w:right w:val="nil"/>
            </w:tcBorders>
            <w:shd w:val="clear" w:color="auto" w:fill="auto"/>
            <w:noWrap/>
            <w:vAlign w:val="center"/>
            <w:hideMark/>
          </w:tcPr>
          <w:p w14:paraId="198FFB36" w14:textId="77777777" w:rsidR="00190D60" w:rsidRPr="002C109A" w:rsidRDefault="00077C0B" w:rsidP="00890D03">
            <w:pPr>
              <w:spacing w:line="240" w:lineRule="auto"/>
              <w:jc w:val="center"/>
              <w:rPr>
                <w:rFonts w:eastAsia="Times New Roman" w:cs="Times New Roman"/>
                <w:color w:val="000000"/>
                <w:szCs w:val="24"/>
              </w:rPr>
            </w:pPr>
            <m:oMathPara>
              <m:oMath>
                <m:sSub>
                  <m:sSubPr>
                    <m:ctrlPr>
                      <w:rPr>
                        <w:rFonts w:ascii="Cambria Math" w:eastAsia="Times New Roman" w:hAnsi="Cambria Math" w:cs="Times New Roman"/>
                        <w:i/>
                        <w:color w:val="000000"/>
                        <w:szCs w:val="24"/>
                      </w:rPr>
                    </m:ctrlPr>
                  </m:sSubPr>
                  <m:e>
                    <m:r>
                      <w:rPr>
                        <w:rFonts w:ascii="Cambria Math" w:eastAsia="Times New Roman" w:hAnsi="Cambria Math" w:cs="Times New Roman"/>
                        <w:color w:val="000000"/>
                        <w:szCs w:val="24"/>
                      </w:rPr>
                      <m:t>ω</m:t>
                    </m:r>
                  </m:e>
                  <m:sub>
                    <m:r>
                      <w:rPr>
                        <w:rFonts w:ascii="Cambria Math" w:eastAsia="Times New Roman" w:hAnsi="Cambria Math" w:cs="Times New Roman"/>
                        <w:color w:val="000000"/>
                        <w:szCs w:val="24"/>
                      </w:rPr>
                      <m:t>casing</m:t>
                    </m:r>
                  </m:sub>
                </m:sSub>
              </m:oMath>
            </m:oMathPara>
          </w:p>
        </w:tc>
        <w:tc>
          <w:tcPr>
            <w:tcW w:w="1108" w:type="dxa"/>
            <w:tcBorders>
              <w:top w:val="nil"/>
              <w:left w:val="nil"/>
              <w:bottom w:val="nil"/>
              <w:right w:val="nil"/>
            </w:tcBorders>
            <w:shd w:val="clear" w:color="auto" w:fill="auto"/>
            <w:noWrap/>
            <w:vAlign w:val="center"/>
            <w:hideMark/>
          </w:tcPr>
          <w:p w14:paraId="43A513DE" w14:textId="77777777" w:rsidR="00190D60" w:rsidRPr="002C109A" w:rsidRDefault="00190D60" w:rsidP="00890D03">
            <w:pPr>
              <w:spacing w:line="240" w:lineRule="auto"/>
              <w:jc w:val="center"/>
              <w:rPr>
                <w:rFonts w:eastAsia="Times New Roman" w:cs="Times New Roman"/>
                <w:color w:val="000000"/>
                <w:szCs w:val="24"/>
              </w:rPr>
            </w:pPr>
            <w:r w:rsidRPr="002C109A">
              <w:rPr>
                <w:rFonts w:eastAsia="Times New Roman" w:cs="Times New Roman"/>
                <w:color w:val="000000"/>
                <w:szCs w:val="24"/>
              </w:rPr>
              <w:t>1.40</w:t>
            </w:r>
          </w:p>
        </w:tc>
        <w:tc>
          <w:tcPr>
            <w:tcW w:w="1108" w:type="dxa"/>
            <w:tcBorders>
              <w:top w:val="nil"/>
              <w:left w:val="nil"/>
              <w:bottom w:val="nil"/>
              <w:right w:val="nil"/>
            </w:tcBorders>
            <w:shd w:val="clear" w:color="auto" w:fill="auto"/>
            <w:noWrap/>
            <w:vAlign w:val="center"/>
            <w:hideMark/>
          </w:tcPr>
          <w:p w14:paraId="2EF80FE7" w14:textId="77777777" w:rsidR="00190D60" w:rsidRPr="002C109A" w:rsidRDefault="00190D60" w:rsidP="00890D03">
            <w:pPr>
              <w:spacing w:line="240" w:lineRule="auto"/>
              <w:jc w:val="center"/>
              <w:rPr>
                <w:rFonts w:eastAsia="Times New Roman" w:cs="Times New Roman"/>
                <w:color w:val="000000"/>
                <w:szCs w:val="24"/>
              </w:rPr>
            </w:pPr>
            <w:r w:rsidRPr="002C109A">
              <w:rPr>
                <w:rFonts w:eastAsia="Times New Roman" w:cs="Times New Roman"/>
                <w:color w:val="000000"/>
                <w:szCs w:val="24"/>
              </w:rPr>
              <w:t>0.60</w:t>
            </w:r>
          </w:p>
        </w:tc>
      </w:tr>
      <w:tr w:rsidR="00190D60" w:rsidRPr="002C109A" w14:paraId="447D29B9" w14:textId="77777777" w:rsidTr="002C109A">
        <w:trPr>
          <w:trHeight w:val="144"/>
          <w:jc w:val="center"/>
        </w:trPr>
        <w:tc>
          <w:tcPr>
            <w:tcW w:w="2146" w:type="dxa"/>
            <w:tcBorders>
              <w:top w:val="nil"/>
              <w:left w:val="nil"/>
              <w:bottom w:val="nil"/>
              <w:right w:val="nil"/>
            </w:tcBorders>
            <w:shd w:val="clear" w:color="auto" w:fill="auto"/>
            <w:noWrap/>
            <w:vAlign w:val="center"/>
            <w:hideMark/>
          </w:tcPr>
          <w:p w14:paraId="3C1CA3D2" w14:textId="77777777" w:rsidR="00190D60" w:rsidRPr="002C109A" w:rsidRDefault="00077C0B" w:rsidP="00890D03">
            <w:pPr>
              <w:spacing w:line="240" w:lineRule="auto"/>
              <w:jc w:val="center"/>
              <w:rPr>
                <w:rFonts w:eastAsia="Times New Roman" w:cs="Times New Roman"/>
                <w:color w:val="000000"/>
                <w:szCs w:val="24"/>
              </w:rPr>
            </w:pPr>
            <m:oMathPara>
              <m:oMath>
                <m:sSub>
                  <m:sSubPr>
                    <m:ctrlPr>
                      <w:rPr>
                        <w:rFonts w:ascii="Cambria Math" w:eastAsia="Times New Roman" w:hAnsi="Cambria Math" w:cs="Times New Roman"/>
                        <w:i/>
                        <w:szCs w:val="24"/>
                      </w:rPr>
                    </m:ctrlPr>
                  </m:sSubPr>
                  <m:e>
                    <m:r>
                      <w:rPr>
                        <w:rFonts w:ascii="Cambria Math" w:eastAsia="Times New Roman" w:hAnsi="Cambria Math" w:cs="Times New Roman"/>
                        <w:szCs w:val="24"/>
                      </w:rPr>
                      <m:t>σ</m:t>
                    </m:r>
                  </m:e>
                  <m:sub>
                    <m:r>
                      <w:rPr>
                        <w:rFonts w:ascii="Cambria Math" w:eastAsia="Times New Roman" w:hAnsi="Cambria Math" w:cs="Times New Roman"/>
                        <w:szCs w:val="24"/>
                      </w:rPr>
                      <m:t>cement</m:t>
                    </m:r>
                  </m:sub>
                </m:sSub>
              </m:oMath>
            </m:oMathPara>
          </w:p>
        </w:tc>
        <w:tc>
          <w:tcPr>
            <w:tcW w:w="1108" w:type="dxa"/>
            <w:tcBorders>
              <w:top w:val="nil"/>
              <w:left w:val="nil"/>
              <w:bottom w:val="nil"/>
              <w:right w:val="nil"/>
            </w:tcBorders>
            <w:shd w:val="clear" w:color="auto" w:fill="auto"/>
            <w:noWrap/>
            <w:vAlign w:val="center"/>
            <w:hideMark/>
          </w:tcPr>
          <w:p w14:paraId="31C58B3A" w14:textId="77777777" w:rsidR="00190D60" w:rsidRPr="002C109A" w:rsidRDefault="00190D60" w:rsidP="00890D03">
            <w:pPr>
              <w:spacing w:line="240" w:lineRule="auto"/>
              <w:jc w:val="center"/>
              <w:rPr>
                <w:rFonts w:eastAsia="Times New Roman" w:cs="Times New Roman"/>
                <w:color w:val="000000"/>
                <w:szCs w:val="24"/>
              </w:rPr>
            </w:pPr>
            <w:r w:rsidRPr="002C109A">
              <w:rPr>
                <w:rFonts w:eastAsia="Times New Roman" w:cs="Times New Roman"/>
                <w:color w:val="000000"/>
                <w:szCs w:val="24"/>
              </w:rPr>
              <w:t>0.93</w:t>
            </w:r>
          </w:p>
        </w:tc>
        <w:tc>
          <w:tcPr>
            <w:tcW w:w="1108" w:type="dxa"/>
            <w:tcBorders>
              <w:top w:val="nil"/>
              <w:left w:val="nil"/>
              <w:bottom w:val="nil"/>
              <w:right w:val="nil"/>
            </w:tcBorders>
            <w:shd w:val="clear" w:color="auto" w:fill="auto"/>
            <w:noWrap/>
            <w:vAlign w:val="center"/>
            <w:hideMark/>
          </w:tcPr>
          <w:p w14:paraId="027B050B" w14:textId="77777777" w:rsidR="00190D60" w:rsidRPr="002C109A" w:rsidRDefault="00190D60" w:rsidP="00890D03">
            <w:pPr>
              <w:spacing w:line="240" w:lineRule="auto"/>
              <w:jc w:val="center"/>
              <w:rPr>
                <w:rFonts w:eastAsia="Times New Roman" w:cs="Times New Roman"/>
                <w:color w:val="000000"/>
                <w:szCs w:val="24"/>
              </w:rPr>
            </w:pPr>
            <w:r w:rsidRPr="002C109A">
              <w:rPr>
                <w:rFonts w:eastAsia="Times New Roman" w:cs="Times New Roman"/>
                <w:color w:val="000000"/>
                <w:szCs w:val="24"/>
              </w:rPr>
              <w:t>0.93</w:t>
            </w:r>
          </w:p>
        </w:tc>
      </w:tr>
      <w:tr w:rsidR="00190D60" w:rsidRPr="002C109A" w14:paraId="46633D3A" w14:textId="77777777" w:rsidTr="002C109A">
        <w:trPr>
          <w:trHeight w:val="144"/>
          <w:jc w:val="center"/>
        </w:trPr>
        <w:tc>
          <w:tcPr>
            <w:tcW w:w="2146" w:type="dxa"/>
            <w:tcBorders>
              <w:top w:val="nil"/>
              <w:left w:val="nil"/>
              <w:bottom w:val="nil"/>
              <w:right w:val="nil"/>
            </w:tcBorders>
            <w:shd w:val="clear" w:color="auto" w:fill="auto"/>
            <w:noWrap/>
            <w:vAlign w:val="center"/>
            <w:hideMark/>
          </w:tcPr>
          <w:p w14:paraId="10B676ED" w14:textId="77777777" w:rsidR="00190D60" w:rsidRPr="002C109A" w:rsidRDefault="00077C0B" w:rsidP="00890D03">
            <w:pPr>
              <w:spacing w:line="240" w:lineRule="auto"/>
              <w:jc w:val="center"/>
              <w:rPr>
                <w:rFonts w:eastAsia="Times New Roman" w:cs="Times New Roman"/>
                <w:color w:val="000000"/>
                <w:szCs w:val="24"/>
              </w:rPr>
            </w:pPr>
            <m:oMathPara>
              <m:oMath>
                <m:sSub>
                  <m:sSubPr>
                    <m:ctrlPr>
                      <w:rPr>
                        <w:rFonts w:ascii="Cambria Math" w:eastAsia="Times New Roman" w:hAnsi="Cambria Math" w:cs="Times New Roman"/>
                        <w:i/>
                        <w:szCs w:val="24"/>
                      </w:rPr>
                    </m:ctrlPr>
                  </m:sSubPr>
                  <m:e>
                    <m:r>
                      <w:rPr>
                        <w:rFonts w:ascii="Cambria Math" w:eastAsia="Times New Roman" w:hAnsi="Cambria Math" w:cs="Times New Roman"/>
                        <w:szCs w:val="24"/>
                      </w:rPr>
                      <m:t>E</m:t>
                    </m:r>
                  </m:e>
                  <m:sub>
                    <m:r>
                      <w:rPr>
                        <w:rFonts w:ascii="Cambria Math" w:eastAsia="Times New Roman" w:hAnsi="Cambria Math" w:cs="Times New Roman"/>
                        <w:szCs w:val="24"/>
                      </w:rPr>
                      <m:t>cement</m:t>
                    </m:r>
                  </m:sub>
                </m:sSub>
              </m:oMath>
            </m:oMathPara>
          </w:p>
        </w:tc>
        <w:tc>
          <w:tcPr>
            <w:tcW w:w="1108" w:type="dxa"/>
            <w:tcBorders>
              <w:top w:val="nil"/>
              <w:left w:val="nil"/>
              <w:bottom w:val="nil"/>
              <w:right w:val="nil"/>
            </w:tcBorders>
            <w:shd w:val="clear" w:color="auto" w:fill="auto"/>
            <w:noWrap/>
            <w:vAlign w:val="center"/>
            <w:hideMark/>
          </w:tcPr>
          <w:p w14:paraId="42FD2EF9" w14:textId="77777777" w:rsidR="00190D60" w:rsidRPr="002C109A" w:rsidRDefault="00190D60" w:rsidP="00890D03">
            <w:pPr>
              <w:spacing w:line="240" w:lineRule="auto"/>
              <w:jc w:val="center"/>
              <w:rPr>
                <w:rFonts w:eastAsia="Times New Roman" w:cs="Times New Roman"/>
                <w:color w:val="000000"/>
                <w:szCs w:val="24"/>
              </w:rPr>
            </w:pPr>
            <w:r w:rsidRPr="002C109A">
              <w:rPr>
                <w:rFonts w:eastAsia="Times New Roman" w:cs="Times New Roman"/>
                <w:color w:val="000000"/>
                <w:szCs w:val="24"/>
              </w:rPr>
              <w:t>0.66</w:t>
            </w:r>
          </w:p>
        </w:tc>
        <w:tc>
          <w:tcPr>
            <w:tcW w:w="1108" w:type="dxa"/>
            <w:tcBorders>
              <w:top w:val="nil"/>
              <w:left w:val="nil"/>
              <w:bottom w:val="nil"/>
              <w:right w:val="nil"/>
            </w:tcBorders>
            <w:shd w:val="clear" w:color="auto" w:fill="auto"/>
            <w:noWrap/>
            <w:vAlign w:val="center"/>
            <w:hideMark/>
          </w:tcPr>
          <w:p w14:paraId="05FFEE3D" w14:textId="77777777" w:rsidR="00190D60" w:rsidRPr="002C109A" w:rsidRDefault="00190D60" w:rsidP="00890D03">
            <w:pPr>
              <w:spacing w:line="240" w:lineRule="auto"/>
              <w:jc w:val="center"/>
              <w:rPr>
                <w:rFonts w:eastAsia="Times New Roman" w:cs="Times New Roman"/>
                <w:color w:val="000000"/>
                <w:szCs w:val="24"/>
              </w:rPr>
            </w:pPr>
            <w:r w:rsidRPr="002C109A">
              <w:rPr>
                <w:rFonts w:eastAsia="Times New Roman" w:cs="Times New Roman"/>
                <w:color w:val="000000"/>
                <w:szCs w:val="24"/>
              </w:rPr>
              <w:t>0.66</w:t>
            </w:r>
          </w:p>
        </w:tc>
      </w:tr>
      <w:tr w:rsidR="00190D60" w:rsidRPr="002C109A" w14:paraId="2DEB07F7" w14:textId="77777777" w:rsidTr="002C109A">
        <w:trPr>
          <w:trHeight w:val="144"/>
          <w:jc w:val="center"/>
        </w:trPr>
        <w:tc>
          <w:tcPr>
            <w:tcW w:w="2146" w:type="dxa"/>
            <w:tcBorders>
              <w:top w:val="nil"/>
              <w:left w:val="nil"/>
              <w:bottom w:val="nil"/>
              <w:right w:val="nil"/>
            </w:tcBorders>
            <w:shd w:val="clear" w:color="auto" w:fill="auto"/>
            <w:noWrap/>
            <w:vAlign w:val="center"/>
            <w:hideMark/>
          </w:tcPr>
          <w:p w14:paraId="6830B435" w14:textId="77777777" w:rsidR="00190D60" w:rsidRPr="002C109A" w:rsidRDefault="00077C0B" w:rsidP="00890D03">
            <w:pPr>
              <w:spacing w:line="240" w:lineRule="auto"/>
              <w:jc w:val="center"/>
              <w:rPr>
                <w:rFonts w:eastAsia="Times New Roman" w:cs="Times New Roman"/>
                <w:color w:val="000000"/>
                <w:szCs w:val="24"/>
              </w:rPr>
            </w:pPr>
            <m:oMathPara>
              <m:oMath>
                <m:sSup>
                  <m:sSupPr>
                    <m:ctrlPr>
                      <w:rPr>
                        <w:rFonts w:ascii="Cambria Math" w:eastAsia="Times New Roman" w:hAnsi="Cambria Math" w:cs="Times New Roman"/>
                        <w:i/>
                        <w:szCs w:val="24"/>
                      </w:rPr>
                    </m:ctrlPr>
                  </m:sSupPr>
                  <m:e>
                    <m:r>
                      <w:rPr>
                        <w:rFonts w:ascii="Cambria Math" w:eastAsia="Times New Roman" w:hAnsi="Cambria Math" w:cs="Times New Roman"/>
                        <w:szCs w:val="24"/>
                      </w:rPr>
                      <m:t>τ</m:t>
                    </m:r>
                  </m:e>
                  <m:sup>
                    <m:r>
                      <w:rPr>
                        <w:rFonts w:ascii="Cambria Math" w:eastAsia="Times New Roman" w:hAnsi="Cambria Math" w:cs="Times New Roman"/>
                        <w:szCs w:val="24"/>
                      </w:rPr>
                      <m:t>o</m:t>
                    </m:r>
                  </m:sup>
                </m:sSup>
              </m:oMath>
            </m:oMathPara>
          </w:p>
        </w:tc>
        <w:tc>
          <w:tcPr>
            <w:tcW w:w="1108" w:type="dxa"/>
            <w:tcBorders>
              <w:top w:val="nil"/>
              <w:left w:val="nil"/>
              <w:bottom w:val="nil"/>
              <w:right w:val="nil"/>
            </w:tcBorders>
            <w:shd w:val="clear" w:color="auto" w:fill="auto"/>
            <w:noWrap/>
            <w:vAlign w:val="center"/>
            <w:hideMark/>
          </w:tcPr>
          <w:p w14:paraId="2F7E42CD" w14:textId="77777777" w:rsidR="00190D60" w:rsidRPr="002C109A" w:rsidRDefault="00190D60" w:rsidP="00890D03">
            <w:pPr>
              <w:spacing w:line="240" w:lineRule="auto"/>
              <w:jc w:val="center"/>
              <w:rPr>
                <w:rFonts w:eastAsia="Times New Roman" w:cs="Times New Roman"/>
                <w:color w:val="000000"/>
                <w:szCs w:val="24"/>
              </w:rPr>
            </w:pPr>
            <w:r w:rsidRPr="002C109A">
              <w:rPr>
                <w:rFonts w:eastAsia="Times New Roman" w:cs="Times New Roman"/>
                <w:color w:val="000000"/>
                <w:szCs w:val="24"/>
              </w:rPr>
              <w:t>1.40</w:t>
            </w:r>
          </w:p>
        </w:tc>
        <w:tc>
          <w:tcPr>
            <w:tcW w:w="1108" w:type="dxa"/>
            <w:tcBorders>
              <w:top w:val="nil"/>
              <w:left w:val="nil"/>
              <w:bottom w:val="nil"/>
              <w:right w:val="nil"/>
            </w:tcBorders>
            <w:shd w:val="clear" w:color="auto" w:fill="auto"/>
            <w:noWrap/>
            <w:vAlign w:val="center"/>
            <w:hideMark/>
          </w:tcPr>
          <w:p w14:paraId="19D57B61" w14:textId="77777777" w:rsidR="00190D60" w:rsidRPr="002C109A" w:rsidRDefault="00190D60" w:rsidP="00890D03">
            <w:pPr>
              <w:spacing w:line="240" w:lineRule="auto"/>
              <w:jc w:val="center"/>
              <w:rPr>
                <w:rFonts w:eastAsia="Times New Roman" w:cs="Times New Roman"/>
                <w:color w:val="000000"/>
                <w:szCs w:val="24"/>
              </w:rPr>
            </w:pPr>
            <w:r w:rsidRPr="002C109A">
              <w:rPr>
                <w:rFonts w:eastAsia="Times New Roman" w:cs="Times New Roman"/>
                <w:color w:val="000000"/>
                <w:szCs w:val="24"/>
              </w:rPr>
              <w:t>1.40</w:t>
            </w:r>
          </w:p>
        </w:tc>
      </w:tr>
      <w:tr w:rsidR="00190D60" w:rsidRPr="002C109A" w14:paraId="5F328A36" w14:textId="77777777" w:rsidTr="002C109A">
        <w:trPr>
          <w:trHeight w:val="144"/>
          <w:jc w:val="center"/>
        </w:trPr>
        <w:tc>
          <w:tcPr>
            <w:tcW w:w="2146" w:type="dxa"/>
            <w:tcBorders>
              <w:top w:val="nil"/>
              <w:left w:val="nil"/>
              <w:bottom w:val="nil"/>
              <w:right w:val="nil"/>
            </w:tcBorders>
            <w:shd w:val="clear" w:color="auto" w:fill="auto"/>
            <w:noWrap/>
            <w:vAlign w:val="center"/>
            <w:hideMark/>
          </w:tcPr>
          <w:p w14:paraId="2C9D4C66" w14:textId="77777777" w:rsidR="00190D60" w:rsidRPr="002C109A" w:rsidRDefault="00077C0B" w:rsidP="00890D03">
            <w:pPr>
              <w:spacing w:line="240" w:lineRule="auto"/>
              <w:jc w:val="center"/>
              <w:rPr>
                <w:rFonts w:eastAsia="Times New Roman" w:cs="Times New Roman"/>
                <w:color w:val="000000"/>
                <w:szCs w:val="24"/>
              </w:rPr>
            </w:pPr>
            <m:oMathPara>
              <m:oMath>
                <m:sSub>
                  <m:sSubPr>
                    <m:ctrlPr>
                      <w:rPr>
                        <w:rFonts w:ascii="Cambria Math" w:eastAsia="Times New Roman" w:hAnsi="Cambria Math" w:cs="Times New Roman"/>
                        <w:i/>
                        <w:szCs w:val="24"/>
                      </w:rPr>
                    </m:ctrlPr>
                  </m:sSubPr>
                  <m:e>
                    <m:r>
                      <w:rPr>
                        <w:rFonts w:ascii="Cambria Math" w:eastAsia="Times New Roman" w:hAnsi="Cambria Math" w:cs="Times New Roman"/>
                        <w:szCs w:val="24"/>
                      </w:rPr>
                      <m:t>ω</m:t>
                    </m:r>
                  </m:e>
                  <m:sub>
                    <m:r>
                      <w:rPr>
                        <w:rFonts w:ascii="Cambria Math" w:eastAsia="Times New Roman" w:hAnsi="Cambria Math" w:cs="Times New Roman"/>
                        <w:szCs w:val="24"/>
                      </w:rPr>
                      <m:t>cement</m:t>
                    </m:r>
                  </m:sub>
                </m:sSub>
              </m:oMath>
            </m:oMathPara>
          </w:p>
        </w:tc>
        <w:tc>
          <w:tcPr>
            <w:tcW w:w="1108" w:type="dxa"/>
            <w:tcBorders>
              <w:top w:val="nil"/>
              <w:left w:val="nil"/>
              <w:bottom w:val="nil"/>
              <w:right w:val="nil"/>
            </w:tcBorders>
            <w:shd w:val="clear" w:color="auto" w:fill="auto"/>
            <w:noWrap/>
            <w:vAlign w:val="center"/>
            <w:hideMark/>
          </w:tcPr>
          <w:p w14:paraId="2988AB57" w14:textId="77777777" w:rsidR="00190D60" w:rsidRPr="002C109A" w:rsidRDefault="00190D60" w:rsidP="00890D03">
            <w:pPr>
              <w:spacing w:line="240" w:lineRule="auto"/>
              <w:jc w:val="center"/>
              <w:rPr>
                <w:rFonts w:eastAsia="Times New Roman" w:cs="Times New Roman"/>
                <w:color w:val="000000"/>
                <w:szCs w:val="24"/>
              </w:rPr>
            </w:pPr>
            <w:r w:rsidRPr="002C109A">
              <w:rPr>
                <w:rFonts w:eastAsia="Times New Roman" w:cs="Times New Roman"/>
                <w:color w:val="000000"/>
                <w:szCs w:val="24"/>
              </w:rPr>
              <w:t>1.20</w:t>
            </w:r>
          </w:p>
        </w:tc>
        <w:tc>
          <w:tcPr>
            <w:tcW w:w="1108" w:type="dxa"/>
            <w:tcBorders>
              <w:top w:val="nil"/>
              <w:left w:val="nil"/>
              <w:bottom w:val="nil"/>
              <w:right w:val="nil"/>
            </w:tcBorders>
            <w:shd w:val="clear" w:color="auto" w:fill="auto"/>
            <w:noWrap/>
            <w:vAlign w:val="center"/>
            <w:hideMark/>
          </w:tcPr>
          <w:p w14:paraId="7B21EA9D" w14:textId="77777777" w:rsidR="00190D60" w:rsidRPr="002C109A" w:rsidRDefault="00190D60" w:rsidP="00890D03">
            <w:pPr>
              <w:spacing w:line="240" w:lineRule="auto"/>
              <w:jc w:val="center"/>
              <w:rPr>
                <w:rFonts w:eastAsia="Times New Roman" w:cs="Times New Roman"/>
                <w:color w:val="000000"/>
                <w:szCs w:val="24"/>
              </w:rPr>
            </w:pPr>
            <w:r w:rsidRPr="002C109A">
              <w:rPr>
                <w:rFonts w:eastAsia="Times New Roman" w:cs="Times New Roman"/>
                <w:color w:val="000000"/>
                <w:szCs w:val="24"/>
              </w:rPr>
              <w:t>0.80</w:t>
            </w:r>
          </w:p>
        </w:tc>
      </w:tr>
      <w:tr w:rsidR="00190D60" w:rsidRPr="002C109A" w14:paraId="0218D44D" w14:textId="77777777" w:rsidTr="002C109A">
        <w:trPr>
          <w:trHeight w:val="144"/>
          <w:jc w:val="center"/>
        </w:trPr>
        <w:tc>
          <w:tcPr>
            <w:tcW w:w="2146" w:type="dxa"/>
            <w:tcBorders>
              <w:top w:val="nil"/>
              <w:left w:val="nil"/>
              <w:bottom w:val="nil"/>
              <w:right w:val="nil"/>
            </w:tcBorders>
            <w:shd w:val="clear" w:color="auto" w:fill="auto"/>
            <w:noWrap/>
            <w:vAlign w:val="center"/>
            <w:hideMark/>
          </w:tcPr>
          <w:p w14:paraId="30ED1927" w14:textId="77777777" w:rsidR="00190D60" w:rsidRPr="002C109A" w:rsidRDefault="00077C0B" w:rsidP="00890D03">
            <w:pPr>
              <w:spacing w:line="240" w:lineRule="auto"/>
              <w:jc w:val="center"/>
              <w:rPr>
                <w:rFonts w:eastAsia="Times New Roman" w:cs="Times New Roman"/>
                <w:color w:val="000000"/>
                <w:szCs w:val="24"/>
              </w:rPr>
            </w:pPr>
            <m:oMathPara>
              <m:oMath>
                <m:sSub>
                  <m:sSubPr>
                    <m:ctrlPr>
                      <w:rPr>
                        <w:rFonts w:ascii="Cambria Math" w:eastAsia="Times New Roman" w:hAnsi="Cambria Math" w:cs="Times New Roman"/>
                        <w:i/>
                        <w:szCs w:val="24"/>
                      </w:rPr>
                    </m:ctrlPr>
                  </m:sSubPr>
                  <m:e>
                    <m:r>
                      <w:rPr>
                        <w:rFonts w:ascii="Cambria Math" w:eastAsia="Times New Roman" w:hAnsi="Cambria Math" w:cs="Times New Roman"/>
                        <w:szCs w:val="24"/>
                      </w:rPr>
                      <m:t>v</m:t>
                    </m:r>
                  </m:e>
                  <m:sub>
                    <m:r>
                      <w:rPr>
                        <w:rFonts w:ascii="Cambria Math" w:eastAsia="Times New Roman" w:hAnsi="Cambria Math" w:cs="Times New Roman"/>
                        <w:szCs w:val="24"/>
                      </w:rPr>
                      <m:t>cement</m:t>
                    </m:r>
                  </m:sub>
                </m:sSub>
              </m:oMath>
            </m:oMathPara>
          </w:p>
        </w:tc>
        <w:tc>
          <w:tcPr>
            <w:tcW w:w="1108" w:type="dxa"/>
            <w:tcBorders>
              <w:top w:val="nil"/>
              <w:left w:val="nil"/>
              <w:bottom w:val="nil"/>
              <w:right w:val="nil"/>
            </w:tcBorders>
            <w:shd w:val="clear" w:color="auto" w:fill="auto"/>
            <w:noWrap/>
            <w:vAlign w:val="center"/>
            <w:hideMark/>
          </w:tcPr>
          <w:p w14:paraId="12EAB75A" w14:textId="77777777" w:rsidR="00190D60" w:rsidRPr="002C109A" w:rsidRDefault="00190D60" w:rsidP="00890D03">
            <w:pPr>
              <w:spacing w:line="240" w:lineRule="auto"/>
              <w:jc w:val="center"/>
              <w:rPr>
                <w:rFonts w:eastAsia="Times New Roman" w:cs="Times New Roman"/>
                <w:color w:val="000000"/>
                <w:szCs w:val="24"/>
              </w:rPr>
            </w:pPr>
            <w:r w:rsidRPr="002C109A">
              <w:rPr>
                <w:rFonts w:eastAsia="Times New Roman" w:cs="Times New Roman"/>
                <w:color w:val="000000"/>
                <w:szCs w:val="24"/>
              </w:rPr>
              <w:t>1.33</w:t>
            </w:r>
          </w:p>
        </w:tc>
        <w:tc>
          <w:tcPr>
            <w:tcW w:w="1108" w:type="dxa"/>
            <w:tcBorders>
              <w:top w:val="nil"/>
              <w:left w:val="nil"/>
              <w:bottom w:val="nil"/>
              <w:right w:val="nil"/>
            </w:tcBorders>
            <w:shd w:val="clear" w:color="auto" w:fill="auto"/>
            <w:noWrap/>
            <w:vAlign w:val="center"/>
            <w:hideMark/>
          </w:tcPr>
          <w:p w14:paraId="5188A46D" w14:textId="77777777" w:rsidR="00190D60" w:rsidRPr="002C109A" w:rsidRDefault="00190D60" w:rsidP="00890D03">
            <w:pPr>
              <w:spacing w:line="240" w:lineRule="auto"/>
              <w:jc w:val="center"/>
              <w:rPr>
                <w:rFonts w:eastAsia="Times New Roman" w:cs="Times New Roman"/>
                <w:color w:val="000000"/>
                <w:szCs w:val="24"/>
              </w:rPr>
            </w:pPr>
          </w:p>
        </w:tc>
      </w:tr>
      <w:tr w:rsidR="00190D60" w:rsidRPr="002C109A" w14:paraId="49FDAF75" w14:textId="77777777" w:rsidTr="002C109A">
        <w:trPr>
          <w:trHeight w:val="144"/>
          <w:jc w:val="center"/>
        </w:trPr>
        <w:tc>
          <w:tcPr>
            <w:tcW w:w="2146" w:type="dxa"/>
            <w:tcBorders>
              <w:top w:val="nil"/>
              <w:left w:val="nil"/>
              <w:bottom w:val="nil"/>
              <w:right w:val="nil"/>
            </w:tcBorders>
            <w:shd w:val="clear" w:color="auto" w:fill="auto"/>
            <w:noWrap/>
            <w:vAlign w:val="center"/>
            <w:hideMark/>
          </w:tcPr>
          <w:p w14:paraId="0D953444" w14:textId="77777777" w:rsidR="00190D60" w:rsidRPr="002C109A" w:rsidRDefault="00077C0B" w:rsidP="00890D03">
            <w:pPr>
              <w:spacing w:line="240" w:lineRule="auto"/>
              <w:jc w:val="center"/>
              <w:rPr>
                <w:rFonts w:eastAsia="Times New Roman" w:cs="Times New Roman"/>
                <w:color w:val="000000"/>
                <w:szCs w:val="24"/>
              </w:rPr>
            </w:pPr>
            <m:oMathPara>
              <m:oMath>
                <m:sSub>
                  <m:sSubPr>
                    <m:ctrlPr>
                      <w:rPr>
                        <w:rFonts w:ascii="Cambria Math" w:eastAsia="Times New Roman" w:hAnsi="Cambria Math" w:cs="Times New Roman"/>
                        <w:i/>
                        <w:szCs w:val="24"/>
                      </w:rPr>
                    </m:ctrlPr>
                  </m:sSubPr>
                  <m:e>
                    <m:r>
                      <w:rPr>
                        <w:rFonts w:ascii="Cambria Math" w:eastAsia="Times New Roman" w:hAnsi="Cambria Math" w:cs="Times New Roman"/>
                        <w:szCs w:val="24"/>
                      </w:rPr>
                      <m:t>α</m:t>
                    </m:r>
                  </m:e>
                  <m:sub>
                    <m:r>
                      <w:rPr>
                        <w:rFonts w:ascii="Cambria Math" w:eastAsia="Times New Roman" w:hAnsi="Cambria Math" w:cs="Times New Roman"/>
                        <w:szCs w:val="24"/>
                      </w:rPr>
                      <m:t>rock</m:t>
                    </m:r>
                  </m:sub>
                </m:sSub>
              </m:oMath>
            </m:oMathPara>
          </w:p>
        </w:tc>
        <w:tc>
          <w:tcPr>
            <w:tcW w:w="1108" w:type="dxa"/>
            <w:tcBorders>
              <w:top w:val="nil"/>
              <w:left w:val="nil"/>
              <w:bottom w:val="nil"/>
              <w:right w:val="nil"/>
            </w:tcBorders>
            <w:shd w:val="clear" w:color="auto" w:fill="auto"/>
            <w:noWrap/>
            <w:vAlign w:val="center"/>
            <w:hideMark/>
          </w:tcPr>
          <w:p w14:paraId="3002C137" w14:textId="77777777" w:rsidR="00190D60" w:rsidRPr="002C109A" w:rsidRDefault="00190D60" w:rsidP="00890D03">
            <w:pPr>
              <w:spacing w:line="240" w:lineRule="auto"/>
              <w:jc w:val="center"/>
              <w:rPr>
                <w:rFonts w:eastAsia="Times New Roman" w:cs="Times New Roman"/>
                <w:color w:val="000000"/>
                <w:szCs w:val="24"/>
              </w:rPr>
            </w:pPr>
          </w:p>
        </w:tc>
        <w:tc>
          <w:tcPr>
            <w:tcW w:w="1108" w:type="dxa"/>
            <w:tcBorders>
              <w:top w:val="nil"/>
              <w:left w:val="nil"/>
              <w:bottom w:val="nil"/>
              <w:right w:val="nil"/>
            </w:tcBorders>
            <w:shd w:val="clear" w:color="auto" w:fill="auto"/>
            <w:noWrap/>
            <w:vAlign w:val="center"/>
            <w:hideMark/>
          </w:tcPr>
          <w:p w14:paraId="74BB2169" w14:textId="77777777" w:rsidR="00190D60" w:rsidRPr="002C109A" w:rsidRDefault="00190D60" w:rsidP="00890D03">
            <w:pPr>
              <w:spacing w:line="240" w:lineRule="auto"/>
              <w:jc w:val="center"/>
              <w:rPr>
                <w:rFonts w:eastAsia="Times New Roman" w:cs="Times New Roman"/>
                <w:color w:val="000000"/>
                <w:szCs w:val="24"/>
              </w:rPr>
            </w:pPr>
            <w:r w:rsidRPr="002C109A">
              <w:rPr>
                <w:rFonts w:eastAsia="Times New Roman" w:cs="Times New Roman"/>
                <w:color w:val="000000"/>
                <w:szCs w:val="24"/>
              </w:rPr>
              <w:t>0.60</w:t>
            </w:r>
          </w:p>
        </w:tc>
      </w:tr>
      <w:tr w:rsidR="00190D60" w:rsidRPr="002C109A" w14:paraId="6608B2DA" w14:textId="77777777" w:rsidTr="002C109A">
        <w:trPr>
          <w:trHeight w:val="144"/>
          <w:jc w:val="center"/>
        </w:trPr>
        <w:tc>
          <w:tcPr>
            <w:tcW w:w="2146" w:type="dxa"/>
            <w:tcBorders>
              <w:top w:val="nil"/>
              <w:left w:val="nil"/>
              <w:bottom w:val="nil"/>
              <w:right w:val="nil"/>
            </w:tcBorders>
            <w:shd w:val="clear" w:color="auto" w:fill="auto"/>
            <w:noWrap/>
            <w:vAlign w:val="center"/>
            <w:hideMark/>
          </w:tcPr>
          <w:p w14:paraId="2440EE27" w14:textId="77777777" w:rsidR="00190D60" w:rsidRPr="002C109A" w:rsidRDefault="00077C0B" w:rsidP="00890D03">
            <w:pPr>
              <w:spacing w:line="240" w:lineRule="auto"/>
              <w:jc w:val="center"/>
              <w:rPr>
                <w:rFonts w:eastAsia="Times New Roman" w:cs="Times New Roman"/>
                <w:color w:val="000000"/>
                <w:szCs w:val="24"/>
              </w:rPr>
            </w:pPr>
            <m:oMathPara>
              <m:oMath>
                <m:sSub>
                  <m:sSubPr>
                    <m:ctrlPr>
                      <w:rPr>
                        <w:rFonts w:ascii="Cambria Math" w:eastAsia="Times New Roman" w:hAnsi="Cambria Math" w:cs="Times New Roman"/>
                        <w:i/>
                        <w:szCs w:val="24"/>
                      </w:rPr>
                    </m:ctrlPr>
                  </m:sSubPr>
                  <m:e>
                    <m:r>
                      <w:rPr>
                        <w:rFonts w:ascii="Cambria Math" w:eastAsia="Times New Roman" w:hAnsi="Cambria Math" w:cs="Times New Roman"/>
                        <w:szCs w:val="24"/>
                      </w:rPr>
                      <m:t>v</m:t>
                    </m:r>
                  </m:e>
                  <m:sub>
                    <m:r>
                      <w:rPr>
                        <w:rFonts w:ascii="Cambria Math" w:eastAsia="Times New Roman" w:hAnsi="Cambria Math" w:cs="Times New Roman"/>
                        <w:szCs w:val="24"/>
                      </w:rPr>
                      <m:t>rock</m:t>
                    </m:r>
                  </m:sub>
                </m:sSub>
              </m:oMath>
            </m:oMathPara>
          </w:p>
        </w:tc>
        <w:tc>
          <w:tcPr>
            <w:tcW w:w="1108" w:type="dxa"/>
            <w:tcBorders>
              <w:top w:val="nil"/>
              <w:left w:val="nil"/>
              <w:bottom w:val="nil"/>
              <w:right w:val="nil"/>
            </w:tcBorders>
            <w:shd w:val="clear" w:color="auto" w:fill="auto"/>
            <w:noWrap/>
            <w:vAlign w:val="center"/>
            <w:hideMark/>
          </w:tcPr>
          <w:p w14:paraId="69FD0F0E" w14:textId="77777777" w:rsidR="00190D60" w:rsidRPr="002C109A" w:rsidRDefault="00190D60" w:rsidP="00890D03">
            <w:pPr>
              <w:spacing w:line="240" w:lineRule="auto"/>
              <w:jc w:val="center"/>
              <w:rPr>
                <w:rFonts w:eastAsia="Times New Roman" w:cs="Times New Roman"/>
                <w:color w:val="000000"/>
                <w:szCs w:val="24"/>
              </w:rPr>
            </w:pPr>
          </w:p>
        </w:tc>
        <w:tc>
          <w:tcPr>
            <w:tcW w:w="1108" w:type="dxa"/>
            <w:tcBorders>
              <w:top w:val="nil"/>
              <w:left w:val="nil"/>
              <w:bottom w:val="nil"/>
              <w:right w:val="nil"/>
            </w:tcBorders>
            <w:shd w:val="clear" w:color="auto" w:fill="auto"/>
            <w:noWrap/>
            <w:vAlign w:val="center"/>
            <w:hideMark/>
          </w:tcPr>
          <w:p w14:paraId="2C377177" w14:textId="77777777" w:rsidR="00190D60" w:rsidRPr="002C109A" w:rsidRDefault="00190D60" w:rsidP="00890D03">
            <w:pPr>
              <w:spacing w:line="240" w:lineRule="auto"/>
              <w:jc w:val="center"/>
              <w:rPr>
                <w:rFonts w:eastAsia="Times New Roman" w:cs="Times New Roman"/>
                <w:color w:val="000000"/>
                <w:szCs w:val="24"/>
              </w:rPr>
            </w:pPr>
            <w:r w:rsidRPr="002C109A">
              <w:rPr>
                <w:rFonts w:eastAsia="Times New Roman" w:cs="Times New Roman"/>
                <w:color w:val="000000"/>
                <w:szCs w:val="24"/>
              </w:rPr>
              <w:t>0.74</w:t>
            </w:r>
          </w:p>
        </w:tc>
      </w:tr>
    </w:tbl>
    <w:p w14:paraId="76C2401D" w14:textId="77777777" w:rsidR="00190D60" w:rsidRDefault="00190D60" w:rsidP="00190D60">
      <w:pPr>
        <w:ind w:firstLine="720"/>
      </w:pPr>
    </w:p>
    <w:p w14:paraId="1522A075" w14:textId="77777777" w:rsidR="00190D60" w:rsidRPr="00BB51C6" w:rsidRDefault="00190D60" w:rsidP="00190D60">
      <w:pPr>
        <w:rPr>
          <w:b/>
        </w:rPr>
      </w:pPr>
      <w:r>
        <w:rPr>
          <w:b/>
        </w:rPr>
        <w:t>50</w:t>
      </w:r>
      <w:r w:rsidRPr="00BB51C6">
        <w:rPr>
          <w:b/>
        </w:rPr>
        <w:t>% Reduction</w:t>
      </w:r>
    </w:p>
    <w:p w14:paraId="6C726F29" w14:textId="5178EB62" w:rsidR="00190D60" w:rsidRDefault="00190D60" w:rsidP="00190D60">
      <w:pPr>
        <w:ind w:firstLine="720"/>
      </w:pPr>
      <w:r w:rsidRPr="007D5F9B">
        <w:t xml:space="preserve">The microannuli gaps for a 50% reduction in </w:t>
      </w:r>
      <m:oMath>
        <m:r>
          <w:rPr>
            <w:rFonts w:ascii="Cambria Math" w:hAnsi="Cambria Math"/>
          </w:rPr>
          <m:t>ΔP</m:t>
        </m:r>
      </m:oMath>
      <w:r w:rsidRPr="007D5F9B">
        <w:t xml:space="preserve"> and </w:t>
      </w:r>
      <m:oMath>
        <m:r>
          <w:rPr>
            <w:rFonts w:ascii="Cambria Math" w:hAnsi="Cambria Math"/>
          </w:rPr>
          <m:t>ΔT</m:t>
        </m:r>
      </m:oMath>
      <w:r w:rsidRPr="007D5F9B">
        <w:t xml:space="preserve"> range f</w:t>
      </w:r>
      <w:r>
        <w:t xml:space="preserve">rom a size of 0 μm to 72.2 μm. </w:t>
      </w:r>
      <w:r w:rsidRPr="007D5F9B">
        <w:t xml:space="preserve">For the base case with a reduction of 50%, </w:t>
      </w:r>
      <m:oMath>
        <m:r>
          <w:rPr>
            <w:rFonts w:ascii="Cambria Math" w:hAnsi="Cambria Math"/>
          </w:rPr>
          <m:t>ΔP</m:t>
        </m:r>
      </m:oMath>
      <w:r w:rsidRPr="007D5F9B">
        <w:t xml:space="preserve"> resulted in a gap of 9.79 μm and </w:t>
      </w:r>
      <m:oMath>
        <m:r>
          <w:rPr>
            <w:rFonts w:ascii="Cambria Math" w:hAnsi="Cambria Math"/>
          </w:rPr>
          <m:t>ΔT</m:t>
        </m:r>
      </m:oMath>
      <w:r>
        <w:t xml:space="preserve"> resulted in a gap of 8.72 μm.</w:t>
      </w:r>
      <w:r w:rsidRPr="007D5F9B">
        <w:t xml:space="preserve"> </w:t>
      </w:r>
      <w:r>
        <w:t xml:space="preserve">Every parameter that caused variations in the base gaps with </w:t>
      </w:r>
      <m:oMath>
        <m:r>
          <w:rPr>
            <w:rFonts w:ascii="Cambria Math" w:hAnsi="Cambria Math"/>
          </w:rPr>
          <m:t>ΔP</m:t>
        </m:r>
      </m:oMath>
      <w:r>
        <w:t xml:space="preserve"> and </w:t>
      </w:r>
      <m:oMath>
        <m:r>
          <w:rPr>
            <w:rFonts w:ascii="Cambria Math" w:hAnsi="Cambria Math"/>
          </w:rPr>
          <m:t>ΔT</m:t>
        </m:r>
      </m:oMath>
      <w:r>
        <w:t xml:space="preserve"> at 44% reduction caused variations in gap widths with 50% reduction. As with the 44% reduction, </w:t>
      </w:r>
      <m:oMath>
        <m:sSub>
          <m:sSubPr>
            <m:ctrlPr>
              <w:rPr>
                <w:rFonts w:ascii="Cambria Math" w:hAnsi="Cambria Math"/>
                <w:i/>
              </w:rPr>
            </m:ctrlPr>
          </m:sSubPr>
          <m:e>
            <m:r>
              <w:rPr>
                <w:rFonts w:ascii="Cambria Math" w:hAnsi="Cambria Math"/>
              </w:rPr>
              <m:t>ω</m:t>
            </m:r>
          </m:e>
          <m:sub>
            <m:r>
              <w:rPr>
                <w:rFonts w:ascii="Cambria Math" w:hAnsi="Cambria Math"/>
              </w:rPr>
              <m:t>casing</m:t>
            </m:r>
          </m:sub>
        </m:sSub>
      </m:oMath>
      <w:r w:rsidRPr="00166474">
        <w:t xml:space="preserve"> and </w:t>
      </w:r>
      <m:oMath>
        <m:r>
          <w:rPr>
            <w:rFonts w:ascii="Cambria Math" w:hAnsi="Cambria Math"/>
          </w:rPr>
          <m:t>Hole Size</m:t>
        </m:r>
      </m:oMath>
      <w:r w:rsidRPr="007D5F9B">
        <w:t xml:space="preserve"> </w:t>
      </w:r>
      <w:r>
        <w:t xml:space="preserve">created large variations in the gap widths for </w:t>
      </w:r>
      <m:oMath>
        <m:r>
          <w:rPr>
            <w:rFonts w:ascii="Cambria Math" w:hAnsi="Cambria Math"/>
          </w:rPr>
          <m:t>ΔP</m:t>
        </m:r>
      </m:oMath>
      <w:r>
        <w:t xml:space="preserve">. The variations due to </w:t>
      </w:r>
      <m:oMath>
        <m:r>
          <w:rPr>
            <w:rFonts w:ascii="Cambria Math" w:hAnsi="Cambria Math"/>
          </w:rPr>
          <m:t>ΔT</m:t>
        </m:r>
      </m:oMath>
      <w:r>
        <w:t xml:space="preserve"> are not as significant. </w:t>
      </w:r>
      <w:r w:rsidRPr="007D5F9B">
        <w:t xml:space="preserve">With a reduction of 50% in </w:t>
      </w:r>
      <m:oMath>
        <m:r>
          <w:rPr>
            <w:rFonts w:ascii="Cambria Math" w:hAnsi="Cambria Math"/>
          </w:rPr>
          <m:t>ΔP</m:t>
        </m:r>
      </m:oMath>
      <w:r w:rsidRPr="007D5F9B">
        <w:t xml:space="preserve"> and/or </w:t>
      </w:r>
      <m:oMath>
        <m:r>
          <w:rPr>
            <w:rFonts w:ascii="Cambria Math" w:hAnsi="Cambria Math"/>
          </w:rPr>
          <m:t>ΔT</m:t>
        </m:r>
      </m:oMath>
      <w:r w:rsidRPr="007D5F9B">
        <w:t xml:space="preserve">, three of the parameters can be </w:t>
      </w:r>
      <w:r w:rsidRPr="007D5F9B">
        <w:lastRenderedPageBreak/>
        <w:t xml:space="preserve">altered such that the base case gap can be </w:t>
      </w:r>
      <w:r>
        <w:t xml:space="preserve">reduced down to no gap (0 μm). </w:t>
      </w:r>
      <w:r w:rsidRPr="007D5F9B">
        <w:t>The parameters that can be altered such that there is not a gap are</w:t>
      </w:r>
      <w:r>
        <w:t xml:space="preserve"> </w:t>
      </w:r>
      <m:oMath>
        <m:sSub>
          <m:sSubPr>
            <m:ctrlPr>
              <w:rPr>
                <w:rFonts w:ascii="Cambria Math" w:hAnsi="Cambria Math"/>
                <w:i/>
              </w:rPr>
            </m:ctrlPr>
          </m:sSubPr>
          <m:e>
            <m:r>
              <w:rPr>
                <w:rFonts w:ascii="Cambria Math" w:hAnsi="Cambria Math"/>
              </w:rPr>
              <m:t>ω</m:t>
            </m:r>
          </m:e>
          <m:sub>
            <m:r>
              <w:rPr>
                <w:rFonts w:ascii="Cambria Math" w:hAnsi="Cambria Math"/>
              </w:rPr>
              <m:t>casing</m:t>
            </m:r>
          </m:sub>
        </m:sSub>
      </m:oMath>
      <w:r>
        <w:t>,</w:t>
      </w:r>
      <w:r w:rsidRPr="00166474">
        <w:t xml:space="preserve"> </w:t>
      </w:r>
      <m:oMath>
        <m:r>
          <w:rPr>
            <w:rFonts w:ascii="Cambria Math" w:hAnsi="Cambria Math"/>
          </w:rPr>
          <m:t>Hole Size</m:t>
        </m:r>
      </m:oMath>
      <w:r>
        <w:t xml:space="preserve">, and </w:t>
      </w:r>
      <w:r w:rsidRPr="007D5F9B">
        <w:t xml:space="preserve"> </w:t>
      </w:r>
      <m:oMath>
        <m:sSub>
          <m:sSubPr>
            <m:ctrlPr>
              <w:rPr>
                <w:rFonts w:ascii="Cambria Math" w:hAnsi="Cambria Math"/>
                <w:i/>
              </w:rPr>
            </m:ctrlPr>
          </m:sSubPr>
          <m:e>
            <m:r>
              <w:rPr>
                <w:rFonts w:ascii="Cambria Math" w:hAnsi="Cambria Math"/>
              </w:rPr>
              <m:t>E</m:t>
            </m:r>
          </m:e>
          <m:sub>
            <m:r>
              <w:rPr>
                <w:rFonts w:ascii="Cambria Math" w:hAnsi="Cambria Math"/>
              </w:rPr>
              <m:t>cement</m:t>
            </m:r>
          </m:sub>
        </m:sSub>
      </m:oMath>
      <w:r>
        <w:t xml:space="preserve">. </w:t>
      </w:r>
      <w:r w:rsidRPr="007D5F9B">
        <w:t xml:space="preserve">All three parameters can eliminate the gap for </w:t>
      </w:r>
      <m:oMath>
        <m:r>
          <w:rPr>
            <w:rFonts w:ascii="Cambria Math" w:hAnsi="Cambria Math"/>
          </w:rPr>
          <m:t>ΔP</m:t>
        </m:r>
      </m:oMath>
      <w:r w:rsidRPr="007D5F9B">
        <w:t xml:space="preserve">, but only </w:t>
      </w:r>
      <m:oMath>
        <m:sSub>
          <m:sSubPr>
            <m:ctrlPr>
              <w:rPr>
                <w:rFonts w:ascii="Cambria Math" w:hAnsi="Cambria Math"/>
                <w:i/>
              </w:rPr>
            </m:ctrlPr>
          </m:sSubPr>
          <m:e>
            <m:r>
              <w:rPr>
                <w:rFonts w:ascii="Cambria Math" w:hAnsi="Cambria Math"/>
              </w:rPr>
              <m:t>E</m:t>
            </m:r>
          </m:e>
          <m:sub>
            <m:r>
              <w:rPr>
                <w:rFonts w:ascii="Cambria Math" w:hAnsi="Cambria Math"/>
              </w:rPr>
              <m:t>cement</m:t>
            </m:r>
          </m:sub>
        </m:sSub>
      </m:oMath>
      <w:r w:rsidRPr="007D5F9B">
        <w:t xml:space="preserve"> significantly reduce</w:t>
      </w:r>
      <w:r>
        <w:t>d</w:t>
      </w:r>
      <w:r w:rsidRPr="007D5F9B">
        <w:t xml:space="preserve"> the gap for </w:t>
      </w:r>
      <m:oMath>
        <m:r>
          <w:rPr>
            <w:rFonts w:ascii="Cambria Math" w:hAnsi="Cambria Math"/>
          </w:rPr>
          <m:t>ΔT</m:t>
        </m:r>
      </m:oMath>
      <w:r w:rsidRPr="007D5F9B">
        <w:t xml:space="preserve"> (0.1μm)</w:t>
      </w:r>
      <w:r>
        <w:t>.</w:t>
      </w:r>
    </w:p>
    <w:p w14:paraId="7D1F5CBF" w14:textId="77777777" w:rsidR="00190D60" w:rsidRPr="00BB51C6" w:rsidRDefault="00190D60" w:rsidP="00190D60">
      <w:pPr>
        <w:rPr>
          <w:b/>
        </w:rPr>
      </w:pPr>
      <w:r>
        <w:rPr>
          <w:b/>
        </w:rPr>
        <w:t>67</w:t>
      </w:r>
      <w:r w:rsidRPr="00BB51C6">
        <w:rPr>
          <w:b/>
        </w:rPr>
        <w:t>% Reduction</w:t>
      </w:r>
    </w:p>
    <w:p w14:paraId="3735F81C" w14:textId="77777777" w:rsidR="00190D60" w:rsidRDefault="00190D60" w:rsidP="00190D60">
      <w:pPr>
        <w:ind w:firstLine="720"/>
      </w:pPr>
      <w:r w:rsidRPr="007D5F9B">
        <w:t>The microannuli gaps</w:t>
      </w:r>
      <w:r>
        <w:t xml:space="preserve"> for a 67</w:t>
      </w:r>
      <w:r w:rsidRPr="007D5F9B">
        <w:t xml:space="preserve">% reduction in </w:t>
      </w:r>
      <m:oMath>
        <m:r>
          <w:rPr>
            <w:rFonts w:ascii="Cambria Math" w:hAnsi="Cambria Math"/>
          </w:rPr>
          <m:t>ΔP</m:t>
        </m:r>
      </m:oMath>
      <w:r w:rsidRPr="007D5F9B">
        <w:t xml:space="preserve"> and </w:t>
      </w:r>
      <m:oMath>
        <m:r>
          <w:rPr>
            <w:rFonts w:ascii="Cambria Math" w:hAnsi="Cambria Math"/>
          </w:rPr>
          <m:t>ΔT</m:t>
        </m:r>
      </m:oMath>
      <w:r w:rsidRPr="007D5F9B">
        <w:t xml:space="preserve"> range in size from 1.3 μm</w:t>
      </w:r>
      <w:r>
        <w:t xml:space="preserve"> to 125.2 μm. </w:t>
      </w:r>
      <w:r w:rsidRPr="007D5F9B">
        <w:t>For the base c</w:t>
      </w:r>
      <w:r>
        <w:t>ase with a reduction of 67</w:t>
      </w:r>
      <w:r w:rsidRPr="007D5F9B">
        <w:t xml:space="preserve">%, </w:t>
      </w:r>
      <m:oMath>
        <m:r>
          <w:rPr>
            <w:rFonts w:ascii="Cambria Math" w:hAnsi="Cambria Math"/>
          </w:rPr>
          <m:t>ΔP</m:t>
        </m:r>
      </m:oMath>
      <w:r w:rsidRPr="007D5F9B">
        <w:t xml:space="preserve"> resulted in a gap of 31.13 μm and </w:t>
      </w:r>
      <m:oMath>
        <m:r>
          <w:rPr>
            <w:rFonts w:ascii="Cambria Math" w:hAnsi="Cambria Math"/>
          </w:rPr>
          <m:t>ΔT</m:t>
        </m:r>
      </m:oMath>
      <w:r w:rsidRPr="007D5F9B">
        <w:t xml:space="preserve"> </w:t>
      </w:r>
      <w:r>
        <w:t xml:space="preserve">resulted in a gap of 31.25 μm. Similar to the 50% and 44% reduction, </w:t>
      </w:r>
      <m:oMath>
        <m:sSub>
          <m:sSubPr>
            <m:ctrlPr>
              <w:rPr>
                <w:rFonts w:ascii="Cambria Math" w:hAnsi="Cambria Math"/>
                <w:i/>
              </w:rPr>
            </m:ctrlPr>
          </m:sSubPr>
          <m:e>
            <m:r>
              <w:rPr>
                <w:rFonts w:ascii="Cambria Math" w:hAnsi="Cambria Math"/>
              </w:rPr>
              <m:t>ω</m:t>
            </m:r>
          </m:e>
          <m:sub>
            <m:r>
              <w:rPr>
                <w:rFonts w:ascii="Cambria Math" w:hAnsi="Cambria Math"/>
              </w:rPr>
              <m:t>casing</m:t>
            </m:r>
          </m:sub>
        </m:sSub>
      </m:oMath>
      <w:r w:rsidRPr="00166474">
        <w:t xml:space="preserve"> and </w:t>
      </w:r>
      <m:oMath>
        <m:r>
          <w:rPr>
            <w:rFonts w:ascii="Cambria Math" w:hAnsi="Cambria Math"/>
          </w:rPr>
          <m:t>Hole Size</m:t>
        </m:r>
      </m:oMath>
      <w:r>
        <w:t xml:space="preserve"> have the largest variation in gap width for </w:t>
      </w:r>
      <m:oMath>
        <m:r>
          <w:rPr>
            <w:rFonts w:ascii="Cambria Math" w:hAnsi="Cambria Math"/>
          </w:rPr>
          <m:t>ΔP</m:t>
        </m:r>
      </m:oMath>
      <w:r>
        <w:t xml:space="preserve">. The largest gap variation for </w:t>
      </w:r>
      <m:oMath>
        <m:r>
          <w:rPr>
            <w:rFonts w:ascii="Cambria Math" w:hAnsi="Cambria Math"/>
          </w:rPr>
          <m:t>ΔT</m:t>
        </m:r>
      </m:oMath>
      <w:r>
        <w:t xml:space="preserve"> is the change in hole size with a range of 36.9 μm whereas the largest gap variation for </w:t>
      </w:r>
      <m:oMath>
        <m:r>
          <w:rPr>
            <w:rFonts w:ascii="Cambria Math" w:hAnsi="Cambria Math"/>
          </w:rPr>
          <m:t>ΔP</m:t>
        </m:r>
      </m:oMath>
      <w:r>
        <w:t xml:space="preserve"> is change in hole size with a range of 123.9 μm. </w:t>
      </w:r>
      <w:r w:rsidRPr="00CA5D09">
        <w:t xml:space="preserve">The change in </w:t>
      </w:r>
      <m:oMath>
        <m:r>
          <w:rPr>
            <w:rFonts w:ascii="Cambria Math" w:hAnsi="Cambria Math"/>
          </w:rPr>
          <m:t>Hole Size</m:t>
        </m:r>
      </m:oMath>
      <w:r w:rsidRPr="00CA5D09">
        <w:t xml:space="preserve"> did not have a major effect with respect to microannuli gap sizes with respect to </w:t>
      </w:r>
      <m:oMath>
        <m:r>
          <w:rPr>
            <w:rFonts w:ascii="Cambria Math" w:hAnsi="Cambria Math"/>
          </w:rPr>
          <m:t>ΔT</m:t>
        </m:r>
      </m:oMath>
      <w:r w:rsidRPr="00CA5D09">
        <w:t xml:space="preserve"> with the 29%, 44%, and 50% reductions, but the </w:t>
      </w:r>
      <m:oMath>
        <m:r>
          <w:rPr>
            <w:rFonts w:ascii="Cambria Math" w:hAnsi="Cambria Math"/>
          </w:rPr>
          <m:t>Hole Size</m:t>
        </m:r>
      </m:oMath>
      <w:r w:rsidRPr="00CA5D09">
        <w:t xml:space="preserve"> has a major effect with a 67% reduction most likely due to the softening traction-separation law. The 67% reduction in </w:t>
      </w:r>
      <m:oMath>
        <m:r>
          <w:rPr>
            <w:rFonts w:ascii="Cambria Math" w:hAnsi="Cambria Math"/>
          </w:rPr>
          <m:t>ΔT</m:t>
        </m:r>
      </m:oMath>
      <w:r w:rsidRPr="00CA5D09">
        <w:t xml:space="preserve"> exceeded the threshold required to initiate significant microannuli gap growth with </w:t>
      </w:r>
      <m:oMath>
        <m:r>
          <w:rPr>
            <w:rFonts w:ascii="Cambria Math" w:hAnsi="Cambria Math"/>
          </w:rPr>
          <m:t>Hole Size</m:t>
        </m:r>
      </m:oMath>
      <w:r w:rsidRPr="00CA5D09">
        <w:t xml:space="preserve"> variations whereas lesser temperature reductions did not.</w:t>
      </w:r>
      <w:r>
        <w:rPr>
          <w:color w:val="FF0000"/>
        </w:rPr>
        <w:t xml:space="preserve"> </w:t>
      </w:r>
      <w:r>
        <w:t xml:space="preserve">Based on the results from the 67% </w:t>
      </w:r>
      <m:oMath>
        <m:r>
          <w:rPr>
            <w:rFonts w:ascii="Cambria Math" w:hAnsi="Cambria Math"/>
          </w:rPr>
          <m:t>ΔP</m:t>
        </m:r>
      </m:oMath>
      <w:r>
        <w:t xml:space="preserve"> and </w:t>
      </w:r>
      <m:oMath>
        <m:r>
          <w:rPr>
            <w:rFonts w:ascii="Cambria Math" w:hAnsi="Cambria Math"/>
          </w:rPr>
          <m:t>ΔT</m:t>
        </m:r>
      </m:oMath>
      <w:r>
        <w:t xml:space="preserve"> reduction, changes in pressure with respect to wellbore parameters are more critical than changes in temperature.</w:t>
      </w:r>
    </w:p>
    <w:p w14:paraId="2C7C133A" w14:textId="1509BB51" w:rsidR="00190D60" w:rsidRDefault="00190D60" w:rsidP="00190D60">
      <w:pPr>
        <w:ind w:firstLine="720"/>
        <w:rPr>
          <w:rFonts w:eastAsiaTheme="minorEastAsia"/>
        </w:rPr>
      </w:pPr>
      <w:r>
        <w:t xml:space="preserve">The results of the parametric analysis are sorted based off </w:t>
      </w:r>
      <w:r w:rsidRPr="00587640">
        <w:t xml:space="preserve">their percent change of the maximum gap width (%MGW) from the base microannuli gap as shown in Table </w:t>
      </w:r>
      <w:r>
        <w:t>5.</w:t>
      </w:r>
      <w:r w:rsidR="00191B9E">
        <w:t>1</w:t>
      </w:r>
      <w:r w:rsidR="00676784">
        <w:t>2</w:t>
      </w:r>
      <w:r>
        <w:t xml:space="preserve"> in terms of 1</w:t>
      </w:r>
      <w:r w:rsidRPr="00A23905">
        <w:rPr>
          <w:vertAlign w:val="superscript"/>
        </w:rPr>
        <w:t>st</w:t>
      </w:r>
      <w:r>
        <w:t>, 2</w:t>
      </w:r>
      <w:r w:rsidRPr="00A23905">
        <w:rPr>
          <w:vertAlign w:val="superscript"/>
        </w:rPr>
        <w:t>nd</w:t>
      </w:r>
      <w:r>
        <w:t>, and 3</w:t>
      </w:r>
      <w:r w:rsidRPr="00A23905">
        <w:rPr>
          <w:vertAlign w:val="superscript"/>
        </w:rPr>
        <w:t>rd</w:t>
      </w:r>
      <w:r>
        <w:t xml:space="preserve"> Order Parameters. 3</w:t>
      </w:r>
      <w:r w:rsidRPr="00A23905">
        <w:rPr>
          <w:vertAlign w:val="superscript"/>
        </w:rPr>
        <w:t>rd</w:t>
      </w:r>
      <w:r>
        <w:t xml:space="preserve"> Order Parameters are defined as parameters with their %MGW less than 10%. 3</w:t>
      </w:r>
      <w:r w:rsidRPr="000D50C5">
        <w:rPr>
          <w:vertAlign w:val="superscript"/>
        </w:rPr>
        <w:t>rd</w:t>
      </w:r>
      <w:r>
        <w:t xml:space="preserve"> Order Parameters have little to no effect on the development of the gap magnitude and therefore are not critical inputs into the well life cycle model. 2</w:t>
      </w:r>
      <w:r w:rsidRPr="000D50C5">
        <w:rPr>
          <w:vertAlign w:val="superscript"/>
        </w:rPr>
        <w:t>nd</w:t>
      </w:r>
      <w:r>
        <w:t xml:space="preserve"> Order Parameters are defined as parameters with their %MGW larger than 10% but less than 100%. These parameters have some effect on the gap with magnitude, but are not critical. Finally, 1</w:t>
      </w:r>
      <w:r w:rsidRPr="00A23905">
        <w:rPr>
          <w:vertAlign w:val="superscript"/>
        </w:rPr>
        <w:t>st</w:t>
      </w:r>
      <w:r>
        <w:t xml:space="preserve"> Order </w:t>
      </w:r>
      <w:r w:rsidRPr="00A23905">
        <w:t>Parameters</w:t>
      </w:r>
      <w:r>
        <w:t xml:space="preserve"> are </w:t>
      </w:r>
      <w:r>
        <w:lastRenderedPageBreak/>
        <w:t>defined as parameters that have their %MGW larger than 100%. These input parameters (</w:t>
      </w:r>
      <m:oMath>
        <m:r>
          <w:rPr>
            <w:rFonts w:ascii="Cambria Math" w:hAnsi="Cambria Math"/>
          </w:rPr>
          <m:t>Hole Size</m:t>
        </m:r>
      </m:oMath>
      <w:r>
        <w:t xml:space="preserve"> and</w:t>
      </w:r>
      <w:r w:rsidRPr="00A23905">
        <w:t xml:space="preserve"> </w:t>
      </w:r>
      <m:oMath>
        <m:sSub>
          <m:sSubPr>
            <m:ctrlPr>
              <w:rPr>
                <w:rFonts w:ascii="Cambria Math" w:hAnsi="Cambria Math"/>
                <w:i/>
              </w:rPr>
            </m:ctrlPr>
          </m:sSubPr>
          <m:e>
            <m:r>
              <w:rPr>
                <w:rFonts w:ascii="Cambria Math" w:hAnsi="Cambria Math"/>
              </w:rPr>
              <m:t>ω</m:t>
            </m:r>
          </m:e>
          <m:sub>
            <m:r>
              <w:rPr>
                <w:rFonts w:ascii="Cambria Math" w:hAnsi="Cambria Math"/>
              </w:rPr>
              <m:t>casing</m:t>
            </m:r>
          </m:sub>
        </m:sSub>
      </m:oMath>
      <w:r>
        <w:t>)</w:t>
      </w:r>
      <w:r w:rsidRPr="00166474">
        <w:t xml:space="preserve"> </w:t>
      </w:r>
      <w:r>
        <w:t>have the largest impact on the gap width development. It is important to note that only reductions in pressure (</w:t>
      </w:r>
      <m:oMath>
        <m:r>
          <w:rPr>
            <w:rFonts w:ascii="Cambria Math" w:hAnsi="Cambria Math"/>
          </w:rPr>
          <m:t>ΔP</m:t>
        </m:r>
      </m:oMath>
      <w:r>
        <w:t>) have 1</w:t>
      </w:r>
      <w:r w:rsidRPr="000D50C5">
        <w:rPr>
          <w:vertAlign w:val="superscript"/>
        </w:rPr>
        <w:t>st</w:t>
      </w:r>
      <w:r>
        <w:t xml:space="preserve"> Order Parameters. Reductions in temperature (</w:t>
      </w:r>
      <m:oMath>
        <m:r>
          <w:rPr>
            <w:rFonts w:ascii="Cambria Math" w:hAnsi="Cambria Math"/>
          </w:rPr>
          <m:t>ΔT</m:t>
        </m:r>
      </m:oMath>
      <w:r>
        <w:t>) have 2</w:t>
      </w:r>
      <w:r w:rsidRPr="000D50C5">
        <w:rPr>
          <w:vertAlign w:val="superscript"/>
        </w:rPr>
        <w:t>nd</w:t>
      </w:r>
      <w:r>
        <w:t xml:space="preserve"> and 3</w:t>
      </w:r>
      <w:r w:rsidRPr="000D50C5">
        <w:rPr>
          <w:vertAlign w:val="superscript"/>
        </w:rPr>
        <w:t>rd</w:t>
      </w:r>
      <w:r>
        <w:t xml:space="preserve"> Order Parameters and therefore do not have a large impact on gap width development when compared to </w:t>
      </w:r>
      <m:oMath>
        <m:r>
          <w:rPr>
            <w:rFonts w:ascii="Cambria Math" w:hAnsi="Cambria Math"/>
          </w:rPr>
          <m:t>ΔP</m:t>
        </m:r>
      </m:oMath>
      <w:r>
        <w:rPr>
          <w:rFonts w:eastAsiaTheme="minorEastAsia"/>
        </w:rPr>
        <w:t>.</w:t>
      </w:r>
    </w:p>
    <w:p w14:paraId="2EFA75BB" w14:textId="778C3ABE" w:rsidR="00190D60" w:rsidRDefault="00190D60" w:rsidP="00BC23AD">
      <w:pPr>
        <w:pStyle w:val="Caption"/>
      </w:pPr>
      <w:bookmarkStart w:id="151" w:name="_Toc67566107"/>
      <w:r>
        <w:t xml:space="preserve">Table </w:t>
      </w:r>
      <w:r w:rsidR="00077C0B">
        <w:fldChar w:fldCharType="begin"/>
      </w:r>
      <w:r w:rsidR="00077C0B">
        <w:instrText xml:space="preserve"> STYLEREF 1 \s </w:instrText>
      </w:r>
      <w:r w:rsidR="00077C0B">
        <w:fldChar w:fldCharType="separate"/>
      </w:r>
      <w:r w:rsidR="0006023A">
        <w:rPr>
          <w:noProof/>
        </w:rPr>
        <w:t>5</w:t>
      </w:r>
      <w:r w:rsidR="00077C0B">
        <w:rPr>
          <w:noProof/>
        </w:rPr>
        <w:fldChar w:fldCharType="end"/>
      </w:r>
      <w:r w:rsidR="00DD1F74">
        <w:t>.</w:t>
      </w:r>
      <w:r w:rsidR="00077C0B">
        <w:fldChar w:fldCharType="begin"/>
      </w:r>
      <w:r w:rsidR="00077C0B">
        <w:instrText xml:space="preserve"> SEQ Table \* ARABIC \s 1 </w:instrText>
      </w:r>
      <w:r w:rsidR="00077C0B">
        <w:fldChar w:fldCharType="separate"/>
      </w:r>
      <w:r w:rsidR="0006023A">
        <w:rPr>
          <w:noProof/>
        </w:rPr>
        <w:t>12</w:t>
      </w:r>
      <w:r w:rsidR="00077C0B">
        <w:rPr>
          <w:noProof/>
        </w:rPr>
        <w:fldChar w:fldCharType="end"/>
      </w:r>
      <w:r>
        <w:t xml:space="preserve">: </w:t>
      </w:r>
      <w:r w:rsidRPr="00800601">
        <w:t>Wellbore parameters sorted based off their percent change of the maximum gap width (%MGW) from the base gap magnitude.  1</w:t>
      </w:r>
      <w:r w:rsidRPr="00800601">
        <w:rPr>
          <w:vertAlign w:val="superscript"/>
        </w:rPr>
        <w:t>st</w:t>
      </w:r>
      <w:r w:rsidRPr="00800601">
        <w:t xml:space="preserve"> Order Parameters are critical in the development of the gap width magnitude at the casing/cement interface.  2</w:t>
      </w:r>
      <w:r w:rsidRPr="00800601">
        <w:rPr>
          <w:vertAlign w:val="superscript"/>
        </w:rPr>
        <w:t>nd</w:t>
      </w:r>
      <w:r w:rsidRPr="00800601">
        <w:t xml:space="preserve"> Order Parameters have minor effect, and 3</w:t>
      </w:r>
      <w:r w:rsidRPr="00800601">
        <w:rPr>
          <w:vertAlign w:val="superscript"/>
        </w:rPr>
        <w:t>rd</w:t>
      </w:r>
      <w:r w:rsidRPr="00800601">
        <w:t xml:space="preserve"> Order Parameters have little to no effect on the development of the gap widths</w:t>
      </w:r>
      <w:r>
        <w:t>.</w:t>
      </w:r>
      <w:bookmarkEnd w:id="151"/>
    </w:p>
    <w:tbl>
      <w:tblPr>
        <w:tblStyle w:val="TableGrid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2"/>
        <w:gridCol w:w="1440"/>
        <w:gridCol w:w="1030"/>
        <w:gridCol w:w="1440"/>
        <w:gridCol w:w="1030"/>
      </w:tblGrid>
      <w:tr w:rsidR="00190D60" w:rsidRPr="002C109A" w14:paraId="1E04BFE1" w14:textId="77777777" w:rsidTr="00DA62D2">
        <w:trPr>
          <w:trHeight w:val="288"/>
          <w:jc w:val="center"/>
        </w:trPr>
        <w:tc>
          <w:tcPr>
            <w:tcW w:w="1872" w:type="dxa"/>
            <w:tcBorders>
              <w:bottom w:val="single" w:sz="4" w:space="0" w:color="auto"/>
              <w:right w:val="single" w:sz="4" w:space="0" w:color="auto"/>
            </w:tcBorders>
            <w:noWrap/>
            <w:hideMark/>
          </w:tcPr>
          <w:p w14:paraId="598362B8" w14:textId="77777777" w:rsidR="00190D60" w:rsidRPr="002C109A" w:rsidRDefault="00190D60" w:rsidP="00DA62D2">
            <w:pPr>
              <w:spacing w:line="240" w:lineRule="auto"/>
              <w:jc w:val="center"/>
              <w:rPr>
                <w:szCs w:val="24"/>
              </w:rPr>
            </w:pPr>
          </w:p>
        </w:tc>
        <w:tc>
          <w:tcPr>
            <w:tcW w:w="1440" w:type="dxa"/>
            <w:tcBorders>
              <w:left w:val="single" w:sz="4" w:space="0" w:color="auto"/>
              <w:bottom w:val="single" w:sz="4" w:space="0" w:color="auto"/>
            </w:tcBorders>
            <w:noWrap/>
            <w:hideMark/>
          </w:tcPr>
          <w:p w14:paraId="206F1A3E" w14:textId="77777777" w:rsidR="00190D60" w:rsidRPr="002C109A" w:rsidRDefault="00190D60" w:rsidP="00DA62D2">
            <w:pPr>
              <w:spacing w:line="240" w:lineRule="auto"/>
              <w:jc w:val="center"/>
              <w:rPr>
                <w:szCs w:val="24"/>
              </w:rPr>
            </w:pPr>
            <m:oMathPara>
              <m:oMath>
                <m:r>
                  <w:rPr>
                    <w:rFonts w:ascii="Cambria Math" w:hAnsi="Cambria Math"/>
                    <w:szCs w:val="24"/>
                  </w:rPr>
                  <m:t>ΔP</m:t>
                </m:r>
              </m:oMath>
            </m:oMathPara>
          </w:p>
        </w:tc>
        <w:tc>
          <w:tcPr>
            <w:tcW w:w="1008" w:type="dxa"/>
            <w:tcBorders>
              <w:bottom w:val="single" w:sz="4" w:space="0" w:color="auto"/>
              <w:right w:val="single" w:sz="4" w:space="0" w:color="auto"/>
            </w:tcBorders>
            <w:noWrap/>
            <w:hideMark/>
          </w:tcPr>
          <w:p w14:paraId="614E777E" w14:textId="77777777" w:rsidR="00190D60" w:rsidRPr="002C109A" w:rsidRDefault="00190D60" w:rsidP="00DA62D2">
            <w:pPr>
              <w:spacing w:line="240" w:lineRule="auto"/>
              <w:jc w:val="center"/>
              <w:rPr>
                <w:szCs w:val="24"/>
              </w:rPr>
            </w:pPr>
            <w:r w:rsidRPr="002C109A">
              <w:rPr>
                <w:szCs w:val="24"/>
              </w:rPr>
              <w:t>%MGW</w:t>
            </w:r>
          </w:p>
        </w:tc>
        <w:tc>
          <w:tcPr>
            <w:tcW w:w="1440" w:type="dxa"/>
            <w:tcBorders>
              <w:left w:val="single" w:sz="4" w:space="0" w:color="auto"/>
              <w:bottom w:val="single" w:sz="4" w:space="0" w:color="auto"/>
            </w:tcBorders>
            <w:noWrap/>
            <w:hideMark/>
          </w:tcPr>
          <w:p w14:paraId="1A4AF4BE" w14:textId="77777777" w:rsidR="00190D60" w:rsidRPr="002C109A" w:rsidRDefault="00190D60" w:rsidP="00DA62D2">
            <w:pPr>
              <w:spacing w:line="240" w:lineRule="auto"/>
              <w:jc w:val="center"/>
              <w:rPr>
                <w:szCs w:val="24"/>
              </w:rPr>
            </w:pPr>
            <m:oMathPara>
              <m:oMath>
                <m:r>
                  <w:rPr>
                    <w:rFonts w:ascii="Cambria Math" w:hAnsi="Cambria Math"/>
                    <w:szCs w:val="24"/>
                  </w:rPr>
                  <m:t>ΔT</m:t>
                </m:r>
              </m:oMath>
            </m:oMathPara>
          </w:p>
        </w:tc>
        <w:tc>
          <w:tcPr>
            <w:tcW w:w="1008" w:type="dxa"/>
            <w:tcBorders>
              <w:bottom w:val="single" w:sz="4" w:space="0" w:color="auto"/>
            </w:tcBorders>
            <w:noWrap/>
            <w:hideMark/>
          </w:tcPr>
          <w:p w14:paraId="489BD9F1" w14:textId="77777777" w:rsidR="00190D60" w:rsidRPr="002C109A" w:rsidRDefault="00190D60" w:rsidP="00DA62D2">
            <w:pPr>
              <w:spacing w:line="240" w:lineRule="auto"/>
              <w:jc w:val="center"/>
              <w:rPr>
                <w:szCs w:val="24"/>
              </w:rPr>
            </w:pPr>
            <w:r w:rsidRPr="002C109A">
              <w:rPr>
                <w:szCs w:val="24"/>
              </w:rPr>
              <w:t>%MGW</w:t>
            </w:r>
          </w:p>
        </w:tc>
      </w:tr>
      <w:tr w:rsidR="00190D60" w:rsidRPr="002C109A" w14:paraId="040D4E1D" w14:textId="77777777" w:rsidTr="00DA62D2">
        <w:trPr>
          <w:trHeight w:val="288"/>
          <w:jc w:val="center"/>
        </w:trPr>
        <w:tc>
          <w:tcPr>
            <w:tcW w:w="1872" w:type="dxa"/>
            <w:vMerge w:val="restart"/>
            <w:tcBorders>
              <w:top w:val="single" w:sz="4" w:space="0" w:color="auto"/>
              <w:right w:val="single" w:sz="4" w:space="0" w:color="auto"/>
            </w:tcBorders>
            <w:noWrap/>
            <w:hideMark/>
          </w:tcPr>
          <w:p w14:paraId="3741DF99" w14:textId="77777777" w:rsidR="00190D60" w:rsidRPr="002C109A" w:rsidRDefault="00190D60" w:rsidP="00DA62D2">
            <w:pPr>
              <w:spacing w:line="240" w:lineRule="auto"/>
              <w:jc w:val="center"/>
              <w:rPr>
                <w:szCs w:val="24"/>
              </w:rPr>
            </w:pPr>
            <w:r w:rsidRPr="002C109A">
              <w:rPr>
                <w:szCs w:val="24"/>
              </w:rPr>
              <w:t>1</w:t>
            </w:r>
            <w:r w:rsidRPr="002C109A">
              <w:rPr>
                <w:szCs w:val="24"/>
                <w:vertAlign w:val="superscript"/>
              </w:rPr>
              <w:t>st</w:t>
            </w:r>
            <w:r w:rsidRPr="002C109A">
              <w:rPr>
                <w:szCs w:val="24"/>
              </w:rPr>
              <w:t xml:space="preserve"> Order Parameters</w:t>
            </w:r>
          </w:p>
        </w:tc>
        <w:tc>
          <w:tcPr>
            <w:tcW w:w="1440" w:type="dxa"/>
            <w:tcBorders>
              <w:top w:val="single" w:sz="4" w:space="0" w:color="auto"/>
              <w:left w:val="single" w:sz="4" w:space="0" w:color="auto"/>
            </w:tcBorders>
            <w:noWrap/>
            <w:hideMark/>
          </w:tcPr>
          <w:p w14:paraId="752BC7A5" w14:textId="77777777" w:rsidR="00190D60" w:rsidRPr="002C109A" w:rsidRDefault="00190D60" w:rsidP="00DA62D2">
            <w:pPr>
              <w:spacing w:line="240" w:lineRule="auto"/>
              <w:jc w:val="center"/>
              <w:rPr>
                <w:szCs w:val="24"/>
              </w:rPr>
            </w:pPr>
            <m:oMathPara>
              <m:oMath>
                <m:r>
                  <w:rPr>
                    <w:rFonts w:ascii="Cambria Math" w:hAnsi="Cambria Math"/>
                    <w:color w:val="000000"/>
                    <w:szCs w:val="24"/>
                  </w:rPr>
                  <m:t>Hole Size</m:t>
                </m:r>
              </m:oMath>
            </m:oMathPara>
          </w:p>
        </w:tc>
        <w:tc>
          <w:tcPr>
            <w:tcW w:w="1008" w:type="dxa"/>
            <w:tcBorders>
              <w:top w:val="single" w:sz="4" w:space="0" w:color="auto"/>
              <w:right w:val="single" w:sz="4" w:space="0" w:color="auto"/>
            </w:tcBorders>
            <w:noWrap/>
            <w:hideMark/>
          </w:tcPr>
          <w:p w14:paraId="2B9707B1" w14:textId="77777777" w:rsidR="00190D60" w:rsidRPr="002C109A" w:rsidRDefault="00190D60" w:rsidP="00DA62D2">
            <w:pPr>
              <w:spacing w:line="240" w:lineRule="auto"/>
              <w:jc w:val="center"/>
              <w:rPr>
                <w:szCs w:val="24"/>
              </w:rPr>
            </w:pPr>
            <w:r w:rsidRPr="002C109A">
              <w:rPr>
                <w:szCs w:val="24"/>
              </w:rPr>
              <w:t>302%</w:t>
            </w:r>
          </w:p>
        </w:tc>
        <w:tc>
          <w:tcPr>
            <w:tcW w:w="1440" w:type="dxa"/>
            <w:tcBorders>
              <w:top w:val="single" w:sz="4" w:space="0" w:color="auto"/>
              <w:left w:val="single" w:sz="4" w:space="0" w:color="auto"/>
            </w:tcBorders>
            <w:noWrap/>
            <w:hideMark/>
          </w:tcPr>
          <w:p w14:paraId="5C0EE9CA" w14:textId="77777777" w:rsidR="00190D60" w:rsidRPr="002C109A" w:rsidRDefault="00190D60" w:rsidP="00DA62D2">
            <w:pPr>
              <w:spacing w:line="240" w:lineRule="auto"/>
              <w:jc w:val="center"/>
              <w:rPr>
                <w:szCs w:val="24"/>
              </w:rPr>
            </w:pPr>
          </w:p>
        </w:tc>
        <w:tc>
          <w:tcPr>
            <w:tcW w:w="1008" w:type="dxa"/>
            <w:tcBorders>
              <w:top w:val="single" w:sz="4" w:space="0" w:color="auto"/>
            </w:tcBorders>
            <w:noWrap/>
            <w:hideMark/>
          </w:tcPr>
          <w:p w14:paraId="432BD814" w14:textId="77777777" w:rsidR="00190D60" w:rsidRPr="002C109A" w:rsidRDefault="00190D60" w:rsidP="00DA62D2">
            <w:pPr>
              <w:spacing w:line="240" w:lineRule="auto"/>
              <w:jc w:val="center"/>
              <w:rPr>
                <w:szCs w:val="24"/>
              </w:rPr>
            </w:pPr>
          </w:p>
        </w:tc>
      </w:tr>
      <w:tr w:rsidR="00190D60" w:rsidRPr="002C109A" w14:paraId="4ED1BDA6" w14:textId="77777777" w:rsidTr="00DA62D2">
        <w:trPr>
          <w:trHeight w:val="288"/>
          <w:jc w:val="center"/>
        </w:trPr>
        <w:tc>
          <w:tcPr>
            <w:tcW w:w="1872" w:type="dxa"/>
            <w:vMerge/>
            <w:tcBorders>
              <w:bottom w:val="single" w:sz="4" w:space="0" w:color="auto"/>
              <w:right w:val="single" w:sz="4" w:space="0" w:color="auto"/>
            </w:tcBorders>
            <w:hideMark/>
          </w:tcPr>
          <w:p w14:paraId="0D7A4FA8" w14:textId="77777777" w:rsidR="00190D60" w:rsidRPr="002C109A" w:rsidRDefault="00190D60" w:rsidP="00DA62D2">
            <w:pPr>
              <w:spacing w:line="240" w:lineRule="auto"/>
              <w:jc w:val="center"/>
              <w:rPr>
                <w:szCs w:val="24"/>
              </w:rPr>
            </w:pPr>
          </w:p>
        </w:tc>
        <w:tc>
          <w:tcPr>
            <w:tcW w:w="1440" w:type="dxa"/>
            <w:tcBorders>
              <w:left w:val="single" w:sz="4" w:space="0" w:color="auto"/>
              <w:bottom w:val="single" w:sz="4" w:space="0" w:color="auto"/>
            </w:tcBorders>
            <w:noWrap/>
            <w:hideMark/>
          </w:tcPr>
          <w:p w14:paraId="284E9E73" w14:textId="77777777" w:rsidR="00190D60" w:rsidRPr="002C109A" w:rsidRDefault="00077C0B" w:rsidP="00DA62D2">
            <w:pPr>
              <w:spacing w:line="240" w:lineRule="auto"/>
              <w:jc w:val="center"/>
              <w:rPr>
                <w:szCs w:val="24"/>
              </w:rPr>
            </w:pPr>
            <m:oMathPara>
              <m:oMath>
                <m:sSub>
                  <m:sSubPr>
                    <m:ctrlPr>
                      <w:rPr>
                        <w:rFonts w:ascii="Cambria Math" w:hAnsi="Cambria Math"/>
                        <w:i/>
                        <w:color w:val="000000"/>
                        <w:szCs w:val="24"/>
                      </w:rPr>
                    </m:ctrlPr>
                  </m:sSubPr>
                  <m:e>
                    <m:r>
                      <w:rPr>
                        <w:rFonts w:ascii="Cambria Math" w:hAnsi="Cambria Math"/>
                        <w:color w:val="000000"/>
                        <w:szCs w:val="24"/>
                      </w:rPr>
                      <m:t>ω</m:t>
                    </m:r>
                  </m:e>
                  <m:sub>
                    <m:r>
                      <w:rPr>
                        <w:rFonts w:ascii="Cambria Math" w:hAnsi="Cambria Math"/>
                        <w:color w:val="000000"/>
                        <w:szCs w:val="24"/>
                      </w:rPr>
                      <m:t>casing</m:t>
                    </m:r>
                  </m:sub>
                </m:sSub>
              </m:oMath>
            </m:oMathPara>
          </w:p>
        </w:tc>
        <w:tc>
          <w:tcPr>
            <w:tcW w:w="1008" w:type="dxa"/>
            <w:tcBorders>
              <w:bottom w:val="single" w:sz="4" w:space="0" w:color="auto"/>
              <w:right w:val="single" w:sz="4" w:space="0" w:color="auto"/>
            </w:tcBorders>
            <w:noWrap/>
            <w:hideMark/>
          </w:tcPr>
          <w:p w14:paraId="6B216104" w14:textId="77777777" w:rsidR="00190D60" w:rsidRPr="002C109A" w:rsidRDefault="00190D60" w:rsidP="00DA62D2">
            <w:pPr>
              <w:spacing w:line="240" w:lineRule="auto"/>
              <w:jc w:val="center"/>
              <w:rPr>
                <w:szCs w:val="24"/>
              </w:rPr>
            </w:pPr>
            <w:r w:rsidRPr="002C109A">
              <w:rPr>
                <w:szCs w:val="24"/>
              </w:rPr>
              <w:t>208%</w:t>
            </w:r>
          </w:p>
        </w:tc>
        <w:tc>
          <w:tcPr>
            <w:tcW w:w="1440" w:type="dxa"/>
            <w:tcBorders>
              <w:left w:val="single" w:sz="4" w:space="0" w:color="auto"/>
              <w:bottom w:val="single" w:sz="4" w:space="0" w:color="auto"/>
            </w:tcBorders>
            <w:noWrap/>
            <w:hideMark/>
          </w:tcPr>
          <w:p w14:paraId="7A93BBFA" w14:textId="77777777" w:rsidR="00190D60" w:rsidRPr="002C109A" w:rsidRDefault="00190D60" w:rsidP="00DA62D2">
            <w:pPr>
              <w:spacing w:line="240" w:lineRule="auto"/>
              <w:jc w:val="center"/>
              <w:rPr>
                <w:szCs w:val="24"/>
              </w:rPr>
            </w:pPr>
          </w:p>
        </w:tc>
        <w:tc>
          <w:tcPr>
            <w:tcW w:w="1008" w:type="dxa"/>
            <w:tcBorders>
              <w:bottom w:val="single" w:sz="4" w:space="0" w:color="auto"/>
            </w:tcBorders>
            <w:noWrap/>
            <w:hideMark/>
          </w:tcPr>
          <w:p w14:paraId="109F6AD2" w14:textId="77777777" w:rsidR="00190D60" w:rsidRPr="002C109A" w:rsidRDefault="00190D60" w:rsidP="00DA62D2">
            <w:pPr>
              <w:spacing w:line="240" w:lineRule="auto"/>
              <w:jc w:val="center"/>
              <w:rPr>
                <w:szCs w:val="24"/>
              </w:rPr>
            </w:pPr>
          </w:p>
        </w:tc>
      </w:tr>
      <w:tr w:rsidR="00190D60" w:rsidRPr="002C109A" w14:paraId="1F7F6122" w14:textId="77777777" w:rsidTr="00DA62D2">
        <w:trPr>
          <w:trHeight w:val="288"/>
          <w:jc w:val="center"/>
        </w:trPr>
        <w:tc>
          <w:tcPr>
            <w:tcW w:w="1872" w:type="dxa"/>
            <w:vMerge w:val="restart"/>
            <w:tcBorders>
              <w:top w:val="single" w:sz="4" w:space="0" w:color="auto"/>
              <w:right w:val="single" w:sz="4" w:space="0" w:color="auto"/>
            </w:tcBorders>
            <w:noWrap/>
            <w:hideMark/>
          </w:tcPr>
          <w:p w14:paraId="5F656E75" w14:textId="77777777" w:rsidR="00190D60" w:rsidRPr="002C109A" w:rsidRDefault="00190D60" w:rsidP="00DA62D2">
            <w:pPr>
              <w:spacing w:line="240" w:lineRule="auto"/>
              <w:jc w:val="center"/>
              <w:rPr>
                <w:szCs w:val="24"/>
              </w:rPr>
            </w:pPr>
            <w:r w:rsidRPr="002C109A">
              <w:rPr>
                <w:szCs w:val="24"/>
              </w:rPr>
              <w:t>2</w:t>
            </w:r>
            <w:r w:rsidRPr="002C109A">
              <w:rPr>
                <w:szCs w:val="24"/>
                <w:vertAlign w:val="superscript"/>
              </w:rPr>
              <w:t>nd</w:t>
            </w:r>
            <w:r w:rsidRPr="002C109A">
              <w:rPr>
                <w:szCs w:val="24"/>
              </w:rPr>
              <w:t xml:space="preserve"> Order Parameters</w:t>
            </w:r>
          </w:p>
        </w:tc>
        <w:tc>
          <w:tcPr>
            <w:tcW w:w="1440" w:type="dxa"/>
            <w:tcBorders>
              <w:top w:val="single" w:sz="4" w:space="0" w:color="auto"/>
              <w:left w:val="single" w:sz="4" w:space="0" w:color="auto"/>
            </w:tcBorders>
            <w:noWrap/>
            <w:hideMark/>
          </w:tcPr>
          <w:p w14:paraId="514B6096" w14:textId="77777777" w:rsidR="00190D60" w:rsidRPr="002C109A" w:rsidRDefault="00077C0B" w:rsidP="00DA62D2">
            <w:pPr>
              <w:spacing w:line="240" w:lineRule="auto"/>
              <w:jc w:val="center"/>
              <w:rPr>
                <w:szCs w:val="24"/>
              </w:rPr>
            </w:pPr>
            <m:oMathPara>
              <m:oMath>
                <m:sSub>
                  <m:sSubPr>
                    <m:ctrlPr>
                      <w:rPr>
                        <w:rFonts w:ascii="Cambria Math" w:hAnsi="Cambria Math"/>
                        <w:i/>
                        <w:szCs w:val="24"/>
                      </w:rPr>
                    </m:ctrlPr>
                  </m:sSubPr>
                  <m:e>
                    <m:r>
                      <w:rPr>
                        <w:rFonts w:ascii="Cambria Math" w:hAnsi="Cambria Math"/>
                        <w:szCs w:val="24"/>
                      </w:rPr>
                      <m:t>σ</m:t>
                    </m:r>
                  </m:e>
                  <m:sub>
                    <m:r>
                      <w:rPr>
                        <w:rFonts w:ascii="Cambria Math" w:hAnsi="Cambria Math"/>
                        <w:szCs w:val="24"/>
                      </w:rPr>
                      <m:t>cement</m:t>
                    </m:r>
                  </m:sub>
                </m:sSub>
              </m:oMath>
            </m:oMathPara>
          </w:p>
        </w:tc>
        <w:tc>
          <w:tcPr>
            <w:tcW w:w="1008" w:type="dxa"/>
            <w:tcBorders>
              <w:top w:val="single" w:sz="4" w:space="0" w:color="auto"/>
              <w:right w:val="single" w:sz="4" w:space="0" w:color="auto"/>
            </w:tcBorders>
            <w:noWrap/>
            <w:hideMark/>
          </w:tcPr>
          <w:p w14:paraId="53C52B6A" w14:textId="77777777" w:rsidR="00190D60" w:rsidRPr="002C109A" w:rsidRDefault="00190D60" w:rsidP="00DA62D2">
            <w:pPr>
              <w:spacing w:line="240" w:lineRule="auto"/>
              <w:jc w:val="center"/>
              <w:rPr>
                <w:szCs w:val="24"/>
              </w:rPr>
            </w:pPr>
            <w:r w:rsidRPr="002C109A">
              <w:rPr>
                <w:szCs w:val="24"/>
              </w:rPr>
              <w:t>42%</w:t>
            </w:r>
          </w:p>
        </w:tc>
        <w:tc>
          <w:tcPr>
            <w:tcW w:w="1440" w:type="dxa"/>
            <w:tcBorders>
              <w:top w:val="single" w:sz="4" w:space="0" w:color="auto"/>
              <w:left w:val="single" w:sz="4" w:space="0" w:color="auto"/>
            </w:tcBorders>
            <w:noWrap/>
            <w:hideMark/>
          </w:tcPr>
          <w:p w14:paraId="4E1F61F1" w14:textId="77777777" w:rsidR="00190D60" w:rsidRPr="002C109A" w:rsidRDefault="00077C0B" w:rsidP="00DA62D2">
            <w:pPr>
              <w:spacing w:line="240" w:lineRule="auto"/>
              <w:jc w:val="center"/>
              <w:rPr>
                <w:szCs w:val="24"/>
              </w:rPr>
            </w:pPr>
            <m:oMathPara>
              <m:oMath>
                <m:sSub>
                  <m:sSubPr>
                    <m:ctrlPr>
                      <w:rPr>
                        <w:rFonts w:ascii="Cambria Math" w:hAnsi="Cambria Math"/>
                        <w:i/>
                        <w:szCs w:val="24"/>
                      </w:rPr>
                    </m:ctrlPr>
                  </m:sSubPr>
                  <m:e>
                    <m:r>
                      <w:rPr>
                        <w:rFonts w:ascii="Cambria Math" w:hAnsi="Cambria Math"/>
                        <w:szCs w:val="24"/>
                      </w:rPr>
                      <m:t>E</m:t>
                    </m:r>
                  </m:e>
                  <m:sub>
                    <m:r>
                      <w:rPr>
                        <w:rFonts w:ascii="Cambria Math" w:hAnsi="Cambria Math"/>
                        <w:szCs w:val="24"/>
                      </w:rPr>
                      <m:t>rock</m:t>
                    </m:r>
                  </m:sub>
                </m:sSub>
              </m:oMath>
            </m:oMathPara>
          </w:p>
        </w:tc>
        <w:tc>
          <w:tcPr>
            <w:tcW w:w="1008" w:type="dxa"/>
            <w:tcBorders>
              <w:top w:val="single" w:sz="4" w:space="0" w:color="auto"/>
            </w:tcBorders>
            <w:noWrap/>
            <w:hideMark/>
          </w:tcPr>
          <w:p w14:paraId="24FD2BA0" w14:textId="77777777" w:rsidR="00190D60" w:rsidRPr="002C109A" w:rsidRDefault="00190D60" w:rsidP="00DA62D2">
            <w:pPr>
              <w:spacing w:line="240" w:lineRule="auto"/>
              <w:jc w:val="center"/>
              <w:rPr>
                <w:szCs w:val="24"/>
              </w:rPr>
            </w:pPr>
            <w:r w:rsidRPr="002C109A">
              <w:rPr>
                <w:szCs w:val="24"/>
              </w:rPr>
              <w:t>69%</w:t>
            </w:r>
          </w:p>
        </w:tc>
      </w:tr>
      <w:tr w:rsidR="00190D60" w:rsidRPr="002C109A" w14:paraId="71029DE2" w14:textId="77777777" w:rsidTr="00DA62D2">
        <w:trPr>
          <w:trHeight w:val="288"/>
          <w:jc w:val="center"/>
        </w:trPr>
        <w:tc>
          <w:tcPr>
            <w:tcW w:w="1872" w:type="dxa"/>
            <w:vMerge/>
            <w:tcBorders>
              <w:right w:val="single" w:sz="4" w:space="0" w:color="auto"/>
            </w:tcBorders>
            <w:hideMark/>
          </w:tcPr>
          <w:p w14:paraId="74BE1E2E" w14:textId="77777777" w:rsidR="00190D60" w:rsidRPr="002C109A" w:rsidRDefault="00190D60" w:rsidP="00DA62D2">
            <w:pPr>
              <w:spacing w:line="240" w:lineRule="auto"/>
              <w:jc w:val="center"/>
              <w:rPr>
                <w:szCs w:val="24"/>
              </w:rPr>
            </w:pPr>
          </w:p>
        </w:tc>
        <w:tc>
          <w:tcPr>
            <w:tcW w:w="1440" w:type="dxa"/>
            <w:tcBorders>
              <w:left w:val="single" w:sz="4" w:space="0" w:color="auto"/>
            </w:tcBorders>
            <w:noWrap/>
            <w:hideMark/>
          </w:tcPr>
          <w:p w14:paraId="3C98B9D5" w14:textId="77777777" w:rsidR="00190D60" w:rsidRPr="002C109A" w:rsidRDefault="00077C0B" w:rsidP="00DA62D2">
            <w:pPr>
              <w:spacing w:line="240" w:lineRule="auto"/>
              <w:jc w:val="center"/>
              <w:rPr>
                <w:szCs w:val="24"/>
              </w:rPr>
            </w:pPr>
            <m:oMathPara>
              <m:oMath>
                <m:sSub>
                  <m:sSubPr>
                    <m:ctrlPr>
                      <w:rPr>
                        <w:rFonts w:ascii="Cambria Math" w:hAnsi="Cambria Math"/>
                        <w:i/>
                        <w:szCs w:val="24"/>
                      </w:rPr>
                    </m:ctrlPr>
                  </m:sSubPr>
                  <m:e>
                    <m:r>
                      <w:rPr>
                        <w:rFonts w:ascii="Cambria Math" w:hAnsi="Cambria Math"/>
                        <w:szCs w:val="24"/>
                      </w:rPr>
                      <m:t>E</m:t>
                    </m:r>
                  </m:e>
                  <m:sub>
                    <m:r>
                      <w:rPr>
                        <w:rFonts w:ascii="Cambria Math" w:hAnsi="Cambria Math"/>
                        <w:szCs w:val="24"/>
                      </w:rPr>
                      <m:t>rock</m:t>
                    </m:r>
                  </m:sub>
                </m:sSub>
              </m:oMath>
            </m:oMathPara>
          </w:p>
        </w:tc>
        <w:tc>
          <w:tcPr>
            <w:tcW w:w="1008" w:type="dxa"/>
            <w:tcBorders>
              <w:right w:val="single" w:sz="4" w:space="0" w:color="auto"/>
            </w:tcBorders>
            <w:noWrap/>
            <w:hideMark/>
          </w:tcPr>
          <w:p w14:paraId="4A1DE23E" w14:textId="77777777" w:rsidR="00190D60" w:rsidRPr="002C109A" w:rsidRDefault="00190D60" w:rsidP="00DA62D2">
            <w:pPr>
              <w:spacing w:line="240" w:lineRule="auto"/>
              <w:jc w:val="center"/>
              <w:rPr>
                <w:szCs w:val="24"/>
              </w:rPr>
            </w:pPr>
            <w:r w:rsidRPr="002C109A">
              <w:rPr>
                <w:szCs w:val="24"/>
              </w:rPr>
              <w:t>40%</w:t>
            </w:r>
          </w:p>
        </w:tc>
        <w:tc>
          <w:tcPr>
            <w:tcW w:w="1440" w:type="dxa"/>
            <w:tcBorders>
              <w:left w:val="single" w:sz="4" w:space="0" w:color="auto"/>
            </w:tcBorders>
            <w:noWrap/>
            <w:hideMark/>
          </w:tcPr>
          <w:p w14:paraId="777D3166" w14:textId="77777777" w:rsidR="00190D60" w:rsidRPr="002C109A" w:rsidRDefault="00190D60" w:rsidP="00DA62D2">
            <w:pPr>
              <w:spacing w:line="240" w:lineRule="auto"/>
              <w:jc w:val="center"/>
              <w:rPr>
                <w:szCs w:val="24"/>
              </w:rPr>
            </w:pPr>
            <m:oMathPara>
              <m:oMath>
                <m:r>
                  <w:rPr>
                    <w:rFonts w:ascii="Cambria Math" w:hAnsi="Cambria Math"/>
                    <w:color w:val="000000"/>
                    <w:szCs w:val="24"/>
                  </w:rPr>
                  <m:t>Hole Size</m:t>
                </m:r>
              </m:oMath>
            </m:oMathPara>
          </w:p>
        </w:tc>
        <w:tc>
          <w:tcPr>
            <w:tcW w:w="1008" w:type="dxa"/>
            <w:noWrap/>
            <w:hideMark/>
          </w:tcPr>
          <w:p w14:paraId="18DCFDD5" w14:textId="77777777" w:rsidR="00190D60" w:rsidRPr="002C109A" w:rsidRDefault="00190D60" w:rsidP="00DA62D2">
            <w:pPr>
              <w:spacing w:line="240" w:lineRule="auto"/>
              <w:jc w:val="center"/>
              <w:rPr>
                <w:szCs w:val="24"/>
              </w:rPr>
            </w:pPr>
            <w:r w:rsidRPr="002C109A">
              <w:rPr>
                <w:szCs w:val="24"/>
              </w:rPr>
              <w:t>66%</w:t>
            </w:r>
          </w:p>
        </w:tc>
      </w:tr>
      <w:tr w:rsidR="00190D60" w:rsidRPr="002C109A" w14:paraId="360FEA0B" w14:textId="77777777" w:rsidTr="00DA62D2">
        <w:trPr>
          <w:trHeight w:val="288"/>
          <w:jc w:val="center"/>
        </w:trPr>
        <w:tc>
          <w:tcPr>
            <w:tcW w:w="1872" w:type="dxa"/>
            <w:vMerge/>
            <w:tcBorders>
              <w:right w:val="single" w:sz="4" w:space="0" w:color="auto"/>
            </w:tcBorders>
            <w:hideMark/>
          </w:tcPr>
          <w:p w14:paraId="0C6FC836" w14:textId="77777777" w:rsidR="00190D60" w:rsidRPr="002C109A" w:rsidRDefault="00190D60" w:rsidP="00DA62D2">
            <w:pPr>
              <w:spacing w:line="240" w:lineRule="auto"/>
              <w:jc w:val="center"/>
              <w:rPr>
                <w:szCs w:val="24"/>
              </w:rPr>
            </w:pPr>
          </w:p>
        </w:tc>
        <w:tc>
          <w:tcPr>
            <w:tcW w:w="1440" w:type="dxa"/>
            <w:tcBorders>
              <w:left w:val="single" w:sz="4" w:space="0" w:color="auto"/>
            </w:tcBorders>
            <w:noWrap/>
            <w:hideMark/>
          </w:tcPr>
          <w:p w14:paraId="376082AE" w14:textId="77777777" w:rsidR="00190D60" w:rsidRPr="002C109A" w:rsidRDefault="00077C0B" w:rsidP="00DA62D2">
            <w:pPr>
              <w:spacing w:line="240" w:lineRule="auto"/>
              <w:jc w:val="center"/>
              <w:rPr>
                <w:szCs w:val="24"/>
              </w:rPr>
            </w:pPr>
            <m:oMathPara>
              <m:oMath>
                <m:sSub>
                  <m:sSubPr>
                    <m:ctrlPr>
                      <w:rPr>
                        <w:rFonts w:ascii="Cambria Math" w:hAnsi="Cambria Math"/>
                        <w:i/>
                        <w:szCs w:val="24"/>
                      </w:rPr>
                    </m:ctrlPr>
                  </m:sSubPr>
                  <m:e>
                    <m:r>
                      <w:rPr>
                        <w:rFonts w:ascii="Cambria Math" w:hAnsi="Cambria Math"/>
                        <w:szCs w:val="24"/>
                      </w:rPr>
                      <m:t>ω</m:t>
                    </m:r>
                  </m:e>
                  <m:sub>
                    <m:r>
                      <w:rPr>
                        <w:rFonts w:ascii="Cambria Math" w:hAnsi="Cambria Math"/>
                        <w:szCs w:val="24"/>
                      </w:rPr>
                      <m:t>cement</m:t>
                    </m:r>
                  </m:sub>
                </m:sSub>
              </m:oMath>
            </m:oMathPara>
          </w:p>
        </w:tc>
        <w:tc>
          <w:tcPr>
            <w:tcW w:w="1008" w:type="dxa"/>
            <w:tcBorders>
              <w:right w:val="single" w:sz="4" w:space="0" w:color="auto"/>
            </w:tcBorders>
            <w:noWrap/>
            <w:hideMark/>
          </w:tcPr>
          <w:p w14:paraId="0C82167F" w14:textId="77777777" w:rsidR="00190D60" w:rsidRPr="002C109A" w:rsidRDefault="00190D60" w:rsidP="00DA62D2">
            <w:pPr>
              <w:spacing w:line="240" w:lineRule="auto"/>
              <w:jc w:val="center"/>
              <w:rPr>
                <w:szCs w:val="24"/>
              </w:rPr>
            </w:pPr>
            <w:r w:rsidRPr="002C109A">
              <w:rPr>
                <w:szCs w:val="24"/>
              </w:rPr>
              <w:t>34%</w:t>
            </w:r>
          </w:p>
        </w:tc>
        <w:tc>
          <w:tcPr>
            <w:tcW w:w="1440" w:type="dxa"/>
            <w:tcBorders>
              <w:left w:val="single" w:sz="4" w:space="0" w:color="auto"/>
            </w:tcBorders>
            <w:noWrap/>
            <w:hideMark/>
          </w:tcPr>
          <w:p w14:paraId="75A5ABF9" w14:textId="77777777" w:rsidR="00190D60" w:rsidRPr="002C109A" w:rsidRDefault="00077C0B" w:rsidP="00DA62D2">
            <w:pPr>
              <w:spacing w:line="240" w:lineRule="auto"/>
              <w:jc w:val="center"/>
              <w:rPr>
                <w:szCs w:val="24"/>
              </w:rPr>
            </w:pPr>
            <m:oMathPara>
              <m:oMath>
                <m:sSub>
                  <m:sSubPr>
                    <m:ctrlPr>
                      <w:rPr>
                        <w:rFonts w:ascii="Cambria Math" w:hAnsi="Cambria Math"/>
                        <w:i/>
                        <w:szCs w:val="24"/>
                      </w:rPr>
                    </m:ctrlPr>
                  </m:sSubPr>
                  <m:e>
                    <m:r>
                      <w:rPr>
                        <w:rFonts w:ascii="Cambria Math" w:hAnsi="Cambria Math"/>
                        <w:szCs w:val="24"/>
                      </w:rPr>
                      <m:t>σ</m:t>
                    </m:r>
                  </m:e>
                  <m:sub>
                    <m:r>
                      <w:rPr>
                        <w:rFonts w:ascii="Cambria Math" w:hAnsi="Cambria Math"/>
                        <w:szCs w:val="24"/>
                      </w:rPr>
                      <m:t>cement</m:t>
                    </m:r>
                  </m:sub>
                </m:sSub>
              </m:oMath>
            </m:oMathPara>
          </w:p>
        </w:tc>
        <w:tc>
          <w:tcPr>
            <w:tcW w:w="1008" w:type="dxa"/>
            <w:noWrap/>
            <w:hideMark/>
          </w:tcPr>
          <w:p w14:paraId="6FC3653E" w14:textId="77777777" w:rsidR="00190D60" w:rsidRPr="002C109A" w:rsidRDefault="00190D60" w:rsidP="00DA62D2">
            <w:pPr>
              <w:spacing w:line="240" w:lineRule="auto"/>
              <w:jc w:val="center"/>
              <w:rPr>
                <w:szCs w:val="24"/>
              </w:rPr>
            </w:pPr>
            <w:r w:rsidRPr="002C109A">
              <w:rPr>
                <w:szCs w:val="24"/>
              </w:rPr>
              <w:t>42%</w:t>
            </w:r>
          </w:p>
        </w:tc>
      </w:tr>
      <w:tr w:rsidR="00190D60" w:rsidRPr="002C109A" w14:paraId="40D0DBDD" w14:textId="77777777" w:rsidTr="00DA62D2">
        <w:trPr>
          <w:trHeight w:val="288"/>
          <w:jc w:val="center"/>
        </w:trPr>
        <w:tc>
          <w:tcPr>
            <w:tcW w:w="1872" w:type="dxa"/>
            <w:vMerge/>
            <w:tcBorders>
              <w:right w:val="single" w:sz="4" w:space="0" w:color="auto"/>
            </w:tcBorders>
            <w:hideMark/>
          </w:tcPr>
          <w:p w14:paraId="1B927ED7" w14:textId="77777777" w:rsidR="00190D60" w:rsidRPr="002C109A" w:rsidRDefault="00190D60" w:rsidP="00DA62D2">
            <w:pPr>
              <w:spacing w:line="240" w:lineRule="auto"/>
              <w:jc w:val="center"/>
              <w:rPr>
                <w:szCs w:val="24"/>
              </w:rPr>
            </w:pPr>
          </w:p>
        </w:tc>
        <w:tc>
          <w:tcPr>
            <w:tcW w:w="1440" w:type="dxa"/>
            <w:tcBorders>
              <w:left w:val="single" w:sz="4" w:space="0" w:color="auto"/>
            </w:tcBorders>
            <w:noWrap/>
            <w:hideMark/>
          </w:tcPr>
          <w:p w14:paraId="5E18C596" w14:textId="77777777" w:rsidR="00190D60" w:rsidRPr="002C109A" w:rsidRDefault="00077C0B" w:rsidP="00DA62D2">
            <w:pPr>
              <w:spacing w:line="240" w:lineRule="auto"/>
              <w:jc w:val="center"/>
              <w:rPr>
                <w:szCs w:val="24"/>
              </w:rPr>
            </w:pPr>
            <m:oMathPara>
              <m:oMath>
                <m:sSub>
                  <m:sSubPr>
                    <m:ctrlPr>
                      <w:rPr>
                        <w:rFonts w:ascii="Cambria Math" w:hAnsi="Cambria Math"/>
                        <w:i/>
                        <w:szCs w:val="24"/>
                      </w:rPr>
                    </m:ctrlPr>
                  </m:sSubPr>
                  <m:e>
                    <m:r>
                      <w:rPr>
                        <w:rFonts w:ascii="Cambria Math" w:hAnsi="Cambria Math"/>
                        <w:szCs w:val="24"/>
                      </w:rPr>
                      <m:t>E</m:t>
                    </m:r>
                  </m:e>
                  <m:sub>
                    <m:r>
                      <w:rPr>
                        <w:rFonts w:ascii="Cambria Math" w:hAnsi="Cambria Math"/>
                        <w:szCs w:val="24"/>
                      </w:rPr>
                      <m:t>cement</m:t>
                    </m:r>
                  </m:sub>
                </m:sSub>
              </m:oMath>
            </m:oMathPara>
          </w:p>
        </w:tc>
        <w:tc>
          <w:tcPr>
            <w:tcW w:w="1008" w:type="dxa"/>
            <w:tcBorders>
              <w:right w:val="single" w:sz="4" w:space="0" w:color="auto"/>
            </w:tcBorders>
            <w:noWrap/>
            <w:hideMark/>
          </w:tcPr>
          <w:p w14:paraId="7760F045" w14:textId="77777777" w:rsidR="00190D60" w:rsidRPr="002C109A" w:rsidRDefault="00190D60" w:rsidP="00DA62D2">
            <w:pPr>
              <w:spacing w:line="240" w:lineRule="auto"/>
              <w:jc w:val="center"/>
              <w:rPr>
                <w:szCs w:val="24"/>
              </w:rPr>
            </w:pPr>
            <w:r w:rsidRPr="002C109A">
              <w:rPr>
                <w:szCs w:val="24"/>
              </w:rPr>
              <w:t>29%</w:t>
            </w:r>
          </w:p>
        </w:tc>
        <w:tc>
          <w:tcPr>
            <w:tcW w:w="1440" w:type="dxa"/>
            <w:tcBorders>
              <w:left w:val="single" w:sz="4" w:space="0" w:color="auto"/>
            </w:tcBorders>
            <w:noWrap/>
            <w:hideMark/>
          </w:tcPr>
          <w:p w14:paraId="5CEE6CAB" w14:textId="77777777" w:rsidR="00190D60" w:rsidRPr="002C109A" w:rsidRDefault="00077C0B" w:rsidP="00DA62D2">
            <w:pPr>
              <w:spacing w:line="240" w:lineRule="auto"/>
              <w:jc w:val="center"/>
              <w:rPr>
                <w:szCs w:val="24"/>
              </w:rPr>
            </w:pPr>
            <m:oMathPara>
              <m:oMath>
                <m:sSub>
                  <m:sSubPr>
                    <m:ctrlPr>
                      <w:rPr>
                        <w:rFonts w:ascii="Cambria Math" w:hAnsi="Cambria Math"/>
                        <w:i/>
                        <w:szCs w:val="24"/>
                      </w:rPr>
                    </m:ctrlPr>
                  </m:sSubPr>
                  <m:e>
                    <m:r>
                      <w:rPr>
                        <w:rFonts w:ascii="Cambria Math" w:hAnsi="Cambria Math"/>
                        <w:szCs w:val="24"/>
                      </w:rPr>
                      <m:t>α</m:t>
                    </m:r>
                  </m:e>
                  <m:sub>
                    <m:r>
                      <w:rPr>
                        <w:rFonts w:ascii="Cambria Math" w:hAnsi="Cambria Math"/>
                        <w:szCs w:val="24"/>
                      </w:rPr>
                      <m:t>rock</m:t>
                    </m:r>
                  </m:sub>
                </m:sSub>
              </m:oMath>
            </m:oMathPara>
          </w:p>
        </w:tc>
        <w:tc>
          <w:tcPr>
            <w:tcW w:w="1008" w:type="dxa"/>
            <w:noWrap/>
            <w:hideMark/>
          </w:tcPr>
          <w:p w14:paraId="41CBC1A6" w14:textId="77777777" w:rsidR="00190D60" w:rsidRPr="002C109A" w:rsidRDefault="00190D60" w:rsidP="00DA62D2">
            <w:pPr>
              <w:spacing w:line="240" w:lineRule="auto"/>
              <w:jc w:val="center"/>
              <w:rPr>
                <w:szCs w:val="24"/>
              </w:rPr>
            </w:pPr>
            <w:r w:rsidRPr="002C109A">
              <w:rPr>
                <w:szCs w:val="24"/>
              </w:rPr>
              <w:t>24%</w:t>
            </w:r>
          </w:p>
        </w:tc>
      </w:tr>
      <w:tr w:rsidR="00190D60" w:rsidRPr="002C109A" w14:paraId="3B5A6497" w14:textId="77777777" w:rsidTr="00DA62D2">
        <w:trPr>
          <w:trHeight w:val="288"/>
          <w:jc w:val="center"/>
        </w:trPr>
        <w:tc>
          <w:tcPr>
            <w:tcW w:w="1872" w:type="dxa"/>
            <w:vMerge/>
            <w:tcBorders>
              <w:right w:val="single" w:sz="4" w:space="0" w:color="auto"/>
            </w:tcBorders>
            <w:hideMark/>
          </w:tcPr>
          <w:p w14:paraId="278F8FF8" w14:textId="77777777" w:rsidR="00190D60" w:rsidRPr="002C109A" w:rsidRDefault="00190D60" w:rsidP="00DA62D2">
            <w:pPr>
              <w:spacing w:line="240" w:lineRule="auto"/>
              <w:jc w:val="center"/>
              <w:rPr>
                <w:szCs w:val="24"/>
              </w:rPr>
            </w:pPr>
          </w:p>
        </w:tc>
        <w:tc>
          <w:tcPr>
            <w:tcW w:w="1440" w:type="dxa"/>
            <w:tcBorders>
              <w:left w:val="single" w:sz="4" w:space="0" w:color="auto"/>
            </w:tcBorders>
            <w:noWrap/>
            <w:hideMark/>
          </w:tcPr>
          <w:p w14:paraId="4992D909" w14:textId="77777777" w:rsidR="00190D60" w:rsidRPr="002C109A" w:rsidRDefault="00077C0B" w:rsidP="00DA62D2">
            <w:pPr>
              <w:spacing w:line="240" w:lineRule="auto"/>
              <w:jc w:val="center"/>
              <w:rPr>
                <w:szCs w:val="24"/>
              </w:rPr>
            </w:pPr>
            <m:oMathPara>
              <m:oMath>
                <m:sSup>
                  <m:sSupPr>
                    <m:ctrlPr>
                      <w:rPr>
                        <w:rFonts w:ascii="Cambria Math" w:hAnsi="Cambria Math"/>
                        <w:i/>
                        <w:szCs w:val="24"/>
                      </w:rPr>
                    </m:ctrlPr>
                  </m:sSupPr>
                  <m:e>
                    <m:r>
                      <w:rPr>
                        <w:rFonts w:ascii="Cambria Math" w:hAnsi="Cambria Math"/>
                        <w:szCs w:val="24"/>
                      </w:rPr>
                      <m:t>τ</m:t>
                    </m:r>
                  </m:e>
                  <m:sup>
                    <m:r>
                      <w:rPr>
                        <w:rFonts w:ascii="Cambria Math" w:hAnsi="Cambria Math"/>
                        <w:szCs w:val="24"/>
                      </w:rPr>
                      <m:t>o</m:t>
                    </m:r>
                  </m:sup>
                </m:sSup>
              </m:oMath>
            </m:oMathPara>
          </w:p>
        </w:tc>
        <w:tc>
          <w:tcPr>
            <w:tcW w:w="1008" w:type="dxa"/>
            <w:tcBorders>
              <w:right w:val="single" w:sz="4" w:space="0" w:color="auto"/>
            </w:tcBorders>
            <w:noWrap/>
            <w:hideMark/>
          </w:tcPr>
          <w:p w14:paraId="219D1419" w14:textId="77777777" w:rsidR="00190D60" w:rsidRPr="002C109A" w:rsidRDefault="00190D60" w:rsidP="00DA62D2">
            <w:pPr>
              <w:spacing w:line="240" w:lineRule="auto"/>
              <w:jc w:val="center"/>
              <w:rPr>
                <w:szCs w:val="24"/>
              </w:rPr>
            </w:pPr>
            <w:r w:rsidRPr="002C109A">
              <w:rPr>
                <w:szCs w:val="24"/>
              </w:rPr>
              <w:t>20%</w:t>
            </w:r>
          </w:p>
        </w:tc>
        <w:tc>
          <w:tcPr>
            <w:tcW w:w="1440" w:type="dxa"/>
            <w:tcBorders>
              <w:left w:val="single" w:sz="4" w:space="0" w:color="auto"/>
            </w:tcBorders>
            <w:noWrap/>
            <w:hideMark/>
          </w:tcPr>
          <w:p w14:paraId="2218D727" w14:textId="77777777" w:rsidR="00190D60" w:rsidRPr="002C109A" w:rsidRDefault="00077C0B" w:rsidP="00DA62D2">
            <w:pPr>
              <w:spacing w:line="240" w:lineRule="auto"/>
              <w:jc w:val="center"/>
              <w:rPr>
                <w:szCs w:val="24"/>
              </w:rPr>
            </w:pPr>
            <m:oMathPara>
              <m:oMath>
                <m:sSup>
                  <m:sSupPr>
                    <m:ctrlPr>
                      <w:rPr>
                        <w:rFonts w:ascii="Cambria Math" w:hAnsi="Cambria Math"/>
                        <w:i/>
                        <w:szCs w:val="24"/>
                      </w:rPr>
                    </m:ctrlPr>
                  </m:sSupPr>
                  <m:e>
                    <m:r>
                      <w:rPr>
                        <w:rFonts w:ascii="Cambria Math" w:hAnsi="Cambria Math"/>
                        <w:szCs w:val="24"/>
                      </w:rPr>
                      <m:t>τ</m:t>
                    </m:r>
                  </m:e>
                  <m:sup>
                    <m:r>
                      <w:rPr>
                        <w:rFonts w:ascii="Cambria Math" w:hAnsi="Cambria Math"/>
                        <w:szCs w:val="24"/>
                      </w:rPr>
                      <m:t>o</m:t>
                    </m:r>
                  </m:sup>
                </m:sSup>
              </m:oMath>
            </m:oMathPara>
          </w:p>
        </w:tc>
        <w:tc>
          <w:tcPr>
            <w:tcW w:w="1008" w:type="dxa"/>
            <w:noWrap/>
            <w:hideMark/>
          </w:tcPr>
          <w:p w14:paraId="2E02C55E" w14:textId="77777777" w:rsidR="00190D60" w:rsidRPr="002C109A" w:rsidRDefault="00190D60" w:rsidP="00DA62D2">
            <w:pPr>
              <w:spacing w:line="240" w:lineRule="auto"/>
              <w:jc w:val="center"/>
              <w:rPr>
                <w:szCs w:val="24"/>
              </w:rPr>
            </w:pPr>
            <w:r w:rsidRPr="002C109A">
              <w:rPr>
                <w:szCs w:val="24"/>
              </w:rPr>
              <w:t>20%</w:t>
            </w:r>
          </w:p>
        </w:tc>
      </w:tr>
      <w:tr w:rsidR="00190D60" w:rsidRPr="002C109A" w14:paraId="682FB669" w14:textId="77777777" w:rsidTr="00DA62D2">
        <w:trPr>
          <w:trHeight w:val="288"/>
          <w:jc w:val="center"/>
        </w:trPr>
        <w:tc>
          <w:tcPr>
            <w:tcW w:w="1872" w:type="dxa"/>
            <w:vMerge/>
            <w:tcBorders>
              <w:right w:val="single" w:sz="4" w:space="0" w:color="auto"/>
            </w:tcBorders>
            <w:hideMark/>
          </w:tcPr>
          <w:p w14:paraId="15D1CC99" w14:textId="77777777" w:rsidR="00190D60" w:rsidRPr="002C109A" w:rsidRDefault="00190D60" w:rsidP="00DA62D2">
            <w:pPr>
              <w:spacing w:line="240" w:lineRule="auto"/>
              <w:jc w:val="center"/>
              <w:rPr>
                <w:szCs w:val="24"/>
              </w:rPr>
            </w:pPr>
          </w:p>
        </w:tc>
        <w:tc>
          <w:tcPr>
            <w:tcW w:w="1440" w:type="dxa"/>
            <w:tcBorders>
              <w:left w:val="single" w:sz="4" w:space="0" w:color="auto"/>
            </w:tcBorders>
            <w:noWrap/>
            <w:hideMark/>
          </w:tcPr>
          <w:p w14:paraId="2CA2D7F5" w14:textId="77777777" w:rsidR="00190D60" w:rsidRPr="002C109A" w:rsidRDefault="00190D60" w:rsidP="00DA62D2">
            <w:pPr>
              <w:spacing w:line="240" w:lineRule="auto"/>
              <w:jc w:val="center"/>
              <w:rPr>
                <w:szCs w:val="24"/>
              </w:rPr>
            </w:pPr>
          </w:p>
        </w:tc>
        <w:tc>
          <w:tcPr>
            <w:tcW w:w="1008" w:type="dxa"/>
            <w:tcBorders>
              <w:right w:val="single" w:sz="4" w:space="0" w:color="auto"/>
            </w:tcBorders>
            <w:noWrap/>
            <w:hideMark/>
          </w:tcPr>
          <w:p w14:paraId="7E43ABB1" w14:textId="77777777" w:rsidR="00190D60" w:rsidRPr="002C109A" w:rsidRDefault="00190D60" w:rsidP="00DA62D2">
            <w:pPr>
              <w:spacing w:line="240" w:lineRule="auto"/>
              <w:jc w:val="center"/>
              <w:rPr>
                <w:szCs w:val="24"/>
              </w:rPr>
            </w:pPr>
          </w:p>
        </w:tc>
        <w:tc>
          <w:tcPr>
            <w:tcW w:w="1440" w:type="dxa"/>
            <w:tcBorders>
              <w:left w:val="single" w:sz="4" w:space="0" w:color="auto"/>
            </w:tcBorders>
            <w:noWrap/>
            <w:hideMark/>
          </w:tcPr>
          <w:p w14:paraId="051E8F67" w14:textId="77777777" w:rsidR="00190D60" w:rsidRPr="002C109A" w:rsidRDefault="00077C0B" w:rsidP="00DA62D2">
            <w:pPr>
              <w:spacing w:line="240" w:lineRule="auto"/>
              <w:jc w:val="center"/>
              <w:rPr>
                <w:szCs w:val="24"/>
              </w:rPr>
            </w:pPr>
            <m:oMathPara>
              <m:oMath>
                <m:sSub>
                  <m:sSubPr>
                    <m:ctrlPr>
                      <w:rPr>
                        <w:rFonts w:ascii="Cambria Math" w:hAnsi="Cambria Math"/>
                        <w:i/>
                        <w:szCs w:val="24"/>
                      </w:rPr>
                    </m:ctrlPr>
                  </m:sSubPr>
                  <m:e>
                    <m:r>
                      <w:rPr>
                        <w:rFonts w:ascii="Cambria Math" w:hAnsi="Cambria Math"/>
                        <w:szCs w:val="24"/>
                      </w:rPr>
                      <m:t>ω</m:t>
                    </m:r>
                  </m:e>
                  <m:sub>
                    <m:r>
                      <w:rPr>
                        <w:rFonts w:ascii="Cambria Math" w:hAnsi="Cambria Math"/>
                        <w:szCs w:val="24"/>
                      </w:rPr>
                      <m:t>cement</m:t>
                    </m:r>
                  </m:sub>
                </m:sSub>
              </m:oMath>
            </m:oMathPara>
          </w:p>
        </w:tc>
        <w:tc>
          <w:tcPr>
            <w:tcW w:w="1008" w:type="dxa"/>
            <w:noWrap/>
            <w:hideMark/>
          </w:tcPr>
          <w:p w14:paraId="00701DB1" w14:textId="77777777" w:rsidR="00190D60" w:rsidRPr="002C109A" w:rsidRDefault="00190D60" w:rsidP="00DA62D2">
            <w:pPr>
              <w:spacing w:line="240" w:lineRule="auto"/>
              <w:jc w:val="center"/>
              <w:rPr>
                <w:szCs w:val="24"/>
              </w:rPr>
            </w:pPr>
            <w:r w:rsidRPr="002C109A">
              <w:rPr>
                <w:szCs w:val="24"/>
              </w:rPr>
              <w:t>19%</w:t>
            </w:r>
          </w:p>
        </w:tc>
      </w:tr>
      <w:tr w:rsidR="00190D60" w:rsidRPr="002C109A" w14:paraId="0DE57B99" w14:textId="77777777" w:rsidTr="00DA62D2">
        <w:trPr>
          <w:trHeight w:val="288"/>
          <w:jc w:val="center"/>
        </w:trPr>
        <w:tc>
          <w:tcPr>
            <w:tcW w:w="1872" w:type="dxa"/>
            <w:vMerge/>
            <w:tcBorders>
              <w:bottom w:val="single" w:sz="4" w:space="0" w:color="auto"/>
              <w:right w:val="single" w:sz="4" w:space="0" w:color="auto"/>
            </w:tcBorders>
            <w:hideMark/>
          </w:tcPr>
          <w:p w14:paraId="0975D34F" w14:textId="77777777" w:rsidR="00190D60" w:rsidRPr="002C109A" w:rsidRDefault="00190D60" w:rsidP="00DA62D2">
            <w:pPr>
              <w:spacing w:line="240" w:lineRule="auto"/>
              <w:jc w:val="center"/>
              <w:rPr>
                <w:szCs w:val="24"/>
              </w:rPr>
            </w:pPr>
          </w:p>
        </w:tc>
        <w:tc>
          <w:tcPr>
            <w:tcW w:w="1440" w:type="dxa"/>
            <w:tcBorders>
              <w:left w:val="single" w:sz="4" w:space="0" w:color="auto"/>
              <w:bottom w:val="single" w:sz="4" w:space="0" w:color="auto"/>
            </w:tcBorders>
            <w:noWrap/>
            <w:hideMark/>
          </w:tcPr>
          <w:p w14:paraId="083831A1" w14:textId="77777777" w:rsidR="00190D60" w:rsidRPr="002C109A" w:rsidRDefault="00190D60" w:rsidP="00DA62D2">
            <w:pPr>
              <w:spacing w:line="240" w:lineRule="auto"/>
              <w:jc w:val="center"/>
              <w:rPr>
                <w:szCs w:val="24"/>
              </w:rPr>
            </w:pPr>
          </w:p>
        </w:tc>
        <w:tc>
          <w:tcPr>
            <w:tcW w:w="1008" w:type="dxa"/>
            <w:tcBorders>
              <w:bottom w:val="single" w:sz="4" w:space="0" w:color="auto"/>
              <w:right w:val="single" w:sz="4" w:space="0" w:color="auto"/>
            </w:tcBorders>
            <w:noWrap/>
            <w:hideMark/>
          </w:tcPr>
          <w:p w14:paraId="6ED49C3E" w14:textId="77777777" w:rsidR="00190D60" w:rsidRPr="002C109A" w:rsidRDefault="00190D60" w:rsidP="00DA62D2">
            <w:pPr>
              <w:spacing w:line="240" w:lineRule="auto"/>
              <w:jc w:val="center"/>
              <w:rPr>
                <w:szCs w:val="24"/>
              </w:rPr>
            </w:pPr>
          </w:p>
        </w:tc>
        <w:tc>
          <w:tcPr>
            <w:tcW w:w="1440" w:type="dxa"/>
            <w:tcBorders>
              <w:left w:val="single" w:sz="4" w:space="0" w:color="auto"/>
              <w:bottom w:val="single" w:sz="4" w:space="0" w:color="auto"/>
            </w:tcBorders>
            <w:noWrap/>
            <w:hideMark/>
          </w:tcPr>
          <w:p w14:paraId="6D7ADD8C" w14:textId="77777777" w:rsidR="00190D60" w:rsidRPr="002C109A" w:rsidRDefault="00077C0B" w:rsidP="00DA62D2">
            <w:pPr>
              <w:spacing w:line="240" w:lineRule="auto"/>
              <w:jc w:val="center"/>
              <w:rPr>
                <w:szCs w:val="24"/>
              </w:rPr>
            </w:pPr>
            <m:oMathPara>
              <m:oMath>
                <m:sSub>
                  <m:sSubPr>
                    <m:ctrlPr>
                      <w:rPr>
                        <w:rFonts w:ascii="Cambria Math" w:hAnsi="Cambria Math"/>
                        <w:i/>
                        <w:szCs w:val="24"/>
                      </w:rPr>
                    </m:ctrlPr>
                  </m:sSubPr>
                  <m:e>
                    <m:r>
                      <w:rPr>
                        <w:rFonts w:ascii="Cambria Math" w:hAnsi="Cambria Math"/>
                        <w:szCs w:val="24"/>
                      </w:rPr>
                      <m:t>κ</m:t>
                    </m:r>
                  </m:e>
                  <m:sub>
                    <m:r>
                      <w:rPr>
                        <w:rFonts w:ascii="Cambria Math" w:hAnsi="Cambria Math"/>
                        <w:szCs w:val="24"/>
                      </w:rPr>
                      <m:t>cement</m:t>
                    </m:r>
                  </m:sub>
                </m:sSub>
              </m:oMath>
            </m:oMathPara>
          </w:p>
        </w:tc>
        <w:tc>
          <w:tcPr>
            <w:tcW w:w="1008" w:type="dxa"/>
            <w:tcBorders>
              <w:bottom w:val="single" w:sz="4" w:space="0" w:color="auto"/>
            </w:tcBorders>
            <w:noWrap/>
            <w:hideMark/>
          </w:tcPr>
          <w:p w14:paraId="1D923AC6" w14:textId="77777777" w:rsidR="00190D60" w:rsidRPr="002C109A" w:rsidRDefault="00190D60" w:rsidP="00DA62D2">
            <w:pPr>
              <w:spacing w:line="240" w:lineRule="auto"/>
              <w:jc w:val="center"/>
              <w:rPr>
                <w:szCs w:val="24"/>
              </w:rPr>
            </w:pPr>
            <w:r w:rsidRPr="002C109A">
              <w:rPr>
                <w:szCs w:val="24"/>
              </w:rPr>
              <w:t>18%</w:t>
            </w:r>
          </w:p>
        </w:tc>
      </w:tr>
      <w:tr w:rsidR="00190D60" w:rsidRPr="002C109A" w14:paraId="2170905B" w14:textId="77777777" w:rsidTr="00DA62D2">
        <w:trPr>
          <w:trHeight w:val="288"/>
          <w:jc w:val="center"/>
        </w:trPr>
        <w:tc>
          <w:tcPr>
            <w:tcW w:w="1872" w:type="dxa"/>
            <w:vMerge w:val="restart"/>
            <w:tcBorders>
              <w:top w:val="single" w:sz="4" w:space="0" w:color="auto"/>
              <w:right w:val="single" w:sz="4" w:space="0" w:color="auto"/>
            </w:tcBorders>
            <w:noWrap/>
            <w:hideMark/>
          </w:tcPr>
          <w:p w14:paraId="37C362DE" w14:textId="77777777" w:rsidR="00190D60" w:rsidRPr="002C109A" w:rsidRDefault="00190D60" w:rsidP="00DA62D2">
            <w:pPr>
              <w:spacing w:line="240" w:lineRule="auto"/>
              <w:jc w:val="center"/>
              <w:rPr>
                <w:szCs w:val="24"/>
              </w:rPr>
            </w:pPr>
            <w:r w:rsidRPr="002C109A">
              <w:rPr>
                <w:szCs w:val="24"/>
              </w:rPr>
              <w:t>3</w:t>
            </w:r>
            <w:r w:rsidRPr="002C109A">
              <w:rPr>
                <w:szCs w:val="24"/>
                <w:vertAlign w:val="superscript"/>
              </w:rPr>
              <w:t>rd</w:t>
            </w:r>
            <w:r w:rsidRPr="002C109A">
              <w:rPr>
                <w:szCs w:val="24"/>
              </w:rPr>
              <w:t xml:space="preserve"> Order Parameters</w:t>
            </w:r>
          </w:p>
        </w:tc>
        <w:tc>
          <w:tcPr>
            <w:tcW w:w="1440" w:type="dxa"/>
            <w:tcBorders>
              <w:top w:val="single" w:sz="4" w:space="0" w:color="auto"/>
              <w:left w:val="single" w:sz="4" w:space="0" w:color="auto"/>
            </w:tcBorders>
            <w:noWrap/>
            <w:hideMark/>
          </w:tcPr>
          <w:p w14:paraId="5DB4A0A9" w14:textId="77777777" w:rsidR="00190D60" w:rsidRPr="002C109A" w:rsidRDefault="00077C0B" w:rsidP="00DA62D2">
            <w:pPr>
              <w:spacing w:line="240" w:lineRule="auto"/>
              <w:jc w:val="center"/>
              <w:rPr>
                <w:szCs w:val="24"/>
              </w:rPr>
            </w:pPr>
            <m:oMathPara>
              <m:oMath>
                <m:sSub>
                  <m:sSubPr>
                    <m:ctrlPr>
                      <w:rPr>
                        <w:rFonts w:ascii="Cambria Math" w:hAnsi="Cambria Math"/>
                        <w:i/>
                        <w:szCs w:val="24"/>
                      </w:rPr>
                    </m:ctrlPr>
                  </m:sSubPr>
                  <m:e>
                    <m:r>
                      <w:rPr>
                        <w:rFonts w:ascii="Cambria Math" w:hAnsi="Cambria Math"/>
                        <w:szCs w:val="24"/>
                      </w:rPr>
                      <m:t>G</m:t>
                    </m:r>
                  </m:e>
                  <m:sub>
                    <m:r>
                      <w:rPr>
                        <w:rFonts w:ascii="Cambria Math" w:hAnsi="Cambria Math"/>
                        <w:szCs w:val="24"/>
                      </w:rPr>
                      <m:t>C</m:t>
                    </m:r>
                  </m:sub>
                </m:sSub>
              </m:oMath>
            </m:oMathPara>
          </w:p>
        </w:tc>
        <w:tc>
          <w:tcPr>
            <w:tcW w:w="1008" w:type="dxa"/>
            <w:tcBorders>
              <w:top w:val="single" w:sz="4" w:space="0" w:color="auto"/>
              <w:right w:val="single" w:sz="4" w:space="0" w:color="auto"/>
            </w:tcBorders>
            <w:noWrap/>
            <w:hideMark/>
          </w:tcPr>
          <w:p w14:paraId="75844E34" w14:textId="77777777" w:rsidR="00190D60" w:rsidRPr="002C109A" w:rsidRDefault="00190D60" w:rsidP="00DA62D2">
            <w:pPr>
              <w:spacing w:line="240" w:lineRule="auto"/>
              <w:jc w:val="center"/>
              <w:rPr>
                <w:szCs w:val="24"/>
              </w:rPr>
            </w:pPr>
            <w:r w:rsidRPr="002C109A">
              <w:rPr>
                <w:szCs w:val="24"/>
              </w:rPr>
              <w:t>3%</w:t>
            </w:r>
          </w:p>
        </w:tc>
        <w:tc>
          <w:tcPr>
            <w:tcW w:w="1440" w:type="dxa"/>
            <w:tcBorders>
              <w:top w:val="single" w:sz="4" w:space="0" w:color="auto"/>
              <w:left w:val="single" w:sz="4" w:space="0" w:color="auto"/>
            </w:tcBorders>
            <w:noWrap/>
            <w:hideMark/>
          </w:tcPr>
          <w:p w14:paraId="6FB926C9" w14:textId="77777777" w:rsidR="00190D60" w:rsidRPr="002C109A" w:rsidRDefault="00077C0B" w:rsidP="00DA62D2">
            <w:pPr>
              <w:spacing w:line="240" w:lineRule="auto"/>
              <w:jc w:val="center"/>
              <w:rPr>
                <w:szCs w:val="24"/>
              </w:rPr>
            </w:pPr>
            <m:oMathPara>
              <m:oMath>
                <m:sSub>
                  <m:sSubPr>
                    <m:ctrlPr>
                      <w:rPr>
                        <w:rFonts w:ascii="Cambria Math" w:hAnsi="Cambria Math"/>
                        <w:i/>
                        <w:color w:val="000000"/>
                        <w:szCs w:val="24"/>
                      </w:rPr>
                    </m:ctrlPr>
                  </m:sSubPr>
                  <m:e>
                    <m:r>
                      <w:rPr>
                        <w:rFonts w:ascii="Cambria Math" w:hAnsi="Cambria Math"/>
                        <w:color w:val="000000"/>
                        <w:szCs w:val="24"/>
                      </w:rPr>
                      <m:t>ω</m:t>
                    </m:r>
                  </m:e>
                  <m:sub>
                    <m:r>
                      <w:rPr>
                        <w:rFonts w:ascii="Cambria Math" w:hAnsi="Cambria Math"/>
                        <w:color w:val="000000"/>
                        <w:szCs w:val="24"/>
                      </w:rPr>
                      <m:t>casing</m:t>
                    </m:r>
                  </m:sub>
                </m:sSub>
              </m:oMath>
            </m:oMathPara>
          </w:p>
        </w:tc>
        <w:tc>
          <w:tcPr>
            <w:tcW w:w="1008" w:type="dxa"/>
            <w:tcBorders>
              <w:top w:val="single" w:sz="4" w:space="0" w:color="auto"/>
            </w:tcBorders>
            <w:noWrap/>
            <w:hideMark/>
          </w:tcPr>
          <w:p w14:paraId="2D11DDA3" w14:textId="77777777" w:rsidR="00190D60" w:rsidRPr="002C109A" w:rsidRDefault="00190D60" w:rsidP="00DA62D2">
            <w:pPr>
              <w:spacing w:line="240" w:lineRule="auto"/>
              <w:jc w:val="center"/>
              <w:rPr>
                <w:szCs w:val="24"/>
              </w:rPr>
            </w:pPr>
            <w:r w:rsidRPr="002C109A">
              <w:rPr>
                <w:szCs w:val="24"/>
              </w:rPr>
              <w:t>7%</w:t>
            </w:r>
          </w:p>
        </w:tc>
      </w:tr>
      <w:tr w:rsidR="00190D60" w:rsidRPr="002C109A" w14:paraId="53C1CA6F" w14:textId="77777777" w:rsidTr="00DA62D2">
        <w:trPr>
          <w:trHeight w:val="288"/>
          <w:jc w:val="center"/>
        </w:trPr>
        <w:tc>
          <w:tcPr>
            <w:tcW w:w="1872" w:type="dxa"/>
            <w:vMerge/>
            <w:tcBorders>
              <w:right w:val="single" w:sz="4" w:space="0" w:color="auto"/>
            </w:tcBorders>
            <w:hideMark/>
          </w:tcPr>
          <w:p w14:paraId="765EBA3D" w14:textId="77777777" w:rsidR="00190D60" w:rsidRPr="002C109A" w:rsidRDefault="00190D60" w:rsidP="00DA62D2">
            <w:pPr>
              <w:spacing w:line="240" w:lineRule="auto"/>
              <w:jc w:val="center"/>
              <w:rPr>
                <w:szCs w:val="24"/>
              </w:rPr>
            </w:pPr>
          </w:p>
        </w:tc>
        <w:tc>
          <w:tcPr>
            <w:tcW w:w="1440" w:type="dxa"/>
            <w:tcBorders>
              <w:left w:val="single" w:sz="4" w:space="0" w:color="auto"/>
            </w:tcBorders>
            <w:noWrap/>
            <w:hideMark/>
          </w:tcPr>
          <w:p w14:paraId="2B1BA56E" w14:textId="77777777" w:rsidR="00190D60" w:rsidRPr="002C109A" w:rsidRDefault="00077C0B" w:rsidP="00DA62D2">
            <w:pPr>
              <w:spacing w:line="240" w:lineRule="auto"/>
              <w:jc w:val="center"/>
              <w:rPr>
                <w:szCs w:val="24"/>
              </w:rPr>
            </w:pPr>
            <m:oMathPara>
              <m:oMath>
                <m:sSub>
                  <m:sSubPr>
                    <m:ctrlPr>
                      <w:rPr>
                        <w:rFonts w:ascii="Cambria Math" w:hAnsi="Cambria Math"/>
                        <w:i/>
                        <w:szCs w:val="24"/>
                      </w:rPr>
                    </m:ctrlPr>
                  </m:sSubPr>
                  <m:e>
                    <m:r>
                      <w:rPr>
                        <w:rFonts w:ascii="Cambria Math" w:hAnsi="Cambria Math"/>
                        <w:szCs w:val="24"/>
                      </w:rPr>
                      <m:t>v</m:t>
                    </m:r>
                  </m:e>
                  <m:sub>
                    <m:r>
                      <w:rPr>
                        <w:rFonts w:ascii="Cambria Math" w:hAnsi="Cambria Math"/>
                        <w:szCs w:val="24"/>
                      </w:rPr>
                      <m:t>rock</m:t>
                    </m:r>
                  </m:sub>
                </m:sSub>
              </m:oMath>
            </m:oMathPara>
          </w:p>
        </w:tc>
        <w:tc>
          <w:tcPr>
            <w:tcW w:w="1008" w:type="dxa"/>
            <w:tcBorders>
              <w:right w:val="single" w:sz="4" w:space="0" w:color="auto"/>
            </w:tcBorders>
            <w:noWrap/>
            <w:hideMark/>
          </w:tcPr>
          <w:p w14:paraId="5EA63CC2" w14:textId="77777777" w:rsidR="00190D60" w:rsidRPr="002C109A" w:rsidRDefault="00190D60" w:rsidP="00DA62D2">
            <w:pPr>
              <w:spacing w:line="240" w:lineRule="auto"/>
              <w:jc w:val="center"/>
              <w:rPr>
                <w:szCs w:val="24"/>
              </w:rPr>
            </w:pPr>
            <w:r w:rsidRPr="002C109A">
              <w:rPr>
                <w:szCs w:val="24"/>
              </w:rPr>
              <w:t>3%</w:t>
            </w:r>
          </w:p>
        </w:tc>
        <w:tc>
          <w:tcPr>
            <w:tcW w:w="1440" w:type="dxa"/>
            <w:tcBorders>
              <w:left w:val="single" w:sz="4" w:space="0" w:color="auto"/>
            </w:tcBorders>
            <w:noWrap/>
            <w:hideMark/>
          </w:tcPr>
          <w:p w14:paraId="2A75C97A" w14:textId="77777777" w:rsidR="00190D60" w:rsidRPr="002C109A" w:rsidRDefault="00077C0B" w:rsidP="00DA62D2">
            <w:pPr>
              <w:spacing w:line="240" w:lineRule="auto"/>
              <w:jc w:val="center"/>
              <w:rPr>
                <w:szCs w:val="24"/>
              </w:rPr>
            </w:pPr>
            <m:oMathPara>
              <m:oMath>
                <m:sSub>
                  <m:sSubPr>
                    <m:ctrlPr>
                      <w:rPr>
                        <w:rFonts w:ascii="Cambria Math" w:hAnsi="Cambria Math"/>
                        <w:i/>
                        <w:szCs w:val="24"/>
                      </w:rPr>
                    </m:ctrlPr>
                  </m:sSubPr>
                  <m:e>
                    <m:r>
                      <w:rPr>
                        <w:rFonts w:ascii="Cambria Math" w:hAnsi="Cambria Math"/>
                        <w:szCs w:val="24"/>
                      </w:rPr>
                      <m:t>E</m:t>
                    </m:r>
                  </m:e>
                  <m:sub>
                    <m:r>
                      <w:rPr>
                        <w:rFonts w:ascii="Cambria Math" w:hAnsi="Cambria Math"/>
                        <w:szCs w:val="24"/>
                      </w:rPr>
                      <m:t>cement</m:t>
                    </m:r>
                  </m:sub>
                </m:sSub>
              </m:oMath>
            </m:oMathPara>
          </w:p>
        </w:tc>
        <w:tc>
          <w:tcPr>
            <w:tcW w:w="1008" w:type="dxa"/>
            <w:noWrap/>
            <w:hideMark/>
          </w:tcPr>
          <w:p w14:paraId="03BF0F7C" w14:textId="77777777" w:rsidR="00190D60" w:rsidRPr="002C109A" w:rsidRDefault="00190D60" w:rsidP="00DA62D2">
            <w:pPr>
              <w:spacing w:line="240" w:lineRule="auto"/>
              <w:jc w:val="center"/>
              <w:rPr>
                <w:szCs w:val="24"/>
              </w:rPr>
            </w:pPr>
            <w:r w:rsidRPr="002C109A">
              <w:rPr>
                <w:szCs w:val="24"/>
              </w:rPr>
              <w:t>6%</w:t>
            </w:r>
          </w:p>
        </w:tc>
      </w:tr>
      <w:tr w:rsidR="00190D60" w:rsidRPr="002C109A" w14:paraId="23DA9712" w14:textId="77777777" w:rsidTr="00DA62D2">
        <w:trPr>
          <w:trHeight w:val="288"/>
          <w:jc w:val="center"/>
        </w:trPr>
        <w:tc>
          <w:tcPr>
            <w:tcW w:w="1872" w:type="dxa"/>
            <w:vMerge/>
            <w:tcBorders>
              <w:right w:val="single" w:sz="4" w:space="0" w:color="auto"/>
            </w:tcBorders>
            <w:hideMark/>
          </w:tcPr>
          <w:p w14:paraId="4C7FDB9E" w14:textId="77777777" w:rsidR="00190D60" w:rsidRPr="002C109A" w:rsidRDefault="00190D60" w:rsidP="00DA62D2">
            <w:pPr>
              <w:spacing w:line="240" w:lineRule="auto"/>
              <w:jc w:val="center"/>
              <w:rPr>
                <w:szCs w:val="24"/>
              </w:rPr>
            </w:pPr>
          </w:p>
        </w:tc>
        <w:tc>
          <w:tcPr>
            <w:tcW w:w="1440" w:type="dxa"/>
            <w:tcBorders>
              <w:left w:val="single" w:sz="4" w:space="0" w:color="auto"/>
            </w:tcBorders>
            <w:noWrap/>
            <w:hideMark/>
          </w:tcPr>
          <w:p w14:paraId="60190753" w14:textId="77777777" w:rsidR="00190D60" w:rsidRPr="002C109A" w:rsidRDefault="00077C0B" w:rsidP="00DA62D2">
            <w:pPr>
              <w:spacing w:line="240" w:lineRule="auto"/>
              <w:jc w:val="center"/>
              <w:rPr>
                <w:szCs w:val="24"/>
              </w:rPr>
            </w:pPr>
            <m:oMathPara>
              <m:oMath>
                <m:sSub>
                  <m:sSubPr>
                    <m:ctrlPr>
                      <w:rPr>
                        <w:rFonts w:ascii="Cambria Math" w:hAnsi="Cambria Math"/>
                        <w:i/>
                        <w:szCs w:val="24"/>
                      </w:rPr>
                    </m:ctrlPr>
                  </m:sSubPr>
                  <m:e>
                    <m:r>
                      <w:rPr>
                        <w:rFonts w:ascii="Cambria Math" w:hAnsi="Cambria Math"/>
                        <w:szCs w:val="24"/>
                      </w:rPr>
                      <m:t>v</m:t>
                    </m:r>
                  </m:e>
                  <m:sub>
                    <m:r>
                      <w:rPr>
                        <w:rFonts w:ascii="Cambria Math" w:hAnsi="Cambria Math"/>
                        <w:szCs w:val="24"/>
                      </w:rPr>
                      <m:t>cement</m:t>
                    </m:r>
                  </m:sub>
                </m:sSub>
              </m:oMath>
            </m:oMathPara>
          </w:p>
        </w:tc>
        <w:tc>
          <w:tcPr>
            <w:tcW w:w="1008" w:type="dxa"/>
            <w:tcBorders>
              <w:right w:val="single" w:sz="4" w:space="0" w:color="auto"/>
            </w:tcBorders>
            <w:noWrap/>
            <w:hideMark/>
          </w:tcPr>
          <w:p w14:paraId="3B3AED92" w14:textId="77777777" w:rsidR="00190D60" w:rsidRPr="002C109A" w:rsidRDefault="00190D60" w:rsidP="00DA62D2">
            <w:pPr>
              <w:spacing w:line="240" w:lineRule="auto"/>
              <w:jc w:val="center"/>
              <w:rPr>
                <w:szCs w:val="24"/>
              </w:rPr>
            </w:pPr>
            <w:r w:rsidRPr="002C109A">
              <w:rPr>
                <w:szCs w:val="24"/>
              </w:rPr>
              <w:t>2%</w:t>
            </w:r>
          </w:p>
        </w:tc>
        <w:tc>
          <w:tcPr>
            <w:tcW w:w="1440" w:type="dxa"/>
            <w:tcBorders>
              <w:left w:val="single" w:sz="4" w:space="0" w:color="auto"/>
            </w:tcBorders>
            <w:noWrap/>
            <w:hideMark/>
          </w:tcPr>
          <w:p w14:paraId="5EB8BB86" w14:textId="77777777" w:rsidR="00190D60" w:rsidRPr="002C109A" w:rsidRDefault="00077C0B" w:rsidP="00DA62D2">
            <w:pPr>
              <w:spacing w:line="240" w:lineRule="auto"/>
              <w:jc w:val="center"/>
              <w:rPr>
                <w:szCs w:val="24"/>
              </w:rPr>
            </w:pPr>
            <m:oMathPara>
              <m:oMath>
                <m:sSub>
                  <m:sSubPr>
                    <m:ctrlPr>
                      <w:rPr>
                        <w:rFonts w:ascii="Cambria Math" w:hAnsi="Cambria Math"/>
                        <w:i/>
                        <w:szCs w:val="24"/>
                      </w:rPr>
                    </m:ctrlPr>
                  </m:sSubPr>
                  <m:e>
                    <m:r>
                      <w:rPr>
                        <w:rFonts w:ascii="Cambria Math" w:hAnsi="Cambria Math"/>
                        <w:szCs w:val="24"/>
                      </w:rPr>
                      <m:t>c</m:t>
                    </m:r>
                  </m:e>
                  <m:sub>
                    <m:r>
                      <w:rPr>
                        <w:rFonts w:ascii="Cambria Math" w:hAnsi="Cambria Math"/>
                        <w:szCs w:val="24"/>
                      </w:rPr>
                      <m:t>rock</m:t>
                    </m:r>
                  </m:sub>
                </m:sSub>
              </m:oMath>
            </m:oMathPara>
          </w:p>
        </w:tc>
        <w:tc>
          <w:tcPr>
            <w:tcW w:w="1008" w:type="dxa"/>
            <w:noWrap/>
            <w:hideMark/>
          </w:tcPr>
          <w:p w14:paraId="6FFEFA70" w14:textId="77777777" w:rsidR="00190D60" w:rsidRPr="002C109A" w:rsidRDefault="00190D60" w:rsidP="00DA62D2">
            <w:pPr>
              <w:spacing w:line="240" w:lineRule="auto"/>
              <w:jc w:val="center"/>
              <w:rPr>
                <w:szCs w:val="24"/>
              </w:rPr>
            </w:pPr>
            <w:r w:rsidRPr="002C109A">
              <w:rPr>
                <w:szCs w:val="24"/>
              </w:rPr>
              <w:t>5%</w:t>
            </w:r>
          </w:p>
        </w:tc>
      </w:tr>
      <w:tr w:rsidR="00190D60" w:rsidRPr="002C109A" w14:paraId="5B9D8A86" w14:textId="77777777" w:rsidTr="00DA62D2">
        <w:trPr>
          <w:trHeight w:val="288"/>
          <w:jc w:val="center"/>
        </w:trPr>
        <w:tc>
          <w:tcPr>
            <w:tcW w:w="1872" w:type="dxa"/>
            <w:vMerge/>
            <w:tcBorders>
              <w:right w:val="single" w:sz="4" w:space="0" w:color="auto"/>
            </w:tcBorders>
            <w:hideMark/>
          </w:tcPr>
          <w:p w14:paraId="13E25519" w14:textId="77777777" w:rsidR="00190D60" w:rsidRPr="002C109A" w:rsidRDefault="00190D60" w:rsidP="00DA62D2">
            <w:pPr>
              <w:spacing w:line="240" w:lineRule="auto"/>
              <w:jc w:val="center"/>
              <w:rPr>
                <w:szCs w:val="24"/>
              </w:rPr>
            </w:pPr>
          </w:p>
        </w:tc>
        <w:tc>
          <w:tcPr>
            <w:tcW w:w="1440" w:type="dxa"/>
            <w:tcBorders>
              <w:left w:val="single" w:sz="4" w:space="0" w:color="auto"/>
            </w:tcBorders>
            <w:noWrap/>
            <w:hideMark/>
          </w:tcPr>
          <w:p w14:paraId="6CE76577" w14:textId="77777777" w:rsidR="00190D60" w:rsidRPr="002C109A" w:rsidRDefault="00077C0B" w:rsidP="00DA62D2">
            <w:pPr>
              <w:spacing w:line="240" w:lineRule="auto"/>
              <w:jc w:val="center"/>
              <w:rPr>
                <w:szCs w:val="24"/>
              </w:rPr>
            </w:pPr>
            <m:oMathPara>
              <m:oMath>
                <m:sSub>
                  <m:sSubPr>
                    <m:ctrlPr>
                      <w:rPr>
                        <w:rFonts w:ascii="Cambria Math" w:hAnsi="Cambria Math"/>
                        <w:i/>
                        <w:szCs w:val="24"/>
                      </w:rPr>
                    </m:ctrlPr>
                  </m:sSubPr>
                  <m:e>
                    <m:r>
                      <w:rPr>
                        <w:rFonts w:ascii="Cambria Math" w:hAnsi="Cambria Math"/>
                        <w:szCs w:val="24"/>
                      </w:rPr>
                      <m:t>α</m:t>
                    </m:r>
                  </m:e>
                  <m:sub>
                    <m:r>
                      <w:rPr>
                        <w:rFonts w:ascii="Cambria Math" w:hAnsi="Cambria Math"/>
                        <w:szCs w:val="24"/>
                      </w:rPr>
                      <m:t>rock</m:t>
                    </m:r>
                  </m:sub>
                </m:sSub>
              </m:oMath>
            </m:oMathPara>
          </w:p>
        </w:tc>
        <w:tc>
          <w:tcPr>
            <w:tcW w:w="1008" w:type="dxa"/>
            <w:tcBorders>
              <w:right w:val="single" w:sz="4" w:space="0" w:color="auto"/>
            </w:tcBorders>
            <w:noWrap/>
            <w:hideMark/>
          </w:tcPr>
          <w:p w14:paraId="042C67B7" w14:textId="77777777" w:rsidR="00190D60" w:rsidRPr="002C109A" w:rsidRDefault="00190D60" w:rsidP="00DA62D2">
            <w:pPr>
              <w:spacing w:line="240" w:lineRule="auto"/>
              <w:jc w:val="center"/>
              <w:rPr>
                <w:szCs w:val="24"/>
              </w:rPr>
            </w:pPr>
            <w:r w:rsidRPr="002C109A">
              <w:rPr>
                <w:szCs w:val="24"/>
              </w:rPr>
              <w:t>0%</w:t>
            </w:r>
          </w:p>
        </w:tc>
        <w:tc>
          <w:tcPr>
            <w:tcW w:w="1440" w:type="dxa"/>
            <w:tcBorders>
              <w:left w:val="single" w:sz="4" w:space="0" w:color="auto"/>
            </w:tcBorders>
            <w:noWrap/>
            <w:hideMark/>
          </w:tcPr>
          <w:p w14:paraId="36939718" w14:textId="77777777" w:rsidR="00190D60" w:rsidRPr="002C109A" w:rsidRDefault="00077C0B" w:rsidP="00DA62D2">
            <w:pPr>
              <w:spacing w:line="240" w:lineRule="auto"/>
              <w:jc w:val="center"/>
              <w:rPr>
                <w:szCs w:val="24"/>
              </w:rPr>
            </w:pPr>
            <m:oMathPara>
              <m:oMath>
                <m:sSub>
                  <m:sSubPr>
                    <m:ctrlPr>
                      <w:rPr>
                        <w:rFonts w:ascii="Cambria Math" w:hAnsi="Cambria Math"/>
                        <w:i/>
                        <w:szCs w:val="24"/>
                      </w:rPr>
                    </m:ctrlPr>
                  </m:sSubPr>
                  <m:e>
                    <m:r>
                      <w:rPr>
                        <w:rFonts w:ascii="Cambria Math" w:hAnsi="Cambria Math"/>
                        <w:szCs w:val="24"/>
                      </w:rPr>
                      <m:t>κ</m:t>
                    </m:r>
                  </m:e>
                  <m:sub>
                    <m:r>
                      <w:rPr>
                        <w:rFonts w:ascii="Cambria Math" w:hAnsi="Cambria Math"/>
                        <w:szCs w:val="24"/>
                      </w:rPr>
                      <m:t>rock</m:t>
                    </m:r>
                  </m:sub>
                </m:sSub>
              </m:oMath>
            </m:oMathPara>
          </w:p>
        </w:tc>
        <w:tc>
          <w:tcPr>
            <w:tcW w:w="1008" w:type="dxa"/>
            <w:noWrap/>
            <w:hideMark/>
          </w:tcPr>
          <w:p w14:paraId="571855B9" w14:textId="77777777" w:rsidR="00190D60" w:rsidRPr="002C109A" w:rsidRDefault="00190D60" w:rsidP="00DA62D2">
            <w:pPr>
              <w:spacing w:line="240" w:lineRule="auto"/>
              <w:jc w:val="center"/>
              <w:rPr>
                <w:szCs w:val="24"/>
              </w:rPr>
            </w:pPr>
            <w:r w:rsidRPr="002C109A">
              <w:rPr>
                <w:szCs w:val="24"/>
              </w:rPr>
              <w:t>5%</w:t>
            </w:r>
          </w:p>
        </w:tc>
      </w:tr>
      <w:tr w:rsidR="00190D60" w:rsidRPr="002C109A" w14:paraId="230A4BC2" w14:textId="77777777" w:rsidTr="00DA62D2">
        <w:trPr>
          <w:trHeight w:val="288"/>
          <w:jc w:val="center"/>
        </w:trPr>
        <w:tc>
          <w:tcPr>
            <w:tcW w:w="1872" w:type="dxa"/>
            <w:vMerge/>
            <w:tcBorders>
              <w:right w:val="single" w:sz="4" w:space="0" w:color="auto"/>
            </w:tcBorders>
            <w:hideMark/>
          </w:tcPr>
          <w:p w14:paraId="45D81B3C" w14:textId="77777777" w:rsidR="00190D60" w:rsidRPr="002C109A" w:rsidRDefault="00190D60" w:rsidP="00DA62D2">
            <w:pPr>
              <w:spacing w:line="240" w:lineRule="auto"/>
              <w:jc w:val="center"/>
              <w:rPr>
                <w:szCs w:val="24"/>
              </w:rPr>
            </w:pPr>
          </w:p>
        </w:tc>
        <w:tc>
          <w:tcPr>
            <w:tcW w:w="1440" w:type="dxa"/>
            <w:tcBorders>
              <w:left w:val="single" w:sz="4" w:space="0" w:color="auto"/>
            </w:tcBorders>
            <w:noWrap/>
            <w:hideMark/>
          </w:tcPr>
          <w:p w14:paraId="0E999D7F" w14:textId="77777777" w:rsidR="00190D60" w:rsidRPr="002C109A" w:rsidRDefault="00190D60" w:rsidP="00DA62D2">
            <w:pPr>
              <w:spacing w:line="240" w:lineRule="auto"/>
              <w:jc w:val="center"/>
              <w:rPr>
                <w:szCs w:val="24"/>
              </w:rPr>
            </w:pPr>
            <m:oMathPara>
              <m:oMath>
                <m:r>
                  <w:rPr>
                    <w:rFonts w:ascii="Cambria Math" w:hAnsi="Cambria Math"/>
                    <w:szCs w:val="24"/>
                  </w:rPr>
                  <m:t>δ</m:t>
                </m:r>
                <m:sSub>
                  <m:sSubPr>
                    <m:ctrlPr>
                      <w:rPr>
                        <w:rFonts w:ascii="Cambria Math" w:hAnsi="Cambria Math"/>
                        <w:i/>
                        <w:szCs w:val="24"/>
                      </w:rPr>
                    </m:ctrlPr>
                  </m:sSubPr>
                  <m:e>
                    <m:r>
                      <w:rPr>
                        <w:rFonts w:ascii="Cambria Math" w:hAnsi="Cambria Math"/>
                        <w:szCs w:val="24"/>
                      </w:rPr>
                      <m:t>σ</m:t>
                    </m:r>
                  </m:e>
                  <m:sub>
                    <m:r>
                      <w:rPr>
                        <w:rFonts w:ascii="Cambria Math" w:hAnsi="Cambria Math"/>
                        <w:szCs w:val="24"/>
                      </w:rPr>
                      <m:t>V</m:t>
                    </m:r>
                  </m:sub>
                </m:sSub>
              </m:oMath>
            </m:oMathPara>
          </w:p>
        </w:tc>
        <w:tc>
          <w:tcPr>
            <w:tcW w:w="1008" w:type="dxa"/>
            <w:tcBorders>
              <w:right w:val="single" w:sz="4" w:space="0" w:color="auto"/>
            </w:tcBorders>
            <w:noWrap/>
            <w:hideMark/>
          </w:tcPr>
          <w:p w14:paraId="363BDCAA" w14:textId="77777777" w:rsidR="00190D60" w:rsidRPr="002C109A" w:rsidRDefault="00190D60" w:rsidP="00DA62D2">
            <w:pPr>
              <w:spacing w:line="240" w:lineRule="auto"/>
              <w:jc w:val="center"/>
              <w:rPr>
                <w:szCs w:val="24"/>
              </w:rPr>
            </w:pPr>
            <w:r w:rsidRPr="002C109A">
              <w:rPr>
                <w:szCs w:val="24"/>
              </w:rPr>
              <w:t>0%</w:t>
            </w:r>
          </w:p>
        </w:tc>
        <w:tc>
          <w:tcPr>
            <w:tcW w:w="1440" w:type="dxa"/>
            <w:tcBorders>
              <w:left w:val="single" w:sz="4" w:space="0" w:color="auto"/>
            </w:tcBorders>
            <w:noWrap/>
            <w:hideMark/>
          </w:tcPr>
          <w:p w14:paraId="318D4332" w14:textId="77777777" w:rsidR="00190D60" w:rsidRPr="002C109A" w:rsidRDefault="00077C0B" w:rsidP="00DA62D2">
            <w:pPr>
              <w:spacing w:line="240" w:lineRule="auto"/>
              <w:jc w:val="center"/>
              <w:rPr>
                <w:szCs w:val="24"/>
              </w:rPr>
            </w:pPr>
            <m:oMathPara>
              <m:oMath>
                <m:sSub>
                  <m:sSubPr>
                    <m:ctrlPr>
                      <w:rPr>
                        <w:rFonts w:ascii="Cambria Math" w:hAnsi="Cambria Math"/>
                        <w:i/>
                        <w:szCs w:val="24"/>
                      </w:rPr>
                    </m:ctrlPr>
                  </m:sSubPr>
                  <m:e>
                    <m:r>
                      <w:rPr>
                        <w:rFonts w:ascii="Cambria Math" w:hAnsi="Cambria Math"/>
                        <w:szCs w:val="24"/>
                      </w:rPr>
                      <m:t>v</m:t>
                    </m:r>
                  </m:e>
                  <m:sub>
                    <m:r>
                      <w:rPr>
                        <w:rFonts w:ascii="Cambria Math" w:hAnsi="Cambria Math"/>
                        <w:szCs w:val="24"/>
                      </w:rPr>
                      <m:t>rock</m:t>
                    </m:r>
                  </m:sub>
                </m:sSub>
              </m:oMath>
            </m:oMathPara>
          </w:p>
        </w:tc>
        <w:tc>
          <w:tcPr>
            <w:tcW w:w="1008" w:type="dxa"/>
            <w:noWrap/>
            <w:hideMark/>
          </w:tcPr>
          <w:p w14:paraId="13579C0D" w14:textId="77777777" w:rsidR="00190D60" w:rsidRPr="002C109A" w:rsidRDefault="00190D60" w:rsidP="00DA62D2">
            <w:pPr>
              <w:spacing w:line="240" w:lineRule="auto"/>
              <w:jc w:val="center"/>
              <w:rPr>
                <w:szCs w:val="24"/>
              </w:rPr>
            </w:pPr>
            <w:r w:rsidRPr="002C109A">
              <w:rPr>
                <w:szCs w:val="24"/>
              </w:rPr>
              <w:t>4%</w:t>
            </w:r>
          </w:p>
        </w:tc>
      </w:tr>
      <w:tr w:rsidR="00190D60" w:rsidRPr="002C109A" w14:paraId="7A24F1F1" w14:textId="77777777" w:rsidTr="00DA62D2">
        <w:trPr>
          <w:trHeight w:val="288"/>
          <w:jc w:val="center"/>
        </w:trPr>
        <w:tc>
          <w:tcPr>
            <w:tcW w:w="1872" w:type="dxa"/>
            <w:vMerge/>
            <w:tcBorders>
              <w:right w:val="single" w:sz="4" w:space="0" w:color="auto"/>
            </w:tcBorders>
            <w:hideMark/>
          </w:tcPr>
          <w:p w14:paraId="5D090B52" w14:textId="77777777" w:rsidR="00190D60" w:rsidRPr="002C109A" w:rsidRDefault="00190D60" w:rsidP="00DA62D2">
            <w:pPr>
              <w:spacing w:line="240" w:lineRule="auto"/>
              <w:jc w:val="center"/>
              <w:rPr>
                <w:szCs w:val="24"/>
              </w:rPr>
            </w:pPr>
          </w:p>
        </w:tc>
        <w:tc>
          <w:tcPr>
            <w:tcW w:w="1440" w:type="dxa"/>
            <w:tcBorders>
              <w:left w:val="single" w:sz="4" w:space="0" w:color="auto"/>
            </w:tcBorders>
            <w:noWrap/>
            <w:hideMark/>
          </w:tcPr>
          <w:p w14:paraId="3F042B52" w14:textId="77777777" w:rsidR="00190D60" w:rsidRPr="002C109A" w:rsidRDefault="00077C0B" w:rsidP="00DA62D2">
            <w:pPr>
              <w:spacing w:line="240" w:lineRule="auto"/>
              <w:jc w:val="center"/>
              <w:rPr>
                <w:szCs w:val="24"/>
              </w:rPr>
            </w:pPr>
            <m:oMathPara>
              <m:oMath>
                <m:sSub>
                  <m:sSubPr>
                    <m:ctrlPr>
                      <w:rPr>
                        <w:rFonts w:ascii="Cambria Math" w:hAnsi="Cambria Math"/>
                        <w:i/>
                        <w:szCs w:val="24"/>
                      </w:rPr>
                    </m:ctrlPr>
                  </m:sSubPr>
                  <m:e>
                    <m:r>
                      <w:rPr>
                        <w:rFonts w:ascii="Cambria Math" w:hAnsi="Cambria Math"/>
                        <w:szCs w:val="24"/>
                      </w:rPr>
                      <m:t>α</m:t>
                    </m:r>
                  </m:e>
                  <m:sub>
                    <m:r>
                      <w:rPr>
                        <w:rFonts w:ascii="Cambria Math" w:hAnsi="Cambria Math"/>
                        <w:szCs w:val="24"/>
                      </w:rPr>
                      <m:t>cement</m:t>
                    </m:r>
                  </m:sub>
                </m:sSub>
              </m:oMath>
            </m:oMathPara>
          </w:p>
        </w:tc>
        <w:tc>
          <w:tcPr>
            <w:tcW w:w="1008" w:type="dxa"/>
            <w:tcBorders>
              <w:right w:val="single" w:sz="4" w:space="0" w:color="auto"/>
            </w:tcBorders>
            <w:noWrap/>
            <w:hideMark/>
          </w:tcPr>
          <w:p w14:paraId="1DFEBD29" w14:textId="77777777" w:rsidR="00190D60" w:rsidRPr="002C109A" w:rsidRDefault="00190D60" w:rsidP="00DA62D2">
            <w:pPr>
              <w:spacing w:line="240" w:lineRule="auto"/>
              <w:jc w:val="center"/>
              <w:rPr>
                <w:szCs w:val="24"/>
              </w:rPr>
            </w:pPr>
            <w:r w:rsidRPr="002C109A">
              <w:rPr>
                <w:szCs w:val="24"/>
              </w:rPr>
              <w:t>0%</w:t>
            </w:r>
          </w:p>
        </w:tc>
        <w:tc>
          <w:tcPr>
            <w:tcW w:w="1440" w:type="dxa"/>
            <w:tcBorders>
              <w:left w:val="single" w:sz="4" w:space="0" w:color="auto"/>
            </w:tcBorders>
            <w:noWrap/>
            <w:hideMark/>
          </w:tcPr>
          <w:p w14:paraId="50AB959A" w14:textId="77777777" w:rsidR="00190D60" w:rsidRPr="002C109A" w:rsidRDefault="00077C0B" w:rsidP="00DA62D2">
            <w:pPr>
              <w:spacing w:line="240" w:lineRule="auto"/>
              <w:jc w:val="center"/>
              <w:rPr>
                <w:szCs w:val="24"/>
              </w:rPr>
            </w:pPr>
            <m:oMathPara>
              <m:oMath>
                <m:sSub>
                  <m:sSubPr>
                    <m:ctrlPr>
                      <w:rPr>
                        <w:rFonts w:ascii="Cambria Math" w:hAnsi="Cambria Math"/>
                        <w:i/>
                        <w:szCs w:val="24"/>
                      </w:rPr>
                    </m:ctrlPr>
                  </m:sSubPr>
                  <m:e>
                    <m:r>
                      <w:rPr>
                        <w:rFonts w:ascii="Cambria Math" w:hAnsi="Cambria Math"/>
                        <w:szCs w:val="24"/>
                      </w:rPr>
                      <m:t>G</m:t>
                    </m:r>
                  </m:e>
                  <m:sub>
                    <m:r>
                      <w:rPr>
                        <w:rFonts w:ascii="Cambria Math" w:hAnsi="Cambria Math"/>
                        <w:szCs w:val="24"/>
                      </w:rPr>
                      <m:t>C</m:t>
                    </m:r>
                  </m:sub>
                </m:sSub>
              </m:oMath>
            </m:oMathPara>
          </w:p>
        </w:tc>
        <w:tc>
          <w:tcPr>
            <w:tcW w:w="1008" w:type="dxa"/>
            <w:noWrap/>
            <w:hideMark/>
          </w:tcPr>
          <w:p w14:paraId="61970844" w14:textId="77777777" w:rsidR="00190D60" w:rsidRPr="002C109A" w:rsidRDefault="00190D60" w:rsidP="00DA62D2">
            <w:pPr>
              <w:spacing w:line="240" w:lineRule="auto"/>
              <w:jc w:val="center"/>
              <w:rPr>
                <w:szCs w:val="24"/>
              </w:rPr>
            </w:pPr>
            <w:r w:rsidRPr="002C109A">
              <w:rPr>
                <w:szCs w:val="24"/>
              </w:rPr>
              <w:t>3%</w:t>
            </w:r>
          </w:p>
        </w:tc>
      </w:tr>
      <w:tr w:rsidR="00190D60" w:rsidRPr="002C109A" w14:paraId="1C9EA59A" w14:textId="77777777" w:rsidTr="00DA62D2">
        <w:trPr>
          <w:trHeight w:val="288"/>
          <w:jc w:val="center"/>
        </w:trPr>
        <w:tc>
          <w:tcPr>
            <w:tcW w:w="1872" w:type="dxa"/>
            <w:vMerge/>
            <w:tcBorders>
              <w:right w:val="single" w:sz="4" w:space="0" w:color="auto"/>
            </w:tcBorders>
            <w:hideMark/>
          </w:tcPr>
          <w:p w14:paraId="76629133" w14:textId="77777777" w:rsidR="00190D60" w:rsidRPr="002C109A" w:rsidRDefault="00190D60" w:rsidP="00DA62D2">
            <w:pPr>
              <w:spacing w:line="240" w:lineRule="auto"/>
              <w:jc w:val="center"/>
              <w:rPr>
                <w:szCs w:val="24"/>
              </w:rPr>
            </w:pPr>
          </w:p>
        </w:tc>
        <w:tc>
          <w:tcPr>
            <w:tcW w:w="1440" w:type="dxa"/>
            <w:tcBorders>
              <w:left w:val="single" w:sz="4" w:space="0" w:color="auto"/>
            </w:tcBorders>
            <w:noWrap/>
            <w:hideMark/>
          </w:tcPr>
          <w:p w14:paraId="3E694C09" w14:textId="77777777" w:rsidR="00190D60" w:rsidRPr="002C109A" w:rsidRDefault="00077C0B" w:rsidP="00DA62D2">
            <w:pPr>
              <w:spacing w:line="240" w:lineRule="auto"/>
              <w:jc w:val="center"/>
              <w:rPr>
                <w:szCs w:val="24"/>
              </w:rPr>
            </w:pPr>
            <m:oMathPara>
              <m:oMath>
                <m:sSub>
                  <m:sSubPr>
                    <m:ctrlPr>
                      <w:rPr>
                        <w:rFonts w:ascii="Cambria Math" w:hAnsi="Cambria Math"/>
                        <w:i/>
                        <w:szCs w:val="24"/>
                      </w:rPr>
                    </m:ctrlPr>
                  </m:sSubPr>
                  <m:e>
                    <m:r>
                      <w:rPr>
                        <w:rFonts w:ascii="Cambria Math" w:hAnsi="Cambria Math"/>
                        <w:szCs w:val="24"/>
                      </w:rPr>
                      <m:t>κ</m:t>
                    </m:r>
                  </m:e>
                  <m:sub>
                    <m:r>
                      <w:rPr>
                        <w:rFonts w:ascii="Cambria Math" w:hAnsi="Cambria Math"/>
                        <w:szCs w:val="24"/>
                      </w:rPr>
                      <m:t>cement</m:t>
                    </m:r>
                  </m:sub>
                </m:sSub>
              </m:oMath>
            </m:oMathPara>
          </w:p>
        </w:tc>
        <w:tc>
          <w:tcPr>
            <w:tcW w:w="1008" w:type="dxa"/>
            <w:tcBorders>
              <w:right w:val="single" w:sz="4" w:space="0" w:color="auto"/>
            </w:tcBorders>
            <w:noWrap/>
            <w:hideMark/>
          </w:tcPr>
          <w:p w14:paraId="6896CE82" w14:textId="77777777" w:rsidR="00190D60" w:rsidRPr="002C109A" w:rsidRDefault="00190D60" w:rsidP="00DA62D2">
            <w:pPr>
              <w:spacing w:line="240" w:lineRule="auto"/>
              <w:jc w:val="center"/>
              <w:rPr>
                <w:szCs w:val="24"/>
              </w:rPr>
            </w:pPr>
            <w:r w:rsidRPr="002C109A">
              <w:rPr>
                <w:szCs w:val="24"/>
              </w:rPr>
              <w:t>0%</w:t>
            </w:r>
          </w:p>
        </w:tc>
        <w:tc>
          <w:tcPr>
            <w:tcW w:w="1440" w:type="dxa"/>
            <w:tcBorders>
              <w:left w:val="single" w:sz="4" w:space="0" w:color="auto"/>
            </w:tcBorders>
            <w:noWrap/>
            <w:hideMark/>
          </w:tcPr>
          <w:p w14:paraId="7C7D37E0" w14:textId="77777777" w:rsidR="00190D60" w:rsidRPr="002C109A" w:rsidRDefault="00077C0B" w:rsidP="00DA62D2">
            <w:pPr>
              <w:spacing w:line="240" w:lineRule="auto"/>
              <w:jc w:val="center"/>
              <w:rPr>
                <w:szCs w:val="24"/>
              </w:rPr>
            </w:pPr>
            <m:oMathPara>
              <m:oMath>
                <m:sSub>
                  <m:sSubPr>
                    <m:ctrlPr>
                      <w:rPr>
                        <w:rFonts w:ascii="Cambria Math" w:hAnsi="Cambria Math"/>
                        <w:i/>
                        <w:szCs w:val="24"/>
                      </w:rPr>
                    </m:ctrlPr>
                  </m:sSubPr>
                  <m:e>
                    <m:r>
                      <w:rPr>
                        <w:rFonts w:ascii="Cambria Math" w:hAnsi="Cambria Math"/>
                        <w:szCs w:val="24"/>
                      </w:rPr>
                      <m:t>v</m:t>
                    </m:r>
                  </m:e>
                  <m:sub>
                    <m:r>
                      <w:rPr>
                        <w:rFonts w:ascii="Cambria Math" w:hAnsi="Cambria Math"/>
                        <w:szCs w:val="24"/>
                      </w:rPr>
                      <m:t>cement</m:t>
                    </m:r>
                  </m:sub>
                </m:sSub>
              </m:oMath>
            </m:oMathPara>
          </w:p>
        </w:tc>
        <w:tc>
          <w:tcPr>
            <w:tcW w:w="1008" w:type="dxa"/>
            <w:noWrap/>
            <w:hideMark/>
          </w:tcPr>
          <w:p w14:paraId="6AD586BB" w14:textId="77777777" w:rsidR="00190D60" w:rsidRPr="002C109A" w:rsidRDefault="00190D60" w:rsidP="00DA62D2">
            <w:pPr>
              <w:spacing w:line="240" w:lineRule="auto"/>
              <w:jc w:val="center"/>
              <w:rPr>
                <w:szCs w:val="24"/>
              </w:rPr>
            </w:pPr>
            <w:r w:rsidRPr="002C109A">
              <w:rPr>
                <w:szCs w:val="24"/>
              </w:rPr>
              <w:t>2%</w:t>
            </w:r>
          </w:p>
        </w:tc>
      </w:tr>
      <w:tr w:rsidR="00190D60" w:rsidRPr="002C109A" w14:paraId="54D3FE5E" w14:textId="77777777" w:rsidTr="00DA62D2">
        <w:trPr>
          <w:trHeight w:val="288"/>
          <w:jc w:val="center"/>
        </w:trPr>
        <w:tc>
          <w:tcPr>
            <w:tcW w:w="1872" w:type="dxa"/>
            <w:vMerge/>
            <w:tcBorders>
              <w:right w:val="single" w:sz="4" w:space="0" w:color="auto"/>
            </w:tcBorders>
            <w:hideMark/>
          </w:tcPr>
          <w:p w14:paraId="0D43CD8E" w14:textId="77777777" w:rsidR="00190D60" w:rsidRPr="002C109A" w:rsidRDefault="00190D60" w:rsidP="00DA62D2">
            <w:pPr>
              <w:spacing w:line="240" w:lineRule="auto"/>
              <w:jc w:val="center"/>
              <w:rPr>
                <w:szCs w:val="24"/>
              </w:rPr>
            </w:pPr>
          </w:p>
        </w:tc>
        <w:tc>
          <w:tcPr>
            <w:tcW w:w="1440" w:type="dxa"/>
            <w:tcBorders>
              <w:left w:val="single" w:sz="4" w:space="0" w:color="auto"/>
            </w:tcBorders>
            <w:noWrap/>
            <w:hideMark/>
          </w:tcPr>
          <w:p w14:paraId="7D31746F" w14:textId="77777777" w:rsidR="00190D60" w:rsidRPr="002C109A" w:rsidRDefault="00077C0B" w:rsidP="00DA62D2">
            <w:pPr>
              <w:spacing w:line="240" w:lineRule="auto"/>
              <w:jc w:val="center"/>
              <w:rPr>
                <w:szCs w:val="24"/>
              </w:rPr>
            </w:pPr>
            <m:oMathPara>
              <m:oMath>
                <m:sSub>
                  <m:sSubPr>
                    <m:ctrlPr>
                      <w:rPr>
                        <w:rFonts w:ascii="Cambria Math" w:hAnsi="Cambria Math"/>
                        <w:i/>
                        <w:szCs w:val="24"/>
                      </w:rPr>
                    </m:ctrlPr>
                  </m:sSubPr>
                  <m:e>
                    <m:r>
                      <w:rPr>
                        <w:rFonts w:ascii="Cambria Math" w:hAnsi="Cambria Math"/>
                        <w:szCs w:val="24"/>
                      </w:rPr>
                      <m:t>c</m:t>
                    </m:r>
                  </m:e>
                  <m:sub>
                    <m:r>
                      <w:rPr>
                        <w:rFonts w:ascii="Cambria Math" w:hAnsi="Cambria Math"/>
                        <w:szCs w:val="24"/>
                      </w:rPr>
                      <m:t>cement</m:t>
                    </m:r>
                  </m:sub>
                </m:sSub>
              </m:oMath>
            </m:oMathPara>
          </w:p>
        </w:tc>
        <w:tc>
          <w:tcPr>
            <w:tcW w:w="1008" w:type="dxa"/>
            <w:tcBorders>
              <w:right w:val="single" w:sz="4" w:space="0" w:color="auto"/>
            </w:tcBorders>
            <w:noWrap/>
            <w:hideMark/>
          </w:tcPr>
          <w:p w14:paraId="6D4CBAD6" w14:textId="77777777" w:rsidR="00190D60" w:rsidRPr="002C109A" w:rsidRDefault="00190D60" w:rsidP="00DA62D2">
            <w:pPr>
              <w:spacing w:line="240" w:lineRule="auto"/>
              <w:jc w:val="center"/>
              <w:rPr>
                <w:szCs w:val="24"/>
              </w:rPr>
            </w:pPr>
            <w:r w:rsidRPr="002C109A">
              <w:rPr>
                <w:szCs w:val="24"/>
              </w:rPr>
              <w:t>0%</w:t>
            </w:r>
          </w:p>
        </w:tc>
        <w:tc>
          <w:tcPr>
            <w:tcW w:w="1440" w:type="dxa"/>
            <w:tcBorders>
              <w:left w:val="single" w:sz="4" w:space="0" w:color="auto"/>
            </w:tcBorders>
            <w:noWrap/>
            <w:hideMark/>
          </w:tcPr>
          <w:p w14:paraId="33A88EF7" w14:textId="77777777" w:rsidR="00190D60" w:rsidRPr="002C109A" w:rsidRDefault="00077C0B" w:rsidP="00DA62D2">
            <w:pPr>
              <w:spacing w:line="240" w:lineRule="auto"/>
              <w:jc w:val="center"/>
              <w:rPr>
                <w:szCs w:val="24"/>
              </w:rPr>
            </w:pPr>
            <m:oMathPara>
              <m:oMath>
                <m:sSub>
                  <m:sSubPr>
                    <m:ctrlPr>
                      <w:rPr>
                        <w:rFonts w:ascii="Cambria Math" w:hAnsi="Cambria Math"/>
                        <w:i/>
                        <w:szCs w:val="24"/>
                      </w:rPr>
                    </m:ctrlPr>
                  </m:sSubPr>
                  <m:e>
                    <m:r>
                      <w:rPr>
                        <w:rFonts w:ascii="Cambria Math" w:hAnsi="Cambria Math"/>
                        <w:szCs w:val="24"/>
                      </w:rPr>
                      <m:t>α</m:t>
                    </m:r>
                  </m:e>
                  <m:sub>
                    <m:r>
                      <w:rPr>
                        <w:rFonts w:ascii="Cambria Math" w:hAnsi="Cambria Math"/>
                        <w:szCs w:val="24"/>
                      </w:rPr>
                      <m:t>cement</m:t>
                    </m:r>
                  </m:sub>
                </m:sSub>
              </m:oMath>
            </m:oMathPara>
          </w:p>
        </w:tc>
        <w:tc>
          <w:tcPr>
            <w:tcW w:w="1008" w:type="dxa"/>
            <w:noWrap/>
            <w:hideMark/>
          </w:tcPr>
          <w:p w14:paraId="648170DF" w14:textId="77777777" w:rsidR="00190D60" w:rsidRPr="002C109A" w:rsidRDefault="00190D60" w:rsidP="00DA62D2">
            <w:pPr>
              <w:spacing w:line="240" w:lineRule="auto"/>
              <w:jc w:val="center"/>
              <w:rPr>
                <w:szCs w:val="24"/>
              </w:rPr>
            </w:pPr>
            <w:r w:rsidRPr="002C109A">
              <w:rPr>
                <w:szCs w:val="24"/>
              </w:rPr>
              <w:t>2%</w:t>
            </w:r>
          </w:p>
        </w:tc>
      </w:tr>
      <w:tr w:rsidR="00190D60" w:rsidRPr="002C109A" w14:paraId="2804653A" w14:textId="77777777" w:rsidTr="00DA62D2">
        <w:trPr>
          <w:trHeight w:val="288"/>
          <w:jc w:val="center"/>
        </w:trPr>
        <w:tc>
          <w:tcPr>
            <w:tcW w:w="1872" w:type="dxa"/>
            <w:vMerge/>
            <w:tcBorders>
              <w:right w:val="single" w:sz="4" w:space="0" w:color="auto"/>
            </w:tcBorders>
            <w:hideMark/>
          </w:tcPr>
          <w:p w14:paraId="63D23071" w14:textId="77777777" w:rsidR="00190D60" w:rsidRPr="002C109A" w:rsidRDefault="00190D60" w:rsidP="00DA62D2">
            <w:pPr>
              <w:spacing w:line="240" w:lineRule="auto"/>
              <w:jc w:val="center"/>
              <w:rPr>
                <w:szCs w:val="24"/>
              </w:rPr>
            </w:pPr>
          </w:p>
        </w:tc>
        <w:tc>
          <w:tcPr>
            <w:tcW w:w="1440" w:type="dxa"/>
            <w:tcBorders>
              <w:left w:val="single" w:sz="4" w:space="0" w:color="auto"/>
            </w:tcBorders>
            <w:noWrap/>
            <w:hideMark/>
          </w:tcPr>
          <w:p w14:paraId="11994628" w14:textId="77777777" w:rsidR="00190D60" w:rsidRPr="002C109A" w:rsidRDefault="00077C0B" w:rsidP="00DA62D2">
            <w:pPr>
              <w:spacing w:line="240" w:lineRule="auto"/>
              <w:jc w:val="center"/>
              <w:rPr>
                <w:szCs w:val="24"/>
              </w:rPr>
            </w:pPr>
            <m:oMathPara>
              <m:oMath>
                <m:sSub>
                  <m:sSubPr>
                    <m:ctrlPr>
                      <w:rPr>
                        <w:rFonts w:ascii="Cambria Math" w:hAnsi="Cambria Math"/>
                        <w:i/>
                        <w:szCs w:val="24"/>
                      </w:rPr>
                    </m:ctrlPr>
                  </m:sSubPr>
                  <m:e>
                    <m:r>
                      <w:rPr>
                        <w:rFonts w:ascii="Cambria Math" w:hAnsi="Cambria Math"/>
                        <w:szCs w:val="24"/>
                      </w:rPr>
                      <m:t>κ</m:t>
                    </m:r>
                  </m:e>
                  <m:sub>
                    <m:r>
                      <w:rPr>
                        <w:rFonts w:ascii="Cambria Math" w:hAnsi="Cambria Math"/>
                        <w:szCs w:val="24"/>
                      </w:rPr>
                      <m:t>rock</m:t>
                    </m:r>
                  </m:sub>
                </m:sSub>
              </m:oMath>
            </m:oMathPara>
          </w:p>
        </w:tc>
        <w:tc>
          <w:tcPr>
            <w:tcW w:w="1008" w:type="dxa"/>
            <w:tcBorders>
              <w:right w:val="single" w:sz="4" w:space="0" w:color="auto"/>
            </w:tcBorders>
            <w:noWrap/>
            <w:hideMark/>
          </w:tcPr>
          <w:p w14:paraId="40251D9C" w14:textId="77777777" w:rsidR="00190D60" w:rsidRPr="002C109A" w:rsidRDefault="00190D60" w:rsidP="00DA62D2">
            <w:pPr>
              <w:spacing w:line="240" w:lineRule="auto"/>
              <w:jc w:val="center"/>
              <w:rPr>
                <w:szCs w:val="24"/>
              </w:rPr>
            </w:pPr>
            <w:r w:rsidRPr="002C109A">
              <w:rPr>
                <w:szCs w:val="24"/>
              </w:rPr>
              <w:t>0%</w:t>
            </w:r>
          </w:p>
        </w:tc>
        <w:tc>
          <w:tcPr>
            <w:tcW w:w="1440" w:type="dxa"/>
            <w:tcBorders>
              <w:left w:val="single" w:sz="4" w:space="0" w:color="auto"/>
            </w:tcBorders>
            <w:noWrap/>
            <w:hideMark/>
          </w:tcPr>
          <w:p w14:paraId="6AEDC289" w14:textId="77777777" w:rsidR="00190D60" w:rsidRPr="002C109A" w:rsidRDefault="00077C0B" w:rsidP="00DA62D2">
            <w:pPr>
              <w:spacing w:line="240" w:lineRule="auto"/>
              <w:jc w:val="center"/>
              <w:rPr>
                <w:szCs w:val="24"/>
              </w:rPr>
            </w:pPr>
            <m:oMathPara>
              <m:oMath>
                <m:sSub>
                  <m:sSubPr>
                    <m:ctrlPr>
                      <w:rPr>
                        <w:rFonts w:ascii="Cambria Math" w:hAnsi="Cambria Math"/>
                        <w:i/>
                        <w:szCs w:val="24"/>
                      </w:rPr>
                    </m:ctrlPr>
                  </m:sSubPr>
                  <m:e>
                    <m:r>
                      <w:rPr>
                        <w:rFonts w:ascii="Cambria Math" w:hAnsi="Cambria Math"/>
                        <w:szCs w:val="24"/>
                      </w:rPr>
                      <m:t>c</m:t>
                    </m:r>
                  </m:e>
                  <m:sub>
                    <m:r>
                      <w:rPr>
                        <w:rFonts w:ascii="Cambria Math" w:hAnsi="Cambria Math"/>
                        <w:szCs w:val="24"/>
                      </w:rPr>
                      <m:t>cement</m:t>
                    </m:r>
                  </m:sub>
                </m:sSub>
              </m:oMath>
            </m:oMathPara>
          </w:p>
        </w:tc>
        <w:tc>
          <w:tcPr>
            <w:tcW w:w="1008" w:type="dxa"/>
            <w:noWrap/>
            <w:hideMark/>
          </w:tcPr>
          <w:p w14:paraId="3E4CEBF1" w14:textId="77777777" w:rsidR="00190D60" w:rsidRPr="002C109A" w:rsidRDefault="00190D60" w:rsidP="00DA62D2">
            <w:pPr>
              <w:spacing w:line="240" w:lineRule="auto"/>
              <w:jc w:val="center"/>
              <w:rPr>
                <w:szCs w:val="24"/>
              </w:rPr>
            </w:pPr>
            <w:r w:rsidRPr="002C109A">
              <w:rPr>
                <w:szCs w:val="24"/>
              </w:rPr>
              <w:t>0%</w:t>
            </w:r>
          </w:p>
        </w:tc>
      </w:tr>
      <w:tr w:rsidR="00190D60" w:rsidRPr="002C109A" w14:paraId="5E743676" w14:textId="77777777" w:rsidTr="00DA62D2">
        <w:trPr>
          <w:trHeight w:val="288"/>
          <w:jc w:val="center"/>
        </w:trPr>
        <w:tc>
          <w:tcPr>
            <w:tcW w:w="1872" w:type="dxa"/>
            <w:vMerge/>
            <w:tcBorders>
              <w:right w:val="single" w:sz="4" w:space="0" w:color="auto"/>
            </w:tcBorders>
            <w:hideMark/>
          </w:tcPr>
          <w:p w14:paraId="4BAC3265" w14:textId="77777777" w:rsidR="00190D60" w:rsidRPr="002C109A" w:rsidRDefault="00190D60" w:rsidP="00DA62D2">
            <w:pPr>
              <w:spacing w:line="240" w:lineRule="auto"/>
              <w:jc w:val="center"/>
              <w:rPr>
                <w:szCs w:val="24"/>
              </w:rPr>
            </w:pPr>
          </w:p>
        </w:tc>
        <w:tc>
          <w:tcPr>
            <w:tcW w:w="1440" w:type="dxa"/>
            <w:tcBorders>
              <w:left w:val="single" w:sz="4" w:space="0" w:color="auto"/>
            </w:tcBorders>
            <w:noWrap/>
            <w:hideMark/>
          </w:tcPr>
          <w:p w14:paraId="28161BBE" w14:textId="77777777" w:rsidR="00190D60" w:rsidRPr="002C109A" w:rsidRDefault="00077C0B" w:rsidP="00DA62D2">
            <w:pPr>
              <w:spacing w:line="240" w:lineRule="auto"/>
              <w:jc w:val="center"/>
              <w:rPr>
                <w:szCs w:val="24"/>
              </w:rPr>
            </w:pPr>
            <m:oMathPara>
              <m:oMath>
                <m:sSub>
                  <m:sSubPr>
                    <m:ctrlPr>
                      <w:rPr>
                        <w:rFonts w:ascii="Cambria Math" w:hAnsi="Cambria Math"/>
                        <w:i/>
                        <w:szCs w:val="24"/>
                      </w:rPr>
                    </m:ctrlPr>
                  </m:sSubPr>
                  <m:e>
                    <m:r>
                      <w:rPr>
                        <w:rFonts w:ascii="Cambria Math" w:hAnsi="Cambria Math"/>
                        <w:szCs w:val="24"/>
                      </w:rPr>
                      <m:t>c</m:t>
                    </m:r>
                  </m:e>
                  <m:sub>
                    <m:r>
                      <w:rPr>
                        <w:rFonts w:ascii="Cambria Math" w:hAnsi="Cambria Math"/>
                        <w:szCs w:val="24"/>
                      </w:rPr>
                      <m:t>rock</m:t>
                    </m:r>
                  </m:sub>
                </m:sSub>
              </m:oMath>
            </m:oMathPara>
          </w:p>
        </w:tc>
        <w:tc>
          <w:tcPr>
            <w:tcW w:w="1008" w:type="dxa"/>
            <w:tcBorders>
              <w:right w:val="single" w:sz="4" w:space="0" w:color="auto"/>
            </w:tcBorders>
            <w:noWrap/>
            <w:hideMark/>
          </w:tcPr>
          <w:p w14:paraId="733313B3" w14:textId="77777777" w:rsidR="00190D60" w:rsidRPr="002C109A" w:rsidRDefault="00190D60" w:rsidP="00DA62D2">
            <w:pPr>
              <w:spacing w:line="240" w:lineRule="auto"/>
              <w:jc w:val="center"/>
              <w:rPr>
                <w:szCs w:val="24"/>
              </w:rPr>
            </w:pPr>
            <w:r w:rsidRPr="002C109A">
              <w:rPr>
                <w:szCs w:val="24"/>
              </w:rPr>
              <w:t>0%</w:t>
            </w:r>
          </w:p>
        </w:tc>
        <w:tc>
          <w:tcPr>
            <w:tcW w:w="1440" w:type="dxa"/>
            <w:tcBorders>
              <w:left w:val="single" w:sz="4" w:space="0" w:color="auto"/>
            </w:tcBorders>
            <w:noWrap/>
            <w:hideMark/>
          </w:tcPr>
          <w:p w14:paraId="0987A567" w14:textId="77777777" w:rsidR="00190D60" w:rsidRPr="002C109A" w:rsidRDefault="00190D60" w:rsidP="00DA62D2">
            <w:pPr>
              <w:spacing w:line="240" w:lineRule="auto"/>
              <w:jc w:val="center"/>
              <w:rPr>
                <w:szCs w:val="24"/>
              </w:rPr>
            </w:pPr>
            <m:oMathPara>
              <m:oMath>
                <m:r>
                  <w:rPr>
                    <w:rFonts w:ascii="Cambria Math" w:hAnsi="Cambria Math"/>
                    <w:szCs w:val="24"/>
                  </w:rPr>
                  <m:t>δ</m:t>
                </m:r>
                <m:sSub>
                  <m:sSubPr>
                    <m:ctrlPr>
                      <w:rPr>
                        <w:rFonts w:ascii="Cambria Math" w:hAnsi="Cambria Math"/>
                        <w:i/>
                        <w:szCs w:val="24"/>
                      </w:rPr>
                    </m:ctrlPr>
                  </m:sSubPr>
                  <m:e>
                    <m:r>
                      <w:rPr>
                        <w:rFonts w:ascii="Cambria Math" w:hAnsi="Cambria Math"/>
                        <w:szCs w:val="24"/>
                      </w:rPr>
                      <m:t>σ</m:t>
                    </m:r>
                  </m:e>
                  <m:sub>
                    <m:r>
                      <w:rPr>
                        <w:rFonts w:ascii="Cambria Math" w:hAnsi="Cambria Math"/>
                        <w:szCs w:val="24"/>
                      </w:rPr>
                      <m:t>V</m:t>
                    </m:r>
                  </m:sub>
                </m:sSub>
              </m:oMath>
            </m:oMathPara>
          </w:p>
        </w:tc>
        <w:tc>
          <w:tcPr>
            <w:tcW w:w="1008" w:type="dxa"/>
            <w:noWrap/>
            <w:hideMark/>
          </w:tcPr>
          <w:p w14:paraId="33E11F22" w14:textId="77777777" w:rsidR="00190D60" w:rsidRPr="002C109A" w:rsidRDefault="00190D60" w:rsidP="00DA62D2">
            <w:pPr>
              <w:spacing w:line="240" w:lineRule="auto"/>
              <w:jc w:val="center"/>
              <w:rPr>
                <w:szCs w:val="24"/>
              </w:rPr>
            </w:pPr>
            <w:r w:rsidRPr="002C109A">
              <w:rPr>
                <w:szCs w:val="24"/>
              </w:rPr>
              <w:t>0%</w:t>
            </w:r>
          </w:p>
        </w:tc>
      </w:tr>
      <w:tr w:rsidR="00190D60" w:rsidRPr="002C109A" w14:paraId="2B39CCA8" w14:textId="77777777" w:rsidTr="00DA62D2">
        <w:trPr>
          <w:trHeight w:val="288"/>
          <w:jc w:val="center"/>
        </w:trPr>
        <w:tc>
          <w:tcPr>
            <w:tcW w:w="1872" w:type="dxa"/>
            <w:vMerge/>
            <w:tcBorders>
              <w:right w:val="single" w:sz="4" w:space="0" w:color="auto"/>
            </w:tcBorders>
          </w:tcPr>
          <w:p w14:paraId="2B5A4847" w14:textId="77777777" w:rsidR="00190D60" w:rsidRPr="002C109A" w:rsidRDefault="00190D60" w:rsidP="00DA62D2">
            <w:pPr>
              <w:spacing w:line="240" w:lineRule="auto"/>
              <w:jc w:val="center"/>
              <w:rPr>
                <w:szCs w:val="24"/>
              </w:rPr>
            </w:pPr>
          </w:p>
        </w:tc>
        <w:tc>
          <w:tcPr>
            <w:tcW w:w="1440" w:type="dxa"/>
            <w:tcBorders>
              <w:left w:val="single" w:sz="4" w:space="0" w:color="auto"/>
            </w:tcBorders>
            <w:noWrap/>
          </w:tcPr>
          <w:p w14:paraId="4193857D" w14:textId="77777777" w:rsidR="00190D60" w:rsidRPr="002C109A" w:rsidRDefault="00077C0B" w:rsidP="00DA62D2">
            <w:pPr>
              <w:spacing w:line="240" w:lineRule="auto"/>
              <w:jc w:val="center"/>
              <w:rPr>
                <w:szCs w:val="24"/>
              </w:rPr>
            </w:pPr>
            <m:oMathPara>
              <m:oMath>
                <m:f>
                  <m:fPr>
                    <m:ctrlPr>
                      <w:rPr>
                        <w:rFonts w:ascii="Cambria Math" w:hAnsi="Cambria Math"/>
                        <w:i/>
                        <w:szCs w:val="24"/>
                      </w:rPr>
                    </m:ctrlPr>
                  </m:fPr>
                  <m:num>
                    <m:r>
                      <w:rPr>
                        <w:rFonts w:ascii="Cambria Math" w:hAnsi="Cambria Math"/>
                        <w:szCs w:val="24"/>
                      </w:rPr>
                      <m:t>δ</m:t>
                    </m:r>
                    <m:sSub>
                      <m:sSubPr>
                        <m:ctrlPr>
                          <w:rPr>
                            <w:rFonts w:ascii="Cambria Math" w:hAnsi="Cambria Math"/>
                            <w:i/>
                            <w:szCs w:val="24"/>
                          </w:rPr>
                        </m:ctrlPr>
                      </m:sSubPr>
                      <m:e>
                        <m:r>
                          <w:rPr>
                            <w:rFonts w:ascii="Cambria Math" w:hAnsi="Cambria Math"/>
                            <w:szCs w:val="24"/>
                          </w:rPr>
                          <m:t>σ</m:t>
                        </m:r>
                      </m:e>
                      <m:sub>
                        <m:r>
                          <w:rPr>
                            <w:rFonts w:ascii="Cambria Math" w:hAnsi="Cambria Math"/>
                            <w:szCs w:val="24"/>
                          </w:rPr>
                          <m:t>H</m:t>
                        </m:r>
                      </m:sub>
                    </m:sSub>
                  </m:num>
                  <m:den>
                    <m:r>
                      <w:rPr>
                        <w:rFonts w:ascii="Cambria Math" w:hAnsi="Cambria Math"/>
                        <w:szCs w:val="24"/>
                      </w:rPr>
                      <m:t>δ</m:t>
                    </m:r>
                    <m:sSub>
                      <m:sSubPr>
                        <m:ctrlPr>
                          <w:rPr>
                            <w:rFonts w:ascii="Cambria Math" w:hAnsi="Cambria Math"/>
                            <w:i/>
                            <w:szCs w:val="24"/>
                          </w:rPr>
                        </m:ctrlPr>
                      </m:sSubPr>
                      <m:e>
                        <m:r>
                          <w:rPr>
                            <w:rFonts w:ascii="Cambria Math" w:hAnsi="Cambria Math"/>
                            <w:szCs w:val="24"/>
                          </w:rPr>
                          <m:t>σ</m:t>
                        </m:r>
                      </m:e>
                      <m:sub>
                        <m:r>
                          <w:rPr>
                            <w:rFonts w:ascii="Cambria Math" w:hAnsi="Cambria Math"/>
                            <w:szCs w:val="24"/>
                          </w:rPr>
                          <m:t>V</m:t>
                        </m:r>
                      </m:sub>
                    </m:sSub>
                  </m:den>
                </m:f>
              </m:oMath>
            </m:oMathPara>
          </w:p>
        </w:tc>
        <w:tc>
          <w:tcPr>
            <w:tcW w:w="1008" w:type="dxa"/>
            <w:tcBorders>
              <w:right w:val="single" w:sz="4" w:space="0" w:color="auto"/>
            </w:tcBorders>
            <w:noWrap/>
          </w:tcPr>
          <w:p w14:paraId="5374E101" w14:textId="77777777" w:rsidR="00190D60" w:rsidRPr="002C109A" w:rsidRDefault="00190D60" w:rsidP="00DA62D2">
            <w:pPr>
              <w:spacing w:line="240" w:lineRule="auto"/>
              <w:jc w:val="center"/>
              <w:rPr>
                <w:szCs w:val="24"/>
              </w:rPr>
            </w:pPr>
            <w:r w:rsidRPr="002C109A">
              <w:rPr>
                <w:szCs w:val="24"/>
              </w:rPr>
              <w:t>0%</w:t>
            </w:r>
          </w:p>
        </w:tc>
        <w:tc>
          <w:tcPr>
            <w:tcW w:w="1440" w:type="dxa"/>
            <w:tcBorders>
              <w:left w:val="single" w:sz="4" w:space="0" w:color="auto"/>
            </w:tcBorders>
            <w:noWrap/>
          </w:tcPr>
          <w:p w14:paraId="45E8BFFA" w14:textId="77777777" w:rsidR="00190D60" w:rsidRPr="002C109A" w:rsidRDefault="00077C0B" w:rsidP="00DA62D2">
            <w:pPr>
              <w:spacing w:line="240" w:lineRule="auto"/>
              <w:jc w:val="center"/>
              <w:rPr>
                <w:szCs w:val="24"/>
              </w:rPr>
            </w:pPr>
            <m:oMathPara>
              <m:oMath>
                <m:f>
                  <m:fPr>
                    <m:ctrlPr>
                      <w:rPr>
                        <w:rFonts w:ascii="Cambria Math" w:hAnsi="Cambria Math"/>
                        <w:i/>
                        <w:szCs w:val="24"/>
                      </w:rPr>
                    </m:ctrlPr>
                  </m:fPr>
                  <m:num>
                    <m:r>
                      <w:rPr>
                        <w:rFonts w:ascii="Cambria Math" w:hAnsi="Cambria Math"/>
                        <w:szCs w:val="24"/>
                      </w:rPr>
                      <m:t>δ</m:t>
                    </m:r>
                    <m:sSub>
                      <m:sSubPr>
                        <m:ctrlPr>
                          <w:rPr>
                            <w:rFonts w:ascii="Cambria Math" w:hAnsi="Cambria Math"/>
                            <w:i/>
                            <w:szCs w:val="24"/>
                          </w:rPr>
                        </m:ctrlPr>
                      </m:sSubPr>
                      <m:e>
                        <m:r>
                          <w:rPr>
                            <w:rFonts w:ascii="Cambria Math" w:hAnsi="Cambria Math"/>
                            <w:szCs w:val="24"/>
                          </w:rPr>
                          <m:t>σ</m:t>
                        </m:r>
                      </m:e>
                      <m:sub>
                        <m:r>
                          <w:rPr>
                            <w:rFonts w:ascii="Cambria Math" w:hAnsi="Cambria Math"/>
                            <w:szCs w:val="24"/>
                          </w:rPr>
                          <m:t>H</m:t>
                        </m:r>
                      </m:sub>
                    </m:sSub>
                  </m:num>
                  <m:den>
                    <m:r>
                      <w:rPr>
                        <w:rFonts w:ascii="Cambria Math" w:hAnsi="Cambria Math"/>
                        <w:szCs w:val="24"/>
                      </w:rPr>
                      <m:t>δ</m:t>
                    </m:r>
                    <m:sSub>
                      <m:sSubPr>
                        <m:ctrlPr>
                          <w:rPr>
                            <w:rFonts w:ascii="Cambria Math" w:hAnsi="Cambria Math"/>
                            <w:i/>
                            <w:szCs w:val="24"/>
                          </w:rPr>
                        </m:ctrlPr>
                      </m:sSubPr>
                      <m:e>
                        <m:r>
                          <w:rPr>
                            <w:rFonts w:ascii="Cambria Math" w:hAnsi="Cambria Math"/>
                            <w:szCs w:val="24"/>
                          </w:rPr>
                          <m:t>σ</m:t>
                        </m:r>
                      </m:e>
                      <m:sub>
                        <m:r>
                          <w:rPr>
                            <w:rFonts w:ascii="Cambria Math" w:hAnsi="Cambria Math"/>
                            <w:szCs w:val="24"/>
                          </w:rPr>
                          <m:t>V</m:t>
                        </m:r>
                      </m:sub>
                    </m:sSub>
                  </m:den>
                </m:f>
              </m:oMath>
            </m:oMathPara>
          </w:p>
        </w:tc>
        <w:tc>
          <w:tcPr>
            <w:tcW w:w="1008" w:type="dxa"/>
            <w:noWrap/>
          </w:tcPr>
          <w:p w14:paraId="0D19A0C8" w14:textId="77777777" w:rsidR="00190D60" w:rsidRPr="002C109A" w:rsidRDefault="00190D60" w:rsidP="00DA62D2">
            <w:pPr>
              <w:spacing w:line="240" w:lineRule="auto"/>
              <w:jc w:val="center"/>
              <w:rPr>
                <w:szCs w:val="24"/>
              </w:rPr>
            </w:pPr>
            <w:r w:rsidRPr="002C109A">
              <w:rPr>
                <w:szCs w:val="24"/>
              </w:rPr>
              <w:t>0%</w:t>
            </w:r>
          </w:p>
        </w:tc>
      </w:tr>
      <w:tr w:rsidR="00190D60" w:rsidRPr="002C109A" w14:paraId="4BD5428A" w14:textId="77777777" w:rsidTr="00DA62D2">
        <w:trPr>
          <w:trHeight w:val="288"/>
          <w:jc w:val="center"/>
        </w:trPr>
        <w:tc>
          <w:tcPr>
            <w:tcW w:w="1872" w:type="dxa"/>
            <w:vMerge/>
            <w:tcBorders>
              <w:right w:val="single" w:sz="4" w:space="0" w:color="auto"/>
            </w:tcBorders>
            <w:hideMark/>
          </w:tcPr>
          <w:p w14:paraId="636D251E" w14:textId="77777777" w:rsidR="00190D60" w:rsidRPr="002C109A" w:rsidRDefault="00190D60" w:rsidP="00DA62D2">
            <w:pPr>
              <w:spacing w:line="240" w:lineRule="auto"/>
              <w:jc w:val="center"/>
              <w:rPr>
                <w:szCs w:val="24"/>
              </w:rPr>
            </w:pPr>
          </w:p>
        </w:tc>
        <w:tc>
          <w:tcPr>
            <w:tcW w:w="1440" w:type="dxa"/>
            <w:tcBorders>
              <w:left w:val="single" w:sz="4" w:space="0" w:color="auto"/>
            </w:tcBorders>
            <w:noWrap/>
            <w:hideMark/>
          </w:tcPr>
          <w:p w14:paraId="6D35D2CD" w14:textId="77777777" w:rsidR="00190D60" w:rsidRPr="002C109A" w:rsidRDefault="00077C0B" w:rsidP="00DA62D2">
            <w:pPr>
              <w:spacing w:line="240" w:lineRule="auto"/>
              <w:jc w:val="center"/>
              <w:rPr>
                <w:szCs w:val="24"/>
              </w:rPr>
            </w:pPr>
            <m:oMathPara>
              <m:oMath>
                <m:f>
                  <m:fPr>
                    <m:ctrlPr>
                      <w:rPr>
                        <w:rFonts w:ascii="Cambria Math" w:hAnsi="Cambria Math"/>
                        <w:i/>
                        <w:szCs w:val="24"/>
                      </w:rPr>
                    </m:ctrlPr>
                  </m:fPr>
                  <m:num>
                    <m:r>
                      <w:rPr>
                        <w:rFonts w:ascii="Cambria Math" w:hAnsi="Cambria Math"/>
                        <w:szCs w:val="24"/>
                      </w:rPr>
                      <m:t>δ</m:t>
                    </m:r>
                    <m:sSub>
                      <m:sSubPr>
                        <m:ctrlPr>
                          <w:rPr>
                            <w:rFonts w:ascii="Cambria Math" w:hAnsi="Cambria Math"/>
                            <w:i/>
                            <w:szCs w:val="24"/>
                          </w:rPr>
                        </m:ctrlPr>
                      </m:sSubPr>
                      <m:e>
                        <m:r>
                          <w:rPr>
                            <w:rFonts w:ascii="Cambria Math" w:hAnsi="Cambria Math"/>
                            <w:szCs w:val="24"/>
                          </w:rPr>
                          <m:t>σ</m:t>
                        </m:r>
                      </m:e>
                      <m:sub>
                        <m:r>
                          <w:rPr>
                            <w:rFonts w:ascii="Cambria Math" w:hAnsi="Cambria Math"/>
                            <w:szCs w:val="24"/>
                          </w:rPr>
                          <m:t>h</m:t>
                        </m:r>
                      </m:sub>
                    </m:sSub>
                  </m:num>
                  <m:den>
                    <m:r>
                      <w:rPr>
                        <w:rFonts w:ascii="Cambria Math" w:hAnsi="Cambria Math"/>
                        <w:szCs w:val="24"/>
                      </w:rPr>
                      <m:t>δ</m:t>
                    </m:r>
                    <m:sSub>
                      <m:sSubPr>
                        <m:ctrlPr>
                          <w:rPr>
                            <w:rFonts w:ascii="Cambria Math" w:hAnsi="Cambria Math"/>
                            <w:i/>
                            <w:szCs w:val="24"/>
                          </w:rPr>
                        </m:ctrlPr>
                      </m:sSubPr>
                      <m:e>
                        <m:r>
                          <w:rPr>
                            <w:rFonts w:ascii="Cambria Math" w:hAnsi="Cambria Math"/>
                            <w:szCs w:val="24"/>
                          </w:rPr>
                          <m:t>σ</m:t>
                        </m:r>
                      </m:e>
                      <m:sub>
                        <m:r>
                          <w:rPr>
                            <w:rFonts w:ascii="Cambria Math" w:hAnsi="Cambria Math"/>
                            <w:szCs w:val="24"/>
                          </w:rPr>
                          <m:t>H</m:t>
                        </m:r>
                      </m:sub>
                    </m:sSub>
                  </m:den>
                </m:f>
              </m:oMath>
            </m:oMathPara>
          </w:p>
        </w:tc>
        <w:tc>
          <w:tcPr>
            <w:tcW w:w="1008" w:type="dxa"/>
            <w:tcBorders>
              <w:right w:val="single" w:sz="4" w:space="0" w:color="auto"/>
            </w:tcBorders>
            <w:noWrap/>
            <w:hideMark/>
          </w:tcPr>
          <w:p w14:paraId="44E4F9AF" w14:textId="77777777" w:rsidR="00190D60" w:rsidRPr="002C109A" w:rsidRDefault="00190D60" w:rsidP="00DA62D2">
            <w:pPr>
              <w:spacing w:line="240" w:lineRule="auto"/>
              <w:jc w:val="center"/>
              <w:rPr>
                <w:szCs w:val="24"/>
              </w:rPr>
            </w:pPr>
            <w:r w:rsidRPr="002C109A">
              <w:rPr>
                <w:szCs w:val="24"/>
              </w:rPr>
              <w:t>0%</w:t>
            </w:r>
          </w:p>
        </w:tc>
        <w:tc>
          <w:tcPr>
            <w:tcW w:w="1440" w:type="dxa"/>
            <w:tcBorders>
              <w:left w:val="single" w:sz="4" w:space="0" w:color="auto"/>
            </w:tcBorders>
            <w:noWrap/>
            <w:hideMark/>
          </w:tcPr>
          <w:p w14:paraId="1F4B881E" w14:textId="77777777" w:rsidR="00190D60" w:rsidRPr="002C109A" w:rsidRDefault="00077C0B" w:rsidP="00DA62D2">
            <w:pPr>
              <w:spacing w:line="240" w:lineRule="auto"/>
              <w:jc w:val="center"/>
              <w:rPr>
                <w:szCs w:val="24"/>
              </w:rPr>
            </w:pPr>
            <m:oMathPara>
              <m:oMath>
                <m:f>
                  <m:fPr>
                    <m:ctrlPr>
                      <w:rPr>
                        <w:rFonts w:ascii="Cambria Math" w:hAnsi="Cambria Math"/>
                        <w:i/>
                        <w:szCs w:val="24"/>
                      </w:rPr>
                    </m:ctrlPr>
                  </m:fPr>
                  <m:num>
                    <m:r>
                      <w:rPr>
                        <w:rFonts w:ascii="Cambria Math" w:hAnsi="Cambria Math"/>
                        <w:szCs w:val="24"/>
                      </w:rPr>
                      <m:t>δ</m:t>
                    </m:r>
                    <m:sSub>
                      <m:sSubPr>
                        <m:ctrlPr>
                          <w:rPr>
                            <w:rFonts w:ascii="Cambria Math" w:hAnsi="Cambria Math"/>
                            <w:i/>
                            <w:szCs w:val="24"/>
                          </w:rPr>
                        </m:ctrlPr>
                      </m:sSubPr>
                      <m:e>
                        <m:r>
                          <w:rPr>
                            <w:rFonts w:ascii="Cambria Math" w:hAnsi="Cambria Math"/>
                            <w:szCs w:val="24"/>
                          </w:rPr>
                          <m:t>σ</m:t>
                        </m:r>
                      </m:e>
                      <m:sub>
                        <m:r>
                          <w:rPr>
                            <w:rFonts w:ascii="Cambria Math" w:hAnsi="Cambria Math"/>
                            <w:szCs w:val="24"/>
                          </w:rPr>
                          <m:t>h</m:t>
                        </m:r>
                      </m:sub>
                    </m:sSub>
                  </m:num>
                  <m:den>
                    <m:r>
                      <w:rPr>
                        <w:rFonts w:ascii="Cambria Math" w:hAnsi="Cambria Math"/>
                        <w:szCs w:val="24"/>
                      </w:rPr>
                      <m:t>δ</m:t>
                    </m:r>
                    <m:sSub>
                      <m:sSubPr>
                        <m:ctrlPr>
                          <w:rPr>
                            <w:rFonts w:ascii="Cambria Math" w:hAnsi="Cambria Math"/>
                            <w:i/>
                            <w:szCs w:val="24"/>
                          </w:rPr>
                        </m:ctrlPr>
                      </m:sSubPr>
                      <m:e>
                        <m:r>
                          <w:rPr>
                            <w:rFonts w:ascii="Cambria Math" w:hAnsi="Cambria Math"/>
                            <w:szCs w:val="24"/>
                          </w:rPr>
                          <m:t>σ</m:t>
                        </m:r>
                      </m:e>
                      <m:sub>
                        <m:r>
                          <w:rPr>
                            <w:rFonts w:ascii="Cambria Math" w:hAnsi="Cambria Math"/>
                            <w:szCs w:val="24"/>
                          </w:rPr>
                          <m:t>H</m:t>
                        </m:r>
                      </m:sub>
                    </m:sSub>
                  </m:den>
                </m:f>
              </m:oMath>
            </m:oMathPara>
          </w:p>
        </w:tc>
        <w:tc>
          <w:tcPr>
            <w:tcW w:w="1008" w:type="dxa"/>
            <w:noWrap/>
            <w:hideMark/>
          </w:tcPr>
          <w:p w14:paraId="2FB19CB3" w14:textId="77777777" w:rsidR="00190D60" w:rsidRPr="002C109A" w:rsidRDefault="00190D60" w:rsidP="00DA62D2">
            <w:pPr>
              <w:spacing w:line="240" w:lineRule="auto"/>
              <w:jc w:val="center"/>
              <w:rPr>
                <w:szCs w:val="24"/>
              </w:rPr>
            </w:pPr>
            <w:r w:rsidRPr="002C109A">
              <w:rPr>
                <w:szCs w:val="24"/>
              </w:rPr>
              <w:t>0%</w:t>
            </w:r>
          </w:p>
        </w:tc>
      </w:tr>
    </w:tbl>
    <w:p w14:paraId="4F6674DC" w14:textId="77777777" w:rsidR="00190D60" w:rsidRDefault="00190D60" w:rsidP="00190D60">
      <w:pPr>
        <w:ind w:firstLine="720"/>
      </w:pPr>
    </w:p>
    <w:p w14:paraId="0163207C" w14:textId="43B3B5F2" w:rsidR="000959DD" w:rsidRPr="006348F1" w:rsidRDefault="000959DD" w:rsidP="00035812">
      <w:pPr>
        <w:pStyle w:val="Heading4"/>
      </w:pPr>
      <w:r w:rsidRPr="006348F1">
        <w:lastRenderedPageBreak/>
        <w:t>Microannuli Prediction</w:t>
      </w:r>
    </w:p>
    <w:p w14:paraId="67E3ED04" w14:textId="14884048" w:rsidR="00190D60" w:rsidRDefault="004165B2" w:rsidP="00190D60">
      <w:pPr>
        <w:ind w:firstLine="720"/>
      </w:pPr>
      <w:r>
        <w:t xml:space="preserve">Using </w:t>
      </w:r>
      <w:r w:rsidR="00190D60">
        <w:t xml:space="preserve">the analyses from the previous section, the microannuli gaps at the casing/cement interface are primarily a function of </w:t>
      </w:r>
      <m:oMath>
        <m:r>
          <w:rPr>
            <w:rFonts w:ascii="Cambria Math" w:hAnsi="Cambria Math"/>
          </w:rPr>
          <m:t>ΔP</m:t>
        </m:r>
      </m:oMath>
      <w:r w:rsidR="00190D60">
        <w:t xml:space="preserve">, ΔT, </w:t>
      </w:r>
      <m:oMath>
        <m:sSub>
          <m:sSubPr>
            <m:ctrlPr>
              <w:rPr>
                <w:rFonts w:ascii="Cambria Math" w:hAnsi="Cambria Math"/>
                <w:i/>
              </w:rPr>
            </m:ctrlPr>
          </m:sSubPr>
          <m:e>
            <m:r>
              <w:rPr>
                <w:rFonts w:ascii="Cambria Math" w:hAnsi="Cambria Math"/>
              </w:rPr>
              <m:t>ω</m:t>
            </m:r>
          </m:e>
          <m:sub>
            <m:r>
              <w:rPr>
                <w:rFonts w:ascii="Cambria Math" w:hAnsi="Cambria Math"/>
              </w:rPr>
              <m:t>casing</m:t>
            </m:r>
          </m:sub>
        </m:sSub>
      </m:oMath>
      <w:r w:rsidR="00190D60">
        <w:t>,</w:t>
      </w:r>
      <w:r w:rsidR="00190D60" w:rsidRPr="00166474">
        <w:t xml:space="preserve"> and </w:t>
      </w:r>
      <m:oMath>
        <m:r>
          <w:rPr>
            <w:rFonts w:ascii="Cambria Math" w:hAnsi="Cambria Math"/>
          </w:rPr>
          <m:t>Hole Size</m:t>
        </m:r>
      </m:oMath>
      <w:r w:rsidR="00190D60">
        <w:t xml:space="preserve">. For the purpose of determining if wells are intact and able to provide zonal isolation, the history of pressure and temperatures should be investigated. If the casing/cement interface experiences debonding at one point in the life </w:t>
      </w:r>
      <w:r w:rsidR="00190D60" w:rsidRPr="00587640">
        <w:t xml:space="preserve">cycle of a well, the bond is not going to “heal” and provide zonal isolation (Stormont et al. 2018). </w:t>
      </w:r>
      <w:r w:rsidR="00890D03" w:rsidRPr="00587640">
        <w:t>Figures 5</w:t>
      </w:r>
      <w:r w:rsidR="00190D60" w:rsidRPr="00587640">
        <w:t>.</w:t>
      </w:r>
      <w:r w:rsidR="00757125" w:rsidRPr="00587640">
        <w:t>21</w:t>
      </w:r>
      <w:r w:rsidR="00190D60" w:rsidRPr="00587640">
        <w:t>-</w:t>
      </w:r>
      <w:r w:rsidR="00890D03" w:rsidRPr="00587640">
        <w:t>5.</w:t>
      </w:r>
      <w:r w:rsidR="00191B9E" w:rsidRPr="00587640">
        <w:t>2</w:t>
      </w:r>
      <w:r w:rsidR="00757125" w:rsidRPr="00587640">
        <w:t>4</w:t>
      </w:r>
      <w:r w:rsidR="00190D60" w:rsidRPr="00587640">
        <w:t xml:space="preserve"> depict the casing/cement interface gap when changing the pressure and temperature for the case study at four depths (</w:t>
      </w:r>
      <w:r w:rsidR="00890D03" w:rsidRPr="00587640">
        <w:t>1,920 m [</w:t>
      </w:r>
      <w:r w:rsidR="00190D60" w:rsidRPr="00587640">
        <w:t>6,300 ft.</w:t>
      </w:r>
      <w:r w:rsidR="00890D03" w:rsidRPr="00587640">
        <w:t>]</w:t>
      </w:r>
      <w:r w:rsidR="00190D60" w:rsidRPr="00587640">
        <w:t>,</w:t>
      </w:r>
      <w:r w:rsidR="00890D03" w:rsidRPr="00587640">
        <w:t xml:space="preserve"> 1,595 m</w:t>
      </w:r>
      <w:r w:rsidR="00190D60" w:rsidRPr="00587640">
        <w:t xml:space="preserve"> </w:t>
      </w:r>
      <w:r w:rsidR="00890D03" w:rsidRPr="00587640">
        <w:t>[</w:t>
      </w:r>
      <w:r w:rsidR="00190D60" w:rsidRPr="00587640">
        <w:t>5,233 ft.</w:t>
      </w:r>
      <w:r w:rsidR="00890D03" w:rsidRPr="00587640">
        <w:t>]</w:t>
      </w:r>
      <w:r w:rsidR="00190D60" w:rsidRPr="00587640">
        <w:t>,</w:t>
      </w:r>
      <w:r w:rsidR="00890D03" w:rsidRPr="00587640">
        <w:t xml:space="preserve"> 1,270 m</w:t>
      </w:r>
      <w:r w:rsidR="00190D60" w:rsidRPr="00587640">
        <w:t xml:space="preserve"> </w:t>
      </w:r>
      <w:r w:rsidR="00890D03" w:rsidRPr="00587640">
        <w:t>[</w:t>
      </w:r>
      <w:r w:rsidR="00190D60" w:rsidRPr="00587640">
        <w:t>4,167 ft.</w:t>
      </w:r>
      <w:r w:rsidR="00890D03" w:rsidRPr="00587640">
        <w:t>]</w:t>
      </w:r>
      <w:r w:rsidR="00190D60" w:rsidRPr="00587640">
        <w:t>, and</w:t>
      </w:r>
      <w:r w:rsidR="00890D03" w:rsidRPr="00587640">
        <w:t xml:space="preserve"> 945 m</w:t>
      </w:r>
      <w:r w:rsidR="00190D60" w:rsidRPr="00587640">
        <w:t xml:space="preserve"> </w:t>
      </w:r>
      <w:r w:rsidR="00890D03" w:rsidRPr="00587640">
        <w:t>[</w:t>
      </w:r>
      <w:r w:rsidR="00190D60" w:rsidRPr="00587640">
        <w:t>3,100 ft.</w:t>
      </w:r>
      <w:r w:rsidR="00890D03" w:rsidRPr="00587640">
        <w:t>]</w:t>
      </w:r>
      <w:r w:rsidR="00190D60" w:rsidRPr="00587640">
        <w:t xml:space="preserve">) along the primary cement barrier (i.e. intermediate casing string). The results of </w:t>
      </w:r>
      <w:r w:rsidR="00890D03" w:rsidRPr="00587640">
        <w:t>Figures 5.</w:t>
      </w:r>
      <w:r w:rsidR="00757125" w:rsidRPr="00587640">
        <w:t>21</w:t>
      </w:r>
      <w:r w:rsidR="00890D03" w:rsidRPr="00587640">
        <w:t>-5.</w:t>
      </w:r>
      <w:r w:rsidR="004525C8" w:rsidRPr="00587640">
        <w:t>2</w:t>
      </w:r>
      <w:r w:rsidR="00757125" w:rsidRPr="00587640">
        <w:t>4</w:t>
      </w:r>
      <w:r w:rsidR="00890D03" w:rsidRPr="00587640">
        <w:t xml:space="preserve"> </w:t>
      </w:r>
      <w:r w:rsidR="00190D60" w:rsidRPr="00587640">
        <w:t>show</w:t>
      </w:r>
      <w:r w:rsidR="00190D60">
        <w:t xml:space="preserve"> that when both pressure and temperature are reduced in the wellbore, the gap magnitude increases. </w:t>
      </w:r>
    </w:p>
    <w:p w14:paraId="28D30655" w14:textId="1A59BED5" w:rsidR="004525C8" w:rsidRDefault="004525C8" w:rsidP="00190D60">
      <w:pPr>
        <w:ind w:firstLine="720"/>
      </w:pPr>
    </w:p>
    <w:p w14:paraId="7FFAB064" w14:textId="77777777" w:rsidR="004525C8" w:rsidRDefault="004525C8" w:rsidP="00190D60">
      <w:pPr>
        <w:ind w:firstLine="720"/>
      </w:pPr>
    </w:p>
    <w:p w14:paraId="342BA4F5" w14:textId="77777777" w:rsidR="00190D60" w:rsidRDefault="00190D60" w:rsidP="00BC23AD">
      <w:pPr>
        <w:pStyle w:val="NoSpacing"/>
      </w:pPr>
      <w:r>
        <w:rPr>
          <w:noProof/>
        </w:rPr>
        <w:lastRenderedPageBreak/>
        <w:drawing>
          <wp:inline distT="0" distB="0" distL="0" distR="0" wp14:anchorId="7B24D412" wp14:editId="4EE89DCA">
            <wp:extent cx="5943600" cy="4769483"/>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Figure 7_1.5column.jpg"/>
                    <pic:cNvPicPr/>
                  </pic:nvPicPr>
                  <pic:blipFill>
                    <a:blip r:embed="rId79">
                      <a:extLst>
                        <a:ext uri="{28A0092B-C50C-407E-A947-70E740481C1C}">
                          <a14:useLocalDpi xmlns:a14="http://schemas.microsoft.com/office/drawing/2010/main" val="0"/>
                        </a:ext>
                      </a:extLst>
                    </a:blip>
                    <a:stretch>
                      <a:fillRect/>
                    </a:stretch>
                  </pic:blipFill>
                  <pic:spPr>
                    <a:xfrm>
                      <a:off x="0" y="0"/>
                      <a:ext cx="5943600" cy="4769483"/>
                    </a:xfrm>
                    <a:prstGeom prst="rect">
                      <a:avLst/>
                    </a:prstGeom>
                  </pic:spPr>
                </pic:pic>
              </a:graphicData>
            </a:graphic>
          </wp:inline>
        </w:drawing>
      </w:r>
    </w:p>
    <w:p w14:paraId="096426A5" w14:textId="6DC617D0" w:rsidR="00190D60" w:rsidRDefault="00190D60" w:rsidP="00BC23AD">
      <w:pPr>
        <w:pStyle w:val="Caption"/>
      </w:pPr>
      <w:bookmarkStart w:id="152" w:name="_Toc67566249"/>
      <w:r>
        <w:t xml:space="preserve">Figure </w:t>
      </w:r>
      <w:r w:rsidR="00077C0B">
        <w:fldChar w:fldCharType="begin"/>
      </w:r>
      <w:r w:rsidR="00077C0B">
        <w:instrText xml:space="preserve"> STYLEREF 1 \s </w:instrText>
      </w:r>
      <w:r w:rsidR="00077C0B">
        <w:fldChar w:fldCharType="separate"/>
      </w:r>
      <w:r w:rsidR="0006023A">
        <w:rPr>
          <w:noProof/>
        </w:rPr>
        <w:t>5</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21</w:t>
      </w:r>
      <w:r w:rsidR="00077C0B">
        <w:rPr>
          <w:noProof/>
        </w:rPr>
        <w:fldChar w:fldCharType="end"/>
      </w:r>
      <w:r>
        <w:t xml:space="preserve">: </w:t>
      </w:r>
      <w:r w:rsidRPr="00800601">
        <w:t xml:space="preserve">Heat map showing the gap magnitudes resulting from a combination of </w:t>
      </w:r>
      <m:oMath>
        <m:r>
          <m:rPr>
            <m:sty m:val="bi"/>
          </m:rPr>
          <w:rPr>
            <w:rFonts w:ascii="Cambria Math" w:hAnsi="Cambria Math"/>
          </w:rPr>
          <m:t>ΔP</m:t>
        </m:r>
      </m:oMath>
      <w:r w:rsidRPr="00800601">
        <w:t xml:space="preserve"> and </w:t>
      </w:r>
      <m:oMath>
        <m:r>
          <m:rPr>
            <m:sty m:val="bi"/>
          </m:rPr>
          <w:rPr>
            <w:rFonts w:ascii="Cambria Math" w:hAnsi="Cambria Math"/>
          </w:rPr>
          <m:t>ΔT</m:t>
        </m:r>
      </m:oMath>
      <w:r w:rsidRPr="00800601">
        <w:t xml:space="preserve">.  A positive </w:t>
      </w:r>
      <m:oMath>
        <m:r>
          <m:rPr>
            <m:sty m:val="bi"/>
          </m:rPr>
          <w:rPr>
            <w:rFonts w:ascii="Cambria Math" w:hAnsi="Cambria Math"/>
          </w:rPr>
          <m:t>Δ</m:t>
        </m:r>
      </m:oMath>
      <w:r w:rsidRPr="00800601">
        <w:t xml:space="preserve"> indicates a reduction while a negative </w:t>
      </w:r>
      <m:oMath>
        <m:r>
          <m:rPr>
            <m:sty m:val="bi"/>
          </m:rPr>
          <w:rPr>
            <w:rFonts w:ascii="Cambria Math" w:hAnsi="Cambria Math"/>
          </w:rPr>
          <m:t>Δ</m:t>
        </m:r>
      </m:oMath>
      <w:r w:rsidRPr="00800601">
        <w:t xml:space="preserve"> is an increase.  Note in the legend that nanometer (nm) sized gaps are indicated (0.001 μm) along with micron (μm) sized gaps.  The results of this heat map are indicative of a</w:t>
      </w:r>
      <w:r w:rsidR="00890D03">
        <w:t xml:space="preserve"> 31.12 cm</w:t>
      </w:r>
      <w:r w:rsidRPr="00800601">
        <w:t xml:space="preserve"> </w:t>
      </w:r>
      <w:r w:rsidR="00890D03">
        <w:t>(</w:t>
      </w:r>
      <w:r w:rsidRPr="00800601">
        <w:t>12.25”</w:t>
      </w:r>
      <w:r w:rsidR="00890D03">
        <w:t>)</w:t>
      </w:r>
      <w:r w:rsidRPr="00800601">
        <w:t xml:space="preserve"> hole size with </w:t>
      </w:r>
      <w:r w:rsidR="00890D03">
        <w:t>24.45 cm (</w:t>
      </w:r>
      <w:r w:rsidRPr="00800601">
        <w:t>9.625”</w:t>
      </w:r>
      <w:r w:rsidR="00890D03">
        <w:t>)</w:t>
      </w:r>
      <w:r w:rsidRPr="00800601">
        <w:t xml:space="preserve"> P-110EC casing</w:t>
      </w:r>
      <w:r>
        <w:t xml:space="preserve"> at a depth of</w:t>
      </w:r>
      <w:r w:rsidR="00890D03">
        <w:t xml:space="preserve"> 1,920 m</w:t>
      </w:r>
      <w:r>
        <w:t xml:space="preserve"> </w:t>
      </w:r>
      <w:r w:rsidR="00890D03">
        <w:t>(</w:t>
      </w:r>
      <w:r>
        <w:t>6,300 ft</w:t>
      </w:r>
      <w:r w:rsidRPr="00800601">
        <w:t>.</w:t>
      </w:r>
      <w:r w:rsidR="00890D03">
        <w:t>).</w:t>
      </w:r>
      <w:bookmarkEnd w:id="152"/>
    </w:p>
    <w:p w14:paraId="622B4109" w14:textId="77777777" w:rsidR="00190D60" w:rsidRDefault="00190D60" w:rsidP="00190D60"/>
    <w:p w14:paraId="306ADFD8" w14:textId="77777777" w:rsidR="00190D60" w:rsidRDefault="00190D60" w:rsidP="00BC23AD">
      <w:pPr>
        <w:pStyle w:val="NoSpacing"/>
      </w:pPr>
      <w:r>
        <w:rPr>
          <w:noProof/>
        </w:rPr>
        <w:lastRenderedPageBreak/>
        <w:drawing>
          <wp:inline distT="0" distB="0" distL="0" distR="0" wp14:anchorId="4CFA33E9" wp14:editId="35A65034">
            <wp:extent cx="5943600" cy="4769486"/>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Figure 8_1.5column.jpg"/>
                    <pic:cNvPicPr/>
                  </pic:nvPicPr>
                  <pic:blipFill>
                    <a:blip r:embed="rId80">
                      <a:extLst>
                        <a:ext uri="{28A0092B-C50C-407E-A947-70E740481C1C}">
                          <a14:useLocalDpi xmlns:a14="http://schemas.microsoft.com/office/drawing/2010/main" val="0"/>
                        </a:ext>
                      </a:extLst>
                    </a:blip>
                    <a:stretch>
                      <a:fillRect/>
                    </a:stretch>
                  </pic:blipFill>
                  <pic:spPr>
                    <a:xfrm>
                      <a:off x="0" y="0"/>
                      <a:ext cx="5943600" cy="4769486"/>
                    </a:xfrm>
                    <a:prstGeom prst="rect">
                      <a:avLst/>
                    </a:prstGeom>
                  </pic:spPr>
                </pic:pic>
              </a:graphicData>
            </a:graphic>
          </wp:inline>
        </w:drawing>
      </w:r>
    </w:p>
    <w:p w14:paraId="0F1A38B0" w14:textId="7016C156" w:rsidR="00190D60" w:rsidRDefault="00190D60" w:rsidP="00BC23AD">
      <w:pPr>
        <w:pStyle w:val="Caption"/>
      </w:pPr>
      <w:bookmarkStart w:id="153" w:name="_Toc67566250"/>
      <w:r>
        <w:t xml:space="preserve">Figure </w:t>
      </w:r>
      <w:r w:rsidR="00077C0B">
        <w:fldChar w:fldCharType="begin"/>
      </w:r>
      <w:r w:rsidR="00077C0B">
        <w:instrText xml:space="preserve"> STYLEREF 1 \s </w:instrText>
      </w:r>
      <w:r w:rsidR="00077C0B">
        <w:fldChar w:fldCharType="separate"/>
      </w:r>
      <w:r w:rsidR="0006023A">
        <w:rPr>
          <w:noProof/>
        </w:rPr>
        <w:t>5</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22</w:t>
      </w:r>
      <w:r w:rsidR="00077C0B">
        <w:rPr>
          <w:noProof/>
        </w:rPr>
        <w:fldChar w:fldCharType="end"/>
      </w:r>
      <w:r>
        <w:t xml:space="preserve">: </w:t>
      </w:r>
      <w:r w:rsidRPr="00800601">
        <w:t xml:space="preserve">Heat map showing the gap magnitudes resulting from a combination of </w:t>
      </w:r>
      <m:oMath>
        <m:r>
          <m:rPr>
            <m:sty m:val="bi"/>
          </m:rPr>
          <w:rPr>
            <w:rFonts w:ascii="Cambria Math" w:hAnsi="Cambria Math"/>
          </w:rPr>
          <m:t>ΔP</m:t>
        </m:r>
      </m:oMath>
      <w:r w:rsidRPr="00800601">
        <w:t xml:space="preserve"> and </w:t>
      </w:r>
      <m:oMath>
        <m:r>
          <m:rPr>
            <m:sty m:val="bi"/>
          </m:rPr>
          <w:rPr>
            <w:rFonts w:ascii="Cambria Math" w:hAnsi="Cambria Math"/>
          </w:rPr>
          <m:t>ΔT</m:t>
        </m:r>
      </m:oMath>
      <w:r w:rsidRPr="00800601">
        <w:t xml:space="preserve">.  A positive </w:t>
      </w:r>
      <m:oMath>
        <m:r>
          <m:rPr>
            <m:sty m:val="bi"/>
          </m:rPr>
          <w:rPr>
            <w:rFonts w:ascii="Cambria Math" w:hAnsi="Cambria Math"/>
          </w:rPr>
          <m:t>Δ</m:t>
        </m:r>
      </m:oMath>
      <w:r w:rsidRPr="00800601">
        <w:t xml:space="preserve"> indicates a reduction while a negative </w:t>
      </w:r>
      <m:oMath>
        <m:r>
          <m:rPr>
            <m:sty m:val="bi"/>
          </m:rPr>
          <w:rPr>
            <w:rFonts w:ascii="Cambria Math" w:hAnsi="Cambria Math"/>
          </w:rPr>
          <m:t>Δ</m:t>
        </m:r>
      </m:oMath>
      <w:r w:rsidRPr="00800601">
        <w:t xml:space="preserve"> is an increase.  Note in the legend that nanometer (nm) sized gaps are indicated (0.001 μm) along with micron (μm) sized gaps.</w:t>
      </w:r>
      <w:r>
        <w:t xml:space="preserve"> </w:t>
      </w:r>
      <w:r w:rsidR="00890D03" w:rsidRPr="00800601">
        <w:t>The results of this heat map are indicative of a</w:t>
      </w:r>
      <w:r w:rsidR="00890D03">
        <w:t xml:space="preserve"> 31.12 cm</w:t>
      </w:r>
      <w:r w:rsidR="00890D03" w:rsidRPr="00800601">
        <w:t xml:space="preserve"> </w:t>
      </w:r>
      <w:r w:rsidR="00890D03">
        <w:t>(</w:t>
      </w:r>
      <w:r w:rsidR="00890D03" w:rsidRPr="00800601">
        <w:t>12.25”</w:t>
      </w:r>
      <w:r w:rsidR="00890D03">
        <w:t>)</w:t>
      </w:r>
      <w:r w:rsidR="00890D03" w:rsidRPr="00800601">
        <w:t xml:space="preserve"> hole size with </w:t>
      </w:r>
      <w:r w:rsidR="00890D03">
        <w:t>24.45 cm (</w:t>
      </w:r>
      <w:r w:rsidR="00890D03" w:rsidRPr="00800601">
        <w:t>9.625”</w:t>
      </w:r>
      <w:r w:rsidR="00890D03">
        <w:t>)</w:t>
      </w:r>
      <w:r w:rsidR="00890D03" w:rsidRPr="00800601">
        <w:t xml:space="preserve"> P-110EC casing</w:t>
      </w:r>
      <w:r w:rsidR="00890D03">
        <w:t xml:space="preserve"> at a depth of 1,595 m (</w:t>
      </w:r>
      <w:r>
        <w:rPr>
          <w:szCs w:val="20"/>
        </w:rPr>
        <w:t>5,233 ft.</w:t>
      </w:r>
      <w:r w:rsidR="00890D03">
        <w:rPr>
          <w:szCs w:val="20"/>
        </w:rPr>
        <w:t>).</w:t>
      </w:r>
      <w:bookmarkEnd w:id="153"/>
    </w:p>
    <w:p w14:paraId="7BFD7BE5" w14:textId="77777777" w:rsidR="00190D60" w:rsidRDefault="00190D60" w:rsidP="00190D60"/>
    <w:p w14:paraId="4686F6BA" w14:textId="77777777" w:rsidR="00190D60" w:rsidRDefault="00190D60" w:rsidP="00BC23AD">
      <w:pPr>
        <w:pStyle w:val="NoSpacing"/>
      </w:pPr>
      <w:r>
        <w:rPr>
          <w:noProof/>
        </w:rPr>
        <w:lastRenderedPageBreak/>
        <w:drawing>
          <wp:inline distT="0" distB="0" distL="0" distR="0" wp14:anchorId="485FBD92" wp14:editId="1BF86C59">
            <wp:extent cx="5943600" cy="4769486"/>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Figure 9_1.5column.jpg"/>
                    <pic:cNvPicPr/>
                  </pic:nvPicPr>
                  <pic:blipFill>
                    <a:blip r:embed="rId81">
                      <a:extLst>
                        <a:ext uri="{28A0092B-C50C-407E-A947-70E740481C1C}">
                          <a14:useLocalDpi xmlns:a14="http://schemas.microsoft.com/office/drawing/2010/main" val="0"/>
                        </a:ext>
                      </a:extLst>
                    </a:blip>
                    <a:stretch>
                      <a:fillRect/>
                    </a:stretch>
                  </pic:blipFill>
                  <pic:spPr>
                    <a:xfrm>
                      <a:off x="0" y="0"/>
                      <a:ext cx="5943600" cy="4769486"/>
                    </a:xfrm>
                    <a:prstGeom prst="rect">
                      <a:avLst/>
                    </a:prstGeom>
                  </pic:spPr>
                </pic:pic>
              </a:graphicData>
            </a:graphic>
          </wp:inline>
        </w:drawing>
      </w:r>
    </w:p>
    <w:p w14:paraId="42B42532" w14:textId="47D7278C" w:rsidR="00190D60" w:rsidRDefault="00190D60" w:rsidP="00BC23AD">
      <w:pPr>
        <w:pStyle w:val="Caption"/>
      </w:pPr>
      <w:bookmarkStart w:id="154" w:name="_Toc67566251"/>
      <w:r>
        <w:t xml:space="preserve">Figure </w:t>
      </w:r>
      <w:r w:rsidR="00077C0B">
        <w:fldChar w:fldCharType="begin"/>
      </w:r>
      <w:r w:rsidR="00077C0B">
        <w:instrText xml:space="preserve"> STYLEREF 1 \s </w:instrText>
      </w:r>
      <w:r w:rsidR="00077C0B">
        <w:fldChar w:fldCharType="separate"/>
      </w:r>
      <w:r w:rsidR="0006023A">
        <w:rPr>
          <w:noProof/>
        </w:rPr>
        <w:t>5</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23</w:t>
      </w:r>
      <w:r w:rsidR="00077C0B">
        <w:rPr>
          <w:noProof/>
        </w:rPr>
        <w:fldChar w:fldCharType="end"/>
      </w:r>
      <w:r>
        <w:t xml:space="preserve">: </w:t>
      </w:r>
      <w:r w:rsidRPr="00800601">
        <w:t xml:space="preserve">Heat map showing the gap magnitudes resulting from a combination of </w:t>
      </w:r>
      <m:oMath>
        <m:r>
          <m:rPr>
            <m:sty m:val="bi"/>
          </m:rPr>
          <w:rPr>
            <w:rFonts w:ascii="Cambria Math" w:hAnsi="Cambria Math"/>
          </w:rPr>
          <m:t>ΔP</m:t>
        </m:r>
      </m:oMath>
      <w:r w:rsidRPr="00800601">
        <w:t xml:space="preserve"> and </w:t>
      </w:r>
      <m:oMath>
        <m:r>
          <m:rPr>
            <m:sty m:val="bi"/>
          </m:rPr>
          <w:rPr>
            <w:rFonts w:ascii="Cambria Math" w:hAnsi="Cambria Math"/>
          </w:rPr>
          <m:t>ΔT</m:t>
        </m:r>
      </m:oMath>
      <w:r w:rsidRPr="00800601">
        <w:t xml:space="preserve">.  A positive </w:t>
      </w:r>
      <m:oMath>
        <m:r>
          <m:rPr>
            <m:sty m:val="bi"/>
          </m:rPr>
          <w:rPr>
            <w:rFonts w:ascii="Cambria Math" w:hAnsi="Cambria Math"/>
          </w:rPr>
          <m:t>Δ</m:t>
        </m:r>
      </m:oMath>
      <w:r w:rsidRPr="00800601">
        <w:t xml:space="preserve"> indicates a reduction while a negative </w:t>
      </w:r>
      <m:oMath>
        <m:r>
          <m:rPr>
            <m:sty m:val="bi"/>
          </m:rPr>
          <w:rPr>
            <w:rFonts w:ascii="Cambria Math" w:hAnsi="Cambria Math"/>
          </w:rPr>
          <m:t>Δ</m:t>
        </m:r>
      </m:oMath>
      <w:r w:rsidRPr="00800601">
        <w:t xml:space="preserve"> is an increase.  Note in the legend that nanometer (nm) sized gaps are indicated (0.001 μm) along with micron (μm) sized gaps.</w:t>
      </w:r>
      <w:r>
        <w:t xml:space="preserve"> </w:t>
      </w:r>
      <w:r w:rsidR="00890D03" w:rsidRPr="00800601">
        <w:t>The results of this heat map are indicative of a</w:t>
      </w:r>
      <w:r w:rsidR="00890D03">
        <w:t xml:space="preserve"> 31.12 cm</w:t>
      </w:r>
      <w:r w:rsidR="00890D03" w:rsidRPr="00800601">
        <w:t xml:space="preserve"> </w:t>
      </w:r>
      <w:r w:rsidR="00890D03">
        <w:t>(</w:t>
      </w:r>
      <w:r w:rsidR="00890D03" w:rsidRPr="00800601">
        <w:t>12.25”</w:t>
      </w:r>
      <w:r w:rsidR="00890D03">
        <w:t>)</w:t>
      </w:r>
      <w:r w:rsidR="00890D03" w:rsidRPr="00800601">
        <w:t xml:space="preserve"> hole size with </w:t>
      </w:r>
      <w:r w:rsidR="00890D03">
        <w:t>24.45 cm (</w:t>
      </w:r>
      <w:r w:rsidR="00890D03" w:rsidRPr="00800601">
        <w:t>9.625”</w:t>
      </w:r>
      <w:r w:rsidR="00890D03">
        <w:t>)</w:t>
      </w:r>
      <w:r w:rsidR="00890D03" w:rsidRPr="00800601">
        <w:t xml:space="preserve"> P-110EC casing</w:t>
      </w:r>
      <w:r w:rsidR="00890D03">
        <w:t xml:space="preserve"> at a depth of 1,270 m (</w:t>
      </w:r>
      <w:r>
        <w:rPr>
          <w:szCs w:val="20"/>
        </w:rPr>
        <w:t>4,167 ft.</w:t>
      </w:r>
      <w:r w:rsidR="00890D03">
        <w:rPr>
          <w:szCs w:val="20"/>
        </w:rPr>
        <w:t>).</w:t>
      </w:r>
      <w:bookmarkEnd w:id="154"/>
    </w:p>
    <w:p w14:paraId="1403D106" w14:textId="77777777" w:rsidR="00190D60" w:rsidRDefault="00190D60" w:rsidP="00190D60"/>
    <w:p w14:paraId="71768F32" w14:textId="77777777" w:rsidR="00190D60" w:rsidRDefault="00190D60" w:rsidP="00BC23AD">
      <w:pPr>
        <w:pStyle w:val="NoSpacing"/>
      </w:pPr>
      <w:r>
        <w:rPr>
          <w:noProof/>
        </w:rPr>
        <w:lastRenderedPageBreak/>
        <w:drawing>
          <wp:inline distT="0" distB="0" distL="0" distR="0" wp14:anchorId="246151CC" wp14:editId="448BD32E">
            <wp:extent cx="5943600" cy="4769487"/>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Figure 10_1.5column.jpg"/>
                    <pic:cNvPicPr/>
                  </pic:nvPicPr>
                  <pic:blipFill>
                    <a:blip r:embed="rId82">
                      <a:extLst>
                        <a:ext uri="{28A0092B-C50C-407E-A947-70E740481C1C}">
                          <a14:useLocalDpi xmlns:a14="http://schemas.microsoft.com/office/drawing/2010/main" val="0"/>
                        </a:ext>
                      </a:extLst>
                    </a:blip>
                    <a:stretch>
                      <a:fillRect/>
                    </a:stretch>
                  </pic:blipFill>
                  <pic:spPr>
                    <a:xfrm>
                      <a:off x="0" y="0"/>
                      <a:ext cx="5943600" cy="4769487"/>
                    </a:xfrm>
                    <a:prstGeom prst="rect">
                      <a:avLst/>
                    </a:prstGeom>
                  </pic:spPr>
                </pic:pic>
              </a:graphicData>
            </a:graphic>
          </wp:inline>
        </w:drawing>
      </w:r>
    </w:p>
    <w:p w14:paraId="6C605DF5" w14:textId="39853B05" w:rsidR="00190D60" w:rsidRDefault="00190D60" w:rsidP="00BC23AD">
      <w:pPr>
        <w:pStyle w:val="Caption"/>
        <w:rPr>
          <w:szCs w:val="20"/>
        </w:rPr>
      </w:pPr>
      <w:bookmarkStart w:id="155" w:name="_Toc67566252"/>
      <w:r>
        <w:t xml:space="preserve">Figure </w:t>
      </w:r>
      <w:r w:rsidR="00077C0B">
        <w:fldChar w:fldCharType="begin"/>
      </w:r>
      <w:r w:rsidR="00077C0B">
        <w:instrText xml:space="preserve"> STYLEREF 1 \s </w:instrText>
      </w:r>
      <w:r w:rsidR="00077C0B">
        <w:fldChar w:fldCharType="separate"/>
      </w:r>
      <w:r w:rsidR="0006023A">
        <w:rPr>
          <w:noProof/>
        </w:rPr>
        <w:t>5</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24</w:t>
      </w:r>
      <w:r w:rsidR="00077C0B">
        <w:rPr>
          <w:noProof/>
        </w:rPr>
        <w:fldChar w:fldCharType="end"/>
      </w:r>
      <w:r>
        <w:t xml:space="preserve">: </w:t>
      </w:r>
      <w:r w:rsidRPr="00800601">
        <w:t xml:space="preserve">Heat map showing the gap magnitudes resulting from a combination of </w:t>
      </w:r>
      <m:oMath>
        <m:r>
          <m:rPr>
            <m:sty m:val="bi"/>
          </m:rPr>
          <w:rPr>
            <w:rFonts w:ascii="Cambria Math" w:hAnsi="Cambria Math"/>
          </w:rPr>
          <m:t>ΔP</m:t>
        </m:r>
      </m:oMath>
      <w:r w:rsidRPr="00800601">
        <w:t xml:space="preserve"> and </w:t>
      </w:r>
      <m:oMath>
        <m:r>
          <m:rPr>
            <m:sty m:val="bi"/>
          </m:rPr>
          <w:rPr>
            <w:rFonts w:ascii="Cambria Math" w:hAnsi="Cambria Math"/>
          </w:rPr>
          <m:t>ΔT</m:t>
        </m:r>
      </m:oMath>
      <w:r w:rsidRPr="00800601">
        <w:t xml:space="preserve">.  A positive </w:t>
      </w:r>
      <m:oMath>
        <m:r>
          <m:rPr>
            <m:sty m:val="bi"/>
          </m:rPr>
          <w:rPr>
            <w:rFonts w:ascii="Cambria Math" w:hAnsi="Cambria Math"/>
          </w:rPr>
          <m:t>Δ</m:t>
        </m:r>
      </m:oMath>
      <w:r w:rsidRPr="00800601">
        <w:t xml:space="preserve"> indicates a reduction while a negative </w:t>
      </w:r>
      <m:oMath>
        <m:r>
          <m:rPr>
            <m:sty m:val="bi"/>
          </m:rPr>
          <w:rPr>
            <w:rFonts w:ascii="Cambria Math" w:hAnsi="Cambria Math"/>
          </w:rPr>
          <m:t>Δ</m:t>
        </m:r>
      </m:oMath>
      <w:r w:rsidRPr="00800601">
        <w:t xml:space="preserve"> is an increase.  Note in the legend that nanometer (nm) sized gaps are indicated (0.001 μm) along with micron (μm) sized gaps.</w:t>
      </w:r>
      <w:r>
        <w:t xml:space="preserve"> </w:t>
      </w:r>
      <w:r w:rsidR="00890D03" w:rsidRPr="00800601">
        <w:t>The results of this heat map are indicative of a</w:t>
      </w:r>
      <w:r w:rsidR="00890D03">
        <w:t xml:space="preserve"> 31.12 cm</w:t>
      </w:r>
      <w:r w:rsidR="00890D03" w:rsidRPr="00800601">
        <w:t xml:space="preserve"> </w:t>
      </w:r>
      <w:r w:rsidR="00890D03">
        <w:t>(</w:t>
      </w:r>
      <w:r w:rsidR="00890D03" w:rsidRPr="00800601">
        <w:t>12.25”</w:t>
      </w:r>
      <w:r w:rsidR="00890D03">
        <w:t>)</w:t>
      </w:r>
      <w:r w:rsidR="00890D03" w:rsidRPr="00800601">
        <w:t xml:space="preserve"> hole size with </w:t>
      </w:r>
      <w:r w:rsidR="00890D03">
        <w:t>24.45 cm (</w:t>
      </w:r>
      <w:r w:rsidR="00890D03" w:rsidRPr="00800601">
        <w:t>9.625”</w:t>
      </w:r>
      <w:r w:rsidR="00890D03">
        <w:t>)</w:t>
      </w:r>
      <w:r w:rsidR="00890D03" w:rsidRPr="00800601">
        <w:t xml:space="preserve"> P-110EC casing</w:t>
      </w:r>
      <w:r w:rsidR="00890D03">
        <w:t xml:space="preserve"> at a depth of 945 m (</w:t>
      </w:r>
      <w:r>
        <w:rPr>
          <w:szCs w:val="20"/>
        </w:rPr>
        <w:t>3,100 ft.</w:t>
      </w:r>
      <w:r w:rsidR="00890D03">
        <w:rPr>
          <w:szCs w:val="20"/>
        </w:rPr>
        <w:t>).</w:t>
      </w:r>
      <w:bookmarkEnd w:id="155"/>
    </w:p>
    <w:p w14:paraId="2E08B0C9" w14:textId="36A669CC" w:rsidR="00190D60" w:rsidRDefault="00190D60" w:rsidP="00190D60">
      <w:pPr>
        <w:ind w:firstLine="720"/>
      </w:pPr>
      <w:r>
        <w:t xml:space="preserve">The maximum gap magnitude caused by only a reduction of pressure or only a reduction of temperature is </w:t>
      </w:r>
      <w:r w:rsidRPr="00093886">
        <w:t>73.8 μm and 76.3 μm</w:t>
      </w:r>
      <w:r>
        <w:t xml:space="preserve">, </w:t>
      </w:r>
      <w:r w:rsidRPr="00587640">
        <w:t xml:space="preserve">respectively as shown previously. However, Figure </w:t>
      </w:r>
      <w:r w:rsidR="00890D03" w:rsidRPr="00587640">
        <w:t>5.</w:t>
      </w:r>
      <w:r w:rsidR="00757125" w:rsidRPr="00587640">
        <w:t>21</w:t>
      </w:r>
      <w:r w:rsidRPr="00587640">
        <w:t xml:space="preserve"> shows that a reduction of pressure can be offset by an increase in temperature and vice versa. A pressure reduction of 60% (</w:t>
      </w:r>
      <m:oMath>
        <m:r>
          <w:rPr>
            <w:rFonts w:ascii="Cambria Math" w:hAnsi="Cambria Math"/>
          </w:rPr>
          <m:t>ΔP</m:t>
        </m:r>
      </m:oMath>
      <w:r w:rsidRPr="00587640">
        <w:t xml:space="preserve"> = 60%) and an increase in temperature of 60% (</w:t>
      </w:r>
      <m:oMath>
        <m:r>
          <w:rPr>
            <w:rFonts w:ascii="Cambria Math" w:hAnsi="Cambria Math"/>
          </w:rPr>
          <m:t>ΔT</m:t>
        </m:r>
      </m:oMath>
      <w:r w:rsidRPr="00587640">
        <w:t xml:space="preserve"> = -60%) results in zero gap width whereas a reduction of only pressure or temperature of 60% results in gaps as shown in Figure </w:t>
      </w:r>
      <w:r w:rsidR="00890D03" w:rsidRPr="00587640">
        <w:t>5.</w:t>
      </w:r>
      <w:r w:rsidR="004525C8" w:rsidRPr="00587640">
        <w:t>1</w:t>
      </w:r>
      <w:r w:rsidR="00757125" w:rsidRPr="00587640">
        <w:t>7</w:t>
      </w:r>
      <w:r w:rsidRPr="00587640">
        <w:t xml:space="preserve">. It should be noted that the pressure and temperature curves are not symmetric in Figure </w:t>
      </w:r>
      <w:r w:rsidR="00890D03" w:rsidRPr="00587640">
        <w:t>5.</w:t>
      </w:r>
      <w:r w:rsidR="00757125" w:rsidRPr="00587640">
        <w:t>21</w:t>
      </w:r>
      <w:r w:rsidRPr="00587640">
        <w:t xml:space="preserve"> as shown by the micron sized</w:t>
      </w:r>
      <w:r>
        <w:t xml:space="preserve"> gaps occurring due to pressure reduction of 60% (</w:t>
      </w:r>
      <m:oMath>
        <m:r>
          <w:rPr>
            <w:rFonts w:ascii="Cambria Math" w:hAnsi="Cambria Math"/>
          </w:rPr>
          <m:t>ΔP</m:t>
        </m:r>
      </m:oMath>
      <w:r>
        <w:t xml:space="preserve"> = 60%) and a temperature increase of 25% (</w:t>
      </w:r>
      <m:oMath>
        <m:r>
          <w:rPr>
            <w:rFonts w:ascii="Cambria Math" w:hAnsi="Cambria Math"/>
          </w:rPr>
          <m:t>ΔT</m:t>
        </m:r>
      </m:oMath>
      <w:r>
        <w:t xml:space="preserve"> =-25%) while a temperature reduction </w:t>
      </w:r>
      <w:r>
        <w:lastRenderedPageBreak/>
        <w:t>of 60% (</w:t>
      </w:r>
      <m:oMath>
        <m:r>
          <w:rPr>
            <w:rFonts w:ascii="Cambria Math" w:hAnsi="Cambria Math"/>
          </w:rPr>
          <m:t>ΔT</m:t>
        </m:r>
      </m:oMath>
      <w:r>
        <w:t xml:space="preserve"> = 60%) and a pressure increase of 15% (</w:t>
      </w:r>
      <m:oMath>
        <m:r>
          <w:rPr>
            <w:rFonts w:ascii="Cambria Math" w:hAnsi="Cambria Math"/>
          </w:rPr>
          <m:t>ΔP</m:t>
        </m:r>
      </m:oMath>
      <w:r>
        <w:t xml:space="preserve"> = 15%) develops micron sized gaps. This phenomenon is explained by the individual pressure and temperature </w:t>
      </w:r>
      <w:r w:rsidRPr="00587640">
        <w:t xml:space="preserve">curves in Figure </w:t>
      </w:r>
      <w:r w:rsidR="00890D03" w:rsidRPr="00587640">
        <w:t>5.</w:t>
      </w:r>
      <w:r w:rsidR="004525C8" w:rsidRPr="00587640">
        <w:t>1</w:t>
      </w:r>
      <w:r w:rsidR="00757125" w:rsidRPr="00587640">
        <w:t>7</w:t>
      </w:r>
      <w:r w:rsidRPr="00587640">
        <w:t xml:space="preserve">. The individual curves do not overlap exactly and therefore this asymmetry is shown in Figure </w:t>
      </w:r>
      <w:r w:rsidR="00890D03" w:rsidRPr="00587640">
        <w:t>5.</w:t>
      </w:r>
      <w:r w:rsidR="00757125" w:rsidRPr="00587640">
        <w:t>21</w:t>
      </w:r>
      <w:r w:rsidRPr="00587640">
        <w:t xml:space="preserve">. It is important to note that the apparent symmetry shown for other combinations of </w:t>
      </w:r>
      <m:oMath>
        <m:r>
          <w:rPr>
            <w:rFonts w:ascii="Cambria Math" w:hAnsi="Cambria Math"/>
          </w:rPr>
          <m:t>ΔP</m:t>
        </m:r>
      </m:oMath>
      <w:r w:rsidRPr="006D0CE7">
        <w:t xml:space="preserve"> and </w:t>
      </w:r>
      <m:oMath>
        <m:r>
          <w:rPr>
            <w:rFonts w:ascii="Cambria Math" w:hAnsi="Cambria Math"/>
          </w:rPr>
          <m:t>ΔT</m:t>
        </m:r>
      </m:oMath>
      <w:r w:rsidRPr="006D0CE7">
        <w:t xml:space="preserve"> is due to the legend scale resolution</w:t>
      </w:r>
      <w:r>
        <w:t>.</w:t>
      </w:r>
    </w:p>
    <w:p w14:paraId="21FA9D82" w14:textId="0DDBC3E4" w:rsidR="000959DD" w:rsidRPr="006348F1" w:rsidRDefault="000959DD" w:rsidP="00035812">
      <w:pPr>
        <w:pStyle w:val="Heading4"/>
      </w:pPr>
      <w:r w:rsidRPr="006348F1">
        <w:t>Leakage Pathway to Top of Cement Depth</w:t>
      </w:r>
    </w:p>
    <w:p w14:paraId="72496C7D" w14:textId="0B08F6AC" w:rsidR="009D251F" w:rsidRDefault="004525C8" w:rsidP="009D251F">
      <w:pPr>
        <w:ind w:firstLine="720"/>
      </w:pPr>
      <w:r>
        <w:t xml:space="preserve">The microannuli gaps at various depths with concurrent changes in pressure and temperature were </w:t>
      </w:r>
      <w:r w:rsidRPr="00587640">
        <w:t xml:space="preserve">discussed in Section 5.5.3, but how does the microannuli propagate if it occurs at the simulation depth? </w:t>
      </w:r>
      <w:r w:rsidR="009D251F" w:rsidRPr="00587640">
        <w:t>Figure 5.</w:t>
      </w:r>
      <w:r w:rsidRPr="00587640">
        <w:t>2</w:t>
      </w:r>
      <w:r w:rsidR="00757125" w:rsidRPr="00587640">
        <w:t>5</w:t>
      </w:r>
      <w:r w:rsidR="009D251F" w:rsidRPr="00587640">
        <w:t xml:space="preserve"> shows the results of the microannuli propagating up the wellbore to the top of cement</w:t>
      </w:r>
      <w:r w:rsidR="009D251F">
        <w:t xml:space="preserve"> (TOC) depth</w:t>
      </w:r>
      <w:r>
        <w:t xml:space="preserve"> with the blue line representing</w:t>
      </w:r>
      <w:r w:rsidR="009D251F">
        <w:t xml:space="preserve"> </w:t>
      </w:r>
      <w:r>
        <w:t xml:space="preserve">water induces microannuli propagation and the orange line representing gas fracture propagation at the cement/casing interface. </w:t>
      </w:r>
    </w:p>
    <w:p w14:paraId="05D3E350" w14:textId="77777777" w:rsidR="009D251F" w:rsidRDefault="009D251F" w:rsidP="00BC23AD">
      <w:pPr>
        <w:pStyle w:val="NoSpacing"/>
      </w:pPr>
      <w:r>
        <w:rPr>
          <w:noProof/>
        </w:rPr>
        <w:lastRenderedPageBreak/>
        <w:drawing>
          <wp:inline distT="0" distB="0" distL="0" distR="0" wp14:anchorId="40AA6E96" wp14:editId="43F935F2">
            <wp:extent cx="4570926" cy="4830792"/>
            <wp:effectExtent l="0" t="0" r="1270" b="825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3">
                      <a:extLst>
                        <a:ext uri="{28A0092B-C50C-407E-A947-70E740481C1C}">
                          <a14:useLocalDpi xmlns:a14="http://schemas.microsoft.com/office/drawing/2010/main" val="0"/>
                        </a:ext>
                      </a:extLst>
                    </a:blip>
                    <a:srcRect t="1218" b="1275"/>
                    <a:stretch/>
                  </pic:blipFill>
                  <pic:spPr bwMode="auto">
                    <a:xfrm>
                      <a:off x="0" y="0"/>
                      <a:ext cx="4572000" cy="4831927"/>
                    </a:xfrm>
                    <a:prstGeom prst="rect">
                      <a:avLst/>
                    </a:prstGeom>
                    <a:noFill/>
                    <a:ln>
                      <a:noFill/>
                    </a:ln>
                    <a:extLst>
                      <a:ext uri="{53640926-AAD7-44D8-BBD7-CCE9431645EC}">
                        <a14:shadowObscured xmlns:a14="http://schemas.microsoft.com/office/drawing/2010/main"/>
                      </a:ext>
                    </a:extLst>
                  </pic:spPr>
                </pic:pic>
              </a:graphicData>
            </a:graphic>
          </wp:inline>
        </w:drawing>
      </w:r>
    </w:p>
    <w:p w14:paraId="2CC416C1" w14:textId="1EB66EEA" w:rsidR="009D251F" w:rsidRDefault="009D251F" w:rsidP="00BC23AD">
      <w:pPr>
        <w:pStyle w:val="Caption"/>
      </w:pPr>
      <w:bookmarkStart w:id="156" w:name="_Toc67566253"/>
      <w:r>
        <w:t xml:space="preserve">Figure </w:t>
      </w:r>
      <w:r w:rsidR="00077C0B">
        <w:fldChar w:fldCharType="begin"/>
      </w:r>
      <w:r w:rsidR="00077C0B">
        <w:instrText xml:space="preserve"> STYLEREF 1 \s </w:instrText>
      </w:r>
      <w:r w:rsidR="00077C0B">
        <w:fldChar w:fldCharType="separate"/>
      </w:r>
      <w:r w:rsidR="0006023A">
        <w:rPr>
          <w:noProof/>
        </w:rPr>
        <w:t>5</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25</w:t>
      </w:r>
      <w:r w:rsidR="00077C0B">
        <w:rPr>
          <w:noProof/>
        </w:rPr>
        <w:fldChar w:fldCharType="end"/>
      </w:r>
      <w:r>
        <w:t xml:space="preserve">: Cement/casing interface microannuli size from the </w:t>
      </w:r>
      <w:r w:rsidR="00D657EE">
        <w:t xml:space="preserve">simulation depth </w:t>
      </w:r>
      <w:r>
        <w:t>to the top of cement (TOC) depth for pore pressure induced (water) microannuli (fracture) and gas induced microannuli (fracture).</w:t>
      </w:r>
      <w:r w:rsidR="00955BB0">
        <w:t xml:space="preserve"> The water induced microannuli propagates up the wellbore for 365 m before it does not form. The gas induced microannuli propagates up the entire cement sheath to the TOC depth.</w:t>
      </w:r>
      <w:bookmarkEnd w:id="156"/>
    </w:p>
    <w:p w14:paraId="79A9C7C5" w14:textId="2610E990" w:rsidR="009D251F" w:rsidRDefault="009D251F" w:rsidP="009D251F">
      <w:pPr>
        <w:ind w:firstLine="720"/>
      </w:pPr>
      <w:r>
        <w:t xml:space="preserve">The </w:t>
      </w:r>
      <w:r w:rsidR="004525C8">
        <w:t xml:space="preserve">water </w:t>
      </w:r>
      <w:r>
        <w:t xml:space="preserve">induced microannuli propagate up the wellbore from the </w:t>
      </w:r>
      <w:r w:rsidR="00D657EE">
        <w:t xml:space="preserve">simulation depth </w:t>
      </w:r>
      <w:r>
        <w:t xml:space="preserve">of 1,920 m (6,300 ft.) with a microannuli size of 23.2 μm to no microannuli forming at a depth of 1,555 m (5,100 ft.) Assuming only </w:t>
      </w:r>
      <w:r w:rsidR="004525C8">
        <w:t xml:space="preserve">water </w:t>
      </w:r>
      <w:r>
        <w:t xml:space="preserve">in the microannuli does not provide a complete leakage pathway to the TOC. The gas migration induced microannuli propagate up the wellbore from the </w:t>
      </w:r>
      <w:r w:rsidR="00D657EE">
        <w:t xml:space="preserve">simulation depth </w:t>
      </w:r>
      <w:r>
        <w:t xml:space="preserve">with an initial magnitude of 23.2 μm to the TOC depth with a magnitude of 641.5 μm. Gas does not lose hydrostatic pressure as quick as </w:t>
      </w:r>
      <w:r w:rsidR="004525C8">
        <w:t xml:space="preserve">water </w:t>
      </w:r>
      <w:r>
        <w:t xml:space="preserve">due to the difference in density. Therefore, if the wellbore provides an initial path for gas to travel (as happens with a </w:t>
      </w:r>
      <m:oMath>
        <m:r>
          <w:rPr>
            <w:rFonts w:ascii="Cambria Math" w:hAnsi="Cambria Math"/>
          </w:rPr>
          <m:t>ΔP</m:t>
        </m:r>
      </m:oMath>
      <w:r>
        <w:t xml:space="preserve"> of </w:t>
      </w:r>
      <w:r w:rsidR="001612FB">
        <w:t>4</w:t>
      </w:r>
      <w:r>
        <w:t xml:space="preserve">0%), </w:t>
      </w:r>
      <w:r>
        <w:lastRenderedPageBreak/>
        <w:t>the gas has a larger magnitude than the pore pressure at the corresponding depths. The increased pressure is able to propagate the microannuli and increases as the depth gets shallower.</w:t>
      </w:r>
    </w:p>
    <w:p w14:paraId="0161D2B9" w14:textId="5DC367F4" w:rsidR="009D251F" w:rsidRDefault="009D251F" w:rsidP="009D251F">
      <w:pPr>
        <w:ind w:firstLine="720"/>
      </w:pPr>
      <w:r>
        <w:t xml:space="preserve">The resulting microannuli from the FEA model shows significant difference than the methods shown in the literature. </w:t>
      </w:r>
      <w:r w:rsidRPr="007E7362">
        <w:rPr>
          <w:lang w:val="nb-NO"/>
        </w:rPr>
        <w:t xml:space="preserve">Ford et al. (2017), Moeinikia et al. (2018), and Al Ramadan et al. </w:t>
      </w:r>
      <w:r>
        <w:t>(2019) all assume a constant microannuli while Lavrov and Torsaeter (2018) assume a</w:t>
      </w:r>
      <w:r w:rsidR="004525C8">
        <w:t>n average</w:t>
      </w:r>
      <w:r>
        <w:t xml:space="preserve"> microannuli</w:t>
      </w:r>
      <w:r w:rsidR="004525C8">
        <w:t xml:space="preserve"> with tortuosity</w:t>
      </w:r>
      <w:r>
        <w:t>. To visually compare the three methods (FEA, constant, and tortuosity), the microannuli</w:t>
      </w:r>
      <w:r w:rsidR="00E91677">
        <w:t xml:space="preserve"> predicted</w:t>
      </w:r>
      <w:r>
        <w:t xml:space="preserve"> from the FEA model </w:t>
      </w:r>
      <w:r w:rsidR="00E91677">
        <w:t xml:space="preserve">at the simulation depth </w:t>
      </w:r>
      <w:r>
        <w:t xml:space="preserve">is </w:t>
      </w:r>
      <w:r w:rsidR="00E91677">
        <w:t>used for the constant microannuli model and the tortuosity model</w:t>
      </w:r>
      <w:r>
        <w:t xml:space="preserve">, which is </w:t>
      </w:r>
      <w:r w:rsidR="00E91677">
        <w:t>23.2</w:t>
      </w:r>
      <w:r>
        <w:t xml:space="preserve"> μm. The constant microannuli </w:t>
      </w:r>
      <w:r w:rsidRPr="00587640">
        <w:t xml:space="preserve">will </w:t>
      </w:r>
      <w:r w:rsidR="00E91677">
        <w:t>stay constant from the simulation depth to the TOC depth</w:t>
      </w:r>
      <w:r w:rsidRPr="00587640">
        <w:t xml:space="preserve">. For the tortuosity </w:t>
      </w:r>
      <w:r w:rsidR="004525C8" w:rsidRPr="00587640">
        <w:t>method</w:t>
      </w:r>
      <w:r w:rsidRPr="00587640">
        <w:t xml:space="preserve">, the </w:t>
      </w:r>
      <w:r w:rsidR="00E91677">
        <w:t xml:space="preserve">FEA predicted </w:t>
      </w:r>
      <w:r w:rsidRPr="00587640">
        <w:t>microannuli</w:t>
      </w:r>
      <w:r w:rsidR="00E91677">
        <w:t xml:space="preserve"> at the simulation depth</w:t>
      </w:r>
      <w:r w:rsidRPr="00587640">
        <w:t xml:space="preserve"> will be used with a 20% standard deviation, which is </w:t>
      </w:r>
      <w:r w:rsidR="00E91677">
        <w:t>4.64</w:t>
      </w:r>
      <w:r w:rsidRPr="00587640">
        <w:t xml:space="preserve"> μm. The results for the</w:t>
      </w:r>
      <w:r w:rsidR="00E91677">
        <w:t xml:space="preserve"> microannuli magnitude of the</w:t>
      </w:r>
      <w:r w:rsidRPr="00587640">
        <w:t xml:space="preserve"> three methods is shown in Figure 5.</w:t>
      </w:r>
      <w:r w:rsidR="004525C8" w:rsidRPr="00587640">
        <w:t>2</w:t>
      </w:r>
      <w:r w:rsidR="00757125" w:rsidRPr="00587640">
        <w:t>6</w:t>
      </w:r>
      <w:r w:rsidRPr="00587640">
        <w:t xml:space="preserve">. </w:t>
      </w:r>
      <w:r w:rsidR="00E370A0">
        <w:t>To show the</w:t>
      </w:r>
      <w:r w:rsidR="00E91677">
        <w:t xml:space="preserve"> effect of the fracture volume between the methods, </w:t>
      </w:r>
      <w:r w:rsidR="00E370A0">
        <w:t>the next section incorporates the developed flow equations with the three methods</w:t>
      </w:r>
      <w:r w:rsidR="00E91677">
        <w:t xml:space="preserve"> and compares the corresponding leakage flow rates</w:t>
      </w:r>
      <w:r w:rsidR="00E370A0">
        <w:t>.</w:t>
      </w:r>
    </w:p>
    <w:p w14:paraId="20DDA3F4" w14:textId="4214DF78" w:rsidR="009D251F" w:rsidRDefault="009D251F" w:rsidP="00BC23AD">
      <w:pPr>
        <w:pStyle w:val="NoSpacing"/>
      </w:pPr>
    </w:p>
    <w:p w14:paraId="4960B599" w14:textId="3A4C4B63" w:rsidR="00E91677" w:rsidRDefault="00E91677" w:rsidP="00BC23AD">
      <w:pPr>
        <w:pStyle w:val="NoSpacing"/>
      </w:pPr>
      <w:r>
        <w:rPr>
          <w:noProof/>
        </w:rPr>
        <w:drawing>
          <wp:inline distT="0" distB="0" distL="0" distR="0" wp14:anchorId="1D24E2B7" wp14:editId="57BB9064">
            <wp:extent cx="4572000" cy="4964395"/>
            <wp:effectExtent l="0" t="0" r="0" b="825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572000" cy="4964395"/>
                    </a:xfrm>
                    <a:prstGeom prst="rect">
                      <a:avLst/>
                    </a:prstGeom>
                    <a:noFill/>
                  </pic:spPr>
                </pic:pic>
              </a:graphicData>
            </a:graphic>
          </wp:inline>
        </w:drawing>
      </w:r>
    </w:p>
    <w:p w14:paraId="04853722" w14:textId="71932290" w:rsidR="000959DD" w:rsidRDefault="009D251F" w:rsidP="008A1C44">
      <w:pPr>
        <w:pStyle w:val="Caption"/>
      </w:pPr>
      <w:bookmarkStart w:id="157" w:name="_Toc67566254"/>
      <w:r>
        <w:t xml:space="preserve">Figure </w:t>
      </w:r>
      <w:r w:rsidR="00077C0B">
        <w:fldChar w:fldCharType="begin"/>
      </w:r>
      <w:r w:rsidR="00077C0B">
        <w:instrText xml:space="preserve"> STYLEREF 1 \s </w:instrText>
      </w:r>
      <w:r w:rsidR="00077C0B">
        <w:fldChar w:fldCharType="separate"/>
      </w:r>
      <w:r w:rsidR="0006023A">
        <w:rPr>
          <w:noProof/>
        </w:rPr>
        <w:t>5</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26</w:t>
      </w:r>
      <w:r w:rsidR="00077C0B">
        <w:rPr>
          <w:noProof/>
        </w:rPr>
        <w:fldChar w:fldCharType="end"/>
      </w:r>
      <w:r>
        <w:t xml:space="preserve">: Microannuli width (w) with respect to depth for the FEA model (orange long dash), a constant microannuli (red solid line), and a microannuli with tortuosity (gray short dash). </w:t>
      </w:r>
      <w:r w:rsidR="00955BB0">
        <w:t xml:space="preserve">The FEA model microannuli starts off at 23.2 μm and ends at 641.5 μm. The constant microannuli method stays at </w:t>
      </w:r>
      <w:r w:rsidR="00E91677">
        <w:t>23.2</w:t>
      </w:r>
      <w:r w:rsidR="00955BB0">
        <w:t xml:space="preserve"> μm from the </w:t>
      </w:r>
      <w:r w:rsidR="00D657EE">
        <w:t xml:space="preserve">simulation depth </w:t>
      </w:r>
      <w:r w:rsidR="00955BB0">
        <w:t xml:space="preserve">to TOC. The tortuosity method has an average microannuli of </w:t>
      </w:r>
      <w:r w:rsidR="00E91677">
        <w:t>23.2</w:t>
      </w:r>
      <w:r w:rsidR="00955BB0">
        <w:t xml:space="preserve"> μm with a Gaussian distribution of </w:t>
      </w:r>
      <w:r w:rsidR="00E91677">
        <w:t>4.64</w:t>
      </w:r>
      <w:r w:rsidR="00955BB0">
        <w:t xml:space="preserve"> μm standard deviation.</w:t>
      </w:r>
      <w:bookmarkEnd w:id="157"/>
      <w:r w:rsidR="00955BB0">
        <w:t xml:space="preserve"> </w:t>
      </w:r>
    </w:p>
    <w:p w14:paraId="2615C9C1" w14:textId="6769C9DC" w:rsidR="000959DD" w:rsidRPr="006348F1" w:rsidRDefault="000959DD" w:rsidP="00035812">
      <w:pPr>
        <w:pStyle w:val="Heading4"/>
      </w:pPr>
      <w:r w:rsidRPr="006348F1">
        <w:t>Leakage</w:t>
      </w:r>
      <w:r w:rsidR="004525C8">
        <w:t xml:space="preserve"> Rate</w:t>
      </w:r>
      <w:r w:rsidRPr="006348F1">
        <w:t xml:space="preserve"> Assessment</w:t>
      </w:r>
    </w:p>
    <w:p w14:paraId="0C2B4D6B" w14:textId="546BCAE4" w:rsidR="00B80F9B" w:rsidRDefault="00B80F9B" w:rsidP="00FC216B">
      <w:pPr>
        <w:ind w:firstLine="720"/>
      </w:pPr>
      <w:r>
        <w:t xml:space="preserve">The leakage rate for the three </w:t>
      </w:r>
      <w:r w:rsidR="004525C8">
        <w:t xml:space="preserve">leakage path methods </w:t>
      </w:r>
      <w:r>
        <w:t>(FEA model, constant gap, and tortuosity gap)</w:t>
      </w:r>
      <w:r w:rsidR="00CB0C46">
        <w:t xml:space="preserve"> are analyzed</w:t>
      </w:r>
      <w:r>
        <w:t xml:space="preserve"> for an ideal gas (m</w:t>
      </w:r>
      <w:r w:rsidR="00CB0C46">
        <w:t>ethane without compressibility)</w:t>
      </w:r>
      <w:r>
        <w:t xml:space="preserve"> and a real gas (methane including compressibility)</w:t>
      </w:r>
      <w:r w:rsidR="00CB0C46">
        <w:t>.</w:t>
      </w:r>
      <w:r>
        <w:t xml:space="preserve"> </w:t>
      </w:r>
    </w:p>
    <w:p w14:paraId="465374FA" w14:textId="77777777" w:rsidR="00F46C6B" w:rsidRDefault="00F46C6B" w:rsidP="00FC216B">
      <w:pPr>
        <w:ind w:firstLine="720"/>
      </w:pPr>
    </w:p>
    <w:p w14:paraId="7445C8E6" w14:textId="7E899F0E" w:rsidR="00B80F9B" w:rsidRDefault="00B80F9B" w:rsidP="00BC23AD">
      <w:pPr>
        <w:pStyle w:val="Caption"/>
      </w:pPr>
      <w:bookmarkStart w:id="158" w:name="_Toc67566108"/>
      <w:r>
        <w:lastRenderedPageBreak/>
        <w:t xml:space="preserve">Table </w:t>
      </w:r>
      <w:r w:rsidR="00077C0B">
        <w:fldChar w:fldCharType="begin"/>
      </w:r>
      <w:r w:rsidR="00077C0B">
        <w:instrText xml:space="preserve"> STYLEREF 1 \s </w:instrText>
      </w:r>
      <w:r w:rsidR="00077C0B">
        <w:fldChar w:fldCharType="separate"/>
      </w:r>
      <w:r w:rsidR="0006023A">
        <w:rPr>
          <w:noProof/>
        </w:rPr>
        <w:t>5</w:t>
      </w:r>
      <w:r w:rsidR="00077C0B">
        <w:rPr>
          <w:noProof/>
        </w:rPr>
        <w:fldChar w:fldCharType="end"/>
      </w:r>
      <w:r w:rsidR="00DD1F74">
        <w:t>.</w:t>
      </w:r>
      <w:r w:rsidR="00077C0B">
        <w:fldChar w:fldCharType="begin"/>
      </w:r>
      <w:r w:rsidR="00077C0B">
        <w:instrText xml:space="preserve"> SEQ Table \* ARABIC \s 1 </w:instrText>
      </w:r>
      <w:r w:rsidR="00077C0B">
        <w:fldChar w:fldCharType="separate"/>
      </w:r>
      <w:r w:rsidR="0006023A">
        <w:rPr>
          <w:noProof/>
        </w:rPr>
        <w:t>13</w:t>
      </w:r>
      <w:r w:rsidR="00077C0B">
        <w:rPr>
          <w:noProof/>
        </w:rPr>
        <w:fldChar w:fldCharType="end"/>
      </w:r>
      <w:r>
        <w:t xml:space="preserve">: Comparison of the three </w:t>
      </w:r>
      <w:r w:rsidR="00D47D73">
        <w:t xml:space="preserve">flow paths </w:t>
      </w:r>
      <w:r>
        <w:t xml:space="preserve">for the volume of the leakage path for </w:t>
      </w:r>
      <w:r w:rsidR="00CB0C46">
        <w:t xml:space="preserve">an ideal and real gas </w:t>
      </w:r>
      <w:r>
        <w:t>with and without the effect of gravity.</w:t>
      </w:r>
      <w:r w:rsidR="00955BB0">
        <w:t xml:space="preserve"> The constant gap method produces the largest flow rate while the FEA gap method produces the smallest flow rate.</w:t>
      </w:r>
      <w:bookmarkEnd w:id="158"/>
    </w:p>
    <w:tbl>
      <w:tblPr>
        <w:tblW w:w="6480" w:type="dxa"/>
        <w:jc w:val="center"/>
        <w:tblLook w:val="04A0" w:firstRow="1" w:lastRow="0" w:firstColumn="1" w:lastColumn="0" w:noHBand="0" w:noVBand="1"/>
      </w:tblPr>
      <w:tblGrid>
        <w:gridCol w:w="1152"/>
        <w:gridCol w:w="2736"/>
        <w:gridCol w:w="1440"/>
        <w:gridCol w:w="1152"/>
      </w:tblGrid>
      <w:tr w:rsidR="00B80F9B" w:rsidRPr="00DA62D2" w14:paraId="621EBB2E" w14:textId="77777777" w:rsidTr="00610B0A">
        <w:trPr>
          <w:trHeight w:val="20"/>
          <w:jc w:val="center"/>
        </w:trPr>
        <w:tc>
          <w:tcPr>
            <w:tcW w:w="1152" w:type="dxa"/>
            <w:tcBorders>
              <w:bottom w:val="single" w:sz="4" w:space="0" w:color="auto"/>
            </w:tcBorders>
            <w:shd w:val="clear" w:color="000000" w:fill="FFFFFF"/>
            <w:noWrap/>
            <w:vAlign w:val="center"/>
            <w:hideMark/>
          </w:tcPr>
          <w:p w14:paraId="34392740" w14:textId="77777777" w:rsidR="00B80F9B" w:rsidRPr="00DA62D2" w:rsidRDefault="00B80F9B" w:rsidP="00CB4719">
            <w:pPr>
              <w:spacing w:line="240" w:lineRule="auto"/>
              <w:jc w:val="center"/>
              <w:rPr>
                <w:rFonts w:eastAsia="Times New Roman" w:cs="Times New Roman"/>
                <w:color w:val="000000"/>
                <w:szCs w:val="24"/>
              </w:rPr>
            </w:pPr>
            <w:r w:rsidRPr="00DA62D2">
              <w:rPr>
                <w:rFonts w:eastAsia="Times New Roman" w:cs="Times New Roman"/>
                <w:color w:val="000000"/>
                <w:szCs w:val="24"/>
              </w:rPr>
              <w:t>Fluid</w:t>
            </w:r>
          </w:p>
        </w:tc>
        <w:tc>
          <w:tcPr>
            <w:tcW w:w="2736" w:type="dxa"/>
            <w:tcBorders>
              <w:bottom w:val="single" w:sz="4" w:space="0" w:color="auto"/>
            </w:tcBorders>
            <w:shd w:val="clear" w:color="000000" w:fill="FFFFFF"/>
            <w:noWrap/>
            <w:vAlign w:val="center"/>
            <w:hideMark/>
          </w:tcPr>
          <w:p w14:paraId="0FA39A4B" w14:textId="77777777" w:rsidR="00B80F9B" w:rsidRPr="00DA62D2" w:rsidRDefault="00B80F9B" w:rsidP="00CB4719">
            <w:pPr>
              <w:spacing w:line="240" w:lineRule="auto"/>
              <w:jc w:val="center"/>
              <w:rPr>
                <w:rFonts w:eastAsia="Times New Roman" w:cs="Times New Roman"/>
                <w:color w:val="000000"/>
                <w:szCs w:val="24"/>
              </w:rPr>
            </w:pPr>
            <w:r w:rsidRPr="00DA62D2">
              <w:rPr>
                <w:rFonts w:eastAsia="Times New Roman" w:cs="Times New Roman"/>
                <w:color w:val="000000"/>
                <w:szCs w:val="24"/>
              </w:rPr>
              <w:t>Leakage Pathway Method</w:t>
            </w:r>
          </w:p>
        </w:tc>
        <w:tc>
          <w:tcPr>
            <w:tcW w:w="1440" w:type="dxa"/>
            <w:tcBorders>
              <w:bottom w:val="single" w:sz="4" w:space="0" w:color="auto"/>
            </w:tcBorders>
            <w:shd w:val="clear" w:color="000000" w:fill="FFFFFF"/>
            <w:noWrap/>
            <w:vAlign w:val="center"/>
            <w:hideMark/>
          </w:tcPr>
          <w:p w14:paraId="1262F322" w14:textId="77777777" w:rsidR="00B80F9B" w:rsidRPr="00DA62D2" w:rsidRDefault="00B80F9B" w:rsidP="00CB4719">
            <w:pPr>
              <w:spacing w:line="240" w:lineRule="auto"/>
              <w:jc w:val="center"/>
              <w:rPr>
                <w:rFonts w:eastAsia="Times New Roman" w:cs="Times New Roman"/>
                <w:color w:val="000000"/>
                <w:szCs w:val="24"/>
              </w:rPr>
            </w:pPr>
            <w:r w:rsidRPr="00DA62D2">
              <w:rPr>
                <w:rFonts w:eastAsia="Times New Roman" w:cs="Times New Roman"/>
                <w:color w:val="000000"/>
                <w:szCs w:val="24"/>
              </w:rPr>
              <w:t>Q        (m</w:t>
            </w:r>
            <w:r w:rsidRPr="00DA62D2">
              <w:rPr>
                <w:rFonts w:eastAsia="Times New Roman" w:cs="Times New Roman"/>
                <w:color w:val="000000"/>
                <w:szCs w:val="24"/>
                <w:vertAlign w:val="superscript"/>
              </w:rPr>
              <w:t>3</w:t>
            </w:r>
            <w:r w:rsidRPr="00DA62D2">
              <w:rPr>
                <w:rFonts w:eastAsia="Times New Roman" w:cs="Times New Roman"/>
                <w:color w:val="000000"/>
                <w:szCs w:val="24"/>
              </w:rPr>
              <w:t>/s)</w:t>
            </w:r>
          </w:p>
        </w:tc>
        <w:tc>
          <w:tcPr>
            <w:tcW w:w="1152" w:type="dxa"/>
            <w:tcBorders>
              <w:bottom w:val="single" w:sz="4" w:space="0" w:color="auto"/>
            </w:tcBorders>
            <w:shd w:val="clear" w:color="000000" w:fill="FFFFFF"/>
            <w:noWrap/>
            <w:vAlign w:val="center"/>
            <w:hideMark/>
          </w:tcPr>
          <w:p w14:paraId="7916288E" w14:textId="0DCFBEEA" w:rsidR="00B80F9B" w:rsidRPr="00DA62D2" w:rsidRDefault="00B80F9B" w:rsidP="005A7446">
            <w:pPr>
              <w:spacing w:line="240" w:lineRule="auto"/>
              <w:jc w:val="center"/>
              <w:rPr>
                <w:rFonts w:eastAsia="Times New Roman" w:cs="Times New Roman"/>
                <w:color w:val="000000"/>
                <w:szCs w:val="24"/>
              </w:rPr>
            </w:pPr>
            <w:r w:rsidRPr="00DA62D2">
              <w:rPr>
                <w:rFonts w:eastAsia="Times New Roman" w:cs="Times New Roman"/>
                <w:color w:val="000000"/>
                <w:szCs w:val="24"/>
              </w:rPr>
              <w:t>Q (m</w:t>
            </w:r>
            <w:r w:rsidRPr="00DA62D2">
              <w:rPr>
                <w:rFonts w:eastAsia="Times New Roman" w:cs="Times New Roman"/>
                <w:color w:val="000000"/>
                <w:szCs w:val="24"/>
                <w:vertAlign w:val="superscript"/>
              </w:rPr>
              <w:t>3</w:t>
            </w:r>
            <w:r w:rsidRPr="00DA62D2">
              <w:rPr>
                <w:rFonts w:eastAsia="Times New Roman" w:cs="Times New Roman"/>
                <w:color w:val="000000"/>
                <w:szCs w:val="24"/>
              </w:rPr>
              <w:t>/day)</w:t>
            </w:r>
          </w:p>
        </w:tc>
      </w:tr>
      <w:tr w:rsidR="00B80F9B" w:rsidRPr="00DA62D2" w14:paraId="6F908E9C" w14:textId="77777777" w:rsidTr="00610B0A">
        <w:trPr>
          <w:trHeight w:val="20"/>
          <w:jc w:val="center"/>
        </w:trPr>
        <w:tc>
          <w:tcPr>
            <w:tcW w:w="1152" w:type="dxa"/>
            <w:vMerge w:val="restart"/>
            <w:tcBorders>
              <w:top w:val="single" w:sz="4" w:space="0" w:color="auto"/>
            </w:tcBorders>
            <w:shd w:val="clear" w:color="000000" w:fill="FFFFFF"/>
            <w:noWrap/>
            <w:vAlign w:val="center"/>
            <w:hideMark/>
          </w:tcPr>
          <w:p w14:paraId="37277422" w14:textId="77777777" w:rsidR="00B80F9B" w:rsidRPr="00DA62D2" w:rsidRDefault="00B80F9B" w:rsidP="00CB4719">
            <w:pPr>
              <w:spacing w:line="240" w:lineRule="auto"/>
              <w:jc w:val="center"/>
              <w:rPr>
                <w:rFonts w:eastAsia="Times New Roman" w:cs="Times New Roman"/>
                <w:color w:val="000000"/>
                <w:szCs w:val="24"/>
              </w:rPr>
            </w:pPr>
            <w:r w:rsidRPr="00DA62D2">
              <w:rPr>
                <w:rFonts w:eastAsia="Times New Roman" w:cs="Times New Roman"/>
                <w:color w:val="000000"/>
                <w:szCs w:val="24"/>
              </w:rPr>
              <w:t>Ideal MH</w:t>
            </w:r>
            <w:r w:rsidRPr="00DA62D2">
              <w:rPr>
                <w:rFonts w:eastAsia="Times New Roman" w:cs="Times New Roman"/>
                <w:color w:val="000000"/>
                <w:szCs w:val="24"/>
                <w:vertAlign w:val="subscript"/>
              </w:rPr>
              <w:t>3</w:t>
            </w:r>
            <w:r w:rsidRPr="00DA62D2">
              <w:rPr>
                <w:rFonts w:eastAsia="Times New Roman" w:cs="Times New Roman"/>
                <w:color w:val="000000"/>
                <w:szCs w:val="24"/>
              </w:rPr>
              <w:t xml:space="preserve"> Gas</w:t>
            </w:r>
          </w:p>
        </w:tc>
        <w:tc>
          <w:tcPr>
            <w:tcW w:w="2736" w:type="dxa"/>
            <w:tcBorders>
              <w:top w:val="single" w:sz="4" w:space="0" w:color="auto"/>
            </w:tcBorders>
            <w:shd w:val="clear" w:color="000000" w:fill="FFFFFF"/>
            <w:noWrap/>
            <w:vAlign w:val="center"/>
            <w:hideMark/>
          </w:tcPr>
          <w:p w14:paraId="7F9F0900" w14:textId="77777777" w:rsidR="00B80F9B" w:rsidRPr="00DA62D2" w:rsidRDefault="00B80F9B" w:rsidP="00CB4719">
            <w:pPr>
              <w:spacing w:line="240" w:lineRule="auto"/>
              <w:jc w:val="left"/>
              <w:rPr>
                <w:rFonts w:eastAsia="Times New Roman" w:cs="Times New Roman"/>
                <w:color w:val="000000"/>
                <w:szCs w:val="24"/>
              </w:rPr>
            </w:pPr>
            <w:r w:rsidRPr="00DA62D2">
              <w:rPr>
                <w:rFonts w:eastAsia="Times New Roman" w:cs="Times New Roman"/>
                <w:color w:val="000000"/>
                <w:szCs w:val="24"/>
              </w:rPr>
              <w:t>Constant Gap</w:t>
            </w:r>
          </w:p>
        </w:tc>
        <w:tc>
          <w:tcPr>
            <w:tcW w:w="1440" w:type="dxa"/>
            <w:tcBorders>
              <w:top w:val="single" w:sz="4" w:space="0" w:color="auto"/>
            </w:tcBorders>
            <w:shd w:val="clear" w:color="000000" w:fill="FFFFFF"/>
            <w:noWrap/>
            <w:vAlign w:val="center"/>
            <w:hideMark/>
          </w:tcPr>
          <w:p w14:paraId="13293E3D" w14:textId="38745500" w:rsidR="00B80F9B" w:rsidRPr="00DA62D2" w:rsidRDefault="005A7446" w:rsidP="005A7446">
            <w:pPr>
              <w:spacing w:line="240" w:lineRule="auto"/>
              <w:jc w:val="right"/>
              <w:rPr>
                <w:rFonts w:eastAsia="Times New Roman" w:cs="Times New Roman"/>
                <w:color w:val="000000"/>
                <w:szCs w:val="24"/>
              </w:rPr>
            </w:pPr>
            <w:r>
              <w:rPr>
                <w:rFonts w:eastAsia="Times New Roman" w:cs="Times New Roman"/>
                <w:color w:val="000000"/>
                <w:szCs w:val="24"/>
              </w:rPr>
              <w:t>6.67E-08</w:t>
            </w:r>
          </w:p>
        </w:tc>
        <w:tc>
          <w:tcPr>
            <w:tcW w:w="1152" w:type="dxa"/>
            <w:tcBorders>
              <w:top w:val="single" w:sz="4" w:space="0" w:color="auto"/>
            </w:tcBorders>
            <w:shd w:val="clear" w:color="000000" w:fill="FFFFFF"/>
            <w:noWrap/>
            <w:vAlign w:val="center"/>
          </w:tcPr>
          <w:p w14:paraId="304559BE" w14:textId="3ECE87AE" w:rsidR="00B80F9B" w:rsidRPr="00DA62D2" w:rsidRDefault="00865155" w:rsidP="005A7446">
            <w:pPr>
              <w:spacing w:line="240" w:lineRule="auto"/>
              <w:jc w:val="right"/>
              <w:rPr>
                <w:rFonts w:eastAsia="Times New Roman" w:cs="Times New Roman"/>
                <w:color w:val="000000"/>
                <w:szCs w:val="24"/>
              </w:rPr>
            </w:pPr>
            <w:r>
              <w:rPr>
                <w:rFonts w:eastAsia="Times New Roman" w:cs="Times New Roman"/>
                <w:color w:val="000000"/>
                <w:szCs w:val="24"/>
              </w:rPr>
              <w:t>5.77E-03</w:t>
            </w:r>
          </w:p>
        </w:tc>
      </w:tr>
      <w:tr w:rsidR="00B80F9B" w:rsidRPr="00DA62D2" w14:paraId="4B71E556" w14:textId="77777777" w:rsidTr="00610B0A">
        <w:trPr>
          <w:trHeight w:val="20"/>
          <w:jc w:val="center"/>
        </w:trPr>
        <w:tc>
          <w:tcPr>
            <w:tcW w:w="1152" w:type="dxa"/>
            <w:vMerge/>
            <w:vAlign w:val="center"/>
            <w:hideMark/>
          </w:tcPr>
          <w:p w14:paraId="17BBE68B" w14:textId="77777777" w:rsidR="00B80F9B" w:rsidRPr="00DA62D2" w:rsidRDefault="00B80F9B" w:rsidP="00CB4719">
            <w:pPr>
              <w:spacing w:line="240" w:lineRule="auto"/>
              <w:jc w:val="center"/>
              <w:rPr>
                <w:rFonts w:eastAsia="Times New Roman" w:cs="Times New Roman"/>
                <w:color w:val="000000"/>
                <w:szCs w:val="24"/>
              </w:rPr>
            </w:pPr>
          </w:p>
        </w:tc>
        <w:tc>
          <w:tcPr>
            <w:tcW w:w="2736" w:type="dxa"/>
            <w:shd w:val="clear" w:color="000000" w:fill="FFFFFF"/>
            <w:noWrap/>
            <w:vAlign w:val="center"/>
            <w:hideMark/>
          </w:tcPr>
          <w:p w14:paraId="1E881D51" w14:textId="77777777" w:rsidR="00B80F9B" w:rsidRPr="00DA62D2" w:rsidRDefault="00B80F9B" w:rsidP="00CB4719">
            <w:pPr>
              <w:spacing w:line="240" w:lineRule="auto"/>
              <w:jc w:val="left"/>
              <w:rPr>
                <w:rFonts w:eastAsia="Times New Roman" w:cs="Times New Roman"/>
                <w:color w:val="000000"/>
                <w:szCs w:val="24"/>
              </w:rPr>
            </w:pPr>
            <w:r w:rsidRPr="00DA62D2">
              <w:rPr>
                <w:rFonts w:eastAsia="Times New Roman" w:cs="Times New Roman"/>
                <w:color w:val="000000"/>
                <w:szCs w:val="24"/>
              </w:rPr>
              <w:t>Constant Gap + Gravity</w:t>
            </w:r>
          </w:p>
        </w:tc>
        <w:tc>
          <w:tcPr>
            <w:tcW w:w="1440" w:type="dxa"/>
            <w:shd w:val="clear" w:color="000000" w:fill="FFFFFF"/>
            <w:noWrap/>
            <w:vAlign w:val="center"/>
          </w:tcPr>
          <w:p w14:paraId="66D97674" w14:textId="61D55B33" w:rsidR="00B80F9B" w:rsidRPr="00DA62D2" w:rsidRDefault="005A7446" w:rsidP="00CB4719">
            <w:pPr>
              <w:spacing w:line="240" w:lineRule="auto"/>
              <w:jc w:val="right"/>
              <w:rPr>
                <w:rFonts w:eastAsia="Times New Roman" w:cs="Times New Roman"/>
                <w:color w:val="000000"/>
                <w:szCs w:val="24"/>
              </w:rPr>
            </w:pPr>
            <w:r>
              <w:rPr>
                <w:rFonts w:eastAsia="Times New Roman" w:cs="Times New Roman"/>
                <w:color w:val="000000"/>
                <w:szCs w:val="24"/>
              </w:rPr>
              <w:t>8.16E-09</w:t>
            </w:r>
          </w:p>
        </w:tc>
        <w:tc>
          <w:tcPr>
            <w:tcW w:w="1152" w:type="dxa"/>
            <w:shd w:val="clear" w:color="000000" w:fill="FFFFFF"/>
            <w:noWrap/>
            <w:vAlign w:val="center"/>
          </w:tcPr>
          <w:p w14:paraId="3FA22BAA" w14:textId="26ADC8C5" w:rsidR="00B80F9B" w:rsidRPr="00DA62D2" w:rsidRDefault="00974377" w:rsidP="00CB4719">
            <w:pPr>
              <w:spacing w:line="240" w:lineRule="auto"/>
              <w:jc w:val="right"/>
              <w:rPr>
                <w:rFonts w:eastAsia="Times New Roman" w:cs="Times New Roman"/>
                <w:color w:val="000000"/>
                <w:szCs w:val="24"/>
              </w:rPr>
            </w:pPr>
            <w:r>
              <w:rPr>
                <w:rFonts w:eastAsia="Times New Roman" w:cs="Times New Roman"/>
                <w:color w:val="000000"/>
                <w:szCs w:val="24"/>
              </w:rPr>
              <w:t>7.05E-04</w:t>
            </w:r>
          </w:p>
        </w:tc>
      </w:tr>
      <w:tr w:rsidR="00B80F9B" w:rsidRPr="00DA62D2" w14:paraId="124E8615" w14:textId="77777777" w:rsidTr="00610B0A">
        <w:trPr>
          <w:trHeight w:val="20"/>
          <w:jc w:val="center"/>
        </w:trPr>
        <w:tc>
          <w:tcPr>
            <w:tcW w:w="1152" w:type="dxa"/>
            <w:vMerge/>
            <w:vAlign w:val="center"/>
            <w:hideMark/>
          </w:tcPr>
          <w:p w14:paraId="6B77E024" w14:textId="77777777" w:rsidR="00B80F9B" w:rsidRPr="00DA62D2" w:rsidRDefault="00B80F9B" w:rsidP="00CB4719">
            <w:pPr>
              <w:spacing w:line="240" w:lineRule="auto"/>
              <w:jc w:val="center"/>
              <w:rPr>
                <w:rFonts w:eastAsia="Times New Roman" w:cs="Times New Roman"/>
                <w:color w:val="000000"/>
                <w:szCs w:val="24"/>
              </w:rPr>
            </w:pPr>
          </w:p>
        </w:tc>
        <w:tc>
          <w:tcPr>
            <w:tcW w:w="2736" w:type="dxa"/>
            <w:shd w:val="clear" w:color="000000" w:fill="FFFFFF"/>
            <w:noWrap/>
            <w:vAlign w:val="center"/>
            <w:hideMark/>
          </w:tcPr>
          <w:p w14:paraId="70DEC55A" w14:textId="77777777" w:rsidR="00B80F9B" w:rsidRPr="00DA62D2" w:rsidRDefault="00B80F9B" w:rsidP="00CB4719">
            <w:pPr>
              <w:spacing w:line="240" w:lineRule="auto"/>
              <w:jc w:val="left"/>
              <w:rPr>
                <w:rFonts w:eastAsia="Times New Roman" w:cs="Times New Roman"/>
                <w:color w:val="000000"/>
                <w:szCs w:val="24"/>
              </w:rPr>
            </w:pPr>
            <w:r w:rsidRPr="00DA62D2">
              <w:rPr>
                <w:rFonts w:eastAsia="Times New Roman" w:cs="Times New Roman"/>
                <w:color w:val="000000"/>
                <w:szCs w:val="24"/>
              </w:rPr>
              <w:t>Tortuosity Gap</w:t>
            </w:r>
          </w:p>
        </w:tc>
        <w:tc>
          <w:tcPr>
            <w:tcW w:w="1440" w:type="dxa"/>
            <w:shd w:val="clear" w:color="000000" w:fill="FFFFFF"/>
            <w:noWrap/>
            <w:vAlign w:val="center"/>
          </w:tcPr>
          <w:p w14:paraId="2D460CB3" w14:textId="01408D72" w:rsidR="00B80F9B" w:rsidRPr="00DA62D2" w:rsidRDefault="005A7446" w:rsidP="00CB4719">
            <w:pPr>
              <w:spacing w:line="240" w:lineRule="auto"/>
              <w:jc w:val="right"/>
              <w:rPr>
                <w:rFonts w:eastAsia="Times New Roman" w:cs="Times New Roman"/>
                <w:color w:val="000000"/>
                <w:szCs w:val="24"/>
              </w:rPr>
            </w:pPr>
            <w:r>
              <w:rPr>
                <w:rFonts w:eastAsia="Times New Roman" w:cs="Times New Roman"/>
                <w:color w:val="000000"/>
                <w:szCs w:val="24"/>
              </w:rPr>
              <w:t>5.28E-08</w:t>
            </w:r>
          </w:p>
        </w:tc>
        <w:tc>
          <w:tcPr>
            <w:tcW w:w="1152" w:type="dxa"/>
            <w:shd w:val="clear" w:color="000000" w:fill="FFFFFF"/>
            <w:noWrap/>
            <w:vAlign w:val="center"/>
          </w:tcPr>
          <w:p w14:paraId="7362045E" w14:textId="26B54D18" w:rsidR="00B80F9B" w:rsidRPr="00DA62D2" w:rsidRDefault="00974377" w:rsidP="00CB4719">
            <w:pPr>
              <w:spacing w:line="240" w:lineRule="auto"/>
              <w:jc w:val="right"/>
              <w:rPr>
                <w:rFonts w:eastAsia="Times New Roman" w:cs="Times New Roman"/>
                <w:color w:val="000000"/>
                <w:szCs w:val="24"/>
              </w:rPr>
            </w:pPr>
            <w:r>
              <w:rPr>
                <w:rFonts w:eastAsia="Times New Roman" w:cs="Times New Roman"/>
                <w:color w:val="000000"/>
                <w:szCs w:val="24"/>
              </w:rPr>
              <w:t>4.56E-03</w:t>
            </w:r>
          </w:p>
        </w:tc>
      </w:tr>
      <w:tr w:rsidR="00B80F9B" w:rsidRPr="00DA62D2" w14:paraId="4F54EB65" w14:textId="77777777" w:rsidTr="00610B0A">
        <w:trPr>
          <w:trHeight w:val="20"/>
          <w:jc w:val="center"/>
        </w:trPr>
        <w:tc>
          <w:tcPr>
            <w:tcW w:w="1152" w:type="dxa"/>
            <w:vMerge/>
            <w:vAlign w:val="center"/>
            <w:hideMark/>
          </w:tcPr>
          <w:p w14:paraId="697A97E3" w14:textId="77777777" w:rsidR="00B80F9B" w:rsidRPr="00DA62D2" w:rsidRDefault="00B80F9B" w:rsidP="00CB4719">
            <w:pPr>
              <w:spacing w:line="240" w:lineRule="auto"/>
              <w:jc w:val="center"/>
              <w:rPr>
                <w:rFonts w:eastAsia="Times New Roman" w:cs="Times New Roman"/>
                <w:color w:val="000000"/>
                <w:szCs w:val="24"/>
              </w:rPr>
            </w:pPr>
          </w:p>
        </w:tc>
        <w:tc>
          <w:tcPr>
            <w:tcW w:w="2736" w:type="dxa"/>
            <w:shd w:val="clear" w:color="000000" w:fill="FFFFFF"/>
            <w:noWrap/>
            <w:vAlign w:val="center"/>
            <w:hideMark/>
          </w:tcPr>
          <w:p w14:paraId="1F21CB84" w14:textId="77777777" w:rsidR="00B80F9B" w:rsidRPr="00DA62D2" w:rsidRDefault="00B80F9B" w:rsidP="00CB4719">
            <w:pPr>
              <w:spacing w:line="240" w:lineRule="auto"/>
              <w:jc w:val="left"/>
              <w:rPr>
                <w:rFonts w:eastAsia="Times New Roman" w:cs="Times New Roman"/>
                <w:color w:val="000000"/>
                <w:szCs w:val="24"/>
              </w:rPr>
            </w:pPr>
            <w:r w:rsidRPr="00DA62D2">
              <w:rPr>
                <w:rFonts w:eastAsia="Times New Roman" w:cs="Times New Roman"/>
                <w:color w:val="000000"/>
                <w:szCs w:val="24"/>
              </w:rPr>
              <w:t>Tortuosity Gap + Gravity</w:t>
            </w:r>
          </w:p>
        </w:tc>
        <w:tc>
          <w:tcPr>
            <w:tcW w:w="1440" w:type="dxa"/>
            <w:shd w:val="clear" w:color="000000" w:fill="FFFFFF"/>
            <w:noWrap/>
            <w:vAlign w:val="center"/>
          </w:tcPr>
          <w:p w14:paraId="6E893794" w14:textId="6C935C7C" w:rsidR="00B80F9B" w:rsidRPr="00DA62D2" w:rsidRDefault="005A7446" w:rsidP="00CB4719">
            <w:pPr>
              <w:spacing w:line="240" w:lineRule="auto"/>
              <w:jc w:val="right"/>
              <w:rPr>
                <w:rFonts w:eastAsia="Times New Roman" w:cs="Times New Roman"/>
                <w:color w:val="000000"/>
                <w:szCs w:val="24"/>
              </w:rPr>
            </w:pPr>
            <w:r>
              <w:rPr>
                <w:rFonts w:eastAsia="Times New Roman" w:cs="Times New Roman"/>
                <w:color w:val="000000"/>
                <w:szCs w:val="24"/>
              </w:rPr>
              <w:t>6.46E-09</w:t>
            </w:r>
          </w:p>
        </w:tc>
        <w:tc>
          <w:tcPr>
            <w:tcW w:w="1152" w:type="dxa"/>
            <w:shd w:val="clear" w:color="000000" w:fill="FFFFFF"/>
            <w:noWrap/>
            <w:vAlign w:val="center"/>
          </w:tcPr>
          <w:p w14:paraId="2126248D" w14:textId="0EFB55A4" w:rsidR="00B80F9B" w:rsidRPr="00DA62D2" w:rsidRDefault="00974377" w:rsidP="00CB4719">
            <w:pPr>
              <w:spacing w:line="240" w:lineRule="auto"/>
              <w:jc w:val="right"/>
              <w:rPr>
                <w:rFonts w:eastAsia="Times New Roman" w:cs="Times New Roman"/>
                <w:color w:val="000000"/>
                <w:szCs w:val="24"/>
              </w:rPr>
            </w:pPr>
            <w:r>
              <w:rPr>
                <w:rFonts w:eastAsia="Times New Roman" w:cs="Times New Roman"/>
                <w:color w:val="000000"/>
                <w:szCs w:val="24"/>
              </w:rPr>
              <w:t>5.58E-04</w:t>
            </w:r>
          </w:p>
        </w:tc>
      </w:tr>
      <w:tr w:rsidR="00B80F9B" w:rsidRPr="00DA62D2" w14:paraId="74E63F59" w14:textId="77777777" w:rsidTr="00610B0A">
        <w:trPr>
          <w:trHeight w:val="20"/>
          <w:jc w:val="center"/>
        </w:trPr>
        <w:tc>
          <w:tcPr>
            <w:tcW w:w="1152" w:type="dxa"/>
            <w:vMerge/>
            <w:vAlign w:val="center"/>
            <w:hideMark/>
          </w:tcPr>
          <w:p w14:paraId="07D7680C" w14:textId="77777777" w:rsidR="00B80F9B" w:rsidRPr="00DA62D2" w:rsidRDefault="00B80F9B" w:rsidP="00CB4719">
            <w:pPr>
              <w:spacing w:line="240" w:lineRule="auto"/>
              <w:jc w:val="center"/>
              <w:rPr>
                <w:rFonts w:eastAsia="Times New Roman" w:cs="Times New Roman"/>
                <w:color w:val="000000"/>
                <w:szCs w:val="24"/>
              </w:rPr>
            </w:pPr>
          </w:p>
        </w:tc>
        <w:tc>
          <w:tcPr>
            <w:tcW w:w="2736" w:type="dxa"/>
            <w:shd w:val="clear" w:color="000000" w:fill="FFFFFF"/>
            <w:noWrap/>
            <w:vAlign w:val="center"/>
            <w:hideMark/>
          </w:tcPr>
          <w:p w14:paraId="6DBF4C7A" w14:textId="77777777" w:rsidR="00B80F9B" w:rsidRPr="00DA62D2" w:rsidRDefault="00B80F9B" w:rsidP="00CB4719">
            <w:pPr>
              <w:spacing w:line="240" w:lineRule="auto"/>
              <w:jc w:val="left"/>
              <w:rPr>
                <w:rFonts w:eastAsia="Times New Roman" w:cs="Times New Roman"/>
                <w:color w:val="000000"/>
                <w:szCs w:val="24"/>
              </w:rPr>
            </w:pPr>
            <w:r w:rsidRPr="00DA62D2">
              <w:rPr>
                <w:rFonts w:eastAsia="Times New Roman" w:cs="Times New Roman"/>
                <w:color w:val="000000"/>
                <w:szCs w:val="24"/>
              </w:rPr>
              <w:t>FEA Gap</w:t>
            </w:r>
          </w:p>
        </w:tc>
        <w:tc>
          <w:tcPr>
            <w:tcW w:w="1440" w:type="dxa"/>
            <w:shd w:val="clear" w:color="000000" w:fill="FFFFFF"/>
            <w:noWrap/>
            <w:vAlign w:val="center"/>
          </w:tcPr>
          <w:p w14:paraId="5EE5E665" w14:textId="758F28E4" w:rsidR="00B80F9B" w:rsidRPr="00DA62D2" w:rsidRDefault="005A7446" w:rsidP="00CB4719">
            <w:pPr>
              <w:spacing w:line="240" w:lineRule="auto"/>
              <w:jc w:val="right"/>
              <w:rPr>
                <w:rFonts w:eastAsia="Times New Roman" w:cs="Times New Roman"/>
                <w:color w:val="000000"/>
                <w:szCs w:val="24"/>
              </w:rPr>
            </w:pPr>
            <w:r>
              <w:rPr>
                <w:rFonts w:eastAsia="Times New Roman" w:cs="Times New Roman"/>
                <w:color w:val="000000"/>
                <w:szCs w:val="24"/>
              </w:rPr>
              <w:t>4.09E-06</w:t>
            </w:r>
          </w:p>
        </w:tc>
        <w:tc>
          <w:tcPr>
            <w:tcW w:w="1152" w:type="dxa"/>
            <w:shd w:val="clear" w:color="000000" w:fill="FFFFFF"/>
            <w:noWrap/>
            <w:vAlign w:val="center"/>
          </w:tcPr>
          <w:p w14:paraId="34C4971F" w14:textId="750AF52E" w:rsidR="00B80F9B" w:rsidRPr="00DA62D2" w:rsidRDefault="00974377" w:rsidP="00CB4719">
            <w:pPr>
              <w:spacing w:line="240" w:lineRule="auto"/>
              <w:jc w:val="right"/>
              <w:rPr>
                <w:rFonts w:eastAsia="Times New Roman" w:cs="Times New Roman"/>
                <w:color w:val="000000"/>
                <w:szCs w:val="24"/>
              </w:rPr>
            </w:pPr>
            <w:r>
              <w:rPr>
                <w:rFonts w:eastAsia="Times New Roman" w:cs="Times New Roman"/>
                <w:color w:val="000000"/>
                <w:szCs w:val="24"/>
              </w:rPr>
              <w:t>3.53E-01</w:t>
            </w:r>
          </w:p>
        </w:tc>
      </w:tr>
      <w:tr w:rsidR="00B80F9B" w:rsidRPr="00DA62D2" w14:paraId="252579C1" w14:textId="77777777" w:rsidTr="00610B0A">
        <w:trPr>
          <w:trHeight w:val="20"/>
          <w:jc w:val="center"/>
        </w:trPr>
        <w:tc>
          <w:tcPr>
            <w:tcW w:w="1152" w:type="dxa"/>
            <w:vMerge/>
            <w:tcBorders>
              <w:bottom w:val="single" w:sz="4" w:space="0" w:color="auto"/>
            </w:tcBorders>
            <w:vAlign w:val="center"/>
            <w:hideMark/>
          </w:tcPr>
          <w:p w14:paraId="40193749" w14:textId="77777777" w:rsidR="00B80F9B" w:rsidRPr="00DA62D2" w:rsidRDefault="00B80F9B" w:rsidP="00CB4719">
            <w:pPr>
              <w:spacing w:line="240" w:lineRule="auto"/>
              <w:jc w:val="center"/>
              <w:rPr>
                <w:rFonts w:eastAsia="Times New Roman" w:cs="Times New Roman"/>
                <w:color w:val="000000"/>
                <w:szCs w:val="24"/>
              </w:rPr>
            </w:pPr>
          </w:p>
        </w:tc>
        <w:tc>
          <w:tcPr>
            <w:tcW w:w="2736" w:type="dxa"/>
            <w:tcBorders>
              <w:bottom w:val="single" w:sz="4" w:space="0" w:color="auto"/>
            </w:tcBorders>
            <w:shd w:val="clear" w:color="000000" w:fill="FFFFFF"/>
            <w:noWrap/>
            <w:vAlign w:val="center"/>
            <w:hideMark/>
          </w:tcPr>
          <w:p w14:paraId="226AD266" w14:textId="77777777" w:rsidR="00B80F9B" w:rsidRPr="00DA62D2" w:rsidRDefault="00B80F9B" w:rsidP="00CB4719">
            <w:pPr>
              <w:spacing w:line="240" w:lineRule="auto"/>
              <w:jc w:val="left"/>
              <w:rPr>
                <w:rFonts w:eastAsia="Times New Roman" w:cs="Times New Roman"/>
                <w:color w:val="000000"/>
                <w:szCs w:val="24"/>
              </w:rPr>
            </w:pPr>
            <w:r w:rsidRPr="00DA62D2">
              <w:rPr>
                <w:rFonts w:eastAsia="Times New Roman" w:cs="Times New Roman"/>
                <w:color w:val="000000"/>
                <w:szCs w:val="24"/>
              </w:rPr>
              <w:t>FEA Gap + Gravity</w:t>
            </w:r>
          </w:p>
        </w:tc>
        <w:tc>
          <w:tcPr>
            <w:tcW w:w="1440" w:type="dxa"/>
            <w:tcBorders>
              <w:bottom w:val="single" w:sz="4" w:space="0" w:color="auto"/>
            </w:tcBorders>
            <w:shd w:val="clear" w:color="000000" w:fill="FFFFFF"/>
            <w:noWrap/>
            <w:vAlign w:val="center"/>
          </w:tcPr>
          <w:p w14:paraId="77165597" w14:textId="7639BAA9" w:rsidR="00B80F9B" w:rsidRPr="00DA62D2" w:rsidRDefault="005A7446" w:rsidP="00CB4719">
            <w:pPr>
              <w:spacing w:line="240" w:lineRule="auto"/>
              <w:jc w:val="right"/>
              <w:rPr>
                <w:rFonts w:eastAsia="Times New Roman" w:cs="Times New Roman"/>
                <w:color w:val="000000"/>
                <w:szCs w:val="24"/>
              </w:rPr>
            </w:pPr>
            <w:r>
              <w:rPr>
                <w:rFonts w:eastAsia="Times New Roman" w:cs="Times New Roman"/>
                <w:color w:val="000000"/>
                <w:szCs w:val="24"/>
              </w:rPr>
              <w:t>5.00E-07</w:t>
            </w:r>
          </w:p>
        </w:tc>
        <w:tc>
          <w:tcPr>
            <w:tcW w:w="1152" w:type="dxa"/>
            <w:tcBorders>
              <w:bottom w:val="single" w:sz="4" w:space="0" w:color="auto"/>
            </w:tcBorders>
            <w:shd w:val="clear" w:color="000000" w:fill="FFFFFF"/>
            <w:noWrap/>
            <w:vAlign w:val="center"/>
          </w:tcPr>
          <w:p w14:paraId="2EDE6716" w14:textId="06C20119" w:rsidR="00B80F9B" w:rsidRPr="00DA62D2" w:rsidRDefault="00974377" w:rsidP="00CB4719">
            <w:pPr>
              <w:spacing w:line="240" w:lineRule="auto"/>
              <w:jc w:val="right"/>
              <w:rPr>
                <w:rFonts w:eastAsia="Times New Roman" w:cs="Times New Roman"/>
                <w:color w:val="000000"/>
                <w:szCs w:val="24"/>
              </w:rPr>
            </w:pPr>
            <w:r>
              <w:rPr>
                <w:rFonts w:eastAsia="Times New Roman" w:cs="Times New Roman"/>
                <w:color w:val="000000"/>
                <w:szCs w:val="24"/>
              </w:rPr>
              <w:t>4.32E-02</w:t>
            </w:r>
          </w:p>
        </w:tc>
      </w:tr>
      <w:tr w:rsidR="00B80F9B" w:rsidRPr="00DA62D2" w14:paraId="423CF703" w14:textId="77777777" w:rsidTr="00610B0A">
        <w:trPr>
          <w:trHeight w:val="20"/>
          <w:jc w:val="center"/>
        </w:trPr>
        <w:tc>
          <w:tcPr>
            <w:tcW w:w="1152" w:type="dxa"/>
            <w:vMerge w:val="restart"/>
            <w:tcBorders>
              <w:top w:val="single" w:sz="4" w:space="0" w:color="auto"/>
            </w:tcBorders>
            <w:shd w:val="clear" w:color="000000" w:fill="FFFFFF"/>
            <w:noWrap/>
            <w:vAlign w:val="center"/>
            <w:hideMark/>
          </w:tcPr>
          <w:p w14:paraId="29BCB4E3" w14:textId="77777777" w:rsidR="00B80F9B" w:rsidRPr="00DA62D2" w:rsidRDefault="00B80F9B" w:rsidP="00CB4719">
            <w:pPr>
              <w:spacing w:line="240" w:lineRule="auto"/>
              <w:jc w:val="center"/>
              <w:rPr>
                <w:rFonts w:eastAsia="Times New Roman" w:cs="Times New Roman"/>
                <w:color w:val="000000"/>
                <w:szCs w:val="24"/>
              </w:rPr>
            </w:pPr>
            <w:r w:rsidRPr="00DA62D2">
              <w:rPr>
                <w:rFonts w:eastAsia="Times New Roman" w:cs="Times New Roman"/>
                <w:color w:val="000000"/>
                <w:szCs w:val="24"/>
              </w:rPr>
              <w:t>Real MH</w:t>
            </w:r>
            <w:r w:rsidRPr="00DA62D2">
              <w:rPr>
                <w:rFonts w:eastAsia="Times New Roman" w:cs="Times New Roman"/>
                <w:color w:val="000000"/>
                <w:szCs w:val="24"/>
                <w:vertAlign w:val="subscript"/>
              </w:rPr>
              <w:t>3</w:t>
            </w:r>
            <w:r w:rsidRPr="00DA62D2">
              <w:rPr>
                <w:rFonts w:eastAsia="Times New Roman" w:cs="Times New Roman"/>
                <w:color w:val="000000"/>
                <w:szCs w:val="24"/>
              </w:rPr>
              <w:t xml:space="preserve"> Gas</w:t>
            </w:r>
          </w:p>
        </w:tc>
        <w:tc>
          <w:tcPr>
            <w:tcW w:w="2736" w:type="dxa"/>
            <w:tcBorders>
              <w:top w:val="single" w:sz="4" w:space="0" w:color="auto"/>
            </w:tcBorders>
            <w:shd w:val="clear" w:color="000000" w:fill="FFFFFF"/>
            <w:noWrap/>
            <w:vAlign w:val="center"/>
            <w:hideMark/>
          </w:tcPr>
          <w:p w14:paraId="47741ECA" w14:textId="77777777" w:rsidR="00B80F9B" w:rsidRPr="00DA62D2" w:rsidRDefault="00B80F9B" w:rsidP="00CB4719">
            <w:pPr>
              <w:spacing w:line="240" w:lineRule="auto"/>
              <w:jc w:val="left"/>
              <w:rPr>
                <w:rFonts w:eastAsia="Times New Roman" w:cs="Times New Roman"/>
                <w:color w:val="000000"/>
                <w:szCs w:val="24"/>
              </w:rPr>
            </w:pPr>
            <w:r w:rsidRPr="00DA62D2">
              <w:rPr>
                <w:rFonts w:eastAsia="Times New Roman" w:cs="Times New Roman"/>
                <w:color w:val="000000"/>
                <w:szCs w:val="24"/>
              </w:rPr>
              <w:t>Constant Gap</w:t>
            </w:r>
          </w:p>
        </w:tc>
        <w:tc>
          <w:tcPr>
            <w:tcW w:w="1440" w:type="dxa"/>
            <w:tcBorders>
              <w:top w:val="single" w:sz="4" w:space="0" w:color="auto"/>
            </w:tcBorders>
            <w:shd w:val="clear" w:color="000000" w:fill="FFFFFF"/>
            <w:noWrap/>
            <w:vAlign w:val="center"/>
          </w:tcPr>
          <w:p w14:paraId="4CCDF94F" w14:textId="4503D770" w:rsidR="00B80F9B" w:rsidRPr="00DA62D2" w:rsidRDefault="005A7446" w:rsidP="00CB4719">
            <w:pPr>
              <w:spacing w:line="240" w:lineRule="auto"/>
              <w:jc w:val="right"/>
              <w:rPr>
                <w:rFonts w:eastAsia="Times New Roman" w:cs="Times New Roman"/>
                <w:color w:val="000000"/>
                <w:szCs w:val="24"/>
              </w:rPr>
            </w:pPr>
            <w:r>
              <w:rPr>
                <w:rFonts w:eastAsia="Times New Roman" w:cs="Times New Roman"/>
                <w:color w:val="000000"/>
                <w:szCs w:val="24"/>
              </w:rPr>
              <w:t>6.61E-08</w:t>
            </w:r>
          </w:p>
        </w:tc>
        <w:tc>
          <w:tcPr>
            <w:tcW w:w="1152" w:type="dxa"/>
            <w:tcBorders>
              <w:top w:val="single" w:sz="4" w:space="0" w:color="auto"/>
            </w:tcBorders>
            <w:shd w:val="clear" w:color="000000" w:fill="FFFFFF"/>
            <w:noWrap/>
            <w:vAlign w:val="center"/>
          </w:tcPr>
          <w:p w14:paraId="14E221F2" w14:textId="53F72DC2" w:rsidR="00B80F9B" w:rsidRPr="00DA62D2" w:rsidRDefault="00974377" w:rsidP="00CB4719">
            <w:pPr>
              <w:spacing w:line="240" w:lineRule="auto"/>
              <w:jc w:val="right"/>
              <w:rPr>
                <w:rFonts w:eastAsia="Times New Roman" w:cs="Times New Roman"/>
                <w:color w:val="000000"/>
                <w:szCs w:val="24"/>
              </w:rPr>
            </w:pPr>
            <w:r>
              <w:rPr>
                <w:rFonts w:eastAsia="Times New Roman" w:cs="Times New Roman"/>
                <w:color w:val="000000"/>
                <w:szCs w:val="24"/>
              </w:rPr>
              <w:t>5.71E-03</w:t>
            </w:r>
          </w:p>
        </w:tc>
      </w:tr>
      <w:tr w:rsidR="00B80F9B" w:rsidRPr="00DA62D2" w14:paraId="5936CB4F" w14:textId="77777777" w:rsidTr="00610B0A">
        <w:trPr>
          <w:trHeight w:val="20"/>
          <w:jc w:val="center"/>
        </w:trPr>
        <w:tc>
          <w:tcPr>
            <w:tcW w:w="1152" w:type="dxa"/>
            <w:vMerge/>
            <w:vAlign w:val="center"/>
            <w:hideMark/>
          </w:tcPr>
          <w:p w14:paraId="37DD0D79" w14:textId="77777777" w:rsidR="00B80F9B" w:rsidRPr="00DA62D2" w:rsidRDefault="00B80F9B" w:rsidP="00CB4719">
            <w:pPr>
              <w:spacing w:line="240" w:lineRule="auto"/>
              <w:jc w:val="center"/>
              <w:rPr>
                <w:rFonts w:eastAsia="Times New Roman" w:cs="Times New Roman"/>
                <w:color w:val="000000"/>
                <w:szCs w:val="24"/>
              </w:rPr>
            </w:pPr>
          </w:p>
        </w:tc>
        <w:tc>
          <w:tcPr>
            <w:tcW w:w="2736" w:type="dxa"/>
            <w:shd w:val="clear" w:color="000000" w:fill="FFFFFF"/>
            <w:noWrap/>
            <w:vAlign w:val="center"/>
            <w:hideMark/>
          </w:tcPr>
          <w:p w14:paraId="365ABD90" w14:textId="77777777" w:rsidR="00B80F9B" w:rsidRPr="00DA62D2" w:rsidRDefault="00B80F9B" w:rsidP="00CB4719">
            <w:pPr>
              <w:spacing w:line="240" w:lineRule="auto"/>
              <w:jc w:val="left"/>
              <w:rPr>
                <w:rFonts w:eastAsia="Times New Roman" w:cs="Times New Roman"/>
                <w:color w:val="000000"/>
                <w:szCs w:val="24"/>
              </w:rPr>
            </w:pPr>
            <w:r w:rsidRPr="00DA62D2">
              <w:rPr>
                <w:rFonts w:eastAsia="Times New Roman" w:cs="Times New Roman"/>
                <w:color w:val="000000"/>
                <w:szCs w:val="24"/>
              </w:rPr>
              <w:t>Constant Gap + Gravity</w:t>
            </w:r>
          </w:p>
        </w:tc>
        <w:tc>
          <w:tcPr>
            <w:tcW w:w="1440" w:type="dxa"/>
            <w:shd w:val="clear" w:color="000000" w:fill="FFFFFF"/>
            <w:noWrap/>
            <w:vAlign w:val="center"/>
          </w:tcPr>
          <w:p w14:paraId="522718A6" w14:textId="54BAE2C7" w:rsidR="00B80F9B" w:rsidRPr="00DA62D2" w:rsidRDefault="005A7446" w:rsidP="00CB4719">
            <w:pPr>
              <w:spacing w:line="240" w:lineRule="auto"/>
              <w:jc w:val="right"/>
              <w:rPr>
                <w:rFonts w:eastAsia="Times New Roman" w:cs="Times New Roman"/>
                <w:color w:val="000000"/>
                <w:szCs w:val="24"/>
              </w:rPr>
            </w:pPr>
            <w:r>
              <w:rPr>
                <w:rFonts w:eastAsia="Times New Roman" w:cs="Times New Roman"/>
                <w:color w:val="000000"/>
                <w:szCs w:val="24"/>
              </w:rPr>
              <w:t>7.49E-09</w:t>
            </w:r>
          </w:p>
        </w:tc>
        <w:tc>
          <w:tcPr>
            <w:tcW w:w="1152" w:type="dxa"/>
            <w:shd w:val="clear" w:color="000000" w:fill="FFFFFF"/>
            <w:noWrap/>
            <w:vAlign w:val="center"/>
          </w:tcPr>
          <w:p w14:paraId="40E98241" w14:textId="27B9FE0F" w:rsidR="00B80F9B" w:rsidRPr="00DA62D2" w:rsidRDefault="00974377" w:rsidP="00CB4719">
            <w:pPr>
              <w:spacing w:line="240" w:lineRule="auto"/>
              <w:jc w:val="right"/>
              <w:rPr>
                <w:rFonts w:eastAsia="Times New Roman" w:cs="Times New Roman"/>
                <w:color w:val="000000"/>
                <w:szCs w:val="24"/>
              </w:rPr>
            </w:pPr>
            <w:r>
              <w:rPr>
                <w:rFonts w:eastAsia="Times New Roman" w:cs="Times New Roman"/>
                <w:color w:val="000000"/>
                <w:szCs w:val="24"/>
              </w:rPr>
              <w:t>6.47E-04</w:t>
            </w:r>
          </w:p>
        </w:tc>
      </w:tr>
      <w:tr w:rsidR="00B80F9B" w:rsidRPr="00DA62D2" w14:paraId="57039F24" w14:textId="77777777" w:rsidTr="00610B0A">
        <w:trPr>
          <w:trHeight w:val="20"/>
          <w:jc w:val="center"/>
        </w:trPr>
        <w:tc>
          <w:tcPr>
            <w:tcW w:w="1152" w:type="dxa"/>
            <w:vMerge/>
            <w:vAlign w:val="center"/>
            <w:hideMark/>
          </w:tcPr>
          <w:p w14:paraId="26226B6B" w14:textId="77777777" w:rsidR="00B80F9B" w:rsidRPr="00DA62D2" w:rsidRDefault="00B80F9B" w:rsidP="00CB4719">
            <w:pPr>
              <w:spacing w:line="240" w:lineRule="auto"/>
              <w:jc w:val="center"/>
              <w:rPr>
                <w:rFonts w:eastAsia="Times New Roman" w:cs="Times New Roman"/>
                <w:color w:val="000000"/>
                <w:szCs w:val="24"/>
              </w:rPr>
            </w:pPr>
          </w:p>
        </w:tc>
        <w:tc>
          <w:tcPr>
            <w:tcW w:w="2736" w:type="dxa"/>
            <w:shd w:val="clear" w:color="000000" w:fill="FFFFFF"/>
            <w:noWrap/>
            <w:vAlign w:val="center"/>
            <w:hideMark/>
          </w:tcPr>
          <w:p w14:paraId="117FB9EC" w14:textId="77777777" w:rsidR="00B80F9B" w:rsidRPr="00DA62D2" w:rsidRDefault="00B80F9B" w:rsidP="00CB4719">
            <w:pPr>
              <w:spacing w:line="240" w:lineRule="auto"/>
              <w:jc w:val="left"/>
              <w:rPr>
                <w:rFonts w:eastAsia="Times New Roman" w:cs="Times New Roman"/>
                <w:color w:val="000000"/>
                <w:szCs w:val="24"/>
              </w:rPr>
            </w:pPr>
            <w:r w:rsidRPr="00DA62D2">
              <w:rPr>
                <w:rFonts w:eastAsia="Times New Roman" w:cs="Times New Roman"/>
                <w:color w:val="000000"/>
                <w:szCs w:val="24"/>
              </w:rPr>
              <w:t>Tortuosity Gap</w:t>
            </w:r>
          </w:p>
        </w:tc>
        <w:tc>
          <w:tcPr>
            <w:tcW w:w="1440" w:type="dxa"/>
            <w:shd w:val="clear" w:color="000000" w:fill="FFFFFF"/>
            <w:noWrap/>
            <w:vAlign w:val="center"/>
          </w:tcPr>
          <w:p w14:paraId="6C0C423D" w14:textId="74366563" w:rsidR="00B80F9B" w:rsidRPr="00DA62D2" w:rsidRDefault="005A7446" w:rsidP="00CB4719">
            <w:pPr>
              <w:spacing w:line="240" w:lineRule="auto"/>
              <w:jc w:val="right"/>
              <w:rPr>
                <w:rFonts w:eastAsia="Times New Roman" w:cs="Times New Roman"/>
                <w:color w:val="000000"/>
                <w:szCs w:val="24"/>
              </w:rPr>
            </w:pPr>
            <w:r>
              <w:rPr>
                <w:rFonts w:eastAsia="Times New Roman" w:cs="Times New Roman"/>
                <w:color w:val="000000"/>
                <w:szCs w:val="24"/>
              </w:rPr>
              <w:t>5.23E-08</w:t>
            </w:r>
          </w:p>
        </w:tc>
        <w:tc>
          <w:tcPr>
            <w:tcW w:w="1152" w:type="dxa"/>
            <w:shd w:val="clear" w:color="000000" w:fill="FFFFFF"/>
            <w:noWrap/>
            <w:vAlign w:val="center"/>
          </w:tcPr>
          <w:p w14:paraId="2D55FE25" w14:textId="2C150F07" w:rsidR="00B80F9B" w:rsidRPr="00DA62D2" w:rsidRDefault="00974377" w:rsidP="00CB4719">
            <w:pPr>
              <w:spacing w:line="240" w:lineRule="auto"/>
              <w:jc w:val="right"/>
              <w:rPr>
                <w:rFonts w:eastAsia="Times New Roman" w:cs="Times New Roman"/>
                <w:color w:val="000000"/>
                <w:szCs w:val="24"/>
              </w:rPr>
            </w:pPr>
            <w:r>
              <w:rPr>
                <w:rFonts w:eastAsia="Times New Roman" w:cs="Times New Roman"/>
                <w:color w:val="000000"/>
                <w:szCs w:val="24"/>
              </w:rPr>
              <w:t>4.52E-03</w:t>
            </w:r>
          </w:p>
        </w:tc>
      </w:tr>
      <w:tr w:rsidR="00B80F9B" w:rsidRPr="00DA62D2" w14:paraId="7FC40FD0" w14:textId="77777777" w:rsidTr="00610B0A">
        <w:trPr>
          <w:trHeight w:val="20"/>
          <w:jc w:val="center"/>
        </w:trPr>
        <w:tc>
          <w:tcPr>
            <w:tcW w:w="1152" w:type="dxa"/>
            <w:vMerge/>
            <w:vAlign w:val="center"/>
            <w:hideMark/>
          </w:tcPr>
          <w:p w14:paraId="40FD0FC7" w14:textId="77777777" w:rsidR="00B80F9B" w:rsidRPr="00DA62D2" w:rsidRDefault="00B80F9B" w:rsidP="00CB4719">
            <w:pPr>
              <w:spacing w:line="240" w:lineRule="auto"/>
              <w:jc w:val="center"/>
              <w:rPr>
                <w:rFonts w:eastAsia="Times New Roman" w:cs="Times New Roman"/>
                <w:color w:val="000000"/>
                <w:szCs w:val="24"/>
              </w:rPr>
            </w:pPr>
          </w:p>
        </w:tc>
        <w:tc>
          <w:tcPr>
            <w:tcW w:w="2736" w:type="dxa"/>
            <w:shd w:val="clear" w:color="000000" w:fill="FFFFFF"/>
            <w:noWrap/>
            <w:vAlign w:val="center"/>
            <w:hideMark/>
          </w:tcPr>
          <w:p w14:paraId="47532E1E" w14:textId="77777777" w:rsidR="00B80F9B" w:rsidRPr="00DA62D2" w:rsidRDefault="00B80F9B" w:rsidP="00CB4719">
            <w:pPr>
              <w:spacing w:line="240" w:lineRule="auto"/>
              <w:jc w:val="left"/>
              <w:rPr>
                <w:rFonts w:eastAsia="Times New Roman" w:cs="Times New Roman"/>
                <w:color w:val="000000"/>
                <w:szCs w:val="24"/>
              </w:rPr>
            </w:pPr>
            <w:r w:rsidRPr="00DA62D2">
              <w:rPr>
                <w:rFonts w:eastAsia="Times New Roman" w:cs="Times New Roman"/>
                <w:color w:val="000000"/>
                <w:szCs w:val="24"/>
              </w:rPr>
              <w:t>Tortuosity Gap + Gravity</w:t>
            </w:r>
          </w:p>
        </w:tc>
        <w:tc>
          <w:tcPr>
            <w:tcW w:w="1440" w:type="dxa"/>
            <w:shd w:val="clear" w:color="000000" w:fill="FFFFFF"/>
            <w:noWrap/>
            <w:vAlign w:val="center"/>
          </w:tcPr>
          <w:p w14:paraId="5D1D1328" w14:textId="0A157103" w:rsidR="00B80F9B" w:rsidRPr="00DA62D2" w:rsidRDefault="005A7446" w:rsidP="00CB4719">
            <w:pPr>
              <w:spacing w:line="240" w:lineRule="auto"/>
              <w:jc w:val="right"/>
              <w:rPr>
                <w:rFonts w:eastAsia="Times New Roman" w:cs="Times New Roman"/>
                <w:color w:val="000000"/>
                <w:szCs w:val="24"/>
              </w:rPr>
            </w:pPr>
            <w:r>
              <w:rPr>
                <w:rFonts w:eastAsia="Times New Roman" w:cs="Times New Roman"/>
                <w:color w:val="000000"/>
                <w:szCs w:val="24"/>
              </w:rPr>
              <w:t>5.93E-09</w:t>
            </w:r>
          </w:p>
        </w:tc>
        <w:tc>
          <w:tcPr>
            <w:tcW w:w="1152" w:type="dxa"/>
            <w:shd w:val="clear" w:color="000000" w:fill="FFFFFF"/>
            <w:noWrap/>
            <w:vAlign w:val="center"/>
          </w:tcPr>
          <w:p w14:paraId="3F74D2B4" w14:textId="30C51733" w:rsidR="00B80F9B" w:rsidRPr="00DA62D2" w:rsidRDefault="00974377" w:rsidP="00CB4719">
            <w:pPr>
              <w:spacing w:line="240" w:lineRule="auto"/>
              <w:jc w:val="right"/>
              <w:rPr>
                <w:rFonts w:eastAsia="Times New Roman" w:cs="Times New Roman"/>
                <w:color w:val="000000"/>
                <w:szCs w:val="24"/>
              </w:rPr>
            </w:pPr>
            <w:r>
              <w:rPr>
                <w:rFonts w:eastAsia="Times New Roman" w:cs="Times New Roman"/>
                <w:color w:val="000000"/>
                <w:szCs w:val="24"/>
              </w:rPr>
              <w:t>5.12E-04</w:t>
            </w:r>
          </w:p>
        </w:tc>
      </w:tr>
      <w:tr w:rsidR="00B80F9B" w:rsidRPr="00DA62D2" w14:paraId="6847E093" w14:textId="77777777" w:rsidTr="00610B0A">
        <w:trPr>
          <w:trHeight w:val="20"/>
          <w:jc w:val="center"/>
        </w:trPr>
        <w:tc>
          <w:tcPr>
            <w:tcW w:w="1152" w:type="dxa"/>
            <w:vMerge/>
            <w:vAlign w:val="center"/>
            <w:hideMark/>
          </w:tcPr>
          <w:p w14:paraId="1F9FA942" w14:textId="77777777" w:rsidR="00B80F9B" w:rsidRPr="00DA62D2" w:rsidRDefault="00B80F9B" w:rsidP="00CB4719">
            <w:pPr>
              <w:spacing w:line="240" w:lineRule="auto"/>
              <w:jc w:val="center"/>
              <w:rPr>
                <w:rFonts w:eastAsia="Times New Roman" w:cs="Times New Roman"/>
                <w:color w:val="000000"/>
                <w:szCs w:val="24"/>
              </w:rPr>
            </w:pPr>
          </w:p>
        </w:tc>
        <w:tc>
          <w:tcPr>
            <w:tcW w:w="2736" w:type="dxa"/>
            <w:shd w:val="clear" w:color="000000" w:fill="FFFFFF"/>
            <w:noWrap/>
            <w:vAlign w:val="center"/>
            <w:hideMark/>
          </w:tcPr>
          <w:p w14:paraId="4B2D04D8" w14:textId="77777777" w:rsidR="00B80F9B" w:rsidRPr="00DA62D2" w:rsidRDefault="00B80F9B" w:rsidP="00CB4719">
            <w:pPr>
              <w:spacing w:line="240" w:lineRule="auto"/>
              <w:jc w:val="left"/>
              <w:rPr>
                <w:rFonts w:eastAsia="Times New Roman" w:cs="Times New Roman"/>
                <w:color w:val="000000"/>
                <w:szCs w:val="24"/>
              </w:rPr>
            </w:pPr>
            <w:r w:rsidRPr="00DA62D2">
              <w:rPr>
                <w:rFonts w:eastAsia="Times New Roman" w:cs="Times New Roman"/>
                <w:color w:val="000000"/>
                <w:szCs w:val="24"/>
              </w:rPr>
              <w:t>FEA Gap</w:t>
            </w:r>
          </w:p>
        </w:tc>
        <w:tc>
          <w:tcPr>
            <w:tcW w:w="1440" w:type="dxa"/>
            <w:shd w:val="clear" w:color="000000" w:fill="FFFFFF"/>
            <w:noWrap/>
            <w:vAlign w:val="center"/>
          </w:tcPr>
          <w:p w14:paraId="191FB155" w14:textId="529546E8" w:rsidR="00B80F9B" w:rsidRPr="00DA62D2" w:rsidRDefault="005A7446" w:rsidP="00CB4719">
            <w:pPr>
              <w:spacing w:line="240" w:lineRule="auto"/>
              <w:jc w:val="right"/>
              <w:rPr>
                <w:rFonts w:eastAsia="Times New Roman" w:cs="Times New Roman"/>
                <w:color w:val="000000"/>
                <w:szCs w:val="24"/>
              </w:rPr>
            </w:pPr>
            <w:r>
              <w:rPr>
                <w:rFonts w:eastAsia="Times New Roman" w:cs="Times New Roman"/>
                <w:color w:val="000000"/>
                <w:szCs w:val="24"/>
              </w:rPr>
              <w:t>4.04E-06</w:t>
            </w:r>
          </w:p>
        </w:tc>
        <w:tc>
          <w:tcPr>
            <w:tcW w:w="1152" w:type="dxa"/>
            <w:shd w:val="clear" w:color="000000" w:fill="FFFFFF"/>
            <w:noWrap/>
            <w:vAlign w:val="center"/>
          </w:tcPr>
          <w:p w14:paraId="6FE2BBB4" w14:textId="75DA85D8" w:rsidR="00B80F9B" w:rsidRPr="00DA62D2" w:rsidRDefault="00974377" w:rsidP="00CB4719">
            <w:pPr>
              <w:spacing w:line="240" w:lineRule="auto"/>
              <w:jc w:val="right"/>
              <w:rPr>
                <w:rFonts w:eastAsia="Times New Roman" w:cs="Times New Roman"/>
                <w:color w:val="000000"/>
                <w:szCs w:val="24"/>
              </w:rPr>
            </w:pPr>
            <w:r>
              <w:rPr>
                <w:rFonts w:eastAsia="Times New Roman" w:cs="Times New Roman"/>
                <w:color w:val="000000"/>
                <w:szCs w:val="24"/>
              </w:rPr>
              <w:t>3.49E-01</w:t>
            </w:r>
          </w:p>
        </w:tc>
      </w:tr>
      <w:tr w:rsidR="00B80F9B" w:rsidRPr="00DA62D2" w14:paraId="234FF2BD" w14:textId="77777777" w:rsidTr="00610B0A">
        <w:trPr>
          <w:trHeight w:val="20"/>
          <w:jc w:val="center"/>
        </w:trPr>
        <w:tc>
          <w:tcPr>
            <w:tcW w:w="1152" w:type="dxa"/>
            <w:vMerge/>
            <w:vAlign w:val="center"/>
            <w:hideMark/>
          </w:tcPr>
          <w:p w14:paraId="287F4EBB" w14:textId="77777777" w:rsidR="00B80F9B" w:rsidRPr="00DA62D2" w:rsidRDefault="00B80F9B" w:rsidP="00CB4719">
            <w:pPr>
              <w:spacing w:line="240" w:lineRule="auto"/>
              <w:jc w:val="center"/>
              <w:rPr>
                <w:rFonts w:eastAsia="Times New Roman" w:cs="Times New Roman"/>
                <w:color w:val="000000"/>
                <w:szCs w:val="24"/>
              </w:rPr>
            </w:pPr>
          </w:p>
        </w:tc>
        <w:tc>
          <w:tcPr>
            <w:tcW w:w="2736" w:type="dxa"/>
            <w:shd w:val="clear" w:color="000000" w:fill="FFFFFF"/>
            <w:noWrap/>
            <w:vAlign w:val="center"/>
            <w:hideMark/>
          </w:tcPr>
          <w:p w14:paraId="36FC21EB" w14:textId="77777777" w:rsidR="00B80F9B" w:rsidRPr="00DA62D2" w:rsidRDefault="00B80F9B" w:rsidP="00CB4719">
            <w:pPr>
              <w:spacing w:line="240" w:lineRule="auto"/>
              <w:jc w:val="left"/>
              <w:rPr>
                <w:rFonts w:eastAsia="Times New Roman" w:cs="Times New Roman"/>
                <w:color w:val="000000"/>
                <w:szCs w:val="24"/>
              </w:rPr>
            </w:pPr>
            <w:r w:rsidRPr="00DA62D2">
              <w:rPr>
                <w:rFonts w:eastAsia="Times New Roman" w:cs="Times New Roman"/>
                <w:color w:val="000000"/>
                <w:szCs w:val="24"/>
              </w:rPr>
              <w:t>FEA Gap + Gravity</w:t>
            </w:r>
          </w:p>
        </w:tc>
        <w:tc>
          <w:tcPr>
            <w:tcW w:w="1440" w:type="dxa"/>
            <w:shd w:val="clear" w:color="000000" w:fill="FFFFFF"/>
            <w:noWrap/>
            <w:vAlign w:val="center"/>
          </w:tcPr>
          <w:p w14:paraId="01AE00E1" w14:textId="42865ED2" w:rsidR="00B80F9B" w:rsidRPr="00DA62D2" w:rsidRDefault="005A7446" w:rsidP="00CB4719">
            <w:pPr>
              <w:spacing w:line="240" w:lineRule="auto"/>
              <w:jc w:val="right"/>
              <w:rPr>
                <w:rFonts w:eastAsia="Times New Roman" w:cs="Times New Roman"/>
                <w:color w:val="000000"/>
                <w:szCs w:val="24"/>
              </w:rPr>
            </w:pPr>
            <w:r>
              <w:rPr>
                <w:rFonts w:eastAsia="Times New Roman" w:cs="Times New Roman"/>
                <w:color w:val="000000"/>
                <w:szCs w:val="24"/>
              </w:rPr>
              <w:t>4.58E-07</w:t>
            </w:r>
          </w:p>
        </w:tc>
        <w:tc>
          <w:tcPr>
            <w:tcW w:w="1152" w:type="dxa"/>
            <w:shd w:val="clear" w:color="000000" w:fill="FFFFFF"/>
            <w:noWrap/>
            <w:vAlign w:val="center"/>
          </w:tcPr>
          <w:p w14:paraId="0B645650" w14:textId="067974F9" w:rsidR="00B80F9B" w:rsidRPr="00DA62D2" w:rsidRDefault="00974377" w:rsidP="00CB4719">
            <w:pPr>
              <w:spacing w:line="240" w:lineRule="auto"/>
              <w:jc w:val="right"/>
              <w:rPr>
                <w:rFonts w:eastAsia="Times New Roman" w:cs="Times New Roman"/>
                <w:color w:val="000000"/>
                <w:szCs w:val="24"/>
              </w:rPr>
            </w:pPr>
            <w:r>
              <w:rPr>
                <w:rFonts w:eastAsia="Times New Roman" w:cs="Times New Roman"/>
                <w:color w:val="000000"/>
                <w:szCs w:val="24"/>
              </w:rPr>
              <w:t>3.96E-02</w:t>
            </w:r>
          </w:p>
        </w:tc>
      </w:tr>
    </w:tbl>
    <w:p w14:paraId="4D20058E" w14:textId="77777777" w:rsidR="00B80F9B" w:rsidRDefault="00B80F9B" w:rsidP="00B80F9B">
      <w:pPr>
        <w:ind w:left="720"/>
      </w:pPr>
    </w:p>
    <w:p w14:paraId="6081FF6C" w14:textId="392BFE52" w:rsidR="00B80F9B" w:rsidRDefault="00C356DF" w:rsidP="00FC216B">
      <w:pPr>
        <w:ind w:firstLine="720"/>
      </w:pPr>
      <w:r>
        <w:t xml:space="preserve">Investigating the </w:t>
      </w:r>
      <w:r w:rsidR="003A21F0">
        <w:t xml:space="preserve">three fracture methodologies (FEA, constant, and tortuosity) </w:t>
      </w:r>
      <w:r>
        <w:t xml:space="preserve">show that assuming a constant microannuli results in the </w:t>
      </w:r>
      <w:r w:rsidR="00EC5A38">
        <w:t xml:space="preserve">smallest </w:t>
      </w:r>
      <w:r>
        <w:t xml:space="preserve">flow rate whereas the FEA predicted microannuli results in the </w:t>
      </w:r>
      <w:r w:rsidR="00EC5A38">
        <w:t xml:space="preserve">largest </w:t>
      </w:r>
      <w:r>
        <w:t xml:space="preserve">flow rate for both an ideal and real gas. </w:t>
      </w:r>
      <w:r w:rsidR="00EC5A38">
        <w:t>The FEA predicted fracture volume is larger than assuming the microannuli remains constant from the simulation depth to TOC.</w:t>
      </w:r>
      <w:r w:rsidR="00B80F9B">
        <w:t xml:space="preserve"> </w:t>
      </w:r>
      <w:r w:rsidR="00D47D73">
        <w:t xml:space="preserve">Including </w:t>
      </w:r>
      <w:r w:rsidR="00B80F9B">
        <w:t>tortuosity</w:t>
      </w:r>
      <w:r w:rsidR="00EC5A38">
        <w:t xml:space="preserve"> in the fracture path</w:t>
      </w:r>
      <w:r w:rsidR="00B80F9B">
        <w:t xml:space="preserve"> </w:t>
      </w:r>
      <w:r w:rsidR="00EC5A38">
        <w:t xml:space="preserve">decreases the flow rate from assuming a constant microannuli. </w:t>
      </w:r>
      <w:r w:rsidR="00B80F9B">
        <w:t>This result is in agreement with Corina et al. (2020) in which the authors state that tortuosity decreases flow rate. However as shown by Lavrov and Torsaeter</w:t>
      </w:r>
      <w:r w:rsidR="00EF1323">
        <w:t xml:space="preserve"> (2018)</w:t>
      </w:r>
      <w:r w:rsidR="00B80F9B">
        <w:t xml:space="preserve">, the degree of tortuosity (standard deviation in this case) can affect the flow rate dramatically. The result from the methodologies shows that just assuming a constant microannuli value can </w:t>
      </w:r>
      <w:r w:rsidR="00EC5A38">
        <w:t xml:space="preserve">underestimate gas </w:t>
      </w:r>
      <w:r w:rsidR="00B80F9B">
        <w:t>leakage rates, even if the</w:t>
      </w:r>
      <w:r w:rsidR="001100FE">
        <w:t xml:space="preserve"> </w:t>
      </w:r>
      <w:r w:rsidR="00B80F9B">
        <w:t>assumed value is an average from a justified source (lab experim</w:t>
      </w:r>
      <w:r w:rsidR="00FC216B">
        <w:t>ents or numerical simulations).</w:t>
      </w:r>
    </w:p>
    <w:p w14:paraId="5D4EAFEE" w14:textId="07E6033A" w:rsidR="00B80F9B" w:rsidRPr="00587640" w:rsidRDefault="00C356DF" w:rsidP="00FC216B">
      <w:pPr>
        <w:ind w:firstLine="720"/>
        <w:rPr>
          <w:rFonts w:eastAsiaTheme="minorEastAsia"/>
        </w:rPr>
      </w:pPr>
      <w:r w:rsidRPr="00587640">
        <w:rPr>
          <w:rFonts w:eastAsiaTheme="minorEastAsia"/>
        </w:rPr>
        <w:t>From Table 5.1</w:t>
      </w:r>
      <w:r w:rsidR="00676784">
        <w:rPr>
          <w:rFonts w:eastAsiaTheme="minorEastAsia"/>
        </w:rPr>
        <w:t>3</w:t>
      </w:r>
      <w:r w:rsidRPr="00587640">
        <w:rPr>
          <w:rFonts w:eastAsiaTheme="minorEastAsia"/>
        </w:rPr>
        <w:t>, t</w:t>
      </w:r>
      <w:r w:rsidR="00B80F9B" w:rsidRPr="00587640">
        <w:rPr>
          <w:rFonts w:eastAsiaTheme="minorEastAsia"/>
        </w:rPr>
        <w:t xml:space="preserve">he percent difference between an ideal gas and a real gas is 1.0% for the constant gap, tortuosity gap, and FEA </w:t>
      </w:r>
      <w:r w:rsidRPr="00587640">
        <w:rPr>
          <w:rFonts w:eastAsiaTheme="minorEastAsia"/>
        </w:rPr>
        <w:t xml:space="preserve">predicted </w:t>
      </w:r>
      <w:r w:rsidR="00B80F9B" w:rsidRPr="00587640">
        <w:rPr>
          <w:rFonts w:eastAsiaTheme="minorEastAsia"/>
        </w:rPr>
        <w:t>gap</w:t>
      </w:r>
      <w:r w:rsidRPr="00587640">
        <w:rPr>
          <w:rFonts w:eastAsiaTheme="minorEastAsia"/>
        </w:rPr>
        <w:t xml:space="preserve">. </w:t>
      </w:r>
      <w:r w:rsidR="001100FE" w:rsidRPr="00587640">
        <w:rPr>
          <w:rFonts w:eastAsiaTheme="minorEastAsia"/>
        </w:rPr>
        <w:t>This result</w:t>
      </w:r>
      <w:r w:rsidRPr="00587640">
        <w:rPr>
          <w:rFonts w:eastAsiaTheme="minorEastAsia"/>
        </w:rPr>
        <w:t xml:space="preserve"> shows that when not accounting for gravity, the difference between a real gas and ideal gas is minor. Yet when the effect of gravity </w:t>
      </w:r>
      <w:r w:rsidRPr="00587640">
        <w:rPr>
          <w:rFonts w:eastAsiaTheme="minorEastAsia"/>
        </w:rPr>
        <w:lastRenderedPageBreak/>
        <w:t xml:space="preserve">is included in the leakage rate, </w:t>
      </w:r>
      <w:r w:rsidR="00B80F9B" w:rsidRPr="00587640">
        <w:rPr>
          <w:rFonts w:eastAsiaTheme="minorEastAsia"/>
        </w:rPr>
        <w:t xml:space="preserve">all three methods have a percent difference of 8.6%. </w:t>
      </w:r>
      <w:r w:rsidR="00E15222" w:rsidRPr="00587640">
        <w:rPr>
          <w:rFonts w:eastAsiaTheme="minorEastAsia"/>
        </w:rPr>
        <w:t xml:space="preserve">The difference of 8.6% for this well is not minor which indicates that not including compressibility of the gas and excluding the effect of gravity can overestimate gas leakage rates. </w:t>
      </w:r>
    </w:p>
    <w:p w14:paraId="2EC0132E" w14:textId="7961C4F5" w:rsidR="00B80F9B" w:rsidRDefault="00E15222" w:rsidP="00FC216B">
      <w:pPr>
        <w:ind w:firstLine="720"/>
      </w:pPr>
      <w:r w:rsidRPr="00587640">
        <w:rPr>
          <w:rFonts w:eastAsiaTheme="minorEastAsia"/>
        </w:rPr>
        <w:t>Analyzing the potential leakage rates of the case study well using the methodologies presented in the literature (water leakage, gas leakage, constant microannuli gap, and tortuosity gap) is shown in Table 5.1</w:t>
      </w:r>
      <w:r w:rsidR="00676784">
        <w:rPr>
          <w:rFonts w:eastAsiaTheme="minorEastAsia"/>
        </w:rPr>
        <w:t>4</w:t>
      </w:r>
      <w:r w:rsidRPr="00587640">
        <w:rPr>
          <w:rFonts w:eastAsiaTheme="minorEastAsia"/>
        </w:rPr>
        <w:t>.</w:t>
      </w:r>
      <w:r>
        <w:rPr>
          <w:rFonts w:eastAsiaTheme="minorEastAsia"/>
        </w:rPr>
        <w:t xml:space="preserve"> </w:t>
      </w:r>
    </w:p>
    <w:p w14:paraId="19AC9DC3" w14:textId="15388D99" w:rsidR="00B80F9B" w:rsidRDefault="00B80F9B" w:rsidP="00BC23AD">
      <w:pPr>
        <w:pStyle w:val="Caption"/>
      </w:pPr>
      <w:bookmarkStart w:id="159" w:name="_Toc67566109"/>
      <w:r>
        <w:t xml:space="preserve">Table </w:t>
      </w:r>
      <w:r w:rsidR="00077C0B">
        <w:fldChar w:fldCharType="begin"/>
      </w:r>
      <w:r w:rsidR="00077C0B">
        <w:instrText xml:space="preserve"> STYLEREF 1 \s </w:instrText>
      </w:r>
      <w:r w:rsidR="00077C0B">
        <w:fldChar w:fldCharType="separate"/>
      </w:r>
      <w:r w:rsidR="0006023A">
        <w:rPr>
          <w:noProof/>
        </w:rPr>
        <w:t>5</w:t>
      </w:r>
      <w:r w:rsidR="00077C0B">
        <w:rPr>
          <w:noProof/>
        </w:rPr>
        <w:fldChar w:fldCharType="end"/>
      </w:r>
      <w:r w:rsidR="00DD1F74">
        <w:t>.</w:t>
      </w:r>
      <w:r w:rsidR="00077C0B">
        <w:fldChar w:fldCharType="begin"/>
      </w:r>
      <w:r w:rsidR="00077C0B">
        <w:instrText xml:space="preserve"> SEQ Table \* ARABIC \s 1 </w:instrText>
      </w:r>
      <w:r w:rsidR="00077C0B">
        <w:fldChar w:fldCharType="separate"/>
      </w:r>
      <w:r w:rsidR="0006023A">
        <w:rPr>
          <w:noProof/>
        </w:rPr>
        <w:t>14</w:t>
      </w:r>
      <w:r w:rsidR="00077C0B">
        <w:rPr>
          <w:noProof/>
        </w:rPr>
        <w:fldChar w:fldCharType="end"/>
      </w:r>
      <w:r>
        <w:t>: Comparison of the literature methods for calculating cumulative leakage</w:t>
      </w:r>
      <w:r w:rsidR="00E15222">
        <w:t xml:space="preserve"> for the case study well</w:t>
      </w:r>
      <w:r>
        <w:t xml:space="preserve"> in comparison with the method presented in this work.</w:t>
      </w:r>
      <w:r w:rsidR="00F46C6B">
        <w:t xml:space="preserve"> The effect of using the FEA predicted microannuli along with analyzing a real gas with the effect of gravity reduces the total flow rate from the case study well.</w:t>
      </w:r>
      <w:bookmarkEnd w:id="159"/>
    </w:p>
    <w:tbl>
      <w:tblPr>
        <w:tblW w:w="9072" w:type="dxa"/>
        <w:jc w:val="center"/>
        <w:tblLook w:val="04A0" w:firstRow="1" w:lastRow="0" w:firstColumn="1" w:lastColumn="0" w:noHBand="0" w:noVBand="1"/>
      </w:tblPr>
      <w:tblGrid>
        <w:gridCol w:w="2160"/>
        <w:gridCol w:w="2736"/>
        <w:gridCol w:w="1152"/>
        <w:gridCol w:w="3024"/>
      </w:tblGrid>
      <w:tr w:rsidR="00B80F9B" w:rsidRPr="00AB450F" w14:paraId="550F9658" w14:textId="77777777" w:rsidTr="00A2269A">
        <w:trPr>
          <w:trHeight w:val="20"/>
          <w:jc w:val="center"/>
        </w:trPr>
        <w:tc>
          <w:tcPr>
            <w:tcW w:w="2160" w:type="dxa"/>
            <w:tcBorders>
              <w:bottom w:val="single" w:sz="4" w:space="0" w:color="auto"/>
            </w:tcBorders>
            <w:shd w:val="clear" w:color="000000" w:fill="FFFFFF"/>
            <w:noWrap/>
            <w:vAlign w:val="center"/>
            <w:hideMark/>
          </w:tcPr>
          <w:p w14:paraId="0E2CF159" w14:textId="77777777" w:rsidR="00B80F9B" w:rsidRPr="00AB450F" w:rsidRDefault="00B80F9B" w:rsidP="00CB4719">
            <w:pPr>
              <w:spacing w:line="240" w:lineRule="auto"/>
              <w:jc w:val="center"/>
              <w:rPr>
                <w:rFonts w:eastAsia="Times New Roman" w:cs="Times New Roman"/>
                <w:color w:val="000000"/>
                <w:szCs w:val="24"/>
              </w:rPr>
            </w:pPr>
            <w:r w:rsidRPr="00AB450F">
              <w:rPr>
                <w:rFonts w:eastAsia="Times New Roman" w:cs="Times New Roman"/>
                <w:color w:val="000000"/>
                <w:szCs w:val="24"/>
              </w:rPr>
              <w:t>Fluid</w:t>
            </w:r>
          </w:p>
        </w:tc>
        <w:tc>
          <w:tcPr>
            <w:tcW w:w="2736" w:type="dxa"/>
            <w:tcBorders>
              <w:bottom w:val="single" w:sz="4" w:space="0" w:color="auto"/>
            </w:tcBorders>
            <w:shd w:val="clear" w:color="000000" w:fill="FFFFFF"/>
            <w:noWrap/>
            <w:vAlign w:val="center"/>
            <w:hideMark/>
          </w:tcPr>
          <w:p w14:paraId="6D339CF3" w14:textId="77777777" w:rsidR="00B80F9B" w:rsidRPr="00AB450F" w:rsidRDefault="00B80F9B" w:rsidP="00CB4719">
            <w:pPr>
              <w:spacing w:line="240" w:lineRule="auto"/>
              <w:jc w:val="center"/>
              <w:rPr>
                <w:rFonts w:eastAsia="Times New Roman" w:cs="Times New Roman"/>
                <w:color w:val="000000"/>
                <w:szCs w:val="24"/>
              </w:rPr>
            </w:pPr>
            <w:r>
              <w:rPr>
                <w:rFonts w:eastAsia="Times New Roman" w:cs="Times New Roman"/>
                <w:color w:val="000000"/>
                <w:szCs w:val="24"/>
              </w:rPr>
              <w:t>Leakage Pathway Method</w:t>
            </w:r>
          </w:p>
        </w:tc>
        <w:tc>
          <w:tcPr>
            <w:tcW w:w="1152" w:type="dxa"/>
            <w:tcBorders>
              <w:bottom w:val="single" w:sz="4" w:space="0" w:color="auto"/>
            </w:tcBorders>
            <w:shd w:val="clear" w:color="000000" w:fill="FFFFFF"/>
            <w:vAlign w:val="center"/>
          </w:tcPr>
          <w:p w14:paraId="70190A44" w14:textId="6E202677" w:rsidR="00B80F9B" w:rsidRPr="00AB450F" w:rsidRDefault="00B80F9B" w:rsidP="00EC5A38">
            <w:pPr>
              <w:spacing w:line="240" w:lineRule="auto"/>
              <w:jc w:val="center"/>
              <w:rPr>
                <w:rFonts w:eastAsia="Times New Roman" w:cs="Times New Roman"/>
                <w:color w:val="000000"/>
                <w:szCs w:val="24"/>
              </w:rPr>
            </w:pPr>
            <w:r w:rsidRPr="00AB450F">
              <w:rPr>
                <w:rFonts w:eastAsia="Times New Roman" w:cs="Times New Roman"/>
                <w:color w:val="000000"/>
                <w:szCs w:val="24"/>
              </w:rPr>
              <w:t>Q (m</w:t>
            </w:r>
            <w:r w:rsidRPr="00AB450F">
              <w:rPr>
                <w:rFonts w:eastAsia="Times New Roman" w:cs="Times New Roman"/>
                <w:color w:val="000000"/>
                <w:szCs w:val="24"/>
                <w:vertAlign w:val="superscript"/>
              </w:rPr>
              <w:t>3</w:t>
            </w:r>
            <w:r w:rsidRPr="00AB450F">
              <w:rPr>
                <w:rFonts w:eastAsia="Times New Roman" w:cs="Times New Roman"/>
                <w:color w:val="000000"/>
                <w:szCs w:val="24"/>
              </w:rPr>
              <w:t>/day)</w:t>
            </w:r>
          </w:p>
        </w:tc>
        <w:tc>
          <w:tcPr>
            <w:tcW w:w="3024" w:type="dxa"/>
            <w:tcBorders>
              <w:bottom w:val="single" w:sz="4" w:space="0" w:color="auto"/>
            </w:tcBorders>
            <w:shd w:val="clear" w:color="000000" w:fill="FFFFFF"/>
            <w:noWrap/>
            <w:vAlign w:val="center"/>
          </w:tcPr>
          <w:p w14:paraId="0BABB370" w14:textId="77777777" w:rsidR="00B80F9B" w:rsidRPr="00AB450F" w:rsidRDefault="00B80F9B" w:rsidP="00CB4719">
            <w:pPr>
              <w:spacing w:line="240" w:lineRule="auto"/>
              <w:jc w:val="center"/>
              <w:rPr>
                <w:rFonts w:eastAsia="Times New Roman" w:cs="Times New Roman"/>
                <w:color w:val="000000"/>
                <w:szCs w:val="24"/>
              </w:rPr>
            </w:pPr>
            <w:r>
              <w:rPr>
                <w:rFonts w:eastAsia="Times New Roman" w:cs="Times New Roman"/>
                <w:color w:val="000000"/>
                <w:szCs w:val="24"/>
              </w:rPr>
              <w:t>Reference</w:t>
            </w:r>
          </w:p>
        </w:tc>
      </w:tr>
      <w:tr w:rsidR="00B80F9B" w:rsidRPr="00AB450F" w14:paraId="467DFEC2" w14:textId="77777777" w:rsidTr="00A2269A">
        <w:trPr>
          <w:trHeight w:val="20"/>
          <w:jc w:val="center"/>
        </w:trPr>
        <w:tc>
          <w:tcPr>
            <w:tcW w:w="2160" w:type="dxa"/>
            <w:tcBorders>
              <w:top w:val="single" w:sz="4" w:space="0" w:color="auto"/>
              <w:bottom w:val="single" w:sz="4" w:space="0" w:color="auto"/>
            </w:tcBorders>
            <w:shd w:val="clear" w:color="000000" w:fill="FFFFFF"/>
            <w:noWrap/>
            <w:vAlign w:val="center"/>
            <w:hideMark/>
          </w:tcPr>
          <w:p w14:paraId="520792D2" w14:textId="77777777" w:rsidR="00B80F9B" w:rsidRPr="00AB450F" w:rsidRDefault="00B80F9B" w:rsidP="00CB4719">
            <w:pPr>
              <w:spacing w:line="240" w:lineRule="auto"/>
              <w:jc w:val="center"/>
              <w:rPr>
                <w:rFonts w:eastAsia="Times New Roman" w:cs="Times New Roman"/>
                <w:color w:val="000000"/>
                <w:szCs w:val="24"/>
              </w:rPr>
            </w:pPr>
            <w:r w:rsidRPr="00AB450F">
              <w:rPr>
                <w:rFonts w:eastAsia="Times New Roman" w:cs="Times New Roman"/>
                <w:color w:val="000000"/>
                <w:szCs w:val="24"/>
              </w:rPr>
              <w:t>Water</w:t>
            </w:r>
          </w:p>
        </w:tc>
        <w:tc>
          <w:tcPr>
            <w:tcW w:w="2736" w:type="dxa"/>
            <w:tcBorders>
              <w:top w:val="single" w:sz="4" w:space="0" w:color="auto"/>
              <w:bottom w:val="single" w:sz="4" w:space="0" w:color="auto"/>
            </w:tcBorders>
            <w:shd w:val="clear" w:color="000000" w:fill="FFFFFF"/>
            <w:noWrap/>
            <w:vAlign w:val="center"/>
            <w:hideMark/>
          </w:tcPr>
          <w:p w14:paraId="07986EDD" w14:textId="77777777" w:rsidR="00B80F9B" w:rsidRPr="00AB450F" w:rsidRDefault="00B80F9B" w:rsidP="00CB4719">
            <w:pPr>
              <w:spacing w:line="240" w:lineRule="auto"/>
              <w:jc w:val="center"/>
              <w:rPr>
                <w:rFonts w:eastAsia="Times New Roman" w:cs="Times New Roman"/>
                <w:color w:val="000000"/>
                <w:szCs w:val="24"/>
              </w:rPr>
            </w:pPr>
            <w:r w:rsidRPr="00AB450F">
              <w:rPr>
                <w:rFonts w:eastAsia="Times New Roman" w:cs="Times New Roman"/>
                <w:color w:val="000000"/>
                <w:szCs w:val="24"/>
              </w:rPr>
              <w:t>Constant Gap</w:t>
            </w:r>
          </w:p>
        </w:tc>
        <w:tc>
          <w:tcPr>
            <w:tcW w:w="1152" w:type="dxa"/>
            <w:tcBorders>
              <w:top w:val="single" w:sz="4" w:space="0" w:color="auto"/>
              <w:bottom w:val="single" w:sz="4" w:space="0" w:color="auto"/>
            </w:tcBorders>
            <w:shd w:val="clear" w:color="000000" w:fill="FFFFFF"/>
            <w:vAlign w:val="center"/>
          </w:tcPr>
          <w:p w14:paraId="7DE1CF53" w14:textId="170E3DC6" w:rsidR="00B80F9B" w:rsidRPr="00AB450F" w:rsidRDefault="00974377" w:rsidP="00EC5A38">
            <w:pPr>
              <w:spacing w:line="240" w:lineRule="auto"/>
              <w:jc w:val="center"/>
              <w:rPr>
                <w:rFonts w:eastAsia="Times New Roman" w:cs="Times New Roman"/>
                <w:color w:val="000000"/>
                <w:szCs w:val="24"/>
              </w:rPr>
            </w:pPr>
            <w:r>
              <w:rPr>
                <w:rFonts w:eastAsia="Times New Roman" w:cs="Times New Roman"/>
                <w:color w:val="000000"/>
                <w:szCs w:val="24"/>
              </w:rPr>
              <w:t>2.54E-04</w:t>
            </w:r>
          </w:p>
        </w:tc>
        <w:tc>
          <w:tcPr>
            <w:tcW w:w="3024" w:type="dxa"/>
            <w:tcBorders>
              <w:top w:val="single" w:sz="4" w:space="0" w:color="auto"/>
              <w:bottom w:val="single" w:sz="4" w:space="0" w:color="auto"/>
            </w:tcBorders>
            <w:shd w:val="clear" w:color="000000" w:fill="FFFFFF"/>
            <w:noWrap/>
            <w:vAlign w:val="center"/>
          </w:tcPr>
          <w:p w14:paraId="5ADBA873" w14:textId="77777777" w:rsidR="00B80F9B" w:rsidRPr="007E7362" w:rsidRDefault="00B80F9B" w:rsidP="00CB4719">
            <w:pPr>
              <w:spacing w:line="240" w:lineRule="auto"/>
              <w:jc w:val="center"/>
              <w:rPr>
                <w:rFonts w:eastAsia="Times New Roman" w:cs="Times New Roman"/>
                <w:color w:val="000000"/>
                <w:szCs w:val="24"/>
                <w:lang w:val="nb-NO"/>
              </w:rPr>
            </w:pPr>
            <w:r w:rsidRPr="007E7362">
              <w:rPr>
                <w:rFonts w:eastAsia="Times New Roman" w:cs="Times New Roman"/>
                <w:color w:val="000000"/>
                <w:szCs w:val="24"/>
                <w:lang w:val="nb-NO"/>
              </w:rPr>
              <w:t>Ford et al. (2017)</w:t>
            </w:r>
          </w:p>
          <w:p w14:paraId="37DA2303" w14:textId="77777777" w:rsidR="00B80F9B" w:rsidRPr="00AB450F" w:rsidRDefault="00B80F9B" w:rsidP="00CB4719">
            <w:pPr>
              <w:spacing w:line="240" w:lineRule="auto"/>
              <w:jc w:val="center"/>
              <w:rPr>
                <w:rFonts w:eastAsia="Times New Roman" w:cs="Times New Roman"/>
                <w:color w:val="000000"/>
                <w:szCs w:val="24"/>
              </w:rPr>
            </w:pPr>
            <w:r w:rsidRPr="007E7362">
              <w:rPr>
                <w:lang w:val="nb-NO"/>
              </w:rPr>
              <w:t xml:space="preserve">Moeinikia et al. </w:t>
            </w:r>
            <w:r>
              <w:t>(2018)</w:t>
            </w:r>
          </w:p>
        </w:tc>
      </w:tr>
      <w:tr w:rsidR="00B80F9B" w:rsidRPr="00AB450F" w14:paraId="411C57CC" w14:textId="77777777" w:rsidTr="00A2269A">
        <w:trPr>
          <w:trHeight w:val="20"/>
          <w:jc w:val="center"/>
        </w:trPr>
        <w:tc>
          <w:tcPr>
            <w:tcW w:w="2160" w:type="dxa"/>
            <w:tcBorders>
              <w:top w:val="single" w:sz="4" w:space="0" w:color="auto"/>
              <w:bottom w:val="single" w:sz="4" w:space="0" w:color="auto"/>
            </w:tcBorders>
            <w:shd w:val="clear" w:color="000000" w:fill="FFFFFF"/>
            <w:vAlign w:val="center"/>
            <w:hideMark/>
          </w:tcPr>
          <w:p w14:paraId="6AA33C0E" w14:textId="77777777" w:rsidR="00B80F9B" w:rsidRPr="00AB450F" w:rsidRDefault="00B80F9B" w:rsidP="00CB4719">
            <w:pPr>
              <w:spacing w:line="240" w:lineRule="auto"/>
              <w:jc w:val="center"/>
              <w:rPr>
                <w:rFonts w:eastAsia="Times New Roman" w:cs="Times New Roman"/>
                <w:color w:val="000000"/>
                <w:szCs w:val="24"/>
              </w:rPr>
            </w:pPr>
            <w:r>
              <w:rPr>
                <w:rFonts w:eastAsia="Times New Roman" w:cs="Times New Roman"/>
                <w:color w:val="000000"/>
                <w:szCs w:val="24"/>
              </w:rPr>
              <w:t>Water</w:t>
            </w:r>
          </w:p>
        </w:tc>
        <w:tc>
          <w:tcPr>
            <w:tcW w:w="2736" w:type="dxa"/>
            <w:tcBorders>
              <w:top w:val="single" w:sz="4" w:space="0" w:color="auto"/>
              <w:bottom w:val="single" w:sz="4" w:space="0" w:color="auto"/>
            </w:tcBorders>
            <w:shd w:val="clear" w:color="000000" w:fill="FFFFFF"/>
            <w:noWrap/>
            <w:vAlign w:val="center"/>
            <w:hideMark/>
          </w:tcPr>
          <w:p w14:paraId="1343CE4A" w14:textId="77777777" w:rsidR="00B80F9B" w:rsidRPr="00AB450F" w:rsidRDefault="00B80F9B" w:rsidP="00CB4719">
            <w:pPr>
              <w:spacing w:line="240" w:lineRule="auto"/>
              <w:jc w:val="center"/>
              <w:rPr>
                <w:rFonts w:eastAsia="Times New Roman" w:cs="Times New Roman"/>
                <w:color w:val="000000"/>
                <w:szCs w:val="24"/>
              </w:rPr>
            </w:pPr>
            <w:r w:rsidRPr="00AB450F">
              <w:rPr>
                <w:rFonts w:eastAsia="Times New Roman" w:cs="Times New Roman"/>
                <w:color w:val="000000"/>
                <w:szCs w:val="24"/>
              </w:rPr>
              <w:t>Tortuosity Gap</w:t>
            </w:r>
          </w:p>
        </w:tc>
        <w:tc>
          <w:tcPr>
            <w:tcW w:w="1152" w:type="dxa"/>
            <w:tcBorders>
              <w:top w:val="single" w:sz="4" w:space="0" w:color="auto"/>
              <w:bottom w:val="single" w:sz="4" w:space="0" w:color="auto"/>
            </w:tcBorders>
            <w:shd w:val="clear" w:color="000000" w:fill="FFFFFF"/>
            <w:vAlign w:val="center"/>
          </w:tcPr>
          <w:p w14:paraId="2B4DA142" w14:textId="02208094" w:rsidR="00B80F9B" w:rsidRPr="00AB450F" w:rsidRDefault="00974377" w:rsidP="00CB4719">
            <w:pPr>
              <w:spacing w:line="240" w:lineRule="auto"/>
              <w:jc w:val="center"/>
              <w:rPr>
                <w:rFonts w:eastAsia="Times New Roman" w:cs="Times New Roman"/>
                <w:color w:val="000000"/>
                <w:szCs w:val="24"/>
              </w:rPr>
            </w:pPr>
            <w:r>
              <w:rPr>
                <w:rFonts w:eastAsia="Times New Roman" w:cs="Times New Roman"/>
                <w:color w:val="000000"/>
                <w:szCs w:val="24"/>
              </w:rPr>
              <w:t>2.01E-04</w:t>
            </w:r>
          </w:p>
        </w:tc>
        <w:tc>
          <w:tcPr>
            <w:tcW w:w="3024" w:type="dxa"/>
            <w:tcBorders>
              <w:top w:val="single" w:sz="4" w:space="0" w:color="auto"/>
              <w:bottom w:val="single" w:sz="4" w:space="0" w:color="auto"/>
            </w:tcBorders>
            <w:shd w:val="clear" w:color="000000" w:fill="FFFFFF"/>
            <w:noWrap/>
            <w:vAlign w:val="center"/>
          </w:tcPr>
          <w:p w14:paraId="5C30398A" w14:textId="3E121E1D" w:rsidR="00B80F9B" w:rsidRPr="00AB450F" w:rsidRDefault="00B80F9B" w:rsidP="00635825">
            <w:pPr>
              <w:spacing w:line="240" w:lineRule="auto"/>
              <w:jc w:val="center"/>
              <w:rPr>
                <w:rFonts w:eastAsia="Times New Roman" w:cs="Times New Roman"/>
                <w:color w:val="000000"/>
                <w:szCs w:val="24"/>
              </w:rPr>
            </w:pPr>
            <w:r>
              <w:rPr>
                <w:rFonts w:eastAsia="Times New Roman" w:cs="Times New Roman"/>
                <w:color w:val="000000"/>
                <w:szCs w:val="24"/>
              </w:rPr>
              <w:t>Lavrov and Torsaeter (201</w:t>
            </w:r>
            <w:r w:rsidR="00635825">
              <w:rPr>
                <w:rFonts w:eastAsia="Times New Roman" w:cs="Times New Roman"/>
                <w:color w:val="000000"/>
                <w:szCs w:val="24"/>
              </w:rPr>
              <w:t>8</w:t>
            </w:r>
            <w:r>
              <w:rPr>
                <w:rFonts w:eastAsia="Times New Roman" w:cs="Times New Roman"/>
                <w:color w:val="000000"/>
                <w:szCs w:val="24"/>
              </w:rPr>
              <w:t>)</w:t>
            </w:r>
          </w:p>
        </w:tc>
      </w:tr>
      <w:tr w:rsidR="00B80F9B" w:rsidRPr="00AB450F" w14:paraId="38CD3DEC" w14:textId="77777777" w:rsidTr="00A2269A">
        <w:trPr>
          <w:trHeight w:val="20"/>
          <w:jc w:val="center"/>
        </w:trPr>
        <w:tc>
          <w:tcPr>
            <w:tcW w:w="2160" w:type="dxa"/>
            <w:tcBorders>
              <w:top w:val="single" w:sz="4" w:space="0" w:color="auto"/>
              <w:bottom w:val="single" w:sz="4" w:space="0" w:color="auto"/>
            </w:tcBorders>
            <w:shd w:val="clear" w:color="000000" w:fill="FFFFFF"/>
            <w:noWrap/>
            <w:vAlign w:val="center"/>
            <w:hideMark/>
          </w:tcPr>
          <w:p w14:paraId="7760FFD4" w14:textId="77777777" w:rsidR="00B80F9B" w:rsidRPr="00AB450F" w:rsidRDefault="00B80F9B" w:rsidP="00CB4719">
            <w:pPr>
              <w:spacing w:line="240" w:lineRule="auto"/>
              <w:jc w:val="center"/>
              <w:rPr>
                <w:rFonts w:eastAsia="Times New Roman" w:cs="Times New Roman"/>
                <w:color w:val="000000"/>
                <w:szCs w:val="24"/>
              </w:rPr>
            </w:pPr>
            <w:r>
              <w:rPr>
                <w:rFonts w:eastAsia="Times New Roman" w:cs="Times New Roman"/>
                <w:color w:val="000000"/>
                <w:szCs w:val="24"/>
              </w:rPr>
              <w:t>Ideal Gas</w:t>
            </w:r>
          </w:p>
        </w:tc>
        <w:tc>
          <w:tcPr>
            <w:tcW w:w="2736" w:type="dxa"/>
            <w:tcBorders>
              <w:top w:val="single" w:sz="4" w:space="0" w:color="auto"/>
              <w:bottom w:val="single" w:sz="4" w:space="0" w:color="auto"/>
            </w:tcBorders>
            <w:shd w:val="clear" w:color="000000" w:fill="FFFFFF"/>
            <w:noWrap/>
            <w:vAlign w:val="center"/>
            <w:hideMark/>
          </w:tcPr>
          <w:p w14:paraId="5F43563C" w14:textId="77777777" w:rsidR="00B80F9B" w:rsidRPr="00AB450F" w:rsidRDefault="00B80F9B" w:rsidP="00CB4719">
            <w:pPr>
              <w:spacing w:line="240" w:lineRule="auto"/>
              <w:jc w:val="center"/>
              <w:rPr>
                <w:rFonts w:eastAsia="Times New Roman" w:cs="Times New Roman"/>
                <w:color w:val="000000"/>
                <w:szCs w:val="24"/>
              </w:rPr>
            </w:pPr>
            <w:r w:rsidRPr="00AB450F">
              <w:rPr>
                <w:rFonts w:eastAsia="Times New Roman" w:cs="Times New Roman"/>
                <w:color w:val="000000"/>
                <w:szCs w:val="24"/>
              </w:rPr>
              <w:t>Constant Gap</w:t>
            </w:r>
          </w:p>
        </w:tc>
        <w:tc>
          <w:tcPr>
            <w:tcW w:w="1152" w:type="dxa"/>
            <w:tcBorders>
              <w:top w:val="single" w:sz="4" w:space="0" w:color="auto"/>
              <w:bottom w:val="single" w:sz="4" w:space="0" w:color="auto"/>
            </w:tcBorders>
            <w:shd w:val="clear" w:color="000000" w:fill="FFFFFF"/>
            <w:vAlign w:val="center"/>
          </w:tcPr>
          <w:p w14:paraId="35501D21" w14:textId="589C2EAC" w:rsidR="00B80F9B" w:rsidRPr="00AB450F" w:rsidRDefault="00974377" w:rsidP="00CB4719">
            <w:pPr>
              <w:spacing w:line="240" w:lineRule="auto"/>
              <w:jc w:val="center"/>
              <w:rPr>
                <w:rFonts w:eastAsia="Times New Roman" w:cs="Times New Roman"/>
                <w:color w:val="000000"/>
                <w:szCs w:val="24"/>
              </w:rPr>
            </w:pPr>
            <w:r>
              <w:rPr>
                <w:rFonts w:eastAsia="Times New Roman" w:cs="Times New Roman"/>
                <w:color w:val="000000"/>
                <w:szCs w:val="24"/>
              </w:rPr>
              <w:t>5.77E-03</w:t>
            </w:r>
          </w:p>
        </w:tc>
        <w:tc>
          <w:tcPr>
            <w:tcW w:w="3024" w:type="dxa"/>
            <w:tcBorders>
              <w:top w:val="single" w:sz="4" w:space="0" w:color="auto"/>
              <w:bottom w:val="single" w:sz="4" w:space="0" w:color="auto"/>
            </w:tcBorders>
            <w:shd w:val="clear" w:color="000000" w:fill="FFFFFF"/>
            <w:noWrap/>
            <w:vAlign w:val="center"/>
          </w:tcPr>
          <w:p w14:paraId="5D7A52F4" w14:textId="77777777" w:rsidR="00B80F9B" w:rsidRPr="00AB450F" w:rsidRDefault="00B80F9B" w:rsidP="00CB4719">
            <w:pPr>
              <w:spacing w:line="240" w:lineRule="auto"/>
              <w:jc w:val="center"/>
              <w:rPr>
                <w:rFonts w:eastAsia="Times New Roman" w:cs="Times New Roman"/>
                <w:color w:val="000000"/>
                <w:szCs w:val="24"/>
              </w:rPr>
            </w:pPr>
            <w:r>
              <w:rPr>
                <w:rFonts w:eastAsia="Times New Roman" w:cs="Times New Roman"/>
                <w:color w:val="000000"/>
                <w:szCs w:val="24"/>
              </w:rPr>
              <w:t>Al Ramadan et al. (2019)</w:t>
            </w:r>
          </w:p>
        </w:tc>
      </w:tr>
      <w:tr w:rsidR="00B80F9B" w:rsidRPr="00AB450F" w14:paraId="2ECECD17" w14:textId="77777777" w:rsidTr="00A2269A">
        <w:trPr>
          <w:trHeight w:val="20"/>
          <w:jc w:val="center"/>
        </w:trPr>
        <w:tc>
          <w:tcPr>
            <w:tcW w:w="2160" w:type="dxa"/>
            <w:tcBorders>
              <w:top w:val="single" w:sz="4" w:space="0" w:color="auto"/>
            </w:tcBorders>
            <w:shd w:val="clear" w:color="000000" w:fill="FFFFFF"/>
            <w:vAlign w:val="center"/>
            <w:hideMark/>
          </w:tcPr>
          <w:p w14:paraId="34CD5410" w14:textId="0B3B7211" w:rsidR="00B80F9B" w:rsidRPr="00AB450F" w:rsidRDefault="00B80F9B" w:rsidP="00CB4719">
            <w:pPr>
              <w:spacing w:line="240" w:lineRule="auto"/>
              <w:jc w:val="center"/>
              <w:rPr>
                <w:rFonts w:eastAsia="Times New Roman" w:cs="Times New Roman"/>
                <w:color w:val="000000"/>
                <w:szCs w:val="24"/>
              </w:rPr>
            </w:pPr>
            <w:r>
              <w:rPr>
                <w:rFonts w:eastAsia="Times New Roman" w:cs="Times New Roman"/>
                <w:color w:val="000000"/>
                <w:szCs w:val="24"/>
              </w:rPr>
              <w:t>Real Gas</w:t>
            </w:r>
            <w:r w:rsidR="003A04A9">
              <w:rPr>
                <w:rFonts w:eastAsia="Times New Roman" w:cs="Times New Roman"/>
                <w:color w:val="000000"/>
                <w:szCs w:val="24"/>
              </w:rPr>
              <w:t xml:space="preserve"> + Gravity</w:t>
            </w:r>
          </w:p>
        </w:tc>
        <w:tc>
          <w:tcPr>
            <w:tcW w:w="2736" w:type="dxa"/>
            <w:tcBorders>
              <w:top w:val="single" w:sz="4" w:space="0" w:color="auto"/>
            </w:tcBorders>
            <w:shd w:val="clear" w:color="000000" w:fill="FFFFFF"/>
            <w:noWrap/>
            <w:vAlign w:val="center"/>
            <w:hideMark/>
          </w:tcPr>
          <w:p w14:paraId="441EAEAC" w14:textId="797C36AB" w:rsidR="00B80F9B" w:rsidRPr="00AB450F" w:rsidRDefault="003A04A9" w:rsidP="003A04A9">
            <w:pPr>
              <w:spacing w:line="240" w:lineRule="auto"/>
              <w:jc w:val="center"/>
              <w:rPr>
                <w:rFonts w:eastAsia="Times New Roman" w:cs="Times New Roman"/>
                <w:color w:val="000000"/>
                <w:szCs w:val="24"/>
              </w:rPr>
            </w:pPr>
            <w:r>
              <w:rPr>
                <w:rFonts w:eastAsia="Times New Roman" w:cs="Times New Roman"/>
                <w:color w:val="000000"/>
                <w:szCs w:val="24"/>
              </w:rPr>
              <w:t>FEA Gap</w:t>
            </w:r>
          </w:p>
        </w:tc>
        <w:tc>
          <w:tcPr>
            <w:tcW w:w="1152" w:type="dxa"/>
            <w:tcBorders>
              <w:top w:val="single" w:sz="4" w:space="0" w:color="auto"/>
            </w:tcBorders>
            <w:shd w:val="clear" w:color="000000" w:fill="FFFFFF"/>
            <w:vAlign w:val="center"/>
          </w:tcPr>
          <w:p w14:paraId="681FD38D" w14:textId="49DEE209" w:rsidR="00B80F9B" w:rsidRPr="00AB450F" w:rsidRDefault="00974377" w:rsidP="00CB4719">
            <w:pPr>
              <w:spacing w:line="240" w:lineRule="auto"/>
              <w:jc w:val="center"/>
              <w:rPr>
                <w:rFonts w:eastAsia="Times New Roman" w:cs="Times New Roman"/>
                <w:color w:val="000000"/>
                <w:szCs w:val="24"/>
              </w:rPr>
            </w:pPr>
            <w:r>
              <w:rPr>
                <w:rFonts w:eastAsia="Times New Roman" w:cs="Times New Roman"/>
                <w:color w:val="000000"/>
                <w:szCs w:val="24"/>
              </w:rPr>
              <w:t>3.96E-02</w:t>
            </w:r>
          </w:p>
        </w:tc>
        <w:tc>
          <w:tcPr>
            <w:tcW w:w="3024" w:type="dxa"/>
            <w:tcBorders>
              <w:top w:val="single" w:sz="4" w:space="0" w:color="auto"/>
            </w:tcBorders>
            <w:shd w:val="clear" w:color="000000" w:fill="FFFFFF"/>
            <w:noWrap/>
            <w:vAlign w:val="center"/>
          </w:tcPr>
          <w:p w14:paraId="2803A49C" w14:textId="77777777" w:rsidR="00B80F9B" w:rsidRPr="00AB450F" w:rsidRDefault="00B80F9B" w:rsidP="00CB4719">
            <w:pPr>
              <w:spacing w:line="240" w:lineRule="auto"/>
              <w:jc w:val="center"/>
              <w:rPr>
                <w:rFonts w:eastAsia="Times New Roman" w:cs="Times New Roman"/>
                <w:color w:val="000000"/>
                <w:szCs w:val="24"/>
              </w:rPr>
            </w:pPr>
          </w:p>
        </w:tc>
      </w:tr>
    </w:tbl>
    <w:p w14:paraId="4E9EABB8" w14:textId="77777777" w:rsidR="00B80F9B" w:rsidRDefault="00B80F9B" w:rsidP="00B80F9B">
      <w:pPr>
        <w:ind w:left="720"/>
      </w:pPr>
    </w:p>
    <w:p w14:paraId="16C05355" w14:textId="6814F6E2" w:rsidR="00C97F18" w:rsidRDefault="00E15222" w:rsidP="003A04A9">
      <w:pPr>
        <w:ind w:firstLine="720"/>
      </w:pPr>
      <w:r>
        <w:t>For the conditions and assumptions of the case study well, the methodology of Ford et al. (2017) and Moeinikia et al. (2018) would have predicted a leakage rate of</w:t>
      </w:r>
      <w:r>
        <w:rPr>
          <w:rFonts w:eastAsiaTheme="minorEastAsia"/>
        </w:rPr>
        <w:t xml:space="preserve"> </w:t>
      </w:r>
      <w:r w:rsidR="00974377">
        <w:rPr>
          <w:rFonts w:eastAsiaTheme="minorEastAsia"/>
        </w:rPr>
        <w:t>2.54E-04</w:t>
      </w:r>
      <w:r w:rsidRPr="00CE7D01">
        <w:t xml:space="preserve"> </w:t>
      </w:r>
      <m:oMath>
        <m:sSup>
          <m:sSupPr>
            <m:ctrlPr>
              <w:rPr>
                <w:rFonts w:ascii="Cambria Math" w:hAnsi="Cambria Math"/>
              </w:rPr>
            </m:ctrlPr>
          </m:sSupPr>
          <m:e>
            <m:r>
              <m:rPr>
                <m:sty m:val="p"/>
              </m:rPr>
              <w:rPr>
                <w:rFonts w:ascii="Cambria Math" w:hAnsi="Cambria Math"/>
              </w:rPr>
              <m:t>m</m:t>
            </m:r>
          </m:e>
          <m:sup>
            <m:r>
              <m:rPr>
                <m:sty m:val="p"/>
              </m:rPr>
              <w:rPr>
                <w:rFonts w:ascii="Cambria Math" w:hAnsi="Cambria Math"/>
              </w:rPr>
              <m:t>3</m:t>
            </m:r>
          </m:sup>
        </m:sSup>
        <m:r>
          <m:rPr>
            <m:sty m:val="p"/>
          </m:rPr>
          <w:rPr>
            <w:rFonts w:ascii="Cambria Math" w:hAnsi="Cambria Math"/>
          </w:rPr>
          <m:t>/day</m:t>
        </m:r>
      </m:oMath>
      <w:r>
        <w:rPr>
          <w:rFonts w:eastAsiaTheme="minorEastAsia"/>
        </w:rPr>
        <w:t xml:space="preserve"> for water with a constant microannuli gap</w:t>
      </w:r>
      <w:r w:rsidRPr="00CE7D01">
        <w:t>. Lavrov and Torsaeter</w:t>
      </w:r>
      <w:r>
        <w:t>’s</w:t>
      </w:r>
      <w:r w:rsidRPr="00CE7D01">
        <w:t xml:space="preserve"> (201</w:t>
      </w:r>
      <w:r w:rsidR="00EF1323">
        <w:t>8</w:t>
      </w:r>
      <w:r w:rsidRPr="00CE7D01">
        <w:t>)</w:t>
      </w:r>
      <w:r w:rsidR="003A04A9">
        <w:t xml:space="preserve"> water</w:t>
      </w:r>
      <w:r>
        <w:t xml:space="preserve"> tortuosity method</w:t>
      </w:r>
      <w:r>
        <w:rPr>
          <w:rFonts w:eastAsiaTheme="minorEastAsia"/>
        </w:rPr>
        <w:t xml:space="preserve"> </w:t>
      </w:r>
      <w:r w:rsidRPr="00CE7D01">
        <w:t xml:space="preserve">would predict a lower leakage rate of </w:t>
      </w:r>
      <w:r w:rsidR="00974377">
        <w:t>2.01E-04</w:t>
      </w:r>
      <w:r w:rsidRPr="00CE7D01">
        <w:t xml:space="preserve"> </w:t>
      </w:r>
      <m:oMath>
        <m:sSup>
          <m:sSupPr>
            <m:ctrlPr>
              <w:rPr>
                <w:rFonts w:ascii="Cambria Math" w:hAnsi="Cambria Math"/>
              </w:rPr>
            </m:ctrlPr>
          </m:sSupPr>
          <m:e>
            <m:r>
              <m:rPr>
                <m:sty m:val="p"/>
              </m:rPr>
              <w:rPr>
                <w:rFonts w:ascii="Cambria Math" w:hAnsi="Cambria Math"/>
              </w:rPr>
              <m:t>m</m:t>
            </m:r>
          </m:e>
          <m:sup>
            <m:r>
              <m:rPr>
                <m:sty m:val="p"/>
              </m:rPr>
              <w:rPr>
                <w:rFonts w:ascii="Cambria Math" w:hAnsi="Cambria Math"/>
              </w:rPr>
              <m:t>3</m:t>
            </m:r>
          </m:sup>
        </m:sSup>
        <m:r>
          <m:rPr>
            <m:sty m:val="p"/>
          </m:rPr>
          <w:rPr>
            <w:rFonts w:ascii="Cambria Math" w:hAnsi="Cambria Math"/>
          </w:rPr>
          <m:t>/day</m:t>
        </m:r>
      </m:oMath>
      <w:r w:rsidR="003A04A9">
        <w:rPr>
          <w:rFonts w:eastAsiaTheme="minorEastAsia"/>
        </w:rPr>
        <w:t xml:space="preserve">. </w:t>
      </w:r>
      <w:r w:rsidRPr="00CE7D01">
        <w:t>Al Ramadan et al.</w:t>
      </w:r>
      <w:r>
        <w:t>’s</w:t>
      </w:r>
      <w:r w:rsidRPr="00CE7D01">
        <w:t xml:space="preserve"> (2019) </w:t>
      </w:r>
      <w:r>
        <w:t xml:space="preserve">ideal gas </w:t>
      </w:r>
      <w:r w:rsidR="003A04A9">
        <w:t xml:space="preserve">leakage with a constant gap would predict a higher leakage rate of </w:t>
      </w:r>
      <w:r w:rsidR="00974377">
        <w:t>5.77E-03</w:t>
      </w:r>
      <w:r w:rsidRPr="00CE7D01">
        <w:t xml:space="preserve"> </w:t>
      </w:r>
      <m:oMath>
        <m:sSup>
          <m:sSupPr>
            <m:ctrlPr>
              <w:rPr>
                <w:rFonts w:ascii="Cambria Math" w:hAnsi="Cambria Math"/>
              </w:rPr>
            </m:ctrlPr>
          </m:sSupPr>
          <m:e>
            <m:r>
              <m:rPr>
                <m:sty m:val="p"/>
              </m:rPr>
              <w:rPr>
                <w:rFonts w:ascii="Cambria Math" w:hAnsi="Cambria Math"/>
              </w:rPr>
              <m:t>m</m:t>
            </m:r>
          </m:e>
          <m:sup>
            <m:r>
              <m:rPr>
                <m:sty m:val="p"/>
              </m:rPr>
              <w:rPr>
                <w:rFonts w:ascii="Cambria Math" w:hAnsi="Cambria Math"/>
              </w:rPr>
              <m:t>3</m:t>
            </m:r>
          </m:sup>
        </m:sSup>
        <m:r>
          <m:rPr>
            <m:sty m:val="p"/>
          </m:rPr>
          <w:rPr>
            <w:rFonts w:ascii="Cambria Math" w:hAnsi="Cambria Math"/>
          </w:rPr>
          <m:t>/day</m:t>
        </m:r>
      </m:oMath>
      <w:r w:rsidR="003A04A9">
        <w:rPr>
          <w:rFonts w:eastAsiaTheme="minorEastAsia"/>
        </w:rPr>
        <w:t xml:space="preserve">. </w:t>
      </w:r>
      <w:r w:rsidR="003A04A9">
        <w:t xml:space="preserve">The method presented in this work shows that using a realistic microannuli geometry with respect to depth, accounting for gas as the leaking fluid, and including the effect of gravity results in a leakage rate of </w:t>
      </w:r>
      <w:r w:rsidR="00974377">
        <w:t>3.96E-02</w:t>
      </w:r>
      <w:r w:rsidR="003A04A9">
        <w:t xml:space="preserve"> </w:t>
      </w:r>
      <m:oMath>
        <m:sSup>
          <m:sSupPr>
            <m:ctrlPr>
              <w:rPr>
                <w:rFonts w:ascii="Cambria Math" w:hAnsi="Cambria Math"/>
              </w:rPr>
            </m:ctrlPr>
          </m:sSupPr>
          <m:e>
            <m:r>
              <m:rPr>
                <m:sty m:val="p"/>
              </m:rPr>
              <w:rPr>
                <w:rFonts w:ascii="Cambria Math" w:hAnsi="Cambria Math"/>
              </w:rPr>
              <m:t>m</m:t>
            </m:r>
          </m:e>
          <m:sup>
            <m:r>
              <m:rPr>
                <m:sty m:val="p"/>
              </m:rPr>
              <w:rPr>
                <w:rFonts w:ascii="Cambria Math" w:hAnsi="Cambria Math"/>
              </w:rPr>
              <m:t>3</m:t>
            </m:r>
          </m:sup>
        </m:sSup>
        <m:r>
          <m:rPr>
            <m:sty m:val="p"/>
          </m:rPr>
          <w:rPr>
            <w:rFonts w:ascii="Cambria Math" w:hAnsi="Cambria Math"/>
          </w:rPr>
          <m:t>/day</m:t>
        </m:r>
      </m:oMath>
      <w:r w:rsidR="00EC5A38">
        <w:rPr>
          <w:rFonts w:eastAsiaTheme="minorEastAsia"/>
        </w:rPr>
        <w:t xml:space="preserve">. </w:t>
      </w:r>
      <w:r w:rsidR="0042553D">
        <w:rPr>
          <w:rFonts w:eastAsiaTheme="minorEastAsia"/>
        </w:rPr>
        <w:t>From the results in Table 5.14, the methods presented in the literature of using water or an ideal gas as a leaking fluid, neglecting the effect of gravity, and not including realistic microannuli geometry underestimate the potential cement sheath leakage of the case study well.</w:t>
      </w:r>
    </w:p>
    <w:p w14:paraId="0BCFC3E8" w14:textId="201B4DAE" w:rsidR="00EC0FE2" w:rsidRDefault="00EC0FE2" w:rsidP="00EC0FE2">
      <w:pPr>
        <w:pStyle w:val="Heading1"/>
      </w:pPr>
      <w:bookmarkStart w:id="160" w:name="_Toc67566061"/>
      <w:r>
        <w:lastRenderedPageBreak/>
        <w:t>Discussions</w:t>
      </w:r>
      <w:bookmarkEnd w:id="160"/>
    </w:p>
    <w:p w14:paraId="3C9B635D" w14:textId="704C192C" w:rsidR="00EC0FE2" w:rsidRDefault="00305EDB" w:rsidP="00EC0FE2">
      <w:pPr>
        <w:ind w:firstLine="720"/>
      </w:pPr>
      <w:r>
        <w:t>The f</w:t>
      </w:r>
      <w:r w:rsidR="00D47D73">
        <w:t xml:space="preserve">our </w:t>
      </w:r>
      <w:r w:rsidR="00EC0FE2">
        <w:t xml:space="preserve">main results </w:t>
      </w:r>
      <w:r w:rsidR="00D47D73">
        <w:t xml:space="preserve">presented in Chapter 5 are </w:t>
      </w:r>
      <w:r w:rsidR="00EC0FE2">
        <w:t>discussed</w:t>
      </w:r>
      <w:r w:rsidR="00D47D73">
        <w:t xml:space="preserve"> in this chapter</w:t>
      </w:r>
      <w:r w:rsidR="00EC0FE2">
        <w:t>. First</w:t>
      </w:r>
      <w:r>
        <w:t>,</w:t>
      </w:r>
      <w:r w:rsidR="00EC0FE2">
        <w:t xml:space="preserve"> is the effect of modeling the leaking fluid as a water versus a gas. Second</w:t>
      </w:r>
      <w:r>
        <w:t>,</w:t>
      </w:r>
      <w:r w:rsidR="00EC0FE2">
        <w:t xml:space="preserve"> is the effect cement shrinkage has on cement sheath integrity. Third</w:t>
      </w:r>
      <w:r>
        <w:t>,</w:t>
      </w:r>
      <w:r w:rsidR="00EC0FE2">
        <w:t xml:space="preserve"> is the effect of including in-situ confining stresses when modeling cement sheaths. Finally, the effect of including the shear failure and traction separation law in the FEA models is addressed.</w:t>
      </w:r>
    </w:p>
    <w:p w14:paraId="303FB696" w14:textId="77777777" w:rsidR="00EC0FE2" w:rsidRDefault="00EC0FE2" w:rsidP="00EC0FE2">
      <w:pPr>
        <w:pStyle w:val="Heading2"/>
      </w:pPr>
      <w:bookmarkStart w:id="161" w:name="_Toc67566062"/>
      <w:r>
        <w:t>Effect of Modeling Gas versus Water</w:t>
      </w:r>
      <w:bookmarkEnd w:id="161"/>
    </w:p>
    <w:p w14:paraId="3284DAAF" w14:textId="1E9B70B1" w:rsidR="0054388C" w:rsidRDefault="00EC0FE2" w:rsidP="00EC0FE2">
      <w:r>
        <w:tab/>
      </w:r>
      <w:r w:rsidR="009B7105">
        <w:t xml:space="preserve">Modeling leakage by assuming water as the leaking fluid has become standard in the industry, but is this method accurate? </w:t>
      </w:r>
      <w:r w:rsidR="009C1A06">
        <w:t>Researchers have performed experiments that replicated water leakage through cemented annuli (Aas et al. 2016). Performing numerical analysis of the experiments is valid since the experiments used water. But assuming water for all leakage simulations is not accurate</w:t>
      </w:r>
      <w:r w:rsidR="00A467D5">
        <w:t xml:space="preserve"> due to the following evidence</w:t>
      </w:r>
      <w:r w:rsidR="009C1A06">
        <w:t>. The driving force for wellbore leakage is the difference in pressure from the reservoir and the hydrostatic gradient. For a liquid (water, oil, etc</w:t>
      </w:r>
      <w:r w:rsidR="0054388C">
        <w:t>.</w:t>
      </w:r>
      <w:r w:rsidR="009C1A06">
        <w:t>), the difference can quickly dissipate due to the effect of gravity.</w:t>
      </w:r>
      <w:r w:rsidR="0054388C">
        <w:t xml:space="preserve"> Table 5.1 shows that Hagen-Poiseulle flow of water with gravity</w:t>
      </w:r>
      <w:r w:rsidR="009C1A06">
        <w:t xml:space="preserve"> </w:t>
      </w:r>
      <w:r w:rsidR="0054388C">
        <w:t xml:space="preserve">results </w:t>
      </w:r>
      <w:r w:rsidR="001C7F50">
        <w:t>in zero flow</w:t>
      </w:r>
      <w:r w:rsidR="0054388C">
        <w:t xml:space="preserve">. </w:t>
      </w:r>
      <w:r w:rsidR="001C7F50">
        <w:t xml:space="preserve">Zero </w:t>
      </w:r>
      <w:r w:rsidR="0054388C">
        <w:t xml:space="preserve">flow indicates that the </w:t>
      </w:r>
      <w:r w:rsidR="001C7F50">
        <w:t xml:space="preserve">pressure differential and the </w:t>
      </w:r>
      <w:r w:rsidR="0054388C">
        <w:t>hydrostatic head of the water column</w:t>
      </w:r>
      <w:r w:rsidR="001C7F50">
        <w:t xml:space="preserve"> cancel out.</w:t>
      </w:r>
      <w:r w:rsidR="0054388C">
        <w:t xml:space="preserve"> This analysis also presents another conclusion: </w:t>
      </w:r>
      <w:r w:rsidR="00F322BB">
        <w:t xml:space="preserve">previous work </w:t>
      </w:r>
      <w:r w:rsidR="0054388C">
        <w:t>(</w:t>
      </w:r>
      <w:r w:rsidR="009B1B56">
        <w:t xml:space="preserve">Ford et al. 2017; </w:t>
      </w:r>
      <w:r w:rsidR="0054388C">
        <w:t>Lavrov and Torsaeter 201</w:t>
      </w:r>
      <w:r w:rsidR="00EF1323">
        <w:t>8</w:t>
      </w:r>
      <w:r w:rsidR="009B1B56">
        <w:t>; Al Ramadan et al. 2019</w:t>
      </w:r>
      <w:r w:rsidR="0054388C">
        <w:t xml:space="preserve">) focus on flow rates when </w:t>
      </w:r>
      <w:r w:rsidR="00F322BB">
        <w:t xml:space="preserve">it </w:t>
      </w:r>
      <w:r w:rsidR="0054388C">
        <w:t xml:space="preserve">should </w:t>
      </w:r>
      <w:r w:rsidR="00F322BB">
        <w:t xml:space="preserve">consider </w:t>
      </w:r>
      <w:r w:rsidR="0054388C">
        <w:t>pressure differential. Pressure differentials drive the fluid (water, oil, methane, nitrogen, etc.) causing l</w:t>
      </w:r>
      <w:r w:rsidR="001C7F50">
        <w:t>eakage. Flow rates are a result</w:t>
      </w:r>
      <w:r w:rsidR="0054388C">
        <w:t xml:space="preserve"> of pressure differentials.</w:t>
      </w:r>
    </w:p>
    <w:p w14:paraId="74BE1009" w14:textId="696D0B28" w:rsidR="00530CFF" w:rsidRDefault="0054388C" w:rsidP="00EC0FE2">
      <w:r>
        <w:t xml:space="preserve"> </w:t>
      </w:r>
      <w:r w:rsidR="004633F5">
        <w:tab/>
      </w:r>
      <w:r w:rsidR="009C1A06">
        <w:t>With a gas</w:t>
      </w:r>
      <w:r w:rsidR="004633F5">
        <w:t xml:space="preserve"> as the leaking fluid</w:t>
      </w:r>
      <w:r w:rsidR="009C1A06">
        <w:t xml:space="preserve">, the density is much lower causing the pressure loss to become much lower. </w:t>
      </w:r>
      <w:r w:rsidR="00535B38">
        <w:t xml:space="preserve">Because </w:t>
      </w:r>
      <w:r w:rsidR="009C1A06">
        <w:t>the hydrostatic gradient stays the same, the driving pressure of</w:t>
      </w:r>
      <w:r w:rsidR="00FF664F">
        <w:t xml:space="preserve"> the gas will easily displace the pore pressure </w:t>
      </w:r>
      <w:r w:rsidR="00FF664F" w:rsidRPr="00FF664F">
        <w:t>fluid</w:t>
      </w:r>
      <w:r w:rsidR="009C1A06" w:rsidRPr="00FF664F">
        <w:t xml:space="preserve"> as shown in Figure 4.11. </w:t>
      </w:r>
      <w:r w:rsidRPr="00FF664F">
        <w:t xml:space="preserve">Even the assumption of </w:t>
      </w:r>
      <w:r w:rsidRPr="00FF664F">
        <w:lastRenderedPageBreak/>
        <w:t>neglecting the effect on gravity results in gas having a much higher leakage rate than water as shown in Table 5.1.</w:t>
      </w:r>
      <w:r>
        <w:t xml:space="preserve"> </w:t>
      </w:r>
    </w:p>
    <w:p w14:paraId="16B035E1" w14:textId="46143B8A" w:rsidR="00EC0FE2" w:rsidRDefault="004633F5" w:rsidP="004633F5">
      <w:pPr>
        <w:ind w:firstLine="720"/>
      </w:pPr>
      <w:r>
        <w:t xml:space="preserve">For a wellbore that has a microannuli path from the simulation depth to the top of cement, the geometry of the microannuli affects the leakage rate. Assuming an average microannuli produces a </w:t>
      </w:r>
      <w:r w:rsidR="000717AB">
        <w:t xml:space="preserve">smaller </w:t>
      </w:r>
      <w:r>
        <w:t>leakage rate than the FEA predicted microannuli (Table 5.1</w:t>
      </w:r>
      <w:r w:rsidR="00676784">
        <w:t>3</w:t>
      </w:r>
      <w:r>
        <w:t xml:space="preserve">). Combining the FEA predicted microannuli with gas as the leaking fluid results in a </w:t>
      </w:r>
      <w:r w:rsidR="000717AB">
        <w:t xml:space="preserve">larger </w:t>
      </w:r>
      <w:r>
        <w:t xml:space="preserve">leakage rate than assuming a constant microannuli with water neglecting gravity. The leakage rates </w:t>
      </w:r>
      <w:r w:rsidR="000717AB">
        <w:t xml:space="preserve">of </w:t>
      </w:r>
      <w:r>
        <w:t xml:space="preserve">the case study well </w:t>
      </w:r>
      <w:r w:rsidR="000717AB">
        <w:t xml:space="preserve">predicted by </w:t>
      </w:r>
      <w:r>
        <w:t>the methods of</w:t>
      </w:r>
      <w:r w:rsidR="009B1B56">
        <w:t xml:space="preserve"> Ford et al. (2017),</w:t>
      </w:r>
      <w:r>
        <w:t xml:space="preserve"> Lavrov and Torsaeter (201</w:t>
      </w:r>
      <w:r w:rsidR="00EF1323">
        <w:t>8</w:t>
      </w:r>
      <w:r>
        <w:t xml:space="preserve">), Moeinikia et al. (2018), and Al Ramadan et al. (2019) </w:t>
      </w:r>
      <w:r w:rsidRPr="001C7F50">
        <w:t xml:space="preserve">all </w:t>
      </w:r>
      <w:r w:rsidR="000717AB" w:rsidRPr="001C7F50">
        <w:t xml:space="preserve">underestimated </w:t>
      </w:r>
      <w:r w:rsidRPr="001C7F50">
        <w:t>the leakage rate by orders of m</w:t>
      </w:r>
      <w:r w:rsidR="00FF664F" w:rsidRPr="001C7F50">
        <w:t xml:space="preserve">agnitudes. </w:t>
      </w:r>
      <w:r>
        <w:t xml:space="preserve">Therefore, leakage models </w:t>
      </w:r>
      <w:r w:rsidR="00AD1CE9">
        <w:t>that yield an</w:t>
      </w:r>
      <w:r>
        <w:t xml:space="preserve"> accurate prediction of the microannuli should include the effect of gravity, and represent a real gas.</w:t>
      </w:r>
    </w:p>
    <w:p w14:paraId="010FC3AC" w14:textId="77777777" w:rsidR="00EC0FE2" w:rsidRDefault="00EC0FE2" w:rsidP="00EC0FE2">
      <w:pPr>
        <w:pStyle w:val="Heading2"/>
      </w:pPr>
      <w:bookmarkStart w:id="162" w:name="_Toc67566063"/>
      <w:r>
        <w:t>Effect of Shrinkage</w:t>
      </w:r>
      <w:bookmarkEnd w:id="162"/>
    </w:p>
    <w:p w14:paraId="54D2432C" w14:textId="5387EA82" w:rsidR="00EC0FE2" w:rsidRDefault="00EC0FE2" w:rsidP="00EC0FE2">
      <w:r>
        <w:tab/>
        <w:t>The effect of cement shrinkage on wellbore cement sheath integrity</w:t>
      </w:r>
      <w:r w:rsidR="00E024A3">
        <w:t xml:space="preserve"> is currently not included as a primary leakage pathway. Cement shrinkage was shown numerically to occur when analyzing </w:t>
      </w:r>
      <w:r w:rsidR="009B7105">
        <w:t>fluid flow through cement sheath experiments from Aas et al. (2016). The shrinkage was determined to be between</w:t>
      </w:r>
      <w:r w:rsidR="00E024A3">
        <w:t xml:space="preserve"> </w:t>
      </w:r>
      <w:r>
        <w:t>1.0-1.4% for the conventional cement. From the experiments performed by Corina et al. (2019), the authors determined that shrinkage was occurring in their cement mixture that did not have the expanding agent (samples SF120 and SF66)</w:t>
      </w:r>
      <w:r w:rsidR="009B7105">
        <w:t xml:space="preserve">, </w:t>
      </w:r>
      <w:r w:rsidR="00F322BB">
        <w:t xml:space="preserve">without quantifying </w:t>
      </w:r>
      <w:r w:rsidR="009B7105">
        <w:t>the shrinkage percent</w:t>
      </w:r>
      <w:r>
        <w:t xml:space="preserve">. Assuming the microannuli of the expanding agent samples (SF120EA) is purely hydraulically induced, the average microannuli can be subtracted from the average microannuli of the SF120 samples to determine the shrinkage induced microannuli. The difference in the average microannuli of SF120 and SF120EA is 13.5 μm. Using the equations for uniform </w:t>
      </w:r>
      <w:r w:rsidRPr="00FF664F">
        <w:t>shrinkage (Equations 4.</w:t>
      </w:r>
      <w:r w:rsidR="00EF64EC" w:rsidRPr="00FF664F">
        <w:t>49</w:t>
      </w:r>
      <w:r w:rsidRPr="00FF664F">
        <w:t>, 4.5</w:t>
      </w:r>
      <w:r w:rsidR="00EF64EC" w:rsidRPr="00FF664F">
        <w:t>0</w:t>
      </w:r>
      <w:r w:rsidRPr="00FF664F">
        <w:t>, and 4.5</w:t>
      </w:r>
      <w:r w:rsidR="00EF64EC" w:rsidRPr="00FF664F">
        <w:t>1</w:t>
      </w:r>
      <w:r w:rsidRPr="00FF664F">
        <w:t>), the</w:t>
      </w:r>
      <w:r>
        <w:t xml:space="preserve"> sample SF120 experienced 0.13% </w:t>
      </w:r>
      <w:r>
        <w:lastRenderedPageBreak/>
        <w:t xml:space="preserve">shrinkage. </w:t>
      </w:r>
      <w:r w:rsidR="00FF664F">
        <w:t xml:space="preserve">The shrinkage experienced in the samples, 0.13%, appears to be negligible, but provided a continuous leakage pathway at the cement interface even though the system was cured at an elevated pressure and temperature. </w:t>
      </w:r>
    </w:p>
    <w:p w14:paraId="2167D6D7" w14:textId="733D75A1" w:rsidR="00EC0FE2" w:rsidRDefault="00EC0FE2" w:rsidP="002C07F2">
      <w:pPr>
        <w:ind w:firstLine="720"/>
      </w:pPr>
      <w:r>
        <w:t>The shrinkage values from the Corina et al. (2019) and Aas et al. (2016) experiments do not appear to be very significant given that they are 0.13% and 1.4% respectively. Extrapolating these shrinkage values for the wellbore cement sheath dimensions for the case study well (casing OD = 0.2445 m and casing ID = 0.2168 m), the resulting microannuli is 9.5 μm for 0.13% shrinkage and 102.4 μm for 1.4% shrinkage.</w:t>
      </w:r>
      <w:r w:rsidR="002C07F2">
        <w:t xml:space="preserve"> </w:t>
      </w:r>
      <w:r>
        <w:t>Consequently, even minuscule cement shrinkage values can result in microannuli that can provide a leakage pathway. Therefore, cement shrinkage should be included as a primary failure mechanism of wellbores and included in wellbore integrity risk analysis. Cement shrinkage preventative additives are critical in maintaining wellbore integrity.</w:t>
      </w:r>
    </w:p>
    <w:p w14:paraId="27A9AB9B" w14:textId="77777777" w:rsidR="00EC0FE2" w:rsidRDefault="00EC0FE2" w:rsidP="00EC0FE2">
      <w:pPr>
        <w:pStyle w:val="Heading2"/>
      </w:pPr>
      <w:bookmarkStart w:id="163" w:name="_Toc67566064"/>
      <w:r>
        <w:t>Effect of Confinement</w:t>
      </w:r>
      <w:bookmarkEnd w:id="163"/>
    </w:p>
    <w:p w14:paraId="3329274F" w14:textId="7EE8DB7E" w:rsidR="00EC0FE2" w:rsidRDefault="00EC0FE2" w:rsidP="00EC0FE2">
      <w:r>
        <w:tab/>
      </w:r>
      <w:r w:rsidR="009B7105">
        <w:t xml:space="preserve">Using FEA to model wellbore cement to predict potential failure behavior has many benefits </w:t>
      </w:r>
      <w:r w:rsidR="002178E9">
        <w:t>in that it is</w:t>
      </w:r>
      <w:r w:rsidR="009B7105">
        <w:t xml:space="preserve"> quick and cheap to </w:t>
      </w:r>
      <w:r w:rsidR="002D2C2F">
        <w:t xml:space="preserve">produce </w:t>
      </w:r>
      <w:r w:rsidR="009B7105">
        <w:t xml:space="preserve">accurate stress responses. However, accurately modeling cement needs to include all the parameters to replicate downhole conditions. Downhole pressures and temperatures play a factor in </w:t>
      </w:r>
      <w:r w:rsidR="009B7105" w:rsidRPr="00FF664F">
        <w:t>cement stress, but the results from Chapter 5 show that confining stress play</w:t>
      </w:r>
      <w:r w:rsidR="00296550" w:rsidRPr="00FF664F">
        <w:t>s</w:t>
      </w:r>
      <w:r w:rsidR="009B7105" w:rsidRPr="00FF664F">
        <w:t xml:space="preserve"> a factor too. </w:t>
      </w:r>
      <w:r w:rsidRPr="00FF664F">
        <w:t xml:space="preserve">The effect of confining stress on cement elements in the FEA models is shown by examining the models presented in Section 5.2.3 and Section 5.3. Cement mechanical properties were varied in three FEA models shown in this work: the FEA fluid rheology model (Section 5.2.3; </w:t>
      </w:r>
      <w:r w:rsidR="000654ED">
        <w:t>P&amp;A model</w:t>
      </w:r>
      <w:r w:rsidRPr="00FF664F">
        <w:t xml:space="preserve">), the fracture model in Section 5.3 (medium well), and the fracture model in Section 5.5 (case study well). The </w:t>
      </w:r>
      <w:r w:rsidR="000654ED">
        <w:t>P&amp;A model</w:t>
      </w:r>
      <w:r w:rsidRPr="00FF664F">
        <w:t xml:space="preserve"> varied the cement mechanical properties by ± 75%. The medium well model varied the properties by ± 40%. The case study well </w:t>
      </w:r>
      <w:r w:rsidRPr="00FF664F">
        <w:lastRenderedPageBreak/>
        <w:t>model varied the mechanical properties based on the developed cement database (</w:t>
      </w:r>
      <m:oMath>
        <m:r>
          <w:rPr>
            <w:rFonts w:ascii="Cambria Math" w:hAnsi="Cambria Math"/>
          </w:rPr>
          <m:t>34%≤E≤149%</m:t>
        </m:r>
      </m:oMath>
      <w:r w:rsidRPr="00FF664F">
        <w:rPr>
          <w:rFonts w:eastAsiaTheme="minorEastAsia"/>
        </w:rPr>
        <w:t xml:space="preserve">; </w:t>
      </w:r>
      <m:oMath>
        <m:r>
          <w:rPr>
            <w:rFonts w:ascii="Cambria Math" w:eastAsiaTheme="minorEastAsia" w:hAnsi="Cambria Math"/>
          </w:rPr>
          <m:t>17%≤PR≤133%</m:t>
        </m:r>
      </m:oMath>
      <w:r w:rsidRPr="00FF664F">
        <w:rPr>
          <w:rFonts w:eastAsiaTheme="minorEastAsia"/>
        </w:rPr>
        <w:t>)</w:t>
      </w:r>
      <w:r w:rsidRPr="00FF664F">
        <w:t>. The resulting percent change (% Change) in reference to the microannuli gap is shown in Figure 6.1 for the cement Young’s modulus (</w:t>
      </w:r>
      <m:oMath>
        <m:r>
          <w:rPr>
            <w:rFonts w:ascii="Cambria Math" w:hAnsi="Cambria Math"/>
          </w:rPr>
          <m:t>E</m:t>
        </m:r>
      </m:oMath>
      <w:r w:rsidRPr="00FF664F">
        <w:t>) and in Figure 6.2 for the cement Poisson’s ratio (</w:t>
      </w:r>
      <m:oMath>
        <m:r>
          <w:rPr>
            <w:rFonts w:ascii="Cambria Math" w:hAnsi="Cambria Math"/>
          </w:rPr>
          <m:t>PR</m:t>
        </m:r>
      </m:oMath>
      <w:r w:rsidRPr="00FF664F">
        <w:t>).</w:t>
      </w:r>
    </w:p>
    <w:p w14:paraId="4CD5DEE9" w14:textId="707C07A7" w:rsidR="00EC0FE2" w:rsidRDefault="00B066B4" w:rsidP="00BC23AD">
      <w:pPr>
        <w:pStyle w:val="NoSpacing"/>
      </w:pPr>
      <w:r>
        <w:rPr>
          <w:noProof/>
        </w:rPr>
        <w:drawing>
          <wp:inline distT="0" distB="0" distL="0" distR="0" wp14:anchorId="61AD3F22" wp14:editId="7A0BFABB">
            <wp:extent cx="4114800" cy="411480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114800" cy="4114800"/>
                    </a:xfrm>
                    <a:prstGeom prst="rect">
                      <a:avLst/>
                    </a:prstGeom>
                    <a:noFill/>
                  </pic:spPr>
                </pic:pic>
              </a:graphicData>
            </a:graphic>
          </wp:inline>
        </w:drawing>
      </w:r>
    </w:p>
    <w:p w14:paraId="43D568FC" w14:textId="0D89EAEC" w:rsidR="00EC0FE2" w:rsidRDefault="00EC0FE2" w:rsidP="00BC23AD">
      <w:pPr>
        <w:pStyle w:val="Caption"/>
      </w:pPr>
      <w:bookmarkStart w:id="164" w:name="_Toc67566255"/>
      <w:r>
        <w:t xml:space="preserve">Figure </w:t>
      </w:r>
      <w:r w:rsidR="00077C0B">
        <w:fldChar w:fldCharType="begin"/>
      </w:r>
      <w:r w:rsidR="00077C0B">
        <w:instrText xml:space="preserve"> STYLEREF 1 \s </w:instrText>
      </w:r>
      <w:r w:rsidR="00077C0B">
        <w:fldChar w:fldCharType="separate"/>
      </w:r>
      <w:r w:rsidR="0006023A">
        <w:rPr>
          <w:noProof/>
        </w:rPr>
        <w:t>6</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1</w:t>
      </w:r>
      <w:r w:rsidR="00077C0B">
        <w:rPr>
          <w:noProof/>
        </w:rPr>
        <w:fldChar w:fldCharType="end"/>
      </w:r>
      <w:r>
        <w:t>: Sensitivity plot for normalized cement Young’s modulus (</w:t>
      </w:r>
      <m:oMath>
        <m:r>
          <m:rPr>
            <m:sty m:val="bi"/>
          </m:rPr>
          <w:rPr>
            <w:rFonts w:ascii="Cambria Math" w:hAnsi="Cambria Math"/>
          </w:rPr>
          <m:t>E</m:t>
        </m:r>
      </m:oMath>
      <w:r>
        <w:t>) versus the percent change in microannuli gap width.</w:t>
      </w:r>
      <w:r w:rsidR="00B066B4">
        <w:t xml:space="preserve"> Medium well (S</w:t>
      </w:r>
      <w:r w:rsidR="008C4AA7">
        <w:t xml:space="preserve">ection </w:t>
      </w:r>
      <w:r w:rsidR="00B066B4">
        <w:t>4.3) and c</w:t>
      </w:r>
      <w:r w:rsidR="008C4AA7">
        <w:t>as</w:t>
      </w:r>
      <w:r w:rsidR="00B066B4">
        <w:t>e study well (S</w:t>
      </w:r>
      <w:r w:rsidR="008C4AA7">
        <w:t xml:space="preserve">ection </w:t>
      </w:r>
      <w:r w:rsidR="00B066B4">
        <w:t>4.5</w:t>
      </w:r>
      <w:r w:rsidR="008C4AA7">
        <w:t>)</w:t>
      </w:r>
      <w:r w:rsidR="00B066B4">
        <w:t xml:space="preserve"> have confining stresses while P&amp;A</w:t>
      </w:r>
      <w:r w:rsidR="008C4AA7">
        <w:t xml:space="preserve"> model (</w:t>
      </w:r>
      <w:r w:rsidR="00B066B4">
        <w:t>Section 4.2.3</w:t>
      </w:r>
      <w:r w:rsidR="008C4AA7">
        <w:t xml:space="preserve">) has no confinement. The </w:t>
      </w:r>
      <w:r w:rsidR="00B066B4">
        <w:t xml:space="preserve">model confinement </w:t>
      </w:r>
      <w:r w:rsidR="008C4AA7">
        <w:t>reverse the effect Young’s modulus has on gap width.</w:t>
      </w:r>
      <w:bookmarkEnd w:id="164"/>
    </w:p>
    <w:p w14:paraId="6D296B4E" w14:textId="199D29F5" w:rsidR="00EC0FE2" w:rsidRPr="00057EA5" w:rsidRDefault="00EC0FE2" w:rsidP="00EC0FE2">
      <w:pPr>
        <w:ind w:firstLine="720"/>
      </w:pPr>
      <w:r>
        <w:t xml:space="preserve">As </w:t>
      </w:r>
      <w:r w:rsidRPr="00FF664F">
        <w:t xml:space="preserve">shown in Figure 6.1, </w:t>
      </w:r>
      <m:oMath>
        <m:r>
          <w:rPr>
            <w:rFonts w:ascii="Cambria Math" w:hAnsi="Cambria Math"/>
          </w:rPr>
          <m:t>E</m:t>
        </m:r>
      </m:oMath>
      <w:r w:rsidRPr="00FF664F">
        <w:t xml:space="preserve"> has various effects on the microannuli gap width depending on the model. For the </w:t>
      </w:r>
      <w:r w:rsidR="000654ED">
        <w:t>P&amp;A model</w:t>
      </w:r>
      <w:r w:rsidRPr="00FF664F">
        <w:t>, a decrease</w:t>
      </w:r>
      <w:r>
        <w:t xml:space="preserve"> in </w:t>
      </w:r>
      <m:oMath>
        <m:r>
          <w:rPr>
            <w:rFonts w:ascii="Cambria Math" w:hAnsi="Cambria Math"/>
          </w:rPr>
          <m:t>E</m:t>
        </m:r>
      </m:oMath>
      <w:r>
        <w:t xml:space="preserve"> causes an increase in microannuli width while an increase in </w:t>
      </w:r>
      <m:oMath>
        <m:r>
          <w:rPr>
            <w:rFonts w:ascii="Cambria Math" w:hAnsi="Cambria Math"/>
          </w:rPr>
          <m:t>E</m:t>
        </m:r>
      </m:oMath>
      <w:r>
        <w:t xml:space="preserve"> causes a decrease in microannuli width. This effect is opposite for the medium well and the case study well. The difference between the </w:t>
      </w:r>
      <w:r w:rsidR="000654ED">
        <w:t>P&amp;A model</w:t>
      </w:r>
      <w:r>
        <w:t xml:space="preserve"> and the two wellbores is confinement on the model. The </w:t>
      </w:r>
      <w:r w:rsidR="000654ED">
        <w:t>P&amp;A model</w:t>
      </w:r>
      <w:r>
        <w:t xml:space="preserve"> does not have in-situ stresses whereas the two wellbore </w:t>
      </w:r>
      <w:r>
        <w:lastRenderedPageBreak/>
        <w:t xml:space="preserve">models have rock in-situ stresses. This result shows that the cement mechanical properties has inverse effects depending on boundary conditions of the cement being modeled. However, even varying </w:t>
      </w:r>
      <m:oMath>
        <m:r>
          <w:rPr>
            <w:rFonts w:ascii="Cambria Math" w:hAnsi="Cambria Math"/>
          </w:rPr>
          <m:t>E</m:t>
        </m:r>
      </m:oMath>
      <w:r>
        <w:t xml:space="preserve"> by ±75% (in the </w:t>
      </w:r>
      <w:r w:rsidR="000654ED">
        <w:t>P&amp;A model</w:t>
      </w:r>
      <w:r>
        <w:t>), the change in microannuli gap width does not change from open to close.</w:t>
      </w:r>
    </w:p>
    <w:p w14:paraId="69066E6B" w14:textId="30F8A474" w:rsidR="00EC0FE2" w:rsidRDefault="00B066B4" w:rsidP="00BC23AD">
      <w:pPr>
        <w:pStyle w:val="NoSpacing"/>
      </w:pPr>
      <w:r>
        <w:rPr>
          <w:noProof/>
        </w:rPr>
        <w:drawing>
          <wp:inline distT="0" distB="0" distL="0" distR="0" wp14:anchorId="51C51B78" wp14:editId="63C98FBF">
            <wp:extent cx="4114800" cy="411480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114800" cy="4114800"/>
                    </a:xfrm>
                    <a:prstGeom prst="rect">
                      <a:avLst/>
                    </a:prstGeom>
                    <a:noFill/>
                  </pic:spPr>
                </pic:pic>
              </a:graphicData>
            </a:graphic>
          </wp:inline>
        </w:drawing>
      </w:r>
    </w:p>
    <w:p w14:paraId="36C6EC0B" w14:textId="322CC2B9" w:rsidR="00EC0FE2" w:rsidRDefault="00EC0FE2" w:rsidP="00BC23AD">
      <w:pPr>
        <w:pStyle w:val="Caption"/>
      </w:pPr>
      <w:bookmarkStart w:id="165" w:name="_Toc67566256"/>
      <w:r>
        <w:t xml:space="preserve">Figure </w:t>
      </w:r>
      <w:r w:rsidR="00077C0B">
        <w:fldChar w:fldCharType="begin"/>
      </w:r>
      <w:r w:rsidR="00077C0B">
        <w:instrText xml:space="preserve"> STYLEREF 1 \s </w:instrText>
      </w:r>
      <w:r w:rsidR="00077C0B">
        <w:fldChar w:fldCharType="separate"/>
      </w:r>
      <w:r w:rsidR="0006023A">
        <w:rPr>
          <w:noProof/>
        </w:rPr>
        <w:t>6</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2</w:t>
      </w:r>
      <w:r w:rsidR="00077C0B">
        <w:rPr>
          <w:noProof/>
        </w:rPr>
        <w:fldChar w:fldCharType="end"/>
      </w:r>
      <w:r>
        <w:rPr>
          <w:noProof/>
        </w:rPr>
        <w:t>:</w:t>
      </w:r>
      <w:r w:rsidR="00B066B4">
        <w:t xml:space="preserve"> Sensitivity plot for normalized cement Poisson’s ratio (</w:t>
      </w:r>
      <m:oMath>
        <m:r>
          <m:rPr>
            <m:sty m:val="bi"/>
          </m:rPr>
          <w:rPr>
            <w:rFonts w:ascii="Cambria Math" w:hAnsi="Cambria Math"/>
          </w:rPr>
          <m:t>PR</m:t>
        </m:r>
      </m:oMath>
      <w:r w:rsidR="00B066B4">
        <w:t>) versus the percent change in microannuli gap width. The medium well (Section 4.3) and case study well (Section 4.5) have confining stresses while the P&amp;A model (Section 4.2.3) has no confinement. The cement Poisson’s ratio has less than 5% effect on the microannuli gap with and without confinement.</w:t>
      </w:r>
      <w:bookmarkEnd w:id="165"/>
      <w:r w:rsidR="00B066B4">
        <w:t xml:space="preserve"> </w:t>
      </w:r>
    </w:p>
    <w:p w14:paraId="085A2E6D" w14:textId="4628AFF2" w:rsidR="00EC0FE2" w:rsidRDefault="00EC0FE2" w:rsidP="00EC0FE2">
      <w:r>
        <w:tab/>
        <w:t xml:space="preserve"> </w:t>
      </w:r>
      <w:r w:rsidRPr="00FF664F">
        <w:t xml:space="preserve">From Figure 6.2, the </w:t>
      </w:r>
      <m:oMath>
        <m:r>
          <w:rPr>
            <w:rFonts w:ascii="Cambria Math" w:hAnsi="Cambria Math"/>
          </w:rPr>
          <m:t>PR</m:t>
        </m:r>
      </m:oMath>
      <w:r w:rsidRPr="00FF664F">
        <w:t xml:space="preserve"> does not have as much of an effect as variation in </w:t>
      </w:r>
      <m:oMath>
        <m:r>
          <w:rPr>
            <w:rFonts w:ascii="Cambria Math" w:hAnsi="Cambria Math"/>
          </w:rPr>
          <m:t>E</m:t>
        </m:r>
      </m:oMath>
      <w:r w:rsidRPr="00FF664F">
        <w:t xml:space="preserve">. </w:t>
      </w:r>
      <m:oMath>
        <m:r>
          <w:rPr>
            <w:rFonts w:ascii="Cambria Math" w:hAnsi="Cambria Math"/>
          </w:rPr>
          <m:t>E</m:t>
        </m:r>
      </m:oMath>
      <w:r w:rsidRPr="00FF664F">
        <w:t xml:space="preserve"> has a maximum and minimum effect of 75% whereas </w:t>
      </w:r>
      <m:oMath>
        <m:r>
          <w:rPr>
            <w:rFonts w:ascii="Cambria Math" w:hAnsi="Cambria Math"/>
          </w:rPr>
          <m:t>PR</m:t>
        </m:r>
      </m:oMath>
      <w:r w:rsidRPr="00FF664F">
        <w:t xml:space="preserve"> has a maximum and minimum effect of 5%. A conclusion from the sensitivity analysis for the cement mechanical properties shows that changing the values of </w:t>
      </w:r>
      <m:oMath>
        <m:r>
          <w:rPr>
            <w:rFonts w:ascii="Cambria Math" w:hAnsi="Cambria Math"/>
          </w:rPr>
          <m:t>E</m:t>
        </m:r>
      </m:oMath>
      <w:r w:rsidRPr="00FF664F">
        <w:t xml:space="preserve"> and </w:t>
      </w:r>
      <m:oMath>
        <m:r>
          <w:rPr>
            <w:rFonts w:ascii="Cambria Math" w:hAnsi="Cambria Math"/>
          </w:rPr>
          <m:t>PR</m:t>
        </m:r>
      </m:oMath>
      <w:r w:rsidRPr="00FF664F">
        <w:t xml:space="preserve"> does not change </w:t>
      </w:r>
      <w:r w:rsidR="00F322BB">
        <w:t xml:space="preserve">the integrity of the </w:t>
      </w:r>
      <w:r w:rsidRPr="00FF664F">
        <w:t>cement sheath</w:t>
      </w:r>
      <w:r w:rsidR="00F322BB">
        <w:t xml:space="preserve">(i.e. </w:t>
      </w:r>
      <w:r w:rsidRPr="00FF664F">
        <w:t>if a microannuli gap is present, changing the mechanical properties does not prevent it from forming</w:t>
      </w:r>
      <w:r w:rsidR="00F322BB">
        <w:t>)</w:t>
      </w:r>
      <w:r w:rsidRPr="00FF664F">
        <w:t>. As shown in Table 5</w:t>
      </w:r>
      <w:r w:rsidR="00676784">
        <w:t>.12</w:t>
      </w:r>
      <w:r w:rsidRPr="00FF664F">
        <w:t>,</w:t>
      </w:r>
      <w:r>
        <w:t xml:space="preserve"> altering the bond strength between the cement and steel casing </w:t>
      </w:r>
      <w:r w:rsidR="00F322BB">
        <w:t xml:space="preserve">cause </w:t>
      </w:r>
      <w:r>
        <w:t xml:space="preserve">a </w:t>
      </w:r>
      <w:r>
        <w:lastRenderedPageBreak/>
        <w:t xml:space="preserve">20% </w:t>
      </w:r>
      <w:r w:rsidR="00F05BDF">
        <w:t>change</w:t>
      </w:r>
      <w:r w:rsidR="00F322BB">
        <w:t xml:space="preserve"> </w:t>
      </w:r>
      <w:r>
        <w:t xml:space="preserve">on the resulting microannuli. </w:t>
      </w:r>
      <w:r w:rsidR="009B7105">
        <w:t xml:space="preserve">The effect of confining stress on wellbore cements show that </w:t>
      </w:r>
      <w:r>
        <w:t>cement additives used to enhance</w:t>
      </w:r>
      <w:r w:rsidR="00530CFF">
        <w:t xml:space="preserve"> the compressive strength, tensile bond strength, and elasticity of wellbore cements tend to have miniscule effect on maintaining cement sheath integrity</w:t>
      </w:r>
      <w:r>
        <w:t xml:space="preserve">. </w:t>
      </w:r>
    </w:p>
    <w:p w14:paraId="09B5827D" w14:textId="77777777" w:rsidR="00EC0FE2" w:rsidRPr="007D1DA0" w:rsidRDefault="00EC0FE2" w:rsidP="00EC0FE2">
      <w:pPr>
        <w:pStyle w:val="Heading2"/>
      </w:pPr>
      <w:bookmarkStart w:id="166" w:name="_Toc67566065"/>
      <w:r>
        <w:t>Effect of Traction Separation Law</w:t>
      </w:r>
      <w:bookmarkEnd w:id="166"/>
    </w:p>
    <w:p w14:paraId="135BAB5D" w14:textId="77B414E9" w:rsidR="00EC0FE2" w:rsidRPr="00FF664F" w:rsidRDefault="00772069" w:rsidP="00EC0FE2">
      <w:pPr>
        <w:ind w:firstLine="720"/>
      </w:pPr>
      <w:r>
        <w:t>Debonding of the c</w:t>
      </w:r>
      <w:r w:rsidR="00530CFF">
        <w:t>ement sheath failure was shown to</w:t>
      </w:r>
      <w:r>
        <w:t xml:space="preserve"> be the primary failure mechanism in wellbores from performing simulations with the staged poro-elastic FEA stress continuum model. Shear failure, disking, and radial cracks were shown to not be a concern for confined cement sheaths. From Figures 5.8 and 5.9, the Mohr circles for the cement sheath interfaces show that tensile bond failure will occur before </w:t>
      </w:r>
      <w:r w:rsidR="00196A95">
        <w:t>Mohr-Coulomb shear failure</w:t>
      </w:r>
      <w:r w:rsidR="008C4AA7">
        <w:t xml:space="preserve"> and radial cracking in the cement</w:t>
      </w:r>
      <w:r>
        <w:t>. To understand tensile bond failure (debonding) more accurately, the traction separation law was incorporated into</w:t>
      </w:r>
      <w:r w:rsidR="00196A95">
        <w:t xml:space="preserve"> the staged FEA models (staged poro-elastic FEA fracture model) to replicate cement sheath debonding.</w:t>
      </w:r>
      <w:r>
        <w:t xml:space="preserve"> </w:t>
      </w:r>
      <w:r w:rsidR="00196A95">
        <w:t>The two main</w:t>
      </w:r>
      <w:r w:rsidR="00EC0FE2">
        <w:t xml:space="preserve"> differences between the</w:t>
      </w:r>
      <w:r w:rsidR="00196A95">
        <w:t xml:space="preserve"> stress continuum and fracture model are</w:t>
      </w:r>
      <w:r w:rsidR="00EC0FE2">
        <w:t xml:space="preserve">: the fracture model includes the traction separation law whereas the stress continuum model does not allow the different materials (casing, cement, and formation) to separate. The second difference is that the fracture model </w:t>
      </w:r>
      <w:r w:rsidR="00EC0FE2" w:rsidRPr="00FF664F">
        <w:t>explicitly incorporates pore pressure in the cement and rock formation elements whereas the stress continuum model incorporates pore pressure in the post analysis. The difference in the models is shown in in Table 5.</w:t>
      </w:r>
      <w:r w:rsidR="00676784">
        <w:t>8</w:t>
      </w:r>
      <w:r w:rsidR="00EC0FE2" w:rsidRPr="00FF664F">
        <w:t>. For the medium well, the stress continuum model predicts cement debonding at the casing/cement and cement/rock formation interface whereas the fracture model predicts debonding at the casing/cement interface. A similar trend is shown in the deep well. The stress continuum model predicts</w:t>
      </w:r>
      <w:r w:rsidR="00EC0FE2">
        <w:t xml:space="preserve"> debonding at the casing/cement interface, but the fracture model does not. Not including failure criteria explicitly within the model, such as Bois et al. (2017), Vu et al. (2018), and Bois et al. (2019), can result is </w:t>
      </w:r>
      <w:r w:rsidR="00EC0FE2">
        <w:lastRenderedPageBreak/>
        <w:t xml:space="preserve">exaggerated failure prediction in the model. Bois et al. (2019) (and all the previous models from their work) simulate their FEA well lifecycle models as decoupled system response curves that have a zero traction separation failure criteria. That means, that if the effective radial stress at the cement interface is tensile, a microannuli is </w:t>
      </w:r>
      <w:r w:rsidR="00EC0FE2" w:rsidRPr="00FF664F">
        <w:t>forming. Table 5.</w:t>
      </w:r>
      <w:r w:rsidR="00676784">
        <w:t>8</w:t>
      </w:r>
      <w:r w:rsidR="00EC0FE2" w:rsidRPr="00FF664F">
        <w:t xml:space="preserve"> show</w:t>
      </w:r>
      <w:r w:rsidR="00EC0FE2">
        <w:t xml:space="preserve">s that just because the cement sheath interface has tensile stress, a microannuli is not necessarily forming due to the mechanics of the traction separation law. Therefore, to accurately replicate wellbore cement sheath integrity, explicit poro-elastic FEA models with the traction separation law should be performed. The fracture model </w:t>
      </w:r>
      <w:r w:rsidR="00EC0FE2" w:rsidRPr="00FF664F">
        <w:t xml:space="preserve">represents a more realistic wellbore scenario since it incorporates the non-linearity of fracture mechanics explicitly within the model. </w:t>
      </w:r>
    </w:p>
    <w:p w14:paraId="3EC9B9DF" w14:textId="4EFB2744" w:rsidR="00EC0FE2" w:rsidRDefault="00EC0FE2" w:rsidP="00EC0FE2">
      <w:pPr>
        <w:ind w:firstLine="720"/>
      </w:pPr>
      <w:r w:rsidRPr="00FF664F">
        <w:t>An observation from Table 5.</w:t>
      </w:r>
      <w:r w:rsidR="00676784">
        <w:t>8</w:t>
      </w:r>
      <w:r w:rsidRPr="00FF664F">
        <w:t xml:space="preserve"> is that the effective stress of the medium well at the casing/cement interface in the fracture model is -0.40 MPa resulting in a microannuli gap width of 13.6 μm. As recalled from Table 4.3, the tensile bond strength of the casing/cement bond is 0.50 MPa. Remembering the traction separation law from Section 2.3.1, microannuli start to form when the tensile bond strength is reached. So for a microannuli gap to occur in the medium well, the tensile bond strength was reached. Since a microannuli is present, following the traction triangle (Figure 2.9; Figure 2.10), the stress at the bond is decreasing until the complete separation distance (</w:t>
      </w:r>
      <m:oMath>
        <m:sSub>
          <m:sSubPr>
            <m:ctrlPr>
              <w:rPr>
                <w:rFonts w:ascii="Cambria Math" w:hAnsi="Cambria Math"/>
                <w:i/>
              </w:rPr>
            </m:ctrlPr>
          </m:sSubPr>
          <m:e>
            <m:r>
              <w:rPr>
                <w:rFonts w:ascii="Cambria Math" w:hAnsi="Cambria Math"/>
              </w:rPr>
              <m:t>δ</m:t>
            </m:r>
          </m:e>
          <m:sub>
            <m:r>
              <w:rPr>
                <w:rFonts w:ascii="Cambria Math" w:hAnsi="Cambria Math"/>
              </w:rPr>
              <m:t>f</m:t>
            </m:r>
          </m:sub>
        </m:sSub>
      </m:oMath>
      <w:r w:rsidRPr="00FF664F">
        <w:rPr>
          <w:rFonts w:eastAsiaTheme="minorEastAsia"/>
        </w:rPr>
        <w:t>) is reached. This separation distance is 400 μm (</w:t>
      </w:r>
      <m:oMath>
        <m:sSub>
          <m:sSubPr>
            <m:ctrlPr>
              <w:rPr>
                <w:rFonts w:ascii="Cambria Math" w:hAnsi="Cambria Math"/>
                <w:i/>
              </w:rPr>
            </m:ctrlPr>
          </m:sSubPr>
          <m:e>
            <m:r>
              <w:rPr>
                <w:rFonts w:ascii="Cambria Math" w:hAnsi="Cambria Math"/>
              </w:rPr>
              <m:t>δ</m:t>
            </m:r>
          </m:e>
          <m:sub>
            <m:r>
              <w:rPr>
                <w:rFonts w:ascii="Cambria Math" w:hAnsi="Cambria Math"/>
              </w:rPr>
              <m:t>f</m:t>
            </m:r>
          </m:sub>
        </m:sSub>
        <m:r>
          <w:rPr>
            <w:rFonts w:ascii="Cambria Math" w:eastAsiaTheme="minorEastAsia" w:hAnsi="Cambria Math"/>
          </w:rPr>
          <m:t>=400</m:t>
        </m:r>
      </m:oMath>
      <w:r w:rsidRPr="00FF664F">
        <w:rPr>
          <w:rFonts w:eastAsiaTheme="minorEastAsia"/>
        </w:rPr>
        <w:t xml:space="preserve"> μm) given the parameters used for the traction separation law described in Section 4.3. Therefore,</w:t>
      </w:r>
      <w:r>
        <w:rPr>
          <w:rFonts w:eastAsiaTheme="minorEastAsia"/>
        </w:rPr>
        <w:t xml:space="preserve"> we know that the casing/cement bond is in the plastic region </w:t>
      </w:r>
      <w:r w:rsidR="004B5A1C">
        <w:rPr>
          <w:rFonts w:eastAsiaTheme="minorEastAsia"/>
        </w:rPr>
        <w:t>meaning that</w:t>
      </w:r>
      <w:r>
        <w:rPr>
          <w:rFonts w:eastAsiaTheme="minorEastAsia"/>
        </w:rPr>
        <w:t xml:space="preserve"> permanent damage is occurring, but the bond is not completely separated.</w:t>
      </w:r>
      <w:r>
        <w:t xml:space="preserve"> </w:t>
      </w:r>
      <w:r w:rsidR="00FF664F">
        <w:t>Since the bond is not completely separated, methods that replicate fluid penetration, such as the Reynold’s Lubrication Theorem in Section 2.10, are not able to model fluid leakage.</w:t>
      </w:r>
    </w:p>
    <w:p w14:paraId="5BEC647F" w14:textId="77777777" w:rsidR="00EC0FE2" w:rsidRPr="00FD72A6" w:rsidRDefault="00EC0FE2" w:rsidP="00EC0FE2">
      <w:pPr>
        <w:pStyle w:val="Heading2"/>
      </w:pPr>
      <w:bookmarkStart w:id="167" w:name="_Toc67566066"/>
      <w:r>
        <w:lastRenderedPageBreak/>
        <w:t>Implications of Wellbore Leakage in the Gulf of Mexico</w:t>
      </w:r>
      <w:bookmarkEnd w:id="167"/>
      <w:r>
        <w:t xml:space="preserve"> </w:t>
      </w:r>
    </w:p>
    <w:p w14:paraId="16D836BA" w14:textId="77777777" w:rsidR="00EC0FE2" w:rsidRDefault="00EC0FE2" w:rsidP="00EC0FE2">
      <w:pPr>
        <w:ind w:firstLine="720"/>
      </w:pPr>
      <w:r w:rsidRPr="00011A1A">
        <w:t xml:space="preserve">The results of this dissertation show that a flow chart can be developed to determine if a wellbore is at risk for leakage. The </w:t>
      </w:r>
      <w:r w:rsidRPr="00FF664F">
        <w:t>flowchart is shown in Figure 6.3.</w:t>
      </w:r>
    </w:p>
    <w:p w14:paraId="7FB84832" w14:textId="6481506E" w:rsidR="00EC0FE2" w:rsidRDefault="00BC23AD" w:rsidP="00BC23AD">
      <w:pPr>
        <w:pStyle w:val="NoSpacing"/>
      </w:pPr>
      <w:r>
        <w:rPr>
          <w:noProof/>
        </w:rPr>
        <w:lastRenderedPageBreak/>
        <w:drawing>
          <wp:inline distT="0" distB="0" distL="0" distR="0" wp14:anchorId="44EF22F9" wp14:editId="5E754AA3">
            <wp:extent cx="7772400" cy="5516422"/>
            <wp:effectExtent l="0" t="0" r="4128" b="4127"/>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rot="16200000">
                      <a:off x="0" y="0"/>
                      <a:ext cx="7772400" cy="5516422"/>
                    </a:xfrm>
                    <a:prstGeom prst="rect">
                      <a:avLst/>
                    </a:prstGeom>
                    <a:noFill/>
                  </pic:spPr>
                </pic:pic>
              </a:graphicData>
            </a:graphic>
          </wp:inline>
        </w:drawing>
      </w:r>
    </w:p>
    <w:p w14:paraId="5BB6A311" w14:textId="14DCF8AA" w:rsidR="00EC0FE2" w:rsidRDefault="00EC0FE2" w:rsidP="00BC23AD">
      <w:pPr>
        <w:pStyle w:val="Caption"/>
      </w:pPr>
      <w:bookmarkStart w:id="168" w:name="_Toc67566257"/>
      <w:r>
        <w:t xml:space="preserve">Figure </w:t>
      </w:r>
      <w:r w:rsidR="00077C0B">
        <w:fldChar w:fldCharType="begin"/>
      </w:r>
      <w:r w:rsidR="00077C0B">
        <w:instrText xml:space="preserve"> STYLEREF 1 \s </w:instrText>
      </w:r>
      <w:r w:rsidR="00077C0B">
        <w:fldChar w:fldCharType="separate"/>
      </w:r>
      <w:r w:rsidR="0006023A">
        <w:rPr>
          <w:noProof/>
        </w:rPr>
        <w:t>6</w:t>
      </w:r>
      <w:r w:rsidR="00077C0B">
        <w:rPr>
          <w:noProof/>
        </w:rPr>
        <w:fldChar w:fldCharType="end"/>
      </w:r>
      <w:r w:rsidR="00765F17">
        <w:t>.</w:t>
      </w:r>
      <w:r w:rsidR="00077C0B">
        <w:fldChar w:fldCharType="begin"/>
      </w:r>
      <w:r w:rsidR="00077C0B">
        <w:instrText xml:space="preserve"> SEQ Figure \* ARABIC \s 1 </w:instrText>
      </w:r>
      <w:r w:rsidR="00077C0B">
        <w:fldChar w:fldCharType="separate"/>
      </w:r>
      <w:r w:rsidR="0006023A">
        <w:rPr>
          <w:noProof/>
        </w:rPr>
        <w:t>3</w:t>
      </w:r>
      <w:r w:rsidR="00077C0B">
        <w:rPr>
          <w:noProof/>
        </w:rPr>
        <w:fldChar w:fldCharType="end"/>
      </w:r>
      <w:r>
        <w:t>: Flow chart for identifying if a well is at risk for microannuli and for leakage pathways to the environment based on cement shrinkage, reductions of pressure and/or temperature, and a gas source.</w:t>
      </w:r>
      <w:r w:rsidR="00E75698">
        <w:t xml:space="preserve"> The flow chart can either be used for wellbores in the planning stage or previously completed.</w:t>
      </w:r>
      <w:bookmarkEnd w:id="168"/>
    </w:p>
    <w:p w14:paraId="4F93E8FE" w14:textId="44E5AE2C" w:rsidR="004633F5" w:rsidRDefault="004633F5" w:rsidP="004633F5">
      <w:r>
        <w:lastRenderedPageBreak/>
        <w:tab/>
        <w:t xml:space="preserve">To predict if a wellbore will be experiencing leakage, two </w:t>
      </w:r>
      <w:r w:rsidR="00D04D6E">
        <w:t>scenarios of the wellbore leakage flow chart exist</w:t>
      </w:r>
      <w:r>
        <w:t>: wellbores</w:t>
      </w:r>
      <w:r w:rsidR="00D04D6E">
        <w:t xml:space="preserve"> are either in the planning stage or they were previously completed</w:t>
      </w:r>
      <w:r>
        <w:t xml:space="preserve">. For wellbores in the planning stage, cement shrinkage additives are critical in preventing microannuli from </w:t>
      </w:r>
      <w:r w:rsidR="00D0759B">
        <w:t xml:space="preserve">forming. If shrinkage preventative additives are not included, microannuli are likely to form causing a pathway for leakage. If additives are included, the next condition required for microannuli to form are pressure and/or temperature reductions. If pressure is maintained throughout the life of the well and the temperature does not decrease, microannuli are not probable. However, production is likely to cause the pressure to decrease resulting in the formation of microannuli. </w:t>
      </w:r>
      <w:r w:rsidR="008C4AA7">
        <w:t>I</w:t>
      </w:r>
      <w:r w:rsidR="00D0759B">
        <w:t>f a microannuli forms, the fracture needs a gas source for the propagation of the microannuli to the TOC. Without a gas source, water/oil is not likely to cause the fracture to propagate to the TOC.</w:t>
      </w:r>
    </w:p>
    <w:p w14:paraId="7154909A" w14:textId="6ACE0CD1" w:rsidR="00D0759B" w:rsidRPr="004633F5" w:rsidRDefault="00D0759B" w:rsidP="004633F5">
      <w:r>
        <w:tab/>
        <w:t xml:space="preserve">If the wellbore </w:t>
      </w:r>
      <w:r w:rsidR="00DF12EA">
        <w:t>has been</w:t>
      </w:r>
      <w:r w:rsidR="00D04D6E">
        <w:t xml:space="preserve"> completed, the wellbore can be classified as either active </w:t>
      </w:r>
      <w:r w:rsidR="00FF664F">
        <w:t xml:space="preserve">or </w:t>
      </w:r>
      <w:r w:rsidR="00FF664F" w:rsidRPr="00520DBD">
        <w:t>P</w:t>
      </w:r>
      <w:r w:rsidR="00520DBD">
        <w:t>&amp;A`ed</w:t>
      </w:r>
      <w:r w:rsidR="00D04D6E">
        <w:t xml:space="preserve">. </w:t>
      </w:r>
      <w:r>
        <w:t>If a wellbore is active, it probably has recent enough records to show if the cement used to complete the well had shrinkage preventative additives. If additives are not included, cement shrinkage will result in microannuli leading to leakage into the environment. If shrinkage preventative additives are included, the history of the well needs to be investigated. Did the well experience significant pressure reductions or did an event cause the temperature to decrease? If the answer to either of those questions is yes, then microannuli most likely occurred. If neither condition existed, microannuli</w:t>
      </w:r>
      <w:r w:rsidR="00D04D6E">
        <w:t xml:space="preserve"> are</w:t>
      </w:r>
      <w:r>
        <w:t xml:space="preserve"> not probable. With a microannuli forming due to pressure and/or temperature reductions, a gas source is required for the fracture to propagate up the wellbore leading to leakage. If a gas source is not available, microannuli are most likely in the well, but the fluid does not have a complete leakage path to migrate. If the wellbore was already </w:t>
      </w:r>
      <w:r w:rsidR="005E6E44">
        <w:t>P&amp;A</w:t>
      </w:r>
      <w:r w:rsidR="00FF664F">
        <w:t>’ed</w:t>
      </w:r>
      <w:r w:rsidR="005E6E44">
        <w:t xml:space="preserve"> </w:t>
      </w:r>
      <w:r w:rsidR="00D04D6E">
        <w:t xml:space="preserve">and </w:t>
      </w:r>
      <w:r w:rsidR="00D04D6E">
        <w:lastRenderedPageBreak/>
        <w:t>has been abandoned for decades in which the history or cement composition of the well is unknown, the leakage status of the well is not known a</w:t>
      </w:r>
      <w:r w:rsidR="005E6E44">
        <w:t>nd</w:t>
      </w:r>
      <w:r w:rsidR="00D04D6E">
        <w:t xml:space="preserve"> further investigation is required. </w:t>
      </w:r>
    </w:p>
    <w:p w14:paraId="089ABB97" w14:textId="77777777" w:rsidR="00EC0FE2" w:rsidRDefault="00EC0FE2" w:rsidP="00EC0FE2">
      <w:pPr>
        <w:pStyle w:val="Heading1"/>
      </w:pPr>
      <w:bookmarkStart w:id="169" w:name="_Toc67566067"/>
      <w:r>
        <w:lastRenderedPageBreak/>
        <w:t>Conclusions, Recommendations, and Future Work</w:t>
      </w:r>
      <w:bookmarkEnd w:id="169"/>
    </w:p>
    <w:p w14:paraId="331B3F5C" w14:textId="77777777" w:rsidR="00EC0FE2" w:rsidRDefault="00EC0FE2" w:rsidP="00EC0FE2">
      <w:pPr>
        <w:pStyle w:val="Heading2"/>
      </w:pPr>
      <w:bookmarkStart w:id="170" w:name="_Toc67566068"/>
      <w:r>
        <w:t>Conclusions and Recommendations</w:t>
      </w:r>
      <w:bookmarkEnd w:id="170"/>
    </w:p>
    <w:p w14:paraId="1EE37415" w14:textId="07404C98" w:rsidR="00A81101" w:rsidRDefault="00EC0FE2" w:rsidP="003E5034">
      <w:pPr>
        <w:spacing w:after="120"/>
        <w:ind w:firstLine="720"/>
      </w:pPr>
      <w:r>
        <w:t xml:space="preserve">The objective of this work </w:t>
      </w:r>
      <w:r w:rsidR="00A81101">
        <w:t xml:space="preserve">was </w:t>
      </w:r>
      <w:r>
        <w:t xml:space="preserve">to determine if leakage is occurring through the cement sheath in Gulf of Mexico wells. </w:t>
      </w:r>
      <w:r w:rsidR="00AE611F">
        <w:t>The</w:t>
      </w:r>
      <w:r>
        <w:t xml:space="preserve"> literature review show</w:t>
      </w:r>
      <w:r w:rsidR="004E13FE">
        <w:t>s</w:t>
      </w:r>
      <w:r>
        <w:t xml:space="preserve"> that current methods for predicting wellbore leakage are lacking in two major areas: current methods either assume a microannuli width and/or do not predict gas fluid leakage. The outcome of this dissertation resulted in the development of FEA models for wells of different depths in the Eugene Island OPD and an </w:t>
      </w:r>
      <w:r w:rsidR="00FF664F">
        <w:t>in-depth</w:t>
      </w:r>
      <w:r>
        <w:t xml:space="preserve"> case study of a well in the High Island OPD that was able to quantify microannuli magnitudes along the cement sheath. This work also resulted in the development of gas flow equations that were coupled with the FEA models to quantify realistic leakage rates through the microannuli</w:t>
      </w:r>
      <w:r w:rsidR="00305EDB">
        <w:t xml:space="preserve"> by</w:t>
      </w:r>
      <w:r w:rsidR="00BE39D4">
        <w:t xml:space="preserve"> </w:t>
      </w:r>
      <w:r w:rsidR="00A81101">
        <w:t>perform</w:t>
      </w:r>
      <w:r w:rsidR="00305EDB">
        <w:t>ing simulations</w:t>
      </w:r>
      <w:r w:rsidR="00A81101">
        <w:t xml:space="preserve"> in segments to replicate fracture propagation to the top of cement depth. The total leakage volume (fracture volume) can be determined through the use of a Riemann sum integral.</w:t>
      </w:r>
    </w:p>
    <w:p w14:paraId="2DBCB96B" w14:textId="29D94689" w:rsidR="00B271B0" w:rsidRDefault="00EC0FE2" w:rsidP="00B271B0">
      <w:pPr>
        <w:ind w:firstLine="720"/>
      </w:pPr>
      <w:r>
        <w:t>The main conclusions of this study show that:</w:t>
      </w:r>
    </w:p>
    <w:p w14:paraId="3B7F1DA0" w14:textId="22C221D2" w:rsidR="00305EDB" w:rsidRPr="00B271B0" w:rsidRDefault="00B271B0" w:rsidP="00FF2CA0">
      <w:pPr>
        <w:pStyle w:val="ListParagraph"/>
        <w:numPr>
          <w:ilvl w:val="0"/>
          <w:numId w:val="8"/>
        </w:numPr>
        <w:spacing w:after="120"/>
      </w:pPr>
      <w:r w:rsidRPr="00B271B0">
        <w:t>The most likely failure mechanism of wellbores in the study area is debonding between the cement sheath and casing. Tensile or shear fractures within the cement, and debonding of the cement-rock interface is not shown to be common.</w:t>
      </w:r>
    </w:p>
    <w:p w14:paraId="64BF4FE0" w14:textId="10F0C85D" w:rsidR="00EC0FE2" w:rsidRDefault="00B271B0" w:rsidP="00FF2CA0">
      <w:pPr>
        <w:pStyle w:val="ListParagraph"/>
        <w:numPr>
          <w:ilvl w:val="0"/>
          <w:numId w:val="8"/>
        </w:numPr>
        <w:spacing w:after="120"/>
      </w:pPr>
      <w:r w:rsidRPr="00B271B0">
        <w:t>A comparison of FEA models with failure criteria and stress continuum models was performed</w:t>
      </w:r>
      <w:r w:rsidR="00AE611F">
        <w:t>.</w:t>
      </w:r>
      <w:r w:rsidRPr="00B271B0">
        <w:t xml:space="preserve"> </w:t>
      </w:r>
      <w:r w:rsidR="00AE611F">
        <w:t>I</w:t>
      </w:r>
      <w:r w:rsidRPr="00B271B0">
        <w:t>ncluding failure criteria on the cement sheath interfaces in the FEA models predicts less cement failure compared to stress continuum models.</w:t>
      </w:r>
    </w:p>
    <w:p w14:paraId="1DCBBFCE" w14:textId="3EE6BF4F" w:rsidR="00B271B0" w:rsidRDefault="00B271B0" w:rsidP="00FF2CA0">
      <w:pPr>
        <w:pStyle w:val="ListParagraph"/>
        <w:numPr>
          <w:ilvl w:val="0"/>
          <w:numId w:val="8"/>
        </w:numPr>
        <w:spacing w:after="120"/>
      </w:pPr>
      <w:r w:rsidRPr="00B271B0">
        <w:t>Changes in internal casing pressure and/or temperature cause microannuli to form at the cement/casing interface. The magnitude of the microannuli can be estimated using the staged 3D FEA model developed within this work.</w:t>
      </w:r>
    </w:p>
    <w:p w14:paraId="3546193C" w14:textId="31021DB9" w:rsidR="00B271B0" w:rsidRDefault="00B271B0" w:rsidP="00FF2CA0">
      <w:pPr>
        <w:pStyle w:val="ListParagraph"/>
        <w:numPr>
          <w:ilvl w:val="0"/>
          <w:numId w:val="8"/>
        </w:numPr>
        <w:spacing w:after="120"/>
      </w:pPr>
      <w:r w:rsidRPr="00B271B0">
        <w:lastRenderedPageBreak/>
        <w:t>Sensitivity analysis of the wellbore input parameters on fracture width show that the parameters are more sensitive to reductions in pressure than temperature. The results were summarized into 1</w:t>
      </w:r>
      <w:r w:rsidRPr="00AE611F">
        <w:rPr>
          <w:vertAlign w:val="superscript"/>
        </w:rPr>
        <w:t>st</w:t>
      </w:r>
      <w:r w:rsidRPr="00B271B0">
        <w:t>, 2</w:t>
      </w:r>
      <w:r w:rsidRPr="00AE611F">
        <w:rPr>
          <w:vertAlign w:val="superscript"/>
        </w:rPr>
        <w:t>nd</w:t>
      </w:r>
      <w:r w:rsidRPr="00B271B0">
        <w:t>, and 3</w:t>
      </w:r>
      <w:r w:rsidRPr="00AE611F">
        <w:rPr>
          <w:vertAlign w:val="superscript"/>
        </w:rPr>
        <w:t>rd</w:t>
      </w:r>
      <w:r w:rsidRPr="00B271B0">
        <w:t xml:space="preserve"> order parameters based on the change in maximum gap width from the base case scenario. The 1</w:t>
      </w:r>
      <w:r w:rsidRPr="00AE611F">
        <w:rPr>
          <w:vertAlign w:val="superscript"/>
        </w:rPr>
        <w:t>st</w:t>
      </w:r>
      <w:r w:rsidR="00AE611F">
        <w:t xml:space="preserve"> </w:t>
      </w:r>
      <w:r w:rsidRPr="00B271B0">
        <w:t>order parameters had the largest effect while the 3</w:t>
      </w:r>
      <w:r w:rsidRPr="00AE611F">
        <w:rPr>
          <w:vertAlign w:val="superscript"/>
        </w:rPr>
        <w:t>rd</w:t>
      </w:r>
      <w:r w:rsidR="00AE611F">
        <w:t xml:space="preserve"> </w:t>
      </w:r>
      <w:r w:rsidRPr="00B271B0">
        <w:t>order parameters had little to no effect. The 1</w:t>
      </w:r>
      <w:r w:rsidRPr="00AE611F">
        <w:rPr>
          <w:vertAlign w:val="superscript"/>
        </w:rPr>
        <w:t>st</w:t>
      </w:r>
      <w:r w:rsidRPr="00B271B0">
        <w:t xml:space="preserve"> order parameters are reductions in pressure with larger borehole size and thinner casing thickness. Reductions in temperature did not have any 1</w:t>
      </w:r>
      <w:r w:rsidRPr="00AE611F">
        <w:rPr>
          <w:vertAlign w:val="superscript"/>
        </w:rPr>
        <w:t>st</w:t>
      </w:r>
      <w:r w:rsidRPr="00B271B0">
        <w:t xml:space="preserve"> order parameters.</w:t>
      </w:r>
    </w:p>
    <w:p w14:paraId="26806382" w14:textId="0FBD3024" w:rsidR="00B271B0" w:rsidRDefault="00B271B0" w:rsidP="00FF2CA0">
      <w:pPr>
        <w:pStyle w:val="ListParagraph"/>
        <w:numPr>
          <w:ilvl w:val="0"/>
          <w:numId w:val="8"/>
        </w:numPr>
        <w:spacing w:after="120"/>
      </w:pPr>
      <w:r w:rsidRPr="00B271B0">
        <w:t xml:space="preserve">Combinations of reduction in pressure and temperature increase the magnitude of the microannuli in the wellbore. Alternatively, reductions in pressure and increases in temperature can reduce the magnitude of the microannuli and vice versa. Heat maps for four separate depths with </w:t>
      </w:r>
      <w:r w:rsidRPr="00B271B0">
        <w:rPr>
          <w:rFonts w:ascii="Cambria Math" w:hAnsi="Cambria Math" w:cs="Cambria Math"/>
        </w:rPr>
        <w:t>𝛥𝑃</w:t>
      </w:r>
      <w:r w:rsidRPr="00B271B0">
        <w:t xml:space="preserve"> and </w:t>
      </w:r>
      <w:r w:rsidRPr="00B271B0">
        <w:rPr>
          <w:rFonts w:ascii="Cambria Math" w:hAnsi="Cambria Math" w:cs="Cambria Math"/>
        </w:rPr>
        <w:t>𝛥𝑇</w:t>
      </w:r>
      <w:r w:rsidRPr="00B271B0">
        <w:t xml:space="preserve"> of ± 60% were developed. These results can determine if existing wellbores likely have cement sheath integrity issues or can be used to plan the design and construction of a wellbore with integrity</w:t>
      </w:r>
      <w:r>
        <w:t>.</w:t>
      </w:r>
    </w:p>
    <w:p w14:paraId="67EC90B8" w14:textId="771CF390" w:rsidR="00B271B0" w:rsidRDefault="00B271B0" w:rsidP="00FF2CA0">
      <w:pPr>
        <w:pStyle w:val="ListParagraph"/>
        <w:numPr>
          <w:ilvl w:val="0"/>
          <w:numId w:val="8"/>
        </w:numPr>
        <w:spacing w:after="120"/>
      </w:pPr>
      <w:r w:rsidRPr="00B271B0">
        <w:t>Wellbore cement additives (excluding shrinkage preventative additives) used for achieving mechanical wellbore cement sheath integrity by changing the Young’s modulus or Poisson’s ratio have a minimal effect on maintaining cement integrity in terms of cement sheath debonding</w:t>
      </w:r>
      <w:r>
        <w:t>.</w:t>
      </w:r>
    </w:p>
    <w:p w14:paraId="2CB8C50A" w14:textId="393B17B3" w:rsidR="00B271B0" w:rsidRDefault="00B271B0" w:rsidP="00FF2CA0">
      <w:pPr>
        <w:pStyle w:val="ListParagraph"/>
        <w:numPr>
          <w:ilvl w:val="0"/>
          <w:numId w:val="8"/>
        </w:numPr>
        <w:spacing w:after="120"/>
      </w:pPr>
      <w:r w:rsidRPr="00B271B0">
        <w:t>Analysis of cemented tubing in casing wellbore leakage experiments show that volumetric shrinkage of conventional cement is approximately 1% and is the dominant factor of fracture width in leakage simulations. Shrinkage preventative additives should be included in the cement slurry design to ensure wellbore cement sheath integrity</w:t>
      </w:r>
      <w:r>
        <w:t>.</w:t>
      </w:r>
    </w:p>
    <w:p w14:paraId="2155C2C9" w14:textId="70170085" w:rsidR="00B271B0" w:rsidRDefault="00B271B0" w:rsidP="00FF2CA0">
      <w:pPr>
        <w:pStyle w:val="ListParagraph"/>
        <w:numPr>
          <w:ilvl w:val="0"/>
          <w:numId w:val="8"/>
        </w:numPr>
        <w:spacing w:after="120"/>
      </w:pPr>
      <w:r w:rsidRPr="00B271B0">
        <w:t xml:space="preserve">The fracture volume of the GoM well estimated by the FEA model can be used in conjunction with the developed real gas flow equation to predict potential leakage rates. </w:t>
      </w:r>
      <w:r w:rsidRPr="00B271B0">
        <w:lastRenderedPageBreak/>
        <w:t>The leakage rates calculated using the gas flow model predict an order of magnitude higher leakage rates than using Hagen-Poiseulle flow</w:t>
      </w:r>
      <w:r>
        <w:t>.</w:t>
      </w:r>
    </w:p>
    <w:p w14:paraId="3D7BE920" w14:textId="34B561C0" w:rsidR="00B271B0" w:rsidRDefault="00B271B0" w:rsidP="00FF2CA0">
      <w:pPr>
        <w:pStyle w:val="ListParagraph"/>
        <w:numPr>
          <w:ilvl w:val="0"/>
          <w:numId w:val="8"/>
        </w:numPr>
        <w:spacing w:after="120"/>
      </w:pPr>
      <w:r w:rsidRPr="00B271B0">
        <w:t>Brine (water) leakage is not likely in GoM wells.  Analyzing fracture volumes with real gas flow models that include the effect of gravity results in an order of magnitude difference in leakage rates from brine leakage extrapolated from experimental results</w:t>
      </w:r>
      <w:r>
        <w:t>.</w:t>
      </w:r>
    </w:p>
    <w:p w14:paraId="2D73C0DE" w14:textId="238E3A7C" w:rsidR="00B271B0" w:rsidRDefault="00B271B0" w:rsidP="00FF2CA0">
      <w:pPr>
        <w:pStyle w:val="ListParagraph"/>
        <w:numPr>
          <w:ilvl w:val="0"/>
          <w:numId w:val="8"/>
        </w:numPr>
        <w:spacing w:after="120"/>
      </w:pPr>
      <w:r w:rsidRPr="00B271B0">
        <w:t>If a GoM well experiences a fracture at a gas source, gas leakage is likely since gas can propagate fractures to shallow depths whereas brine leakage is less likely since brine pressure loses momentum due to the heavier density</w:t>
      </w:r>
      <w:r>
        <w:t>.</w:t>
      </w:r>
    </w:p>
    <w:p w14:paraId="226670C7" w14:textId="4F6B94D4" w:rsidR="00B271B0" w:rsidRDefault="00B271B0" w:rsidP="00FF2CA0">
      <w:pPr>
        <w:pStyle w:val="ListParagraph"/>
        <w:numPr>
          <w:ilvl w:val="0"/>
          <w:numId w:val="8"/>
        </w:numPr>
        <w:spacing w:after="120"/>
      </w:pPr>
      <w:r w:rsidRPr="00B271B0">
        <w:t>Accurate flow rate models</w:t>
      </w:r>
      <w:r>
        <w:t xml:space="preserve"> used to predict wellbore leakage</w:t>
      </w:r>
      <w:r w:rsidRPr="00B271B0">
        <w:t xml:space="preserve"> are dependent on pressure differentials, not flowrates</w:t>
      </w:r>
      <w:r>
        <w:t>.</w:t>
      </w:r>
    </w:p>
    <w:p w14:paraId="4CA5CB65" w14:textId="33F2B86E" w:rsidR="00B271B0" w:rsidRDefault="00B271B0" w:rsidP="00FF2CA0">
      <w:pPr>
        <w:pStyle w:val="ListParagraph"/>
        <w:numPr>
          <w:ilvl w:val="0"/>
          <w:numId w:val="8"/>
        </w:numPr>
        <w:spacing w:after="120"/>
      </w:pPr>
      <w:r w:rsidRPr="00B271B0">
        <w:t>The results of this thesis were consolidated into a flow chart which can be used as a first order evaluation to determine if a wellbore is experiencing leakage in the cement sheath in the form of microannuli</w:t>
      </w:r>
      <w:r>
        <w:t>.</w:t>
      </w:r>
    </w:p>
    <w:p w14:paraId="1A682D34" w14:textId="77777777" w:rsidR="00EC0FE2" w:rsidRDefault="00EC0FE2" w:rsidP="00EC0FE2">
      <w:pPr>
        <w:pStyle w:val="Heading2"/>
      </w:pPr>
      <w:bookmarkStart w:id="171" w:name="_Toc67566069"/>
      <w:r>
        <w:t>Future Work</w:t>
      </w:r>
      <w:bookmarkEnd w:id="171"/>
      <w:r>
        <w:t xml:space="preserve"> </w:t>
      </w:r>
    </w:p>
    <w:p w14:paraId="65A02D2C" w14:textId="3BAA7359" w:rsidR="00EB0027" w:rsidRPr="00EB0027" w:rsidRDefault="00EC0FE2" w:rsidP="00EC0FE2">
      <w:pPr>
        <w:ind w:firstLine="720"/>
      </w:pPr>
      <w:r>
        <w:t>The results of this dissertation quantified leakage pathways in the annular cement sheath due to gas migration. The leakage pathways were initiated as “uniform” microannuli at the cement/casing interface. The hydraulic propagation was a process explicitly coupled with the real gas law implemented as interface pressures which could be improved by implementing the real gas flow developed in this work into the Reynold’s Lubrication Theory elements already in the finite element software. Other future work includes performing experiments to create more accurate representation of the traction separation law for gas hydraulic debonding versus mechanical tensile debonding that is currently used</w:t>
      </w:r>
      <w:r w:rsidR="00056A7E">
        <w:t>.</w:t>
      </w:r>
      <w:r w:rsidR="00C74A73">
        <w:t xml:space="preserve"> </w:t>
      </w:r>
      <w:r w:rsidR="00BE39D4">
        <w:t>Finally, actual field experiments need</w:t>
      </w:r>
      <w:r w:rsidR="00305EDB">
        <w:t xml:space="preserve"> to be undertaken to create realistic leakage rates.</w:t>
      </w:r>
    </w:p>
    <w:p w14:paraId="0B44515E" w14:textId="2791BEDE" w:rsidR="00AC4D0A" w:rsidRDefault="00AC4D0A" w:rsidP="00AC4D0A">
      <w:pPr>
        <w:pStyle w:val="Heading1"/>
        <w:numPr>
          <w:ilvl w:val="0"/>
          <w:numId w:val="0"/>
        </w:numPr>
      </w:pPr>
      <w:bookmarkStart w:id="172" w:name="_Toc67566070"/>
      <w:r>
        <w:lastRenderedPageBreak/>
        <w:t>Nomenclature</w:t>
      </w:r>
      <w:bookmarkEnd w:id="172"/>
    </w:p>
    <w:p w14:paraId="09B6D0A0" w14:textId="77777777" w:rsidR="003D069C" w:rsidRPr="00C72160" w:rsidRDefault="00077C0B" w:rsidP="00C72160">
      <w:pPr>
        <w:spacing w:line="240" w:lineRule="auto"/>
        <w:ind w:firstLine="720"/>
      </w:pPr>
      <m:oMath>
        <m:sSub>
          <m:sSubPr>
            <m:ctrlPr>
              <w:rPr>
                <w:rFonts w:ascii="Cambria Math" w:hAnsi="Cambria Math"/>
                <w:i/>
              </w:rPr>
            </m:ctrlPr>
          </m:sSubPr>
          <m:e>
            <m:r>
              <w:rPr>
                <w:rFonts w:ascii="Cambria Math" w:hAnsi="Cambria Math"/>
              </w:rPr>
              <m:t>∅</m:t>
            </m:r>
          </m:e>
          <m:sub>
            <m:r>
              <w:rPr>
                <w:rFonts w:ascii="Cambria Math" w:hAnsi="Cambria Math"/>
              </w:rPr>
              <m:t>Wyllie</m:t>
            </m:r>
          </m:sub>
        </m:sSub>
      </m:oMath>
      <w:r w:rsidR="003D069C" w:rsidRPr="00C72160">
        <w:tab/>
      </w:r>
      <w:r w:rsidR="003D069C" w:rsidRPr="00C72160">
        <w:tab/>
      </w:r>
      <w:r w:rsidR="003D069C">
        <w:tab/>
      </w:r>
      <w:r w:rsidR="003D069C" w:rsidRPr="00C72160">
        <w:t>Wyllie porosity</w:t>
      </w:r>
    </w:p>
    <w:p w14:paraId="456E471E" w14:textId="77777777" w:rsidR="003D069C" w:rsidRPr="008B4036" w:rsidRDefault="00077C0B" w:rsidP="00A81161">
      <w:pPr>
        <w:spacing w:line="240" w:lineRule="auto"/>
        <w:ind w:firstLine="720"/>
        <w:rPr>
          <w:rFonts w:ascii="Cambria Math" w:hAnsi="Cambria Math"/>
          <w:oMath/>
        </w:rPr>
      </w:pPr>
      <m:oMath>
        <m:sSub>
          <m:sSubPr>
            <m:ctrlPr>
              <w:rPr>
                <w:rFonts w:ascii="Cambria Math" w:hAnsi="Cambria Math"/>
                <w:i/>
              </w:rPr>
            </m:ctrlPr>
          </m:sSubPr>
          <m:e>
            <m:r>
              <w:rPr>
                <w:rFonts w:ascii="Cambria Math" w:hAnsi="Cambria Math"/>
              </w:rPr>
              <m:t>D</m:t>
            </m:r>
          </m:e>
          <m:sub>
            <m:r>
              <w:rPr>
                <w:rFonts w:ascii="Cambria Math" w:hAnsi="Cambria Math"/>
              </w:rPr>
              <m:t>i</m:t>
            </m:r>
          </m:sub>
        </m:sSub>
      </m:oMath>
      <w:r w:rsidR="003D069C">
        <w:tab/>
      </w:r>
      <w:r w:rsidR="003D069C">
        <w:tab/>
      </w:r>
      <w:r w:rsidR="003D069C">
        <w:tab/>
        <w:t>Outer diameter of inside pipe in an annulus</w:t>
      </w:r>
    </w:p>
    <w:p w14:paraId="32AB1E32" w14:textId="77777777" w:rsidR="003D069C" w:rsidRPr="002D0CE3" w:rsidRDefault="00077C0B" w:rsidP="00A81161">
      <w:pPr>
        <w:spacing w:line="240" w:lineRule="auto"/>
        <w:ind w:firstLine="720"/>
        <w:rPr>
          <w:rFonts w:ascii="Cambria Math" w:hAnsi="Cambria Math"/>
          <w:oMath/>
        </w:rPr>
      </w:pPr>
      <m:oMath>
        <m:sSub>
          <m:sSubPr>
            <m:ctrlPr>
              <w:rPr>
                <w:rFonts w:ascii="Cambria Math" w:hAnsi="Cambria Math"/>
                <w:i/>
              </w:rPr>
            </m:ctrlPr>
          </m:sSubPr>
          <m:e>
            <m:r>
              <w:rPr>
                <w:rFonts w:ascii="Cambria Math" w:hAnsi="Cambria Math"/>
              </w:rPr>
              <m:t>D</m:t>
            </m:r>
          </m:e>
          <m:sub>
            <m:r>
              <w:rPr>
                <w:rFonts w:ascii="Cambria Math" w:hAnsi="Cambria Math"/>
              </w:rPr>
              <m:t>o</m:t>
            </m:r>
          </m:sub>
        </m:sSub>
      </m:oMath>
      <w:r w:rsidR="003D069C">
        <w:tab/>
      </w:r>
      <w:r w:rsidR="003D069C">
        <w:tab/>
      </w:r>
      <w:r w:rsidR="003D069C">
        <w:tab/>
        <w:t>Inner diameter of outside pipe (in an annulus)</w:t>
      </w:r>
    </w:p>
    <w:p w14:paraId="69B224E6" w14:textId="77777777" w:rsidR="003D069C" w:rsidRPr="00C72160" w:rsidRDefault="00077C0B" w:rsidP="00C72160">
      <w:pPr>
        <w:spacing w:line="240" w:lineRule="auto"/>
        <w:ind w:firstLine="720"/>
      </w:pPr>
      <m:oMath>
        <m:sSub>
          <m:sSubPr>
            <m:ctrlPr>
              <w:rPr>
                <w:rFonts w:ascii="Cambria Math" w:hAnsi="Cambria Math"/>
                <w:i/>
              </w:rPr>
            </m:ctrlPr>
          </m:sSubPr>
          <m:e>
            <m:r>
              <w:rPr>
                <w:rFonts w:ascii="Cambria Math" w:hAnsi="Cambria Math"/>
              </w:rPr>
              <m:t>E</m:t>
            </m:r>
          </m:e>
          <m:sub>
            <m:r>
              <w:rPr>
                <w:rFonts w:ascii="Cambria Math" w:hAnsi="Cambria Math"/>
              </w:rPr>
              <m:t>cement</m:t>
            </m:r>
          </m:sub>
        </m:sSub>
      </m:oMath>
      <w:r w:rsidR="003D069C" w:rsidRPr="00C72160">
        <w:tab/>
      </w:r>
      <w:r w:rsidR="003D069C" w:rsidRPr="00C72160">
        <w:tab/>
        <w:t>Young’s modulus of cement</w:t>
      </w:r>
    </w:p>
    <w:p w14:paraId="723E895B" w14:textId="77777777" w:rsidR="003D069C" w:rsidRPr="00C72160" w:rsidRDefault="00077C0B" w:rsidP="00C72160">
      <w:pPr>
        <w:spacing w:line="240" w:lineRule="auto"/>
        <w:ind w:firstLine="720"/>
      </w:pPr>
      <m:oMath>
        <m:sSub>
          <m:sSubPr>
            <m:ctrlPr>
              <w:rPr>
                <w:rFonts w:ascii="Cambria Math" w:hAnsi="Cambria Math"/>
                <w:i/>
              </w:rPr>
            </m:ctrlPr>
          </m:sSubPr>
          <m:e>
            <m:r>
              <w:rPr>
                <w:rFonts w:ascii="Cambria Math" w:hAnsi="Cambria Math"/>
              </w:rPr>
              <m:t>E</m:t>
            </m:r>
          </m:e>
          <m:sub>
            <m:r>
              <w:rPr>
                <w:rFonts w:ascii="Cambria Math" w:hAnsi="Cambria Math"/>
              </w:rPr>
              <m:t>dyn</m:t>
            </m:r>
          </m:sub>
        </m:sSub>
      </m:oMath>
      <w:r w:rsidR="003D069C" w:rsidRPr="00C72160">
        <w:t xml:space="preserve"> </w:t>
      </w:r>
      <w:r w:rsidR="003D069C" w:rsidRPr="00C72160">
        <w:tab/>
      </w:r>
      <w:r w:rsidR="003D069C" w:rsidRPr="00C72160">
        <w:tab/>
      </w:r>
      <w:r w:rsidR="003D069C">
        <w:tab/>
      </w:r>
      <w:r w:rsidR="003D069C" w:rsidRPr="00C72160">
        <w:t>Dynamic Young’s modulus</w:t>
      </w:r>
    </w:p>
    <w:p w14:paraId="64286749" w14:textId="77777777" w:rsidR="003D069C" w:rsidRDefault="00077C0B" w:rsidP="00C72160">
      <w:pPr>
        <w:spacing w:line="240" w:lineRule="auto"/>
        <w:ind w:firstLine="720"/>
      </w:pPr>
      <m:oMath>
        <m:sSub>
          <m:sSubPr>
            <m:ctrlPr>
              <w:rPr>
                <w:rFonts w:ascii="Cambria Math" w:hAnsi="Cambria Math"/>
                <w:i/>
              </w:rPr>
            </m:ctrlPr>
          </m:sSubPr>
          <m:e>
            <m:r>
              <w:rPr>
                <w:rFonts w:ascii="Cambria Math" w:hAnsi="Cambria Math"/>
              </w:rPr>
              <m:t>E</m:t>
            </m:r>
          </m:e>
          <m:sub>
            <m:r>
              <w:rPr>
                <w:rFonts w:ascii="Cambria Math" w:hAnsi="Cambria Math"/>
              </w:rPr>
              <m:t>rock</m:t>
            </m:r>
          </m:sub>
        </m:sSub>
      </m:oMath>
      <w:r w:rsidR="003D069C" w:rsidRPr="00C72160">
        <w:tab/>
      </w:r>
      <w:r w:rsidR="003D069C" w:rsidRPr="00C72160">
        <w:tab/>
      </w:r>
      <w:r w:rsidR="003D069C">
        <w:tab/>
      </w:r>
      <w:r w:rsidR="003D069C" w:rsidRPr="00C72160">
        <w:t>Young’s modulus of rock</w:t>
      </w:r>
    </w:p>
    <w:p w14:paraId="7D0F45D7" w14:textId="77777777" w:rsidR="003D069C" w:rsidRPr="00C72160" w:rsidRDefault="00077C0B" w:rsidP="00C72160">
      <w:pPr>
        <w:spacing w:line="240" w:lineRule="auto"/>
        <w:ind w:firstLine="720"/>
      </w:pPr>
      <m:oMath>
        <m:sSub>
          <m:sSubPr>
            <m:ctrlPr>
              <w:rPr>
                <w:rFonts w:ascii="Cambria Math" w:hAnsi="Cambria Math"/>
                <w:i/>
              </w:rPr>
            </m:ctrlPr>
          </m:sSubPr>
          <m:e>
            <m:r>
              <w:rPr>
                <w:rFonts w:ascii="Cambria Math" w:hAnsi="Cambria Math"/>
              </w:rPr>
              <m:t>E</m:t>
            </m:r>
          </m:e>
          <m:sub>
            <m:r>
              <w:rPr>
                <w:rFonts w:ascii="Cambria Math" w:hAnsi="Cambria Math"/>
              </w:rPr>
              <m:t>static</m:t>
            </m:r>
          </m:sub>
        </m:sSub>
      </m:oMath>
      <w:r w:rsidR="003D069C" w:rsidRPr="00C72160">
        <w:tab/>
      </w:r>
      <w:r w:rsidR="003D069C" w:rsidRPr="00C72160">
        <w:tab/>
      </w:r>
      <w:r w:rsidR="003D069C">
        <w:tab/>
      </w:r>
      <w:r w:rsidR="003D069C" w:rsidRPr="00C72160">
        <w:t>Static Young’s modulus</w:t>
      </w:r>
    </w:p>
    <w:p w14:paraId="4DF73FA4" w14:textId="77777777" w:rsidR="003D069C" w:rsidRPr="00C72160" w:rsidRDefault="00077C0B" w:rsidP="00C72160">
      <w:pPr>
        <w:spacing w:line="240" w:lineRule="auto"/>
        <w:ind w:firstLine="720"/>
      </w:pPr>
      <m:oMath>
        <m:sSub>
          <m:sSubPr>
            <m:ctrlPr>
              <w:rPr>
                <w:rFonts w:ascii="Cambria Math" w:hAnsi="Cambria Math"/>
                <w:i/>
              </w:rPr>
            </m:ctrlPr>
          </m:sSubPr>
          <m:e>
            <m:r>
              <w:rPr>
                <w:rFonts w:ascii="Cambria Math" w:hAnsi="Cambria Math"/>
              </w:rPr>
              <m:t>F</m:t>
            </m:r>
          </m:e>
          <m:sub>
            <m:r>
              <w:rPr>
                <w:rFonts w:ascii="Cambria Math" w:hAnsi="Cambria Math"/>
              </w:rPr>
              <m:t>N</m:t>
            </m:r>
          </m:sub>
        </m:sSub>
      </m:oMath>
      <w:r w:rsidR="003D069C" w:rsidRPr="00C72160">
        <w:tab/>
      </w:r>
      <w:r w:rsidR="003D069C">
        <w:tab/>
      </w:r>
      <w:r w:rsidR="003D069C">
        <w:tab/>
        <w:t>Normal Force</w:t>
      </w:r>
    </w:p>
    <w:p w14:paraId="21515E35" w14:textId="77777777" w:rsidR="003D069C" w:rsidRPr="00C72160" w:rsidRDefault="00077C0B" w:rsidP="00C72160">
      <w:pPr>
        <w:spacing w:line="240" w:lineRule="auto"/>
        <w:ind w:firstLine="720"/>
      </w:pPr>
      <m:oMath>
        <m:sSub>
          <m:sSubPr>
            <m:ctrlPr>
              <w:rPr>
                <w:rFonts w:ascii="Cambria Math" w:hAnsi="Cambria Math"/>
                <w:i/>
              </w:rPr>
            </m:ctrlPr>
          </m:sSubPr>
          <m:e>
            <m:r>
              <w:rPr>
                <w:rFonts w:ascii="Cambria Math" w:hAnsi="Cambria Math"/>
              </w:rPr>
              <m:t>F</m:t>
            </m:r>
          </m:e>
          <m:sub>
            <m:r>
              <w:rPr>
                <w:rFonts w:ascii="Cambria Math" w:hAnsi="Cambria Math"/>
              </w:rPr>
              <m:t>S</m:t>
            </m:r>
          </m:sub>
        </m:sSub>
      </m:oMath>
      <w:r w:rsidR="003D069C" w:rsidRPr="00C72160">
        <w:tab/>
      </w:r>
      <w:r w:rsidR="003D069C">
        <w:tab/>
      </w:r>
      <w:r w:rsidR="003D069C">
        <w:tab/>
      </w:r>
      <w:r w:rsidR="003D069C" w:rsidRPr="00C72160">
        <w:t>Shear</w:t>
      </w:r>
      <w:r w:rsidR="003D069C">
        <w:t xml:space="preserve"> Force</w:t>
      </w:r>
    </w:p>
    <w:p w14:paraId="4997D2BF" w14:textId="77777777" w:rsidR="003D069C" w:rsidRPr="00C72160" w:rsidRDefault="00077C0B" w:rsidP="00C72160">
      <w:pPr>
        <w:spacing w:line="240" w:lineRule="auto"/>
        <w:ind w:firstLine="720"/>
      </w:pPr>
      <m:oMath>
        <m:sSub>
          <m:sSubPr>
            <m:ctrlPr>
              <w:rPr>
                <w:rFonts w:ascii="Cambria Math" w:hAnsi="Cambria Math"/>
                <w:i/>
              </w:rPr>
            </m:ctrlPr>
          </m:sSubPr>
          <m:e>
            <m:r>
              <w:rPr>
                <w:rFonts w:ascii="Cambria Math" w:hAnsi="Cambria Math"/>
              </w:rPr>
              <m:t>G</m:t>
            </m:r>
          </m:e>
          <m:sub>
            <m:r>
              <w:rPr>
                <w:rFonts w:ascii="Cambria Math" w:hAnsi="Cambria Math"/>
              </w:rPr>
              <m:t>C</m:t>
            </m:r>
          </m:sub>
        </m:sSub>
      </m:oMath>
      <w:r w:rsidR="003D069C" w:rsidRPr="00C72160">
        <w:tab/>
      </w:r>
      <w:r w:rsidR="003D069C" w:rsidRPr="00C72160">
        <w:tab/>
      </w:r>
      <w:r w:rsidR="003D069C">
        <w:tab/>
      </w:r>
      <w:r w:rsidR="003D069C" w:rsidRPr="00C72160">
        <w:t>Critical Energy</w:t>
      </w:r>
    </w:p>
    <w:p w14:paraId="607CCBC4" w14:textId="77777777" w:rsidR="003D069C" w:rsidRPr="00C72160" w:rsidRDefault="00077C0B" w:rsidP="00C72160">
      <w:pPr>
        <w:spacing w:line="240" w:lineRule="auto"/>
        <w:ind w:firstLine="720"/>
      </w:pPr>
      <m:oMath>
        <m:sSub>
          <m:sSubPr>
            <m:ctrlPr>
              <w:rPr>
                <w:rFonts w:ascii="Cambria Math" w:hAnsi="Cambria Math"/>
                <w:i/>
              </w:rPr>
            </m:ctrlPr>
          </m:sSubPr>
          <m:e>
            <m:r>
              <w:rPr>
                <w:rFonts w:ascii="Cambria Math" w:hAnsi="Cambria Math"/>
              </w:rPr>
              <m:t>GR</m:t>
            </m:r>
          </m:e>
          <m:sub>
            <m:r>
              <w:rPr>
                <w:rFonts w:ascii="Cambria Math" w:hAnsi="Cambria Math"/>
              </w:rPr>
              <m:t>log</m:t>
            </m:r>
          </m:sub>
        </m:sSub>
      </m:oMath>
      <w:r w:rsidR="003D069C" w:rsidRPr="00C72160">
        <w:rPr>
          <w:vertAlign w:val="subscript"/>
        </w:rPr>
        <w:tab/>
      </w:r>
      <w:r w:rsidR="003D069C" w:rsidRPr="00C72160">
        <w:rPr>
          <w:vertAlign w:val="subscript"/>
        </w:rPr>
        <w:tab/>
      </w:r>
      <w:r w:rsidR="003D069C">
        <w:rPr>
          <w:vertAlign w:val="subscript"/>
        </w:rPr>
        <w:tab/>
      </w:r>
      <w:r w:rsidR="003D069C" w:rsidRPr="00C72160">
        <w:t>Well log gamma ray</w:t>
      </w:r>
    </w:p>
    <w:p w14:paraId="2EA20B00" w14:textId="77777777" w:rsidR="003D069C" w:rsidRPr="00C72160" w:rsidRDefault="00077C0B" w:rsidP="00C72160">
      <w:pPr>
        <w:spacing w:line="240" w:lineRule="auto"/>
        <w:ind w:firstLine="720"/>
      </w:pPr>
      <m:oMath>
        <m:sSub>
          <m:sSubPr>
            <m:ctrlPr>
              <w:rPr>
                <w:rFonts w:ascii="Cambria Math" w:hAnsi="Cambria Math"/>
                <w:i/>
              </w:rPr>
            </m:ctrlPr>
          </m:sSubPr>
          <m:e>
            <m:r>
              <w:rPr>
                <w:rFonts w:ascii="Cambria Math" w:hAnsi="Cambria Math"/>
              </w:rPr>
              <m:t>GR</m:t>
            </m:r>
          </m:e>
          <m:sub>
            <m:r>
              <w:rPr>
                <w:rFonts w:ascii="Cambria Math" w:hAnsi="Cambria Math"/>
              </w:rPr>
              <m:t>shale</m:t>
            </m:r>
          </m:sub>
        </m:sSub>
      </m:oMath>
      <w:r w:rsidR="003D069C" w:rsidRPr="00C72160">
        <w:rPr>
          <w:vertAlign w:val="subscript"/>
        </w:rPr>
        <w:t xml:space="preserve"> </w:t>
      </w:r>
      <w:r w:rsidR="003D069C" w:rsidRPr="00C72160">
        <w:rPr>
          <w:vertAlign w:val="subscript"/>
        </w:rPr>
        <w:tab/>
      </w:r>
      <w:r w:rsidR="003D069C">
        <w:rPr>
          <w:vertAlign w:val="subscript"/>
        </w:rPr>
        <w:tab/>
      </w:r>
      <w:r w:rsidR="003D069C" w:rsidRPr="00C72160">
        <w:t>Maximum gamma ray</w:t>
      </w:r>
    </w:p>
    <w:p w14:paraId="198CCEF3" w14:textId="77777777" w:rsidR="003D069C" w:rsidRPr="00C72160" w:rsidRDefault="00077C0B" w:rsidP="00C72160">
      <w:pPr>
        <w:spacing w:line="240" w:lineRule="auto"/>
        <w:ind w:firstLine="720"/>
      </w:pPr>
      <m:oMath>
        <m:sSub>
          <m:sSubPr>
            <m:ctrlPr>
              <w:rPr>
                <w:rFonts w:ascii="Cambria Math" w:hAnsi="Cambria Math"/>
                <w:i/>
              </w:rPr>
            </m:ctrlPr>
          </m:sSubPr>
          <m:e>
            <m:r>
              <w:rPr>
                <w:rFonts w:ascii="Cambria Math" w:hAnsi="Cambria Math"/>
              </w:rPr>
              <m:t>GR</m:t>
            </m:r>
          </m:e>
          <m:sub>
            <m:r>
              <w:rPr>
                <w:rFonts w:ascii="Cambria Math" w:hAnsi="Cambria Math"/>
              </w:rPr>
              <m:t>sand</m:t>
            </m:r>
          </m:sub>
        </m:sSub>
      </m:oMath>
      <w:r w:rsidR="003D069C" w:rsidRPr="00C72160">
        <w:rPr>
          <w:vertAlign w:val="subscript"/>
        </w:rPr>
        <w:tab/>
      </w:r>
      <w:r w:rsidR="003D069C" w:rsidRPr="00C72160">
        <w:rPr>
          <w:vertAlign w:val="subscript"/>
        </w:rPr>
        <w:tab/>
      </w:r>
      <w:r w:rsidR="003D069C" w:rsidRPr="00C72160">
        <w:t>Minimum gamma ray</w:t>
      </w:r>
      <w:r w:rsidR="003D069C" w:rsidRPr="00C72160">
        <w:rPr>
          <w:i/>
        </w:rPr>
        <w:t xml:space="preserve"> </w:t>
      </w:r>
    </w:p>
    <w:p w14:paraId="49EC12D9" w14:textId="77777777" w:rsidR="003D069C" w:rsidRPr="00C72160" w:rsidRDefault="00077C0B" w:rsidP="00C72160">
      <w:pPr>
        <w:spacing w:line="240" w:lineRule="auto"/>
        <w:ind w:firstLine="720"/>
      </w:pPr>
      <m:oMath>
        <m:sSub>
          <m:sSubPr>
            <m:ctrlPr>
              <w:rPr>
                <w:rFonts w:ascii="Cambria Math" w:hAnsi="Cambria Math"/>
                <w:i/>
              </w:rPr>
            </m:ctrlPr>
          </m:sSubPr>
          <m:e>
            <m:r>
              <w:rPr>
                <w:rFonts w:ascii="Cambria Math" w:hAnsi="Cambria Math"/>
              </w:rPr>
              <m:t>I</m:t>
            </m:r>
          </m:e>
          <m:sub>
            <m:r>
              <w:rPr>
                <w:rFonts w:ascii="Cambria Math" w:hAnsi="Cambria Math"/>
              </w:rPr>
              <m:t>GR</m:t>
            </m:r>
          </m:sub>
        </m:sSub>
      </m:oMath>
      <w:r w:rsidR="003D069C" w:rsidRPr="00C72160">
        <w:t xml:space="preserve"> </w:t>
      </w:r>
      <w:r w:rsidR="003D069C" w:rsidRPr="00C72160">
        <w:tab/>
      </w:r>
      <w:r w:rsidR="003D069C" w:rsidRPr="00C72160">
        <w:tab/>
      </w:r>
      <w:r w:rsidR="003D069C">
        <w:tab/>
      </w:r>
      <w:r w:rsidR="003D069C" w:rsidRPr="00C72160">
        <w:t>Gamma Ray Index</w:t>
      </w:r>
    </w:p>
    <w:p w14:paraId="009BEF1E" w14:textId="77777777" w:rsidR="003D069C" w:rsidRPr="008B4036" w:rsidRDefault="00077C0B" w:rsidP="00A81161">
      <w:pPr>
        <w:spacing w:line="240" w:lineRule="auto"/>
        <w:ind w:firstLine="720"/>
        <w:rPr>
          <w:rFonts w:ascii="Cambria Math" w:hAnsi="Cambria Math"/>
          <w:oMath/>
        </w:rPr>
      </w:pPr>
      <m:oMath>
        <m:sSub>
          <m:sSubPr>
            <m:ctrlPr>
              <w:rPr>
                <w:rFonts w:ascii="Cambria Math" w:hAnsi="Cambria Math"/>
                <w:i/>
              </w:rPr>
            </m:ctrlPr>
          </m:sSubPr>
          <m:e>
            <m:r>
              <w:rPr>
                <w:rFonts w:ascii="Cambria Math" w:hAnsi="Cambria Math"/>
              </w:rPr>
              <m:t>N</m:t>
            </m:r>
          </m:e>
          <m:sub>
            <m:r>
              <w:rPr>
                <w:rFonts w:ascii="Cambria Math" w:hAnsi="Cambria Math"/>
              </w:rPr>
              <m:t>Re</m:t>
            </m:r>
          </m:sub>
        </m:sSub>
      </m:oMath>
      <w:r w:rsidR="003D069C">
        <w:tab/>
      </w:r>
      <w:r w:rsidR="003D069C">
        <w:tab/>
      </w:r>
      <w:r w:rsidR="003D069C">
        <w:tab/>
        <w:t>Reynold’s number</w:t>
      </w:r>
    </w:p>
    <w:p w14:paraId="79311508" w14:textId="77777777" w:rsidR="003D069C" w:rsidRPr="00C72160" w:rsidRDefault="00077C0B" w:rsidP="00C72160">
      <w:pPr>
        <w:spacing w:line="240" w:lineRule="auto"/>
        <w:ind w:firstLine="720"/>
      </w:pPr>
      <m:oMath>
        <m:sSub>
          <m:sSubPr>
            <m:ctrlPr>
              <w:rPr>
                <w:rFonts w:ascii="Cambria Math" w:hAnsi="Cambria Math"/>
                <w:i/>
              </w:rPr>
            </m:ctrlPr>
          </m:sSubPr>
          <m:e>
            <m:r>
              <w:rPr>
                <w:rFonts w:ascii="Cambria Math" w:hAnsi="Cambria Math"/>
              </w:rPr>
              <m:t>P</m:t>
            </m:r>
          </m:e>
          <m:sub>
            <m:r>
              <w:rPr>
                <w:rFonts w:ascii="Cambria Math" w:hAnsi="Cambria Math"/>
              </w:rPr>
              <m:t>P</m:t>
            </m:r>
          </m:sub>
        </m:sSub>
      </m:oMath>
      <w:r w:rsidR="003D069C" w:rsidRPr="00C72160">
        <w:tab/>
      </w:r>
      <w:r w:rsidR="003D069C">
        <w:tab/>
      </w:r>
      <w:r w:rsidR="003D069C">
        <w:tab/>
        <w:t>Pore Pressure</w:t>
      </w:r>
    </w:p>
    <w:p w14:paraId="6B00CA84" w14:textId="77777777" w:rsidR="003D069C" w:rsidRPr="00C72160" w:rsidRDefault="00077C0B" w:rsidP="00C72160">
      <w:pPr>
        <w:spacing w:line="240" w:lineRule="auto"/>
        <w:ind w:firstLine="720"/>
      </w:pPr>
      <m:oMath>
        <m:sSub>
          <m:sSubPr>
            <m:ctrlPr>
              <w:rPr>
                <w:rFonts w:ascii="Cambria Math" w:hAnsi="Cambria Math"/>
                <w:i/>
              </w:rPr>
            </m:ctrlPr>
          </m:sSubPr>
          <m:e>
            <m:r>
              <w:rPr>
                <w:rFonts w:ascii="Cambria Math" w:hAnsi="Cambria Math"/>
              </w:rPr>
              <m:t>P</m:t>
            </m:r>
          </m:e>
          <m:sub>
            <m:r>
              <w:rPr>
                <w:rFonts w:ascii="Cambria Math" w:hAnsi="Cambria Math"/>
              </w:rPr>
              <m:t>fracture</m:t>
            </m:r>
          </m:sub>
        </m:sSub>
      </m:oMath>
      <w:r w:rsidR="003D069C" w:rsidRPr="00C72160">
        <w:tab/>
      </w:r>
      <w:r w:rsidR="003D069C">
        <w:tab/>
      </w:r>
      <w:r w:rsidR="003D069C" w:rsidRPr="00C72160">
        <w:t>Fracture Gradient</w:t>
      </w:r>
    </w:p>
    <w:p w14:paraId="18662404" w14:textId="77777777" w:rsidR="003D069C" w:rsidRPr="00C72160" w:rsidRDefault="00077C0B" w:rsidP="00C72160">
      <w:pPr>
        <w:spacing w:line="240" w:lineRule="auto"/>
        <w:ind w:firstLine="720"/>
      </w:pPr>
      <m:oMath>
        <m:sSub>
          <m:sSubPr>
            <m:ctrlPr>
              <w:rPr>
                <w:rFonts w:ascii="Cambria Math" w:hAnsi="Cambria Math"/>
                <w:i/>
              </w:rPr>
            </m:ctrlPr>
          </m:sSubPr>
          <m:e>
            <m:r>
              <w:rPr>
                <w:rFonts w:ascii="Cambria Math" w:hAnsi="Cambria Math"/>
              </w:rPr>
              <m:t>T</m:t>
            </m:r>
          </m:e>
          <m:sub>
            <m:r>
              <w:rPr>
                <w:rFonts w:ascii="Cambria Math" w:hAnsi="Cambria Math"/>
              </w:rPr>
              <m:t>i</m:t>
            </m:r>
          </m:sub>
        </m:sSub>
      </m:oMath>
      <w:r w:rsidR="003D069C" w:rsidRPr="00C72160">
        <w:tab/>
      </w:r>
      <w:r w:rsidR="003D069C" w:rsidRPr="00C72160">
        <w:tab/>
      </w:r>
      <w:r w:rsidR="003D069C">
        <w:tab/>
      </w:r>
      <w:r w:rsidR="003D069C" w:rsidRPr="00C72160">
        <w:t>Initial Temperature</w:t>
      </w:r>
    </w:p>
    <w:p w14:paraId="21805CE3" w14:textId="77777777" w:rsidR="003D069C" w:rsidRPr="008B4036" w:rsidRDefault="00077C0B" w:rsidP="00A81161">
      <w:pPr>
        <w:spacing w:line="240" w:lineRule="auto"/>
        <w:ind w:firstLine="720"/>
        <w:rPr>
          <w:rFonts w:ascii="Cambria Math" w:hAnsi="Cambria Math"/>
          <w:oMath/>
        </w:rPr>
      </w:pPr>
      <m:oMath>
        <m:sSub>
          <m:sSubPr>
            <m:ctrlPr>
              <w:rPr>
                <w:rFonts w:ascii="Cambria Math" w:hAnsi="Cambria Math"/>
                <w:i/>
              </w:rPr>
            </m:ctrlPr>
          </m:sSubPr>
          <m:e>
            <m:r>
              <w:rPr>
                <w:rFonts w:ascii="Cambria Math" w:hAnsi="Cambria Math"/>
              </w:rPr>
              <m:t>V</m:t>
            </m:r>
          </m:e>
          <m:sub>
            <m:r>
              <w:rPr>
                <w:rFonts w:ascii="Cambria Math" w:hAnsi="Cambria Math"/>
              </w:rPr>
              <m:t>avg</m:t>
            </m:r>
          </m:sub>
        </m:sSub>
      </m:oMath>
      <w:r w:rsidR="003D069C">
        <w:tab/>
      </w:r>
      <w:r w:rsidR="003D069C">
        <w:tab/>
      </w:r>
      <w:r w:rsidR="003D069C">
        <w:tab/>
        <w:t>Average velocity</w:t>
      </w:r>
      <w:r w:rsidR="003D069C">
        <w:tab/>
      </w:r>
    </w:p>
    <w:p w14:paraId="5478231E" w14:textId="77777777" w:rsidR="003D069C" w:rsidRPr="002D0CE3" w:rsidRDefault="00077C0B" w:rsidP="00A81161">
      <w:pPr>
        <w:spacing w:line="240" w:lineRule="auto"/>
        <w:ind w:firstLine="720"/>
      </w:pPr>
      <m:oMath>
        <m:sSub>
          <m:sSubPr>
            <m:ctrlPr>
              <w:rPr>
                <w:rFonts w:ascii="Cambria Math" w:hAnsi="Cambria Math"/>
                <w:i/>
              </w:rPr>
            </m:ctrlPr>
          </m:sSubPr>
          <m:e>
            <m:r>
              <w:rPr>
                <w:rFonts w:ascii="Cambria Math" w:hAnsi="Cambria Math"/>
              </w:rPr>
              <m:t>V</m:t>
            </m:r>
          </m:e>
          <m:sub>
            <m:r>
              <w:rPr>
                <w:rFonts w:ascii="Cambria Math" w:hAnsi="Cambria Math"/>
              </w:rPr>
              <m:t>max</m:t>
            </m:r>
          </m:sub>
        </m:sSub>
      </m:oMath>
      <w:r w:rsidR="003D069C">
        <w:tab/>
      </w:r>
      <w:r w:rsidR="003D069C">
        <w:tab/>
      </w:r>
      <w:r w:rsidR="003D069C">
        <w:tab/>
        <w:t>Maximum velocity</w:t>
      </w:r>
    </w:p>
    <w:p w14:paraId="1FE807A6" w14:textId="77777777" w:rsidR="003D069C" w:rsidRPr="00C72160" w:rsidRDefault="00077C0B" w:rsidP="00C72160">
      <w:pPr>
        <w:spacing w:line="240" w:lineRule="auto"/>
        <w:ind w:firstLine="720"/>
      </w:pPr>
      <m:oMath>
        <m:sSub>
          <m:sSubPr>
            <m:ctrlPr>
              <w:rPr>
                <w:rFonts w:ascii="Cambria Math" w:hAnsi="Cambria Math"/>
                <w:i/>
              </w:rPr>
            </m:ctrlPr>
          </m:sSubPr>
          <m:e>
            <m:r>
              <w:rPr>
                <w:rFonts w:ascii="Cambria Math" w:hAnsi="Cambria Math"/>
              </w:rPr>
              <m:t>V</m:t>
            </m:r>
          </m:e>
          <m:sub>
            <m:r>
              <w:rPr>
                <w:rFonts w:ascii="Cambria Math" w:hAnsi="Cambria Math"/>
              </w:rPr>
              <m:t>p</m:t>
            </m:r>
          </m:sub>
        </m:sSub>
      </m:oMath>
      <w:r w:rsidR="003D069C" w:rsidRPr="00C72160">
        <w:rPr>
          <w:i/>
        </w:rPr>
        <w:t xml:space="preserve"> </w:t>
      </w:r>
      <w:r w:rsidR="003D069C" w:rsidRPr="00C72160">
        <w:rPr>
          <w:i/>
        </w:rPr>
        <w:tab/>
      </w:r>
      <w:r w:rsidR="003D069C" w:rsidRPr="00C72160">
        <w:rPr>
          <w:i/>
        </w:rPr>
        <w:tab/>
      </w:r>
      <w:r w:rsidR="003D069C">
        <w:rPr>
          <w:i/>
        </w:rPr>
        <w:tab/>
      </w:r>
      <w:r w:rsidR="003D069C" w:rsidRPr="00C72160">
        <w:t>Compressional velocity</w:t>
      </w:r>
    </w:p>
    <w:p w14:paraId="237A254D" w14:textId="77777777" w:rsidR="003D069C" w:rsidRPr="00C72160" w:rsidRDefault="00077C0B" w:rsidP="00C72160">
      <w:pPr>
        <w:spacing w:line="240" w:lineRule="auto"/>
        <w:ind w:firstLine="720"/>
      </w:pPr>
      <m:oMath>
        <m:sSub>
          <m:sSubPr>
            <m:ctrlPr>
              <w:rPr>
                <w:rFonts w:ascii="Cambria Math" w:hAnsi="Cambria Math"/>
                <w:i/>
              </w:rPr>
            </m:ctrlPr>
          </m:sSubPr>
          <m:e>
            <m:r>
              <w:rPr>
                <w:rFonts w:ascii="Cambria Math" w:hAnsi="Cambria Math"/>
              </w:rPr>
              <m:t>V</m:t>
            </m:r>
          </m:e>
          <m:sub>
            <m:r>
              <w:rPr>
                <w:rFonts w:ascii="Cambria Math" w:hAnsi="Cambria Math"/>
              </w:rPr>
              <m:t>s</m:t>
            </m:r>
          </m:sub>
        </m:sSub>
      </m:oMath>
      <w:r w:rsidR="003D069C" w:rsidRPr="00C72160">
        <w:rPr>
          <w:i/>
        </w:rPr>
        <w:tab/>
      </w:r>
      <w:r w:rsidR="003D069C" w:rsidRPr="00C72160">
        <w:rPr>
          <w:i/>
        </w:rPr>
        <w:tab/>
      </w:r>
      <w:r w:rsidR="003D069C">
        <w:rPr>
          <w:i/>
        </w:rPr>
        <w:tab/>
      </w:r>
      <w:r w:rsidR="003D069C" w:rsidRPr="00C72160">
        <w:t>Shear velocity</w:t>
      </w:r>
    </w:p>
    <w:p w14:paraId="1FF5C514" w14:textId="77777777" w:rsidR="003D069C" w:rsidRPr="00C72160" w:rsidRDefault="00077C0B" w:rsidP="00C72160">
      <w:pPr>
        <w:spacing w:line="240" w:lineRule="auto"/>
        <w:ind w:firstLine="720"/>
      </w:pPr>
      <m:oMath>
        <m:sSub>
          <m:sSubPr>
            <m:ctrlPr>
              <w:rPr>
                <w:rFonts w:ascii="Cambria Math" w:hAnsi="Cambria Math"/>
                <w:i/>
              </w:rPr>
            </m:ctrlPr>
          </m:sSubPr>
          <m:e>
            <m:r>
              <w:rPr>
                <w:rFonts w:ascii="Cambria Math" w:hAnsi="Cambria Math"/>
              </w:rPr>
              <m:t>V</m:t>
            </m:r>
          </m:e>
          <m:sub>
            <m:r>
              <w:rPr>
                <w:rFonts w:ascii="Cambria Math" w:hAnsi="Cambria Math"/>
              </w:rPr>
              <m:t>shale</m:t>
            </m:r>
          </m:sub>
        </m:sSub>
      </m:oMath>
      <w:r w:rsidR="003D069C" w:rsidRPr="00C72160">
        <w:tab/>
      </w:r>
      <w:r w:rsidR="003D069C" w:rsidRPr="00C72160">
        <w:tab/>
      </w:r>
      <w:r w:rsidR="003D069C">
        <w:tab/>
      </w:r>
      <w:r w:rsidR="003D069C" w:rsidRPr="00C72160">
        <w:t>Shale volume</w:t>
      </w:r>
    </w:p>
    <w:p w14:paraId="32965C65" w14:textId="77777777" w:rsidR="003D069C" w:rsidRDefault="00077C0B" w:rsidP="00A81161">
      <w:pPr>
        <w:spacing w:line="240" w:lineRule="auto"/>
        <w:ind w:firstLine="720"/>
      </w:pPr>
      <m:oMath>
        <m:sSub>
          <m:sSubPr>
            <m:ctrlPr>
              <w:rPr>
                <w:rFonts w:ascii="Cambria Math" w:hAnsi="Cambria Math"/>
                <w:i/>
              </w:rPr>
            </m:ctrlPr>
          </m:sSubPr>
          <m:e>
            <m:r>
              <w:rPr>
                <w:rFonts w:ascii="Cambria Math" w:hAnsi="Cambria Math"/>
              </w:rPr>
              <m:t>b</m:t>
            </m:r>
          </m:e>
          <m:sub>
            <m:r>
              <w:rPr>
                <w:rFonts w:ascii="Cambria Math" w:hAnsi="Cambria Math"/>
              </w:rPr>
              <m:t>max</m:t>
            </m:r>
          </m:sub>
        </m:sSub>
      </m:oMath>
      <w:r w:rsidR="003D069C">
        <w:tab/>
      </w:r>
      <w:r w:rsidR="003D069C">
        <w:tab/>
      </w:r>
      <w:r w:rsidR="003D069C">
        <w:tab/>
        <w:t>upconing of brine in relation to CO2</w:t>
      </w:r>
    </w:p>
    <w:p w14:paraId="4D635726" w14:textId="77777777" w:rsidR="003D069C" w:rsidRPr="00C72160" w:rsidRDefault="00077C0B" w:rsidP="00C72160">
      <w:pPr>
        <w:spacing w:line="240" w:lineRule="auto"/>
        <w:ind w:firstLine="720"/>
      </w:pPr>
      <m:oMath>
        <m:sSub>
          <m:sSubPr>
            <m:ctrlPr>
              <w:rPr>
                <w:rFonts w:ascii="Cambria Math" w:hAnsi="Cambria Math"/>
                <w:i/>
              </w:rPr>
            </m:ctrlPr>
          </m:sSubPr>
          <m:e>
            <m:r>
              <w:rPr>
                <w:rFonts w:ascii="Cambria Math" w:hAnsi="Cambria Math"/>
              </w:rPr>
              <m:t>c</m:t>
            </m:r>
          </m:e>
          <m:sub>
            <m:r>
              <w:rPr>
                <w:rFonts w:ascii="Cambria Math" w:hAnsi="Cambria Math"/>
              </w:rPr>
              <m:t>cement</m:t>
            </m:r>
          </m:sub>
        </m:sSub>
      </m:oMath>
      <w:r w:rsidR="003D069C" w:rsidRPr="00C72160">
        <w:tab/>
      </w:r>
      <w:r w:rsidR="003D069C" w:rsidRPr="00C72160">
        <w:tab/>
        <w:t>Specific Heat of cement</w:t>
      </w:r>
    </w:p>
    <w:p w14:paraId="77131914" w14:textId="77777777" w:rsidR="003D069C" w:rsidRPr="00C72160" w:rsidRDefault="00077C0B" w:rsidP="00C72160">
      <w:pPr>
        <w:spacing w:line="240" w:lineRule="auto"/>
        <w:ind w:firstLine="720"/>
        <w:rPr>
          <w:i/>
        </w:rPr>
      </w:pPr>
      <m:oMath>
        <m:sSub>
          <m:sSubPr>
            <m:ctrlPr>
              <w:rPr>
                <w:rFonts w:ascii="Cambria Math" w:hAnsi="Cambria Math"/>
                <w:i/>
              </w:rPr>
            </m:ctrlPr>
          </m:sSubPr>
          <m:e>
            <m:r>
              <w:rPr>
                <w:rFonts w:ascii="Cambria Math" w:hAnsi="Cambria Math"/>
              </w:rPr>
              <m:t>c</m:t>
            </m:r>
          </m:e>
          <m:sub>
            <m:r>
              <w:rPr>
                <w:rFonts w:ascii="Cambria Math" w:hAnsi="Cambria Math"/>
              </w:rPr>
              <m:t>rock</m:t>
            </m:r>
          </m:sub>
        </m:sSub>
      </m:oMath>
      <w:r w:rsidR="003D069C" w:rsidRPr="00C72160">
        <w:tab/>
      </w:r>
      <w:r w:rsidR="003D069C" w:rsidRPr="00C72160">
        <w:tab/>
      </w:r>
      <w:r w:rsidR="003D069C">
        <w:tab/>
      </w:r>
      <w:r w:rsidR="003D069C" w:rsidRPr="00C72160">
        <w:t>Specific Heat of rock</w:t>
      </w:r>
    </w:p>
    <w:p w14:paraId="32B61106" w14:textId="77777777" w:rsidR="003D069C" w:rsidRPr="008B4036" w:rsidRDefault="00077C0B" w:rsidP="00A81161">
      <w:pPr>
        <w:spacing w:line="240" w:lineRule="auto"/>
        <w:ind w:firstLine="720"/>
        <w:rPr>
          <w:rFonts w:ascii="Cambria Math" w:hAnsi="Cambria Math"/>
          <w:oMath/>
        </w:rPr>
      </w:pPr>
      <m:oMath>
        <m:f>
          <m:fPr>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W</m:t>
                </m:r>
              </m:e>
              <m:sub>
                <m:r>
                  <w:rPr>
                    <w:rFonts w:ascii="Cambria Math" w:hAnsi="Cambria Math"/>
                  </w:rPr>
                  <m:t>n.f.</m:t>
                </m:r>
              </m:sub>
            </m:sSub>
          </m:num>
          <m:den>
            <m:r>
              <w:rPr>
                <w:rFonts w:ascii="Cambria Math" w:hAnsi="Cambria Math"/>
              </w:rPr>
              <m:t>dm</m:t>
            </m:r>
          </m:den>
        </m:f>
      </m:oMath>
      <w:r w:rsidR="003D069C">
        <w:tab/>
      </w:r>
      <w:r w:rsidR="003D069C">
        <w:tab/>
      </w:r>
      <w:r w:rsidR="003D069C">
        <w:tab/>
        <w:t>Work term in Bernoulli Equation</w:t>
      </w:r>
    </w:p>
    <w:p w14:paraId="0DB7D74B" w14:textId="77777777" w:rsidR="003D069C" w:rsidRPr="008B4036" w:rsidRDefault="00077C0B" w:rsidP="00A81161">
      <w:pPr>
        <w:spacing w:line="240" w:lineRule="auto"/>
        <w:ind w:firstLine="720"/>
        <w:rPr>
          <w:rFonts w:ascii="Cambria Math" w:hAnsi="Cambria Math"/>
          <w:oMath/>
        </w:rPr>
      </w:pPr>
      <m:oMath>
        <m:sSub>
          <m:sSubPr>
            <m:ctrlPr>
              <w:rPr>
                <w:rFonts w:ascii="Cambria Math" w:hAnsi="Cambria Math"/>
                <w:i/>
              </w:rPr>
            </m:ctrlPr>
          </m:sSubPr>
          <m:e>
            <m:r>
              <w:rPr>
                <w:rFonts w:ascii="Cambria Math" w:hAnsi="Cambria Math"/>
              </w:rPr>
              <m:t>f</m:t>
            </m:r>
          </m:e>
          <m:sub>
            <m:r>
              <w:rPr>
                <w:rFonts w:ascii="Cambria Math" w:hAnsi="Cambria Math"/>
              </w:rPr>
              <m:t>D.W.</m:t>
            </m:r>
          </m:sub>
        </m:sSub>
      </m:oMath>
      <w:r w:rsidR="003D069C">
        <w:rPr>
          <w:rFonts w:eastAsiaTheme="minorEastAsia"/>
        </w:rPr>
        <w:tab/>
      </w:r>
      <w:r w:rsidR="003D069C">
        <w:tab/>
      </w:r>
      <w:r w:rsidR="003D069C">
        <w:tab/>
        <w:t>Darcy-Weisbach friction factor</w:t>
      </w:r>
    </w:p>
    <w:p w14:paraId="60CB0FFE" w14:textId="77777777" w:rsidR="003D069C" w:rsidRPr="008B4036" w:rsidRDefault="00077C0B" w:rsidP="00A81161">
      <w:pPr>
        <w:spacing w:line="240" w:lineRule="auto"/>
        <w:ind w:firstLine="720"/>
        <w:rPr>
          <w:rFonts w:ascii="Cambria Math" w:hAnsi="Cambria Math"/>
          <w:oMath/>
        </w:rPr>
      </w:pPr>
      <m:oMath>
        <m:sSub>
          <m:sSubPr>
            <m:ctrlPr>
              <w:rPr>
                <w:rFonts w:ascii="Cambria Math" w:hAnsi="Cambria Math"/>
                <w:i/>
              </w:rPr>
            </m:ctrlPr>
          </m:sSubPr>
          <m:e>
            <m:r>
              <w:rPr>
                <w:rFonts w:ascii="Cambria Math" w:hAnsi="Cambria Math"/>
              </w:rPr>
              <m:t>f</m:t>
            </m:r>
          </m:e>
          <m:sub>
            <m:r>
              <w:rPr>
                <w:rFonts w:ascii="Cambria Math" w:hAnsi="Cambria Math"/>
              </w:rPr>
              <m:t>Fanning</m:t>
            </m:r>
          </m:sub>
        </m:sSub>
      </m:oMath>
      <w:r w:rsidR="003D069C">
        <w:tab/>
      </w:r>
      <w:r w:rsidR="003D069C">
        <w:tab/>
        <w:t>Fanning friction factor</w:t>
      </w:r>
    </w:p>
    <w:p w14:paraId="69316281" w14:textId="77777777" w:rsidR="003D069C" w:rsidRPr="008B4036" w:rsidRDefault="00077C0B" w:rsidP="00A81161">
      <w:pPr>
        <w:spacing w:line="240" w:lineRule="auto"/>
        <w:ind w:firstLine="720"/>
        <w:rPr>
          <w:rFonts w:ascii="Cambria Math" w:hAnsi="Cambria Math"/>
          <w:oMath/>
        </w:rPr>
      </w:pPr>
      <m:oMath>
        <m:sSub>
          <m:sSubPr>
            <m:ctrlPr>
              <w:rPr>
                <w:rFonts w:ascii="Cambria Math" w:hAnsi="Cambria Math"/>
                <w:i/>
              </w:rPr>
            </m:ctrlPr>
          </m:sSubPr>
          <m:e>
            <m:r>
              <w:rPr>
                <w:rFonts w:ascii="Cambria Math" w:hAnsi="Cambria Math"/>
              </w:rPr>
              <m:t>r</m:t>
            </m:r>
          </m:e>
          <m:sub>
            <m:r>
              <w:rPr>
                <w:rFonts w:ascii="Cambria Math" w:hAnsi="Cambria Math"/>
              </w:rPr>
              <m:t>i</m:t>
            </m:r>
          </m:sub>
        </m:sSub>
      </m:oMath>
      <w:r w:rsidR="003D069C">
        <w:tab/>
      </w:r>
      <w:r w:rsidR="003D069C">
        <w:tab/>
      </w:r>
      <w:r w:rsidR="003D069C">
        <w:tab/>
        <w:t>Outer radius of inside pipe in an annulus</w:t>
      </w:r>
    </w:p>
    <w:p w14:paraId="269CE9E6" w14:textId="77777777" w:rsidR="003D069C" w:rsidRPr="008B4036" w:rsidRDefault="00077C0B" w:rsidP="00A81161">
      <w:pPr>
        <w:spacing w:line="240" w:lineRule="auto"/>
        <w:ind w:firstLine="720"/>
      </w:pPr>
      <m:oMath>
        <m:sSub>
          <m:sSubPr>
            <m:ctrlPr>
              <w:rPr>
                <w:rFonts w:ascii="Cambria Math" w:hAnsi="Cambria Math"/>
                <w:i/>
              </w:rPr>
            </m:ctrlPr>
          </m:sSubPr>
          <m:e>
            <m:r>
              <w:rPr>
                <w:rFonts w:ascii="Cambria Math" w:hAnsi="Cambria Math"/>
              </w:rPr>
              <m:t>r</m:t>
            </m:r>
          </m:e>
          <m:sub>
            <m:r>
              <w:rPr>
                <w:rFonts w:ascii="Cambria Math" w:hAnsi="Cambria Math"/>
              </w:rPr>
              <m:t>o</m:t>
            </m:r>
          </m:sub>
        </m:sSub>
        <m:r>
          <w:rPr>
            <w:rFonts w:ascii="Cambria Math" w:hAnsi="Cambria Math"/>
          </w:rPr>
          <m:t xml:space="preserve"> </m:t>
        </m:r>
      </m:oMath>
      <w:r w:rsidR="003D069C">
        <w:tab/>
      </w:r>
      <w:r w:rsidR="003D069C">
        <w:tab/>
      </w:r>
      <w:r w:rsidR="003D069C">
        <w:tab/>
        <w:t>Inner radius of outside pipe (in an annulus)</w:t>
      </w:r>
    </w:p>
    <w:p w14:paraId="6CC5D9C5" w14:textId="77777777" w:rsidR="003D069C" w:rsidRPr="00C72160" w:rsidRDefault="00077C0B" w:rsidP="00C72160">
      <w:pPr>
        <w:spacing w:line="240" w:lineRule="auto"/>
        <w:ind w:firstLine="720"/>
      </w:pPr>
      <m:oMath>
        <m:sSub>
          <m:sSubPr>
            <m:ctrlPr>
              <w:rPr>
                <w:rFonts w:ascii="Cambria Math" w:hAnsi="Cambria Math"/>
                <w:i/>
              </w:rPr>
            </m:ctrlPr>
          </m:sSubPr>
          <m:e>
            <m:r>
              <w:rPr>
                <w:rFonts w:ascii="Cambria Math" w:hAnsi="Cambria Math"/>
              </w:rPr>
              <m:t>v</m:t>
            </m:r>
          </m:e>
          <m:sub>
            <m:r>
              <w:rPr>
                <w:rFonts w:ascii="Cambria Math" w:hAnsi="Cambria Math"/>
              </w:rPr>
              <m:t>cement</m:t>
            </m:r>
          </m:sub>
        </m:sSub>
      </m:oMath>
      <w:r w:rsidR="003D069C" w:rsidRPr="00C72160">
        <w:tab/>
      </w:r>
      <w:r w:rsidR="003D069C" w:rsidRPr="00C72160">
        <w:tab/>
        <w:t>Poisson’s ratio of cement</w:t>
      </w:r>
    </w:p>
    <w:p w14:paraId="7D4043C3" w14:textId="77777777" w:rsidR="003D069C" w:rsidRPr="00C72160" w:rsidRDefault="00077C0B" w:rsidP="00C72160">
      <w:pPr>
        <w:spacing w:line="240" w:lineRule="auto"/>
        <w:ind w:firstLine="720"/>
      </w:pPr>
      <m:oMath>
        <m:sSub>
          <m:sSubPr>
            <m:ctrlPr>
              <w:rPr>
                <w:rFonts w:ascii="Cambria Math" w:hAnsi="Cambria Math"/>
                <w:i/>
              </w:rPr>
            </m:ctrlPr>
          </m:sSubPr>
          <m:e>
            <m:r>
              <w:rPr>
                <w:rFonts w:ascii="Cambria Math" w:hAnsi="Cambria Math"/>
              </w:rPr>
              <m:t>v</m:t>
            </m:r>
          </m:e>
          <m:sub>
            <m:r>
              <w:rPr>
                <w:rFonts w:ascii="Cambria Math" w:hAnsi="Cambria Math"/>
              </w:rPr>
              <m:t>rock</m:t>
            </m:r>
          </m:sub>
        </m:sSub>
      </m:oMath>
      <w:r w:rsidR="003D069C" w:rsidRPr="00C72160">
        <w:tab/>
      </w:r>
      <w:r w:rsidR="003D069C" w:rsidRPr="00C72160">
        <w:tab/>
      </w:r>
      <w:r w:rsidR="003D069C">
        <w:tab/>
      </w:r>
      <w:r w:rsidR="003D069C" w:rsidRPr="00C72160">
        <w:t>Poisson’s ratio of rock</w:t>
      </w:r>
    </w:p>
    <w:p w14:paraId="257490F1" w14:textId="77777777" w:rsidR="003D069C" w:rsidRPr="008B4036" w:rsidRDefault="00077C0B" w:rsidP="00A81161">
      <w:pPr>
        <w:spacing w:line="240" w:lineRule="auto"/>
        <w:ind w:firstLine="720"/>
        <w:rPr>
          <w:rFonts w:ascii="Cambria Math" w:hAnsi="Cambria Math"/>
          <w:oMath/>
        </w:rPr>
      </w:pPr>
      <m:oMath>
        <m:f>
          <m:fPr>
            <m:ctrlPr>
              <w:rPr>
                <w:rFonts w:ascii="Cambria Math" w:hAnsi="Cambria Math"/>
                <w:i/>
              </w:rPr>
            </m:ctrlPr>
          </m:fPr>
          <m:num>
            <m:r>
              <w:rPr>
                <w:rFonts w:ascii="Cambria Math" w:hAnsi="Cambria Math"/>
              </w:rPr>
              <m:t>ΔP</m:t>
            </m:r>
          </m:num>
          <m:den>
            <m:r>
              <w:rPr>
                <w:rFonts w:ascii="Cambria Math" w:hAnsi="Cambria Math"/>
              </w:rPr>
              <m:t>ΔX</m:t>
            </m:r>
          </m:den>
        </m:f>
      </m:oMath>
      <w:r w:rsidR="003D069C">
        <w:tab/>
      </w:r>
      <w:r w:rsidR="003D069C">
        <w:tab/>
      </w:r>
      <w:r w:rsidR="003D069C">
        <w:tab/>
        <w:t>Pressure loss per unit length</w:t>
      </w:r>
    </w:p>
    <w:p w14:paraId="03E94632" w14:textId="77777777" w:rsidR="003D069C" w:rsidRPr="00C72160" w:rsidRDefault="00077C0B" w:rsidP="00C72160">
      <w:pPr>
        <w:spacing w:line="240" w:lineRule="auto"/>
        <w:ind w:firstLine="720"/>
        <w:rPr>
          <w:i/>
        </w:rPr>
      </w:pPr>
      <m:oMath>
        <m:sSub>
          <m:sSubPr>
            <m:ctrlPr>
              <w:rPr>
                <w:rFonts w:ascii="Cambria Math" w:hAnsi="Cambria Math"/>
                <w:i/>
              </w:rPr>
            </m:ctrlPr>
          </m:sSubPr>
          <m:e>
            <m:r>
              <w:rPr>
                <w:rFonts w:ascii="Cambria Math" w:hAnsi="Cambria Math"/>
              </w:rPr>
              <m:t>α</m:t>
            </m:r>
          </m:e>
          <m:sub>
            <m:r>
              <w:rPr>
                <w:rFonts w:ascii="Cambria Math" w:hAnsi="Cambria Math"/>
              </w:rPr>
              <m:t>cement</m:t>
            </m:r>
          </m:sub>
        </m:sSub>
      </m:oMath>
      <w:r w:rsidR="003D069C" w:rsidRPr="00C72160">
        <w:t xml:space="preserve"> </w:t>
      </w:r>
      <w:r w:rsidR="003D069C" w:rsidRPr="00C72160">
        <w:tab/>
      </w:r>
      <w:r w:rsidR="003D069C">
        <w:tab/>
      </w:r>
      <w:r w:rsidR="003D069C" w:rsidRPr="00C72160">
        <w:t>Linear Coefficient of Thermal Expansion of cement</w:t>
      </w:r>
    </w:p>
    <w:p w14:paraId="27369B12" w14:textId="77777777" w:rsidR="003D069C" w:rsidRPr="00C72160" w:rsidRDefault="00077C0B" w:rsidP="00C72160">
      <w:pPr>
        <w:spacing w:line="240" w:lineRule="auto"/>
        <w:ind w:firstLine="720"/>
        <w:rPr>
          <w:i/>
        </w:rPr>
      </w:pPr>
      <m:oMath>
        <m:sSub>
          <m:sSubPr>
            <m:ctrlPr>
              <w:rPr>
                <w:rFonts w:ascii="Cambria Math" w:hAnsi="Cambria Math"/>
                <w:i/>
              </w:rPr>
            </m:ctrlPr>
          </m:sSubPr>
          <m:e>
            <m:r>
              <w:rPr>
                <w:rFonts w:ascii="Cambria Math" w:hAnsi="Cambria Math"/>
              </w:rPr>
              <m:t>α</m:t>
            </m:r>
          </m:e>
          <m:sub>
            <m:r>
              <w:rPr>
                <w:rFonts w:ascii="Cambria Math" w:hAnsi="Cambria Math"/>
              </w:rPr>
              <m:t>rock</m:t>
            </m:r>
          </m:sub>
        </m:sSub>
      </m:oMath>
      <w:r w:rsidR="003D069C" w:rsidRPr="00C72160">
        <w:t xml:space="preserve"> </w:t>
      </w:r>
      <w:r w:rsidR="003D069C" w:rsidRPr="00C72160">
        <w:tab/>
      </w:r>
      <w:r w:rsidR="003D069C">
        <w:tab/>
      </w:r>
      <w:r w:rsidR="003D069C">
        <w:tab/>
      </w:r>
      <w:r w:rsidR="003D069C" w:rsidRPr="00C72160">
        <w:t>Linear Coefficient of Thermal Expansion of rock</w:t>
      </w:r>
    </w:p>
    <w:p w14:paraId="74E7D023" w14:textId="77777777" w:rsidR="003D069C" w:rsidRPr="00C72160" w:rsidRDefault="00077C0B" w:rsidP="00C72160">
      <w:pPr>
        <w:spacing w:line="240" w:lineRule="auto"/>
        <w:ind w:firstLine="720"/>
      </w:pPr>
      <m:oMath>
        <m:f>
          <m:fPr>
            <m:ctrlPr>
              <w:rPr>
                <w:rFonts w:ascii="Cambria Math" w:hAnsi="Cambria Math"/>
                <w:i/>
              </w:rPr>
            </m:ctrlPr>
          </m:fPr>
          <m:num>
            <m:r>
              <w:rPr>
                <w:rFonts w:ascii="Cambria Math" w:hAnsi="Cambria Math"/>
              </w:rPr>
              <m:t>δ</m:t>
            </m:r>
            <m:sSub>
              <m:sSubPr>
                <m:ctrlPr>
                  <w:rPr>
                    <w:rFonts w:ascii="Cambria Math" w:hAnsi="Cambria Math"/>
                    <w:i/>
                  </w:rPr>
                </m:ctrlPr>
              </m:sSubPr>
              <m:e>
                <m:r>
                  <w:rPr>
                    <w:rFonts w:ascii="Cambria Math" w:hAnsi="Cambria Math"/>
                  </w:rPr>
                  <m:t>σ</m:t>
                </m:r>
              </m:e>
              <m:sub>
                <m:r>
                  <w:rPr>
                    <w:rFonts w:ascii="Cambria Math" w:hAnsi="Cambria Math"/>
                  </w:rPr>
                  <m:t>h</m:t>
                </m:r>
              </m:sub>
            </m:sSub>
          </m:num>
          <m:den>
            <m:r>
              <w:rPr>
                <w:rFonts w:ascii="Cambria Math" w:hAnsi="Cambria Math"/>
              </w:rPr>
              <m:t>δ</m:t>
            </m:r>
            <m:sSub>
              <m:sSubPr>
                <m:ctrlPr>
                  <w:rPr>
                    <w:rFonts w:ascii="Cambria Math" w:hAnsi="Cambria Math"/>
                    <w:i/>
                  </w:rPr>
                </m:ctrlPr>
              </m:sSubPr>
              <m:e>
                <m:r>
                  <w:rPr>
                    <w:rFonts w:ascii="Cambria Math" w:hAnsi="Cambria Math"/>
                  </w:rPr>
                  <m:t>σ</m:t>
                </m:r>
              </m:e>
              <m:sub>
                <m:r>
                  <w:rPr>
                    <w:rFonts w:ascii="Cambria Math" w:hAnsi="Cambria Math"/>
                  </w:rPr>
                  <m:t>H</m:t>
                </m:r>
              </m:sub>
            </m:sSub>
          </m:den>
        </m:f>
      </m:oMath>
      <w:r w:rsidR="003D069C" w:rsidRPr="00C72160">
        <w:tab/>
      </w:r>
      <w:r w:rsidR="003D069C" w:rsidRPr="00C72160">
        <w:tab/>
      </w:r>
      <w:r w:rsidR="003D069C">
        <w:tab/>
      </w:r>
      <w:r w:rsidR="003D069C" w:rsidRPr="00C72160">
        <w:t>Isotropic Stress Variation</w:t>
      </w:r>
    </w:p>
    <w:p w14:paraId="7C28BD4E" w14:textId="77777777" w:rsidR="003D069C" w:rsidRPr="00C72160" w:rsidRDefault="00077C0B" w:rsidP="00C72160">
      <w:pPr>
        <w:spacing w:line="240" w:lineRule="auto"/>
        <w:ind w:firstLine="720"/>
      </w:pPr>
      <m:oMath>
        <m:f>
          <m:fPr>
            <m:ctrlPr>
              <w:rPr>
                <w:rFonts w:ascii="Cambria Math" w:hAnsi="Cambria Math"/>
                <w:i/>
              </w:rPr>
            </m:ctrlPr>
          </m:fPr>
          <m:num>
            <m:r>
              <w:rPr>
                <w:rFonts w:ascii="Cambria Math" w:hAnsi="Cambria Math"/>
              </w:rPr>
              <m:t>δ</m:t>
            </m:r>
            <m:sSub>
              <m:sSubPr>
                <m:ctrlPr>
                  <w:rPr>
                    <w:rFonts w:ascii="Cambria Math" w:hAnsi="Cambria Math"/>
                    <w:i/>
                  </w:rPr>
                </m:ctrlPr>
              </m:sSubPr>
              <m:e>
                <m:r>
                  <w:rPr>
                    <w:rFonts w:ascii="Cambria Math" w:hAnsi="Cambria Math"/>
                  </w:rPr>
                  <m:t>σ</m:t>
                </m:r>
              </m:e>
              <m:sub>
                <m:r>
                  <w:rPr>
                    <w:rFonts w:ascii="Cambria Math" w:hAnsi="Cambria Math"/>
                  </w:rPr>
                  <m:t>H</m:t>
                </m:r>
              </m:sub>
            </m:sSub>
          </m:num>
          <m:den>
            <m:r>
              <w:rPr>
                <w:rFonts w:ascii="Cambria Math" w:hAnsi="Cambria Math"/>
              </w:rPr>
              <m:t>δ</m:t>
            </m:r>
            <m:sSub>
              <m:sSubPr>
                <m:ctrlPr>
                  <w:rPr>
                    <w:rFonts w:ascii="Cambria Math" w:hAnsi="Cambria Math"/>
                    <w:i/>
                  </w:rPr>
                </m:ctrlPr>
              </m:sSubPr>
              <m:e>
                <m:r>
                  <w:rPr>
                    <w:rFonts w:ascii="Cambria Math" w:hAnsi="Cambria Math"/>
                  </w:rPr>
                  <m:t>σ</m:t>
                </m:r>
              </m:e>
              <m:sub>
                <m:r>
                  <w:rPr>
                    <w:rFonts w:ascii="Cambria Math" w:hAnsi="Cambria Math"/>
                  </w:rPr>
                  <m:t>V</m:t>
                </m:r>
              </m:sub>
            </m:sSub>
          </m:den>
        </m:f>
      </m:oMath>
      <w:r w:rsidR="003D069C" w:rsidRPr="00C72160">
        <w:tab/>
      </w:r>
      <w:r w:rsidR="003D069C" w:rsidRPr="00C72160">
        <w:tab/>
      </w:r>
      <w:r w:rsidR="003D069C">
        <w:tab/>
      </w:r>
      <w:r w:rsidR="003D069C" w:rsidRPr="00C72160">
        <w:t>Anisotropic Stress Variation</w:t>
      </w:r>
    </w:p>
    <w:p w14:paraId="41F35D6F" w14:textId="77777777" w:rsidR="003D069C" w:rsidRPr="00C72160" w:rsidRDefault="00077C0B" w:rsidP="00C72160">
      <w:pPr>
        <w:spacing w:line="240" w:lineRule="auto"/>
        <w:ind w:firstLine="720"/>
      </w:pPr>
      <m:oMath>
        <m:sSub>
          <m:sSubPr>
            <m:ctrlPr>
              <w:rPr>
                <w:rFonts w:ascii="Cambria Math" w:hAnsi="Cambria Math"/>
                <w:i/>
              </w:rPr>
            </m:ctrlPr>
          </m:sSubPr>
          <m:e>
            <m:r>
              <w:rPr>
                <w:rFonts w:ascii="Cambria Math" w:hAnsi="Cambria Math"/>
              </w:rPr>
              <m:t>κ</m:t>
            </m:r>
          </m:e>
          <m:sub>
            <m:r>
              <w:rPr>
                <w:rFonts w:ascii="Cambria Math" w:hAnsi="Cambria Math"/>
              </w:rPr>
              <m:t>cement</m:t>
            </m:r>
          </m:sub>
        </m:sSub>
      </m:oMath>
      <w:r w:rsidR="003D069C" w:rsidRPr="00C72160">
        <w:t xml:space="preserve"> </w:t>
      </w:r>
      <w:r w:rsidR="003D069C" w:rsidRPr="00C72160">
        <w:tab/>
      </w:r>
      <w:r w:rsidR="003D069C">
        <w:tab/>
      </w:r>
      <w:r w:rsidR="003D069C" w:rsidRPr="00C72160">
        <w:t>Thermal Conductivity of cement</w:t>
      </w:r>
    </w:p>
    <w:p w14:paraId="30544E28" w14:textId="77777777" w:rsidR="003D069C" w:rsidRPr="00C72160" w:rsidRDefault="00077C0B" w:rsidP="00C72160">
      <w:pPr>
        <w:spacing w:line="240" w:lineRule="auto"/>
        <w:ind w:firstLine="720"/>
        <w:rPr>
          <w:i/>
        </w:rPr>
      </w:pPr>
      <m:oMath>
        <m:sSub>
          <m:sSubPr>
            <m:ctrlPr>
              <w:rPr>
                <w:rFonts w:ascii="Cambria Math" w:hAnsi="Cambria Math"/>
                <w:i/>
              </w:rPr>
            </m:ctrlPr>
          </m:sSubPr>
          <m:e>
            <m:r>
              <w:rPr>
                <w:rFonts w:ascii="Cambria Math" w:hAnsi="Cambria Math"/>
              </w:rPr>
              <m:t>κ</m:t>
            </m:r>
          </m:e>
          <m:sub>
            <m:r>
              <w:rPr>
                <w:rFonts w:ascii="Cambria Math" w:hAnsi="Cambria Math"/>
              </w:rPr>
              <m:t>rock</m:t>
            </m:r>
          </m:sub>
        </m:sSub>
      </m:oMath>
      <w:r w:rsidR="003D069C" w:rsidRPr="00C72160">
        <w:tab/>
        <w:t xml:space="preserve"> </w:t>
      </w:r>
      <w:r w:rsidR="003D069C" w:rsidRPr="00C72160">
        <w:tab/>
      </w:r>
      <w:r w:rsidR="003D069C">
        <w:tab/>
      </w:r>
      <w:r w:rsidR="003D069C" w:rsidRPr="00C72160">
        <w:t>Thermal Conductivity of rock</w:t>
      </w:r>
    </w:p>
    <w:p w14:paraId="2D471E69" w14:textId="77777777" w:rsidR="003D069C" w:rsidRPr="00C72160" w:rsidRDefault="00077C0B" w:rsidP="00C72160">
      <w:pPr>
        <w:spacing w:line="240" w:lineRule="auto"/>
        <w:ind w:firstLine="720"/>
      </w:pPr>
      <m:oMath>
        <m:sSub>
          <m:sSubPr>
            <m:ctrlPr>
              <w:rPr>
                <w:rFonts w:ascii="Cambria Math" w:hAnsi="Cambria Math"/>
                <w:i/>
              </w:rPr>
            </m:ctrlPr>
          </m:sSubPr>
          <m:e>
            <m:r>
              <w:rPr>
                <w:rFonts w:ascii="Cambria Math" w:hAnsi="Cambria Math"/>
              </w:rPr>
              <m:t>ρ</m:t>
            </m:r>
          </m:e>
          <m:sub>
            <m:r>
              <w:rPr>
                <w:rFonts w:ascii="Cambria Math" w:hAnsi="Cambria Math"/>
              </w:rPr>
              <m:t>b</m:t>
            </m:r>
          </m:sub>
        </m:sSub>
      </m:oMath>
      <w:r w:rsidR="003D069C" w:rsidRPr="00C72160">
        <w:rPr>
          <w:vertAlign w:val="subscript"/>
        </w:rPr>
        <w:t xml:space="preserve"> </w:t>
      </w:r>
      <w:r w:rsidR="003D069C" w:rsidRPr="00C72160">
        <w:rPr>
          <w:vertAlign w:val="subscript"/>
        </w:rPr>
        <w:tab/>
      </w:r>
      <w:r w:rsidR="003D069C" w:rsidRPr="00C72160">
        <w:rPr>
          <w:vertAlign w:val="subscript"/>
        </w:rPr>
        <w:tab/>
      </w:r>
      <w:r w:rsidR="003D069C">
        <w:rPr>
          <w:vertAlign w:val="subscript"/>
        </w:rPr>
        <w:tab/>
      </w:r>
      <w:r w:rsidR="003D069C" w:rsidRPr="00C72160">
        <w:t>Bulk density</w:t>
      </w:r>
    </w:p>
    <w:p w14:paraId="1C667FBC" w14:textId="77777777" w:rsidR="003D069C" w:rsidRPr="00C72160" w:rsidRDefault="00077C0B" w:rsidP="00C72160">
      <w:pPr>
        <w:spacing w:line="240" w:lineRule="auto"/>
        <w:ind w:firstLine="720"/>
      </w:pPr>
      <m:oMath>
        <m:sSub>
          <m:sSubPr>
            <m:ctrlPr>
              <w:rPr>
                <w:rFonts w:ascii="Cambria Math" w:hAnsi="Cambria Math"/>
                <w:i/>
              </w:rPr>
            </m:ctrlPr>
          </m:sSubPr>
          <m:e>
            <m:r>
              <w:rPr>
                <w:rFonts w:ascii="Cambria Math" w:hAnsi="Cambria Math"/>
              </w:rPr>
              <m:t>ρ</m:t>
            </m:r>
          </m:e>
          <m:sub>
            <m:r>
              <w:rPr>
                <w:rFonts w:ascii="Cambria Math" w:hAnsi="Cambria Math"/>
              </w:rPr>
              <m:t>dry</m:t>
            </m:r>
          </m:sub>
        </m:sSub>
      </m:oMath>
      <w:r w:rsidR="003D069C" w:rsidRPr="00C72160">
        <w:tab/>
      </w:r>
      <w:r w:rsidR="003D069C" w:rsidRPr="00C72160">
        <w:tab/>
      </w:r>
      <w:r w:rsidR="003D069C">
        <w:tab/>
      </w:r>
      <w:r w:rsidR="003D069C" w:rsidRPr="00C72160">
        <w:t>Hardened Cement Density</w:t>
      </w:r>
    </w:p>
    <w:p w14:paraId="233EFDC1" w14:textId="77777777" w:rsidR="003D069C" w:rsidRPr="00C72160" w:rsidRDefault="00077C0B" w:rsidP="00C72160">
      <w:pPr>
        <w:spacing w:line="240" w:lineRule="auto"/>
        <w:ind w:firstLine="720"/>
      </w:pPr>
      <m:oMath>
        <m:sSub>
          <m:sSubPr>
            <m:ctrlPr>
              <w:rPr>
                <w:rFonts w:ascii="Cambria Math" w:hAnsi="Cambria Math"/>
                <w:i/>
              </w:rPr>
            </m:ctrlPr>
          </m:sSubPr>
          <m:e>
            <m:r>
              <w:rPr>
                <w:rFonts w:ascii="Cambria Math" w:hAnsi="Cambria Math"/>
              </w:rPr>
              <m:t>ρ</m:t>
            </m:r>
          </m:e>
          <m:sub>
            <m:r>
              <w:rPr>
                <w:rFonts w:ascii="Cambria Math" w:hAnsi="Cambria Math"/>
              </w:rPr>
              <m:t>shale</m:t>
            </m:r>
          </m:sub>
        </m:sSub>
      </m:oMath>
      <w:r w:rsidR="003D069C" w:rsidRPr="00C72160">
        <w:rPr>
          <w:vertAlign w:val="subscript"/>
        </w:rPr>
        <w:tab/>
      </w:r>
      <w:r w:rsidR="003D069C" w:rsidRPr="00C72160">
        <w:rPr>
          <w:vertAlign w:val="subscript"/>
        </w:rPr>
        <w:tab/>
      </w:r>
      <w:r w:rsidR="003D069C">
        <w:rPr>
          <w:vertAlign w:val="subscript"/>
        </w:rPr>
        <w:tab/>
      </w:r>
      <w:r w:rsidR="003D069C" w:rsidRPr="00C72160">
        <w:t xml:space="preserve">Shale density </w:t>
      </w:r>
    </w:p>
    <w:p w14:paraId="4299A044" w14:textId="77777777" w:rsidR="003D069C" w:rsidRPr="00C72160" w:rsidRDefault="00077C0B" w:rsidP="00C72160">
      <w:pPr>
        <w:spacing w:line="240" w:lineRule="auto"/>
        <w:ind w:firstLine="720"/>
      </w:pPr>
      <m:oMath>
        <m:sSub>
          <m:sSubPr>
            <m:ctrlPr>
              <w:rPr>
                <w:rFonts w:ascii="Cambria Math" w:hAnsi="Cambria Math"/>
                <w:i/>
              </w:rPr>
            </m:ctrlPr>
          </m:sSubPr>
          <m:e>
            <m:r>
              <w:rPr>
                <w:rFonts w:ascii="Cambria Math" w:hAnsi="Cambria Math"/>
              </w:rPr>
              <m:t>ρ</m:t>
            </m:r>
          </m:e>
          <m:sub>
            <m:r>
              <w:rPr>
                <w:rFonts w:ascii="Cambria Math" w:hAnsi="Cambria Math"/>
              </w:rPr>
              <m:t>sand</m:t>
            </m:r>
          </m:sub>
        </m:sSub>
      </m:oMath>
      <w:r w:rsidR="003D069C" w:rsidRPr="00C72160">
        <w:rPr>
          <w:vertAlign w:val="subscript"/>
        </w:rPr>
        <w:tab/>
      </w:r>
      <w:r w:rsidR="003D069C" w:rsidRPr="00C72160">
        <w:rPr>
          <w:vertAlign w:val="subscript"/>
        </w:rPr>
        <w:tab/>
      </w:r>
      <w:r w:rsidR="003D069C">
        <w:rPr>
          <w:vertAlign w:val="subscript"/>
        </w:rPr>
        <w:tab/>
      </w:r>
      <w:r w:rsidR="003D069C" w:rsidRPr="00C72160">
        <w:t>Sand density</w:t>
      </w:r>
    </w:p>
    <w:p w14:paraId="1AA631AA" w14:textId="77777777" w:rsidR="003D069C" w:rsidRPr="00C72160" w:rsidRDefault="00077C0B" w:rsidP="00C72160">
      <w:pPr>
        <w:spacing w:line="240" w:lineRule="auto"/>
        <w:ind w:firstLine="720"/>
      </w:pPr>
      <m:oMath>
        <m:sSub>
          <m:sSubPr>
            <m:ctrlPr>
              <w:rPr>
                <w:rFonts w:ascii="Cambria Math" w:hAnsi="Cambria Math"/>
                <w:i/>
              </w:rPr>
            </m:ctrlPr>
          </m:sSubPr>
          <m:e>
            <m:r>
              <w:rPr>
                <w:rFonts w:ascii="Cambria Math" w:hAnsi="Cambria Math"/>
              </w:rPr>
              <m:t>ρ</m:t>
            </m:r>
          </m:e>
          <m:sub>
            <m:r>
              <w:rPr>
                <w:rFonts w:ascii="Cambria Math" w:hAnsi="Cambria Math"/>
              </w:rPr>
              <m:t>seawater</m:t>
            </m:r>
          </m:sub>
        </m:sSub>
      </m:oMath>
      <w:r w:rsidR="003D069C" w:rsidRPr="00C72160">
        <w:rPr>
          <w:vertAlign w:val="subscript"/>
        </w:rPr>
        <w:tab/>
      </w:r>
      <w:r w:rsidR="003D069C">
        <w:rPr>
          <w:vertAlign w:val="subscript"/>
        </w:rPr>
        <w:tab/>
      </w:r>
      <w:r w:rsidR="003D069C" w:rsidRPr="00C72160">
        <w:t>Seawater density</w:t>
      </w:r>
    </w:p>
    <w:p w14:paraId="74CBFBE1" w14:textId="77777777" w:rsidR="003D069C" w:rsidRPr="00C72160" w:rsidRDefault="00077C0B" w:rsidP="00C72160">
      <w:pPr>
        <w:spacing w:line="240" w:lineRule="auto"/>
        <w:ind w:firstLine="720"/>
      </w:pPr>
      <m:oMath>
        <m:sSub>
          <m:sSubPr>
            <m:ctrlPr>
              <w:rPr>
                <w:rFonts w:ascii="Cambria Math" w:hAnsi="Cambria Math"/>
                <w:i/>
              </w:rPr>
            </m:ctrlPr>
          </m:sSubPr>
          <m:e>
            <m:r>
              <w:rPr>
                <w:rFonts w:ascii="Cambria Math" w:hAnsi="Cambria Math"/>
              </w:rPr>
              <m:t>ρ</m:t>
            </m:r>
          </m:e>
          <m:sub>
            <m:r>
              <w:rPr>
                <w:rFonts w:ascii="Cambria Math" w:hAnsi="Cambria Math"/>
              </w:rPr>
              <m:t>slurry</m:t>
            </m:r>
          </m:sub>
        </m:sSub>
      </m:oMath>
      <w:r w:rsidR="003D069C" w:rsidRPr="00C72160">
        <w:tab/>
      </w:r>
      <w:r w:rsidR="003D069C" w:rsidRPr="00C72160">
        <w:tab/>
      </w:r>
      <w:r w:rsidR="003D069C">
        <w:tab/>
      </w:r>
      <w:r w:rsidR="003D069C" w:rsidRPr="00C72160">
        <w:t>Cement Slurry Density</w:t>
      </w:r>
    </w:p>
    <w:p w14:paraId="508ADE9F" w14:textId="77777777" w:rsidR="003D069C" w:rsidRPr="00C72160" w:rsidRDefault="00077C0B" w:rsidP="00C72160">
      <w:pPr>
        <w:spacing w:line="240" w:lineRule="auto"/>
        <w:ind w:firstLine="720"/>
      </w:pPr>
      <m:oMath>
        <m:sSup>
          <m:sSupPr>
            <m:ctrlPr>
              <w:rPr>
                <w:rFonts w:ascii="Cambria Math" w:hAnsi="Cambria Math"/>
                <w:i/>
              </w:rPr>
            </m:ctrlPr>
          </m:sSupPr>
          <m:e>
            <m:r>
              <w:rPr>
                <w:rFonts w:ascii="Cambria Math" w:hAnsi="Cambria Math"/>
              </w:rPr>
              <m:t>σ</m:t>
            </m:r>
          </m:e>
          <m:sup>
            <m:r>
              <w:rPr>
                <w:rFonts w:ascii="Cambria Math" w:hAnsi="Cambria Math"/>
              </w:rPr>
              <m:t>'</m:t>
            </m:r>
          </m:sup>
        </m:sSup>
      </m:oMath>
      <w:r w:rsidR="003D069C" w:rsidRPr="00C72160">
        <w:tab/>
      </w:r>
      <w:r w:rsidR="003D069C">
        <w:tab/>
      </w:r>
      <w:r w:rsidR="003D069C">
        <w:tab/>
        <w:t>Effective Stress</w:t>
      </w:r>
    </w:p>
    <w:p w14:paraId="7A8B6B93" w14:textId="77777777" w:rsidR="003D069C" w:rsidRPr="00C72160" w:rsidRDefault="00077C0B" w:rsidP="00C72160">
      <w:pPr>
        <w:spacing w:line="240" w:lineRule="auto"/>
        <w:ind w:firstLine="720"/>
      </w:pPr>
      <m:oMath>
        <m:sSub>
          <m:sSubPr>
            <m:ctrlPr>
              <w:rPr>
                <w:rFonts w:ascii="Cambria Math" w:hAnsi="Cambria Math"/>
                <w:i/>
              </w:rPr>
            </m:ctrlPr>
          </m:sSubPr>
          <m:e>
            <m:r>
              <w:rPr>
                <w:rFonts w:ascii="Cambria Math" w:hAnsi="Cambria Math"/>
              </w:rPr>
              <m:t>σ</m:t>
            </m:r>
          </m:e>
          <m:sub>
            <m:r>
              <w:rPr>
                <w:rFonts w:ascii="Cambria Math" w:hAnsi="Cambria Math"/>
              </w:rPr>
              <m:t>1</m:t>
            </m:r>
          </m:sub>
        </m:sSub>
      </m:oMath>
      <w:r w:rsidR="003D069C" w:rsidRPr="00C72160">
        <w:rPr>
          <w:vertAlign w:val="subscript"/>
        </w:rPr>
        <w:tab/>
      </w:r>
      <w:r w:rsidR="003D069C">
        <w:rPr>
          <w:vertAlign w:val="subscript"/>
        </w:rPr>
        <w:tab/>
      </w:r>
      <w:r w:rsidR="003D069C">
        <w:rPr>
          <w:vertAlign w:val="subscript"/>
        </w:rPr>
        <w:tab/>
      </w:r>
      <w:r w:rsidR="003D069C" w:rsidRPr="00C72160">
        <w:t>Principal Stress 1</w:t>
      </w:r>
    </w:p>
    <w:p w14:paraId="51AAE33B" w14:textId="77777777" w:rsidR="003D069C" w:rsidRPr="00C72160" w:rsidRDefault="00077C0B" w:rsidP="00C72160">
      <w:pPr>
        <w:spacing w:line="240" w:lineRule="auto"/>
        <w:ind w:firstLine="720"/>
      </w:pPr>
      <m:oMath>
        <m:sSub>
          <m:sSubPr>
            <m:ctrlPr>
              <w:rPr>
                <w:rFonts w:ascii="Cambria Math" w:hAnsi="Cambria Math"/>
                <w:i/>
              </w:rPr>
            </m:ctrlPr>
          </m:sSubPr>
          <m:e>
            <m:r>
              <w:rPr>
                <w:rFonts w:ascii="Cambria Math" w:hAnsi="Cambria Math"/>
              </w:rPr>
              <m:t>σ</m:t>
            </m:r>
          </m:e>
          <m:sub>
            <m:r>
              <w:rPr>
                <w:rFonts w:ascii="Cambria Math" w:hAnsi="Cambria Math"/>
              </w:rPr>
              <m:t>2</m:t>
            </m:r>
          </m:sub>
        </m:sSub>
      </m:oMath>
      <w:r w:rsidR="003D069C" w:rsidRPr="00C72160">
        <w:tab/>
      </w:r>
      <w:r w:rsidR="003D069C">
        <w:tab/>
      </w:r>
      <w:r w:rsidR="003D069C">
        <w:tab/>
        <w:t>Principal Stress 2</w:t>
      </w:r>
    </w:p>
    <w:p w14:paraId="23DC3FF4" w14:textId="77777777" w:rsidR="003D069C" w:rsidRPr="00C72160" w:rsidRDefault="00077C0B" w:rsidP="00C72160">
      <w:pPr>
        <w:spacing w:line="240" w:lineRule="auto"/>
        <w:ind w:firstLine="720"/>
      </w:pPr>
      <m:oMath>
        <m:sSub>
          <m:sSubPr>
            <m:ctrlPr>
              <w:rPr>
                <w:rFonts w:ascii="Cambria Math" w:hAnsi="Cambria Math"/>
                <w:i/>
              </w:rPr>
            </m:ctrlPr>
          </m:sSubPr>
          <m:e>
            <m:r>
              <w:rPr>
                <w:rFonts w:ascii="Cambria Math" w:hAnsi="Cambria Math"/>
              </w:rPr>
              <m:t>σ</m:t>
            </m:r>
          </m:e>
          <m:sub>
            <m:r>
              <w:rPr>
                <w:rFonts w:ascii="Cambria Math" w:hAnsi="Cambria Math"/>
              </w:rPr>
              <m:t>3</m:t>
            </m:r>
          </m:sub>
        </m:sSub>
      </m:oMath>
      <w:r w:rsidR="003D069C" w:rsidRPr="00C72160">
        <w:tab/>
      </w:r>
      <w:r w:rsidR="003D069C">
        <w:tab/>
      </w:r>
      <w:r w:rsidR="003D069C">
        <w:tab/>
      </w:r>
      <w:r w:rsidR="003D069C" w:rsidRPr="00C72160">
        <w:t>Principal Stress 3</w:t>
      </w:r>
    </w:p>
    <w:p w14:paraId="538E2E3C" w14:textId="77777777" w:rsidR="003D069C" w:rsidRPr="00C72160" w:rsidRDefault="00077C0B" w:rsidP="00C72160">
      <w:pPr>
        <w:spacing w:line="240" w:lineRule="auto"/>
        <w:ind w:firstLine="720"/>
      </w:pPr>
      <m:oMath>
        <m:sSub>
          <m:sSubPr>
            <m:ctrlPr>
              <w:rPr>
                <w:rFonts w:ascii="Cambria Math" w:hAnsi="Cambria Math"/>
                <w:i/>
              </w:rPr>
            </m:ctrlPr>
          </m:sSubPr>
          <m:e>
            <m:r>
              <w:rPr>
                <w:rFonts w:ascii="Cambria Math" w:hAnsi="Cambria Math"/>
              </w:rPr>
              <m:t>σ</m:t>
            </m:r>
          </m:e>
          <m:sub>
            <m:r>
              <w:rPr>
                <w:rFonts w:ascii="Cambria Math" w:hAnsi="Cambria Math"/>
              </w:rPr>
              <m:t>h</m:t>
            </m:r>
          </m:sub>
        </m:sSub>
      </m:oMath>
      <w:r w:rsidR="003D069C" w:rsidRPr="00C72160">
        <w:tab/>
      </w:r>
      <w:r w:rsidR="003D069C" w:rsidRPr="00C72160">
        <w:tab/>
      </w:r>
      <w:r w:rsidR="003D069C">
        <w:tab/>
      </w:r>
      <w:r w:rsidR="003D069C" w:rsidRPr="00C72160">
        <w:t>Minimum Horizontal Stress</w:t>
      </w:r>
    </w:p>
    <w:p w14:paraId="658F3272" w14:textId="5DC5AF5B" w:rsidR="003D069C" w:rsidRPr="00C72160" w:rsidRDefault="00077C0B" w:rsidP="003D069C">
      <w:pPr>
        <w:spacing w:line="240" w:lineRule="auto"/>
        <w:ind w:firstLine="720"/>
      </w:pPr>
      <m:oMath>
        <m:sSub>
          <m:sSubPr>
            <m:ctrlPr>
              <w:rPr>
                <w:rFonts w:ascii="Cambria Math" w:hAnsi="Cambria Math"/>
                <w:i/>
              </w:rPr>
            </m:ctrlPr>
          </m:sSubPr>
          <m:e>
            <m:r>
              <w:rPr>
                <w:rFonts w:ascii="Cambria Math" w:hAnsi="Cambria Math"/>
              </w:rPr>
              <m:t>σ</m:t>
            </m:r>
          </m:e>
          <m:sub>
            <m:r>
              <w:rPr>
                <w:rFonts w:ascii="Cambria Math" w:hAnsi="Cambria Math"/>
              </w:rPr>
              <m:t>H</m:t>
            </m:r>
          </m:sub>
        </m:sSub>
      </m:oMath>
      <w:r w:rsidR="003D069C" w:rsidRPr="00C72160">
        <w:tab/>
      </w:r>
      <w:r w:rsidR="003D069C" w:rsidRPr="00C72160">
        <w:tab/>
      </w:r>
      <w:r w:rsidR="003D069C">
        <w:tab/>
      </w:r>
      <w:r w:rsidR="003D069C" w:rsidRPr="00C72160">
        <w:t>Maximum Horizontal Stress</w:t>
      </w:r>
    </w:p>
    <w:p w14:paraId="2F0707E4" w14:textId="77777777" w:rsidR="003D069C" w:rsidRPr="00C72160" w:rsidRDefault="00077C0B" w:rsidP="00C72160">
      <w:pPr>
        <w:spacing w:line="240" w:lineRule="auto"/>
        <w:ind w:firstLine="720"/>
      </w:pPr>
      <m:oMath>
        <m:sSub>
          <m:sSubPr>
            <m:ctrlPr>
              <w:rPr>
                <w:rFonts w:ascii="Cambria Math" w:hAnsi="Cambria Math"/>
                <w:i/>
              </w:rPr>
            </m:ctrlPr>
          </m:sSubPr>
          <m:e>
            <m:r>
              <w:rPr>
                <w:rFonts w:ascii="Cambria Math" w:hAnsi="Cambria Math"/>
              </w:rPr>
              <m:t>σ</m:t>
            </m:r>
          </m:e>
          <m:sub>
            <m:r>
              <w:rPr>
                <w:rFonts w:ascii="Cambria Math" w:hAnsi="Cambria Math"/>
              </w:rPr>
              <m:t>r</m:t>
            </m:r>
          </m:sub>
        </m:sSub>
      </m:oMath>
      <w:r w:rsidR="003D069C" w:rsidRPr="00C72160">
        <w:tab/>
      </w:r>
      <w:r w:rsidR="003D069C">
        <w:tab/>
      </w:r>
      <w:r w:rsidR="003D069C">
        <w:tab/>
        <w:t>Radial Stress</w:t>
      </w:r>
    </w:p>
    <w:p w14:paraId="3BC688D9" w14:textId="77777777" w:rsidR="003D069C" w:rsidRPr="00C72160" w:rsidRDefault="00077C0B" w:rsidP="00C72160">
      <w:pPr>
        <w:spacing w:line="240" w:lineRule="auto"/>
        <w:ind w:firstLine="720"/>
      </w:pPr>
      <m:oMath>
        <m:sSub>
          <m:sSubPr>
            <m:ctrlPr>
              <w:rPr>
                <w:rFonts w:ascii="Cambria Math" w:hAnsi="Cambria Math"/>
                <w:i/>
              </w:rPr>
            </m:ctrlPr>
          </m:sSubPr>
          <m:e>
            <m:r>
              <w:rPr>
                <w:rFonts w:ascii="Cambria Math" w:hAnsi="Cambria Math"/>
              </w:rPr>
              <m:t>σ</m:t>
            </m:r>
          </m:e>
          <m:sub>
            <m:r>
              <w:rPr>
                <w:rFonts w:ascii="Cambria Math" w:hAnsi="Cambria Math"/>
              </w:rPr>
              <m:t>v</m:t>
            </m:r>
          </m:sub>
        </m:sSub>
      </m:oMath>
      <w:r w:rsidR="003D069C" w:rsidRPr="00C72160">
        <w:tab/>
      </w:r>
      <w:r w:rsidR="003D069C" w:rsidRPr="00C72160">
        <w:tab/>
      </w:r>
      <w:r w:rsidR="003D069C">
        <w:tab/>
      </w:r>
      <w:r w:rsidR="003D069C" w:rsidRPr="00C72160">
        <w:t>Vertical or Overburden Stress</w:t>
      </w:r>
    </w:p>
    <w:p w14:paraId="4A7CD090" w14:textId="77777777" w:rsidR="003D069C" w:rsidRPr="00C72160" w:rsidRDefault="00077C0B" w:rsidP="00C72160">
      <w:pPr>
        <w:spacing w:line="240" w:lineRule="auto"/>
        <w:ind w:firstLine="720"/>
      </w:pPr>
      <m:oMath>
        <m:sSub>
          <m:sSubPr>
            <m:ctrlPr>
              <w:rPr>
                <w:rFonts w:ascii="Cambria Math" w:hAnsi="Cambria Math"/>
                <w:i/>
              </w:rPr>
            </m:ctrlPr>
          </m:sSubPr>
          <m:e>
            <m:r>
              <w:rPr>
                <w:rFonts w:ascii="Cambria Math" w:hAnsi="Cambria Math"/>
              </w:rPr>
              <m:t>σ</m:t>
            </m:r>
          </m:e>
          <m:sub>
            <m:r>
              <w:rPr>
                <w:rFonts w:ascii="Cambria Math" w:hAnsi="Cambria Math"/>
              </w:rPr>
              <m:t>x</m:t>
            </m:r>
          </m:sub>
        </m:sSub>
      </m:oMath>
      <w:r w:rsidR="003D069C" w:rsidRPr="00C72160">
        <w:rPr>
          <w:vertAlign w:val="subscript"/>
        </w:rPr>
        <w:tab/>
      </w:r>
      <w:r w:rsidR="003D069C">
        <w:rPr>
          <w:vertAlign w:val="subscript"/>
        </w:rPr>
        <w:tab/>
      </w:r>
      <w:r w:rsidR="003D069C">
        <w:rPr>
          <w:vertAlign w:val="subscript"/>
        </w:rPr>
        <w:tab/>
      </w:r>
      <w:r w:rsidR="003D069C" w:rsidRPr="00C72160">
        <w:t>Normal Stress in x</w:t>
      </w:r>
    </w:p>
    <w:p w14:paraId="3159F516" w14:textId="77777777" w:rsidR="003D069C" w:rsidRPr="00C72160" w:rsidRDefault="00077C0B" w:rsidP="00C72160">
      <w:pPr>
        <w:spacing w:line="240" w:lineRule="auto"/>
        <w:ind w:firstLine="720"/>
      </w:pPr>
      <m:oMath>
        <m:sSub>
          <m:sSubPr>
            <m:ctrlPr>
              <w:rPr>
                <w:rFonts w:ascii="Cambria Math" w:hAnsi="Cambria Math"/>
                <w:i/>
              </w:rPr>
            </m:ctrlPr>
          </m:sSubPr>
          <m:e>
            <m:r>
              <w:rPr>
                <w:rFonts w:ascii="Cambria Math" w:hAnsi="Cambria Math"/>
              </w:rPr>
              <m:t>σ</m:t>
            </m:r>
          </m:e>
          <m:sub>
            <m:r>
              <w:rPr>
                <w:rFonts w:ascii="Cambria Math" w:hAnsi="Cambria Math"/>
              </w:rPr>
              <m:t>y</m:t>
            </m:r>
          </m:sub>
        </m:sSub>
      </m:oMath>
      <w:r w:rsidR="003D069C" w:rsidRPr="00C72160">
        <w:tab/>
      </w:r>
      <w:r w:rsidR="003D069C">
        <w:tab/>
      </w:r>
      <w:r w:rsidR="003D069C">
        <w:tab/>
        <w:t>Normal Stress in y</w:t>
      </w:r>
    </w:p>
    <w:p w14:paraId="48F0D7B9" w14:textId="295824A3" w:rsidR="003D069C" w:rsidRDefault="00077C0B" w:rsidP="003D069C">
      <w:pPr>
        <w:spacing w:line="240" w:lineRule="auto"/>
        <w:ind w:firstLine="720"/>
      </w:pPr>
      <m:oMath>
        <m:sSub>
          <m:sSubPr>
            <m:ctrlPr>
              <w:rPr>
                <w:rFonts w:ascii="Cambria Math" w:hAnsi="Cambria Math"/>
                <w:i/>
              </w:rPr>
            </m:ctrlPr>
          </m:sSubPr>
          <m:e>
            <m:r>
              <w:rPr>
                <w:rFonts w:ascii="Cambria Math" w:hAnsi="Cambria Math"/>
              </w:rPr>
              <m:t>σ</m:t>
            </m:r>
          </m:e>
          <m:sub>
            <m:r>
              <w:rPr>
                <w:rFonts w:ascii="Cambria Math" w:hAnsi="Cambria Math"/>
              </w:rPr>
              <m:t>z</m:t>
            </m:r>
          </m:sub>
        </m:sSub>
      </m:oMath>
      <w:r w:rsidR="003D069C" w:rsidRPr="00C72160">
        <w:tab/>
      </w:r>
      <w:r w:rsidR="003D069C">
        <w:tab/>
      </w:r>
      <w:r w:rsidR="003D069C">
        <w:tab/>
        <w:t>Normal Stress in z</w:t>
      </w:r>
    </w:p>
    <w:p w14:paraId="5A90C1D3" w14:textId="77777777" w:rsidR="003D069C" w:rsidRPr="00C72160" w:rsidRDefault="00077C0B" w:rsidP="00C72160">
      <w:pPr>
        <w:spacing w:line="240" w:lineRule="auto"/>
        <w:ind w:firstLine="720"/>
      </w:pPr>
      <m:oMath>
        <m:sSub>
          <m:sSubPr>
            <m:ctrlPr>
              <w:rPr>
                <w:rFonts w:ascii="Cambria Math" w:hAnsi="Cambria Math"/>
                <w:i/>
              </w:rPr>
            </m:ctrlPr>
          </m:sSubPr>
          <m:e>
            <m:r>
              <w:rPr>
                <w:rFonts w:ascii="Cambria Math" w:hAnsi="Cambria Math"/>
              </w:rPr>
              <m:t>σ</m:t>
            </m:r>
          </m:e>
          <m:sub>
            <m:r>
              <w:rPr>
                <w:rFonts w:ascii="Cambria Math" w:hAnsi="Cambria Math"/>
              </w:rPr>
              <m:t>θ</m:t>
            </m:r>
          </m:sub>
        </m:sSub>
      </m:oMath>
      <w:r w:rsidR="003D069C" w:rsidRPr="00C72160">
        <w:tab/>
      </w:r>
      <w:r w:rsidR="003D069C">
        <w:tab/>
      </w:r>
      <w:r w:rsidR="003D069C">
        <w:tab/>
        <w:t>Hoop Stress</w:t>
      </w:r>
    </w:p>
    <w:p w14:paraId="7E68B1E3" w14:textId="77777777" w:rsidR="003D069C" w:rsidRPr="00C72160" w:rsidRDefault="00077C0B" w:rsidP="00C72160">
      <w:pPr>
        <w:spacing w:line="240" w:lineRule="auto"/>
        <w:ind w:firstLine="720"/>
      </w:pPr>
      <m:oMath>
        <m:sSup>
          <m:sSupPr>
            <m:ctrlPr>
              <w:rPr>
                <w:rFonts w:ascii="Cambria Math" w:hAnsi="Cambria Math"/>
                <w:i/>
              </w:rPr>
            </m:ctrlPr>
          </m:sSupPr>
          <m:e>
            <m:r>
              <w:rPr>
                <w:rFonts w:ascii="Cambria Math" w:hAnsi="Cambria Math"/>
              </w:rPr>
              <m:t>τ</m:t>
            </m:r>
          </m:e>
          <m:sup>
            <m:r>
              <w:rPr>
                <w:rFonts w:ascii="Cambria Math" w:hAnsi="Cambria Math"/>
              </w:rPr>
              <m:t>o</m:t>
            </m:r>
          </m:sup>
        </m:sSup>
      </m:oMath>
      <w:r w:rsidR="003D069C" w:rsidRPr="00C72160">
        <w:tab/>
      </w:r>
      <w:r w:rsidR="003D069C" w:rsidRPr="00C72160">
        <w:tab/>
      </w:r>
      <w:r w:rsidR="003D069C">
        <w:tab/>
      </w:r>
      <w:r w:rsidR="003D069C" w:rsidRPr="00C72160">
        <w:t>Tensile Bond Strength</w:t>
      </w:r>
    </w:p>
    <w:p w14:paraId="117D436F" w14:textId="77777777" w:rsidR="003D069C" w:rsidRPr="00C72160" w:rsidRDefault="00077C0B" w:rsidP="00C72160">
      <w:pPr>
        <w:spacing w:line="240" w:lineRule="auto"/>
        <w:ind w:firstLine="720"/>
      </w:pPr>
      <m:oMath>
        <m:sSub>
          <m:sSubPr>
            <m:ctrlPr>
              <w:rPr>
                <w:rFonts w:ascii="Cambria Math" w:hAnsi="Cambria Math"/>
                <w:i/>
              </w:rPr>
            </m:ctrlPr>
          </m:sSubPr>
          <m:e>
            <m:r>
              <w:rPr>
                <w:rFonts w:ascii="Cambria Math" w:hAnsi="Cambria Math"/>
              </w:rPr>
              <m:t>τ</m:t>
            </m:r>
          </m:e>
          <m:sub>
            <m:r>
              <w:rPr>
                <w:rFonts w:ascii="Cambria Math" w:hAnsi="Cambria Math"/>
              </w:rPr>
              <m:t>xy</m:t>
            </m:r>
          </m:sub>
        </m:sSub>
      </m:oMath>
      <w:r w:rsidR="003D069C" w:rsidRPr="00C72160">
        <w:tab/>
      </w:r>
      <w:r w:rsidR="003D069C">
        <w:tab/>
      </w:r>
      <w:r w:rsidR="003D069C">
        <w:tab/>
      </w:r>
      <w:r w:rsidR="003D069C" w:rsidRPr="00C72160">
        <w:t>Shear Stress in xy</w:t>
      </w:r>
    </w:p>
    <w:p w14:paraId="0D90B771" w14:textId="77777777" w:rsidR="003D069C" w:rsidRPr="00C72160" w:rsidRDefault="00077C0B" w:rsidP="00C72160">
      <w:pPr>
        <w:spacing w:line="240" w:lineRule="auto"/>
        <w:ind w:firstLine="720"/>
      </w:pPr>
      <m:oMath>
        <m:sSub>
          <m:sSubPr>
            <m:ctrlPr>
              <w:rPr>
                <w:rFonts w:ascii="Cambria Math" w:hAnsi="Cambria Math"/>
                <w:i/>
              </w:rPr>
            </m:ctrlPr>
          </m:sSubPr>
          <m:e>
            <m:r>
              <w:rPr>
                <w:rFonts w:ascii="Cambria Math" w:hAnsi="Cambria Math"/>
              </w:rPr>
              <m:t>τ</m:t>
            </m:r>
          </m:e>
          <m:sub>
            <m:r>
              <w:rPr>
                <w:rFonts w:ascii="Cambria Math" w:hAnsi="Cambria Math"/>
              </w:rPr>
              <m:t>xz</m:t>
            </m:r>
          </m:sub>
        </m:sSub>
      </m:oMath>
      <w:r w:rsidR="003D069C" w:rsidRPr="00C72160">
        <w:tab/>
      </w:r>
      <w:r w:rsidR="003D069C">
        <w:tab/>
      </w:r>
      <w:r w:rsidR="003D069C">
        <w:tab/>
      </w:r>
      <w:r w:rsidR="003D069C" w:rsidRPr="00C72160">
        <w:t>Shear Stress in xz</w:t>
      </w:r>
    </w:p>
    <w:p w14:paraId="03DA33C9" w14:textId="77777777" w:rsidR="003D069C" w:rsidRPr="00C72160" w:rsidRDefault="00077C0B" w:rsidP="00C72160">
      <w:pPr>
        <w:spacing w:line="240" w:lineRule="auto"/>
        <w:ind w:firstLine="720"/>
      </w:pPr>
      <m:oMath>
        <m:sSub>
          <m:sSubPr>
            <m:ctrlPr>
              <w:rPr>
                <w:rFonts w:ascii="Cambria Math" w:hAnsi="Cambria Math"/>
                <w:i/>
              </w:rPr>
            </m:ctrlPr>
          </m:sSubPr>
          <m:e>
            <m:r>
              <w:rPr>
                <w:rFonts w:ascii="Cambria Math" w:hAnsi="Cambria Math"/>
              </w:rPr>
              <m:t>τ</m:t>
            </m:r>
          </m:e>
          <m:sub>
            <m:r>
              <w:rPr>
                <w:rFonts w:ascii="Cambria Math" w:hAnsi="Cambria Math"/>
              </w:rPr>
              <m:t>yx</m:t>
            </m:r>
          </m:sub>
        </m:sSub>
      </m:oMath>
      <w:r w:rsidR="003D069C" w:rsidRPr="00C72160">
        <w:tab/>
      </w:r>
      <w:r w:rsidR="003D069C">
        <w:tab/>
      </w:r>
      <w:r w:rsidR="003D069C">
        <w:tab/>
      </w:r>
      <w:r w:rsidR="003D069C" w:rsidRPr="00C72160">
        <w:t>Shear Stress in yx</w:t>
      </w:r>
    </w:p>
    <w:p w14:paraId="65014F4E" w14:textId="77777777" w:rsidR="003D069C" w:rsidRPr="00C72160" w:rsidRDefault="00077C0B" w:rsidP="00C72160">
      <w:pPr>
        <w:spacing w:line="240" w:lineRule="auto"/>
        <w:ind w:firstLine="720"/>
      </w:pPr>
      <m:oMath>
        <m:sSub>
          <m:sSubPr>
            <m:ctrlPr>
              <w:rPr>
                <w:rFonts w:ascii="Cambria Math" w:hAnsi="Cambria Math"/>
                <w:i/>
              </w:rPr>
            </m:ctrlPr>
          </m:sSubPr>
          <m:e>
            <m:r>
              <w:rPr>
                <w:rFonts w:ascii="Cambria Math" w:hAnsi="Cambria Math"/>
              </w:rPr>
              <m:t>τ</m:t>
            </m:r>
          </m:e>
          <m:sub>
            <m:r>
              <w:rPr>
                <w:rFonts w:ascii="Cambria Math" w:hAnsi="Cambria Math"/>
              </w:rPr>
              <m:t>yz</m:t>
            </m:r>
          </m:sub>
        </m:sSub>
      </m:oMath>
      <w:r w:rsidR="003D069C" w:rsidRPr="00C72160">
        <w:tab/>
      </w:r>
      <w:r w:rsidR="003D069C">
        <w:tab/>
      </w:r>
      <w:r w:rsidR="003D069C">
        <w:tab/>
      </w:r>
      <w:r w:rsidR="003D069C" w:rsidRPr="00C72160">
        <w:t>Shear Stress in yz</w:t>
      </w:r>
    </w:p>
    <w:p w14:paraId="7E4C4065" w14:textId="77777777" w:rsidR="003D069C" w:rsidRPr="00C72160" w:rsidRDefault="00077C0B" w:rsidP="00C72160">
      <w:pPr>
        <w:spacing w:line="240" w:lineRule="auto"/>
        <w:ind w:firstLine="720"/>
      </w:pPr>
      <m:oMath>
        <m:sSub>
          <m:sSubPr>
            <m:ctrlPr>
              <w:rPr>
                <w:rFonts w:ascii="Cambria Math" w:hAnsi="Cambria Math"/>
                <w:i/>
              </w:rPr>
            </m:ctrlPr>
          </m:sSubPr>
          <m:e>
            <m:r>
              <w:rPr>
                <w:rFonts w:ascii="Cambria Math" w:hAnsi="Cambria Math"/>
              </w:rPr>
              <m:t>τ</m:t>
            </m:r>
          </m:e>
          <m:sub>
            <m:r>
              <w:rPr>
                <w:rFonts w:ascii="Cambria Math" w:hAnsi="Cambria Math"/>
              </w:rPr>
              <m:t>zx</m:t>
            </m:r>
          </m:sub>
        </m:sSub>
      </m:oMath>
      <w:r w:rsidR="003D069C" w:rsidRPr="00C72160">
        <w:tab/>
      </w:r>
      <w:r w:rsidR="003D069C">
        <w:tab/>
      </w:r>
      <w:r w:rsidR="003D069C">
        <w:tab/>
      </w:r>
      <w:r w:rsidR="003D069C" w:rsidRPr="00C72160">
        <w:t>Shear Stress in zx</w:t>
      </w:r>
    </w:p>
    <w:p w14:paraId="4E4F5375" w14:textId="77777777" w:rsidR="003D069C" w:rsidRPr="00C72160" w:rsidRDefault="00077C0B" w:rsidP="00C72160">
      <w:pPr>
        <w:spacing w:line="240" w:lineRule="auto"/>
        <w:ind w:firstLine="720"/>
      </w:pPr>
      <m:oMath>
        <m:sSub>
          <m:sSubPr>
            <m:ctrlPr>
              <w:rPr>
                <w:rFonts w:ascii="Cambria Math" w:hAnsi="Cambria Math"/>
                <w:i/>
              </w:rPr>
            </m:ctrlPr>
          </m:sSubPr>
          <m:e>
            <m:r>
              <w:rPr>
                <w:rFonts w:ascii="Cambria Math" w:hAnsi="Cambria Math"/>
              </w:rPr>
              <m:t>τ</m:t>
            </m:r>
          </m:e>
          <m:sub>
            <m:r>
              <w:rPr>
                <w:rFonts w:ascii="Cambria Math" w:hAnsi="Cambria Math"/>
              </w:rPr>
              <m:t>zy</m:t>
            </m:r>
          </m:sub>
        </m:sSub>
      </m:oMath>
      <w:r w:rsidR="003D069C" w:rsidRPr="00C72160">
        <w:tab/>
      </w:r>
      <w:r w:rsidR="003D069C">
        <w:tab/>
      </w:r>
      <w:r w:rsidR="003D069C">
        <w:tab/>
      </w:r>
      <w:r w:rsidR="003D069C" w:rsidRPr="00C72160">
        <w:t>Shear Stress in zy</w:t>
      </w:r>
    </w:p>
    <w:p w14:paraId="54419794" w14:textId="77777777" w:rsidR="003D069C" w:rsidRPr="00C72160" w:rsidRDefault="00077C0B" w:rsidP="00C72160">
      <w:pPr>
        <w:spacing w:line="240" w:lineRule="auto"/>
        <w:ind w:firstLine="720"/>
      </w:pPr>
      <m:oMath>
        <m:sSub>
          <m:sSubPr>
            <m:ctrlPr>
              <w:rPr>
                <w:rFonts w:ascii="Cambria Math" w:hAnsi="Cambria Math"/>
                <w:i/>
              </w:rPr>
            </m:ctrlPr>
          </m:sSubPr>
          <m:e>
            <m:r>
              <w:rPr>
                <w:rFonts w:ascii="Cambria Math" w:hAnsi="Cambria Math"/>
              </w:rPr>
              <m:t>ω</m:t>
            </m:r>
          </m:e>
          <m:sub>
            <m:r>
              <w:rPr>
                <w:rFonts w:ascii="Cambria Math" w:hAnsi="Cambria Math"/>
              </w:rPr>
              <m:t>casing</m:t>
            </m:r>
          </m:sub>
        </m:sSub>
      </m:oMath>
      <w:r w:rsidR="003D069C" w:rsidRPr="00C72160">
        <w:tab/>
      </w:r>
      <w:r w:rsidR="003D069C" w:rsidRPr="00C72160">
        <w:tab/>
        <w:t>Casing Thickness</w:t>
      </w:r>
    </w:p>
    <w:p w14:paraId="7360EE11" w14:textId="77777777" w:rsidR="003D069C" w:rsidRPr="00C72160" w:rsidRDefault="00077C0B" w:rsidP="00C72160">
      <w:pPr>
        <w:spacing w:line="240" w:lineRule="auto"/>
        <w:ind w:firstLine="720"/>
      </w:pPr>
      <m:oMath>
        <m:sSub>
          <m:sSubPr>
            <m:ctrlPr>
              <w:rPr>
                <w:rFonts w:ascii="Cambria Math" w:hAnsi="Cambria Math"/>
                <w:i/>
              </w:rPr>
            </m:ctrlPr>
          </m:sSubPr>
          <m:e>
            <m:r>
              <w:rPr>
                <w:rFonts w:ascii="Cambria Math" w:hAnsi="Cambria Math"/>
              </w:rPr>
              <m:t>ω</m:t>
            </m:r>
          </m:e>
          <m:sub>
            <m:r>
              <w:rPr>
                <w:rFonts w:ascii="Cambria Math" w:hAnsi="Cambria Math"/>
              </w:rPr>
              <m:t>cement</m:t>
            </m:r>
          </m:sub>
        </m:sSub>
      </m:oMath>
      <w:r w:rsidR="003D069C" w:rsidRPr="00C72160">
        <w:tab/>
      </w:r>
      <w:r w:rsidR="003D069C">
        <w:tab/>
      </w:r>
      <w:r w:rsidR="003D069C" w:rsidRPr="00C72160">
        <w:t>Cement Thickness</w:t>
      </w:r>
    </w:p>
    <w:p w14:paraId="6899F231" w14:textId="77777777" w:rsidR="003D069C" w:rsidRPr="00C72160" w:rsidRDefault="00077C0B" w:rsidP="00C72160">
      <w:pPr>
        <w:spacing w:line="240" w:lineRule="auto"/>
        <w:ind w:firstLine="720"/>
      </w:pPr>
      <m:oMath>
        <m:sSub>
          <m:sSubPr>
            <m:ctrlPr>
              <w:rPr>
                <w:rFonts w:ascii="Cambria Math" w:hAnsi="Cambria Math"/>
                <w:i/>
              </w:rPr>
            </m:ctrlPr>
          </m:sSubPr>
          <m:e>
            <m:r>
              <w:rPr>
                <w:rFonts w:ascii="Cambria Math" w:hAnsi="Cambria Math"/>
              </w:rPr>
              <m:t>ϵ</m:t>
            </m:r>
          </m:e>
          <m:sub>
            <m:r>
              <w:rPr>
                <w:rFonts w:ascii="Cambria Math" w:hAnsi="Cambria Math"/>
              </w:rPr>
              <m:t>x</m:t>
            </m:r>
          </m:sub>
        </m:sSub>
      </m:oMath>
      <w:r w:rsidR="003D069C" w:rsidRPr="00C72160">
        <w:tab/>
      </w:r>
      <w:r w:rsidR="003D069C">
        <w:tab/>
      </w:r>
      <w:r w:rsidR="003D069C">
        <w:tab/>
      </w:r>
      <w:r w:rsidR="003D069C" w:rsidRPr="00C72160">
        <w:t>Strain in x</w:t>
      </w:r>
    </w:p>
    <w:p w14:paraId="74ED30EB" w14:textId="77777777" w:rsidR="003D069C" w:rsidRPr="00C72160" w:rsidRDefault="003D069C" w:rsidP="00C72160">
      <w:pPr>
        <w:spacing w:line="240" w:lineRule="auto"/>
        <w:ind w:firstLine="720"/>
      </w:pPr>
      <m:oMath>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log</m:t>
            </m:r>
          </m:sub>
        </m:sSub>
      </m:oMath>
      <w:r w:rsidRPr="00C72160">
        <w:tab/>
      </w:r>
      <w:r w:rsidRPr="00C72160">
        <w:tab/>
      </w:r>
      <w:r>
        <w:tab/>
      </w:r>
      <w:r w:rsidRPr="00C72160">
        <w:t>Sonic travel time from log</w:t>
      </w:r>
    </w:p>
    <w:p w14:paraId="4A7A8F85" w14:textId="77777777" w:rsidR="003D069C" w:rsidRPr="00C72160" w:rsidRDefault="003D069C" w:rsidP="00C72160">
      <w:pPr>
        <w:spacing w:line="240" w:lineRule="auto"/>
        <w:ind w:firstLine="720"/>
      </w:pPr>
      <m:oMath>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shale</m:t>
            </m:r>
          </m:sub>
        </m:sSub>
      </m:oMath>
      <w:r w:rsidRPr="00C72160">
        <w:tab/>
      </w:r>
      <w:r w:rsidRPr="00C72160">
        <w:tab/>
      </w:r>
      <w:r>
        <w:tab/>
      </w:r>
      <w:r w:rsidRPr="00C72160">
        <w:t>Sonic travel time of shale</w:t>
      </w:r>
    </w:p>
    <w:p w14:paraId="5AE0CDBC" w14:textId="77777777" w:rsidR="003D069C" w:rsidRPr="00C72160" w:rsidRDefault="003D069C" w:rsidP="00C72160">
      <w:pPr>
        <w:spacing w:line="240" w:lineRule="auto"/>
        <w:ind w:firstLine="720"/>
      </w:pPr>
      <m:oMath>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seawater</m:t>
            </m:r>
          </m:sub>
        </m:sSub>
      </m:oMath>
      <w:r w:rsidRPr="00C72160">
        <w:tab/>
      </w:r>
      <w:r>
        <w:tab/>
      </w:r>
      <w:r w:rsidRPr="00C72160">
        <w:t>Sonic travel time of seawater</w:t>
      </w:r>
    </w:p>
    <w:p w14:paraId="7D419F20" w14:textId="77777777" w:rsidR="003D069C" w:rsidRPr="00C72160" w:rsidRDefault="003D069C" w:rsidP="00C72160">
      <w:pPr>
        <w:spacing w:line="240" w:lineRule="auto"/>
        <w:ind w:firstLine="720"/>
        <w:rPr>
          <w:i/>
        </w:rPr>
      </w:pPr>
      <m:oMath>
        <m:r>
          <m:rPr>
            <m:sty m:val="p"/>
          </m:rPr>
          <w:rPr>
            <w:rFonts w:ascii="Cambria Math" w:hAnsi="Cambria Math"/>
          </w:rPr>
          <m:t>Δ</m:t>
        </m:r>
        <m:r>
          <w:rPr>
            <w:rFonts w:ascii="Cambria Math" w:hAnsi="Cambria Math"/>
          </w:rPr>
          <m:t>P</m:t>
        </m:r>
      </m:oMath>
      <w:r w:rsidRPr="00C72160">
        <w:tab/>
      </w:r>
      <w:r w:rsidRPr="00C72160">
        <w:tab/>
      </w:r>
      <w:r>
        <w:tab/>
      </w:r>
      <w:r w:rsidRPr="00C72160">
        <w:t>Change in wellbore pressure</w:t>
      </w:r>
    </w:p>
    <w:p w14:paraId="59829C2A" w14:textId="77777777" w:rsidR="003D069C" w:rsidRPr="00C72160" w:rsidRDefault="003D069C" w:rsidP="00C72160">
      <w:pPr>
        <w:spacing w:line="240" w:lineRule="auto"/>
        <w:ind w:firstLine="720"/>
      </w:pPr>
      <m:oMath>
        <m:r>
          <m:rPr>
            <m:sty m:val="p"/>
          </m:rPr>
          <w:rPr>
            <w:rFonts w:ascii="Cambria Math" w:hAnsi="Cambria Math"/>
          </w:rPr>
          <m:t>Δ</m:t>
        </m:r>
        <m:r>
          <w:rPr>
            <w:rFonts w:ascii="Cambria Math" w:hAnsi="Cambria Math"/>
          </w:rPr>
          <m:t>T</m:t>
        </m:r>
      </m:oMath>
      <w:r w:rsidRPr="00C72160">
        <w:tab/>
      </w:r>
      <w:r w:rsidRPr="00C72160">
        <w:tab/>
      </w:r>
      <w:r>
        <w:tab/>
      </w:r>
      <w:r w:rsidRPr="00C72160">
        <w:t>Change in wellbore temperature</w:t>
      </w:r>
    </w:p>
    <w:p w14:paraId="02ADD5BF" w14:textId="77777777" w:rsidR="003D069C" w:rsidRPr="00C72160" w:rsidRDefault="003D069C" w:rsidP="00C72160">
      <w:pPr>
        <w:spacing w:line="240" w:lineRule="auto"/>
        <w:ind w:firstLine="720"/>
      </w:pPr>
      <m:oMath>
        <m:r>
          <w:rPr>
            <w:rFonts w:ascii="Cambria Math" w:hAnsi="Cambria Math"/>
          </w:rPr>
          <m:t>A</m:t>
        </m:r>
      </m:oMath>
      <w:r w:rsidRPr="00C72160">
        <w:tab/>
      </w:r>
      <w:r>
        <w:tab/>
      </w:r>
      <w:r>
        <w:tab/>
      </w:r>
      <w:r w:rsidRPr="00C72160">
        <w:t>Area</w:t>
      </w:r>
    </w:p>
    <w:p w14:paraId="61EDB5BC" w14:textId="77777777" w:rsidR="003D069C" w:rsidRPr="008B4036" w:rsidRDefault="003D069C" w:rsidP="00A81161">
      <w:pPr>
        <w:spacing w:line="240" w:lineRule="auto"/>
        <w:ind w:firstLine="720"/>
        <w:rPr>
          <w:rFonts w:ascii="Cambria Math" w:hAnsi="Cambria Math"/>
          <w:oMath/>
        </w:rPr>
      </w:pPr>
      <m:oMath>
        <m:r>
          <w:rPr>
            <w:rFonts w:ascii="Cambria Math" w:hAnsi="Cambria Math"/>
          </w:rPr>
          <m:t>D</m:t>
        </m:r>
      </m:oMath>
      <w:r>
        <w:tab/>
      </w:r>
      <w:r>
        <w:tab/>
      </w:r>
      <w:r>
        <w:tab/>
        <w:t>Diameter of the pipe</w:t>
      </w:r>
    </w:p>
    <w:p w14:paraId="7F045CA9" w14:textId="6AD1DE9B" w:rsidR="003D069C" w:rsidRPr="00C72160" w:rsidRDefault="003D069C" w:rsidP="003D069C">
      <w:pPr>
        <w:spacing w:line="240" w:lineRule="auto"/>
        <w:ind w:firstLine="720"/>
      </w:pPr>
      <m:oMath>
        <m:r>
          <w:rPr>
            <w:rFonts w:ascii="Cambria Math" w:hAnsi="Cambria Math"/>
          </w:rPr>
          <m:t>E</m:t>
        </m:r>
      </m:oMath>
      <w:r w:rsidRPr="00C72160">
        <w:tab/>
      </w:r>
      <w:r w:rsidRPr="00C72160">
        <w:tab/>
      </w:r>
      <w:r>
        <w:tab/>
      </w:r>
      <w:r w:rsidRPr="00C72160">
        <w:t>Young’s modulus</w:t>
      </w:r>
    </w:p>
    <w:p w14:paraId="6563B45B" w14:textId="77777777" w:rsidR="003D069C" w:rsidRPr="00C72160" w:rsidRDefault="003D069C" w:rsidP="00C72160">
      <w:pPr>
        <w:spacing w:line="240" w:lineRule="auto"/>
        <w:ind w:firstLine="720"/>
      </w:pPr>
      <m:oMath>
        <m:r>
          <w:rPr>
            <w:rFonts w:ascii="Cambria Math" w:hAnsi="Cambria Math"/>
          </w:rPr>
          <m:t>F</m:t>
        </m:r>
      </m:oMath>
      <w:r w:rsidRPr="00C72160">
        <w:tab/>
      </w:r>
      <w:r>
        <w:tab/>
      </w:r>
      <w:r>
        <w:tab/>
        <w:t>Force</w:t>
      </w:r>
    </w:p>
    <w:p w14:paraId="3D0AF5BA" w14:textId="77777777" w:rsidR="003D069C" w:rsidRPr="008B4036" w:rsidRDefault="003D069C" w:rsidP="00A81161">
      <w:pPr>
        <w:spacing w:line="240" w:lineRule="auto"/>
        <w:ind w:firstLine="720"/>
        <w:rPr>
          <w:rFonts w:ascii="Cambria Math" w:hAnsi="Cambria Math"/>
          <w:oMath/>
        </w:rPr>
      </w:pPr>
      <m:oMath>
        <m:r>
          <w:rPr>
            <w:rFonts w:ascii="Cambria Math" w:hAnsi="Cambria Math"/>
          </w:rPr>
          <m:t>HR</m:t>
        </m:r>
      </m:oMath>
      <w:r>
        <w:tab/>
      </w:r>
      <w:r>
        <w:tab/>
      </w:r>
      <w:r>
        <w:tab/>
        <w:t>Hydraulic Radius</w:t>
      </w:r>
    </w:p>
    <w:p w14:paraId="6881C546" w14:textId="77777777" w:rsidR="003D069C" w:rsidRPr="00C72160" w:rsidRDefault="003D069C" w:rsidP="00C72160">
      <w:pPr>
        <w:spacing w:line="240" w:lineRule="auto"/>
        <w:ind w:firstLine="720"/>
      </w:pPr>
      <m:oMath>
        <m:r>
          <w:rPr>
            <w:rFonts w:ascii="Cambria Math" w:hAnsi="Cambria Math"/>
          </w:rPr>
          <m:t>ICP</m:t>
        </m:r>
      </m:oMath>
      <w:r w:rsidRPr="00C72160">
        <w:tab/>
      </w:r>
      <w:r w:rsidRPr="00C72160">
        <w:tab/>
      </w:r>
      <w:r>
        <w:tab/>
      </w:r>
      <w:r w:rsidRPr="00C72160">
        <w:t>Internal Casing Pressure</w:t>
      </w:r>
    </w:p>
    <w:p w14:paraId="5579ED10" w14:textId="77777777" w:rsidR="003D069C" w:rsidRPr="00C72160" w:rsidRDefault="003D069C" w:rsidP="00C72160">
      <w:pPr>
        <w:spacing w:line="240" w:lineRule="auto"/>
        <w:ind w:firstLine="720"/>
      </w:pPr>
      <m:oMath>
        <m:r>
          <w:rPr>
            <w:rFonts w:ascii="Cambria Math" w:hAnsi="Cambria Math"/>
          </w:rPr>
          <m:t>L</m:t>
        </m:r>
      </m:oMath>
      <w:r w:rsidRPr="00C72160">
        <w:tab/>
      </w:r>
      <w:r>
        <w:tab/>
      </w:r>
      <w:r>
        <w:tab/>
      </w:r>
      <w:r w:rsidRPr="00C72160">
        <w:t>Length</w:t>
      </w:r>
    </w:p>
    <w:p w14:paraId="41886876" w14:textId="77777777" w:rsidR="003D069C" w:rsidRPr="00C72160" w:rsidRDefault="003D069C" w:rsidP="00C72160">
      <w:pPr>
        <w:spacing w:line="240" w:lineRule="auto"/>
        <w:ind w:firstLine="720"/>
      </w:pPr>
      <m:oMath>
        <m:r>
          <w:rPr>
            <w:rFonts w:ascii="Cambria Math" w:hAnsi="Cambria Math"/>
          </w:rPr>
          <m:t>MW</m:t>
        </m:r>
      </m:oMath>
      <w:r w:rsidRPr="00C72160">
        <w:tab/>
      </w:r>
      <w:r w:rsidRPr="00C72160">
        <w:tab/>
      </w:r>
      <w:r>
        <w:tab/>
      </w:r>
      <w:r w:rsidRPr="00C72160">
        <w:t>Mud Weight</w:t>
      </w:r>
    </w:p>
    <w:p w14:paraId="291C550E" w14:textId="77777777" w:rsidR="003D069C" w:rsidRPr="008B4036" w:rsidRDefault="003D069C" w:rsidP="00A81161">
      <w:pPr>
        <w:spacing w:line="240" w:lineRule="auto"/>
        <w:ind w:firstLine="720"/>
        <w:rPr>
          <w:rFonts w:ascii="Cambria Math" w:hAnsi="Cambria Math"/>
          <w:oMath/>
        </w:rPr>
      </w:pPr>
      <m:oMath>
        <m:r>
          <w:rPr>
            <w:rFonts w:ascii="Cambria Math" w:hAnsi="Cambria Math"/>
          </w:rPr>
          <m:t>P1</m:t>
        </m:r>
      </m:oMath>
      <w:r>
        <w:tab/>
      </w:r>
      <w:r>
        <w:tab/>
      </w:r>
      <w:r>
        <w:tab/>
        <w:t>Pressure at point 1</w:t>
      </w:r>
    </w:p>
    <w:p w14:paraId="3EF7B9ED" w14:textId="77777777" w:rsidR="003D069C" w:rsidRPr="008B4036" w:rsidRDefault="003D069C" w:rsidP="00A81161">
      <w:pPr>
        <w:spacing w:line="240" w:lineRule="auto"/>
        <w:ind w:firstLine="720"/>
        <w:rPr>
          <w:rFonts w:ascii="Cambria Math" w:hAnsi="Cambria Math"/>
          <w:oMath/>
        </w:rPr>
      </w:pPr>
      <m:oMath>
        <m:r>
          <w:rPr>
            <w:rFonts w:ascii="Cambria Math" w:hAnsi="Cambria Math"/>
          </w:rPr>
          <m:t>P2</m:t>
        </m:r>
      </m:oMath>
      <w:r>
        <w:tab/>
      </w:r>
      <w:r>
        <w:tab/>
      </w:r>
      <w:r>
        <w:tab/>
        <w:t>Pressure at point 2</w:t>
      </w:r>
    </w:p>
    <w:p w14:paraId="40A489A5" w14:textId="77777777" w:rsidR="003D069C" w:rsidRPr="00C72160" w:rsidRDefault="003D069C" w:rsidP="00C72160">
      <w:pPr>
        <w:spacing w:line="240" w:lineRule="auto"/>
        <w:ind w:firstLine="720"/>
      </w:pPr>
      <m:oMath>
        <m:r>
          <w:rPr>
            <w:rFonts w:ascii="Cambria Math" w:hAnsi="Cambria Math"/>
          </w:rPr>
          <m:t>Pp</m:t>
        </m:r>
      </m:oMath>
      <w:r w:rsidRPr="00C72160">
        <w:tab/>
      </w:r>
      <w:r w:rsidRPr="00C72160">
        <w:tab/>
      </w:r>
      <w:r>
        <w:tab/>
      </w:r>
      <w:r w:rsidRPr="00C72160">
        <w:t>Pore Pressure</w:t>
      </w:r>
    </w:p>
    <w:p w14:paraId="034162E6" w14:textId="77777777" w:rsidR="003D069C" w:rsidRPr="008B4036" w:rsidRDefault="003D069C" w:rsidP="00A81161">
      <w:pPr>
        <w:spacing w:line="240" w:lineRule="auto"/>
        <w:ind w:firstLine="720"/>
        <w:rPr>
          <w:rFonts w:ascii="Cambria Math" w:hAnsi="Cambria Math"/>
          <w:oMath/>
        </w:rPr>
      </w:pPr>
      <m:oMath>
        <m:r>
          <w:rPr>
            <w:rFonts w:ascii="Cambria Math" w:hAnsi="Cambria Math"/>
          </w:rPr>
          <m:t>Q</m:t>
        </m:r>
      </m:oMath>
      <w:r>
        <w:tab/>
      </w:r>
      <w:r>
        <w:tab/>
      </w:r>
      <w:r>
        <w:tab/>
        <w:t>Volumetric flow rate/injection rate</w:t>
      </w:r>
    </w:p>
    <w:p w14:paraId="7E7BD0DE" w14:textId="77777777" w:rsidR="003D069C" w:rsidRPr="00C72160" w:rsidRDefault="003D069C" w:rsidP="00C72160">
      <w:pPr>
        <w:spacing w:line="240" w:lineRule="auto"/>
        <w:ind w:firstLine="720"/>
      </w:pPr>
      <m:oMath>
        <m:r>
          <w:rPr>
            <w:rFonts w:ascii="Cambria Math" w:hAnsi="Cambria Math"/>
          </w:rPr>
          <w:lastRenderedPageBreak/>
          <m:t>T</m:t>
        </m:r>
      </m:oMath>
      <w:r w:rsidRPr="00C72160">
        <w:tab/>
      </w:r>
      <w:r w:rsidRPr="00C72160">
        <w:tab/>
      </w:r>
      <w:r>
        <w:tab/>
      </w:r>
      <w:r w:rsidRPr="00C72160">
        <w:t>Load Temperature</w:t>
      </w:r>
    </w:p>
    <w:p w14:paraId="6F08C125" w14:textId="77777777" w:rsidR="003D069C" w:rsidRPr="008B4036" w:rsidRDefault="003D069C" w:rsidP="00A81161">
      <w:pPr>
        <w:spacing w:line="240" w:lineRule="auto"/>
        <w:ind w:firstLine="720"/>
        <w:rPr>
          <w:rFonts w:ascii="Cambria Math" w:hAnsi="Cambria Math"/>
          <w:oMath/>
        </w:rPr>
      </w:pPr>
      <m:oMath>
        <m:r>
          <w:rPr>
            <w:rFonts w:ascii="Cambria Math" w:hAnsi="Cambria Math"/>
          </w:rPr>
          <m:t>V</m:t>
        </m:r>
      </m:oMath>
      <w:r>
        <w:tab/>
      </w:r>
      <w:r>
        <w:tab/>
      </w:r>
      <w:r>
        <w:tab/>
        <w:t>Velocity</w:t>
      </w:r>
    </w:p>
    <w:p w14:paraId="3DE699F5" w14:textId="77777777" w:rsidR="003D069C" w:rsidRPr="006C65CA" w:rsidRDefault="003D069C" w:rsidP="00A81161">
      <w:pPr>
        <w:spacing w:line="240" w:lineRule="auto"/>
        <w:ind w:firstLine="720"/>
        <w:rPr>
          <w:rFonts w:ascii="Cambria Math" w:hAnsi="Cambria Math"/>
          <w:oMath/>
        </w:rPr>
      </w:pPr>
      <m:oMath>
        <m:r>
          <w:rPr>
            <w:rFonts w:ascii="Cambria Math" w:hAnsi="Cambria Math"/>
          </w:rPr>
          <m:t>V(t)</m:t>
        </m:r>
      </m:oMath>
      <w:r>
        <w:tab/>
      </w:r>
      <w:r>
        <w:tab/>
      </w:r>
      <w:r>
        <w:tab/>
        <w:t xml:space="preserve">cumulative volume of injected fluid at </w:t>
      </w:r>
      <m:oMath>
        <m:r>
          <w:rPr>
            <w:rFonts w:ascii="Cambria Math" w:hAnsi="Cambria Math"/>
          </w:rPr>
          <m:t>t</m:t>
        </m:r>
      </m:oMath>
    </w:p>
    <w:p w14:paraId="52AD2D09" w14:textId="77777777" w:rsidR="003D069C" w:rsidRDefault="003D069C" w:rsidP="00A81161">
      <w:pPr>
        <w:spacing w:line="240" w:lineRule="auto"/>
        <w:ind w:firstLine="720"/>
      </w:pPr>
      <m:oMath>
        <m:r>
          <w:rPr>
            <w:rFonts w:ascii="Cambria Math" w:hAnsi="Cambria Math"/>
          </w:rPr>
          <m:t>a</m:t>
        </m:r>
      </m:oMath>
      <w:r>
        <w:t xml:space="preserve"> </w:t>
      </w:r>
      <w:r>
        <w:tab/>
      </w:r>
      <w:r>
        <w:tab/>
      </w:r>
      <w:r>
        <w:tab/>
        <w:t>Area</w:t>
      </w:r>
    </w:p>
    <w:p w14:paraId="634770F8" w14:textId="77777777" w:rsidR="003D069C" w:rsidRPr="00C72160" w:rsidRDefault="003D069C" w:rsidP="00C72160">
      <w:pPr>
        <w:spacing w:line="240" w:lineRule="auto"/>
        <w:ind w:firstLine="720"/>
      </w:pPr>
      <m:oMath>
        <m:r>
          <w:rPr>
            <w:rFonts w:ascii="Cambria Math" w:hAnsi="Cambria Math"/>
          </w:rPr>
          <m:t>c</m:t>
        </m:r>
      </m:oMath>
      <w:r w:rsidRPr="00C72160">
        <w:tab/>
      </w:r>
      <w:r w:rsidRPr="00C72160">
        <w:tab/>
      </w:r>
      <w:r>
        <w:tab/>
      </w:r>
      <w:r w:rsidRPr="00C72160">
        <w:t>Specific Heat</w:t>
      </w:r>
    </w:p>
    <w:p w14:paraId="46C5CC49" w14:textId="77777777" w:rsidR="003D069C" w:rsidRPr="00C72160" w:rsidRDefault="003D069C" w:rsidP="00C72160">
      <w:pPr>
        <w:spacing w:line="240" w:lineRule="auto"/>
        <w:ind w:firstLine="720"/>
      </w:pPr>
      <m:oMath>
        <m:r>
          <w:rPr>
            <w:rFonts w:ascii="Cambria Math" w:hAnsi="Cambria Math"/>
          </w:rPr>
          <m:t>dz</m:t>
        </m:r>
      </m:oMath>
      <w:r w:rsidRPr="00C72160">
        <w:tab/>
      </w:r>
      <w:r>
        <w:tab/>
      </w:r>
      <w:r>
        <w:tab/>
      </w:r>
      <w:r w:rsidRPr="00C72160">
        <w:t>Depth Increment</w:t>
      </w:r>
    </w:p>
    <w:p w14:paraId="2D3ADF77" w14:textId="77777777" w:rsidR="003D069C" w:rsidRPr="008B4036" w:rsidRDefault="003D069C" w:rsidP="00A81161">
      <w:pPr>
        <w:spacing w:line="240" w:lineRule="auto"/>
        <w:ind w:firstLine="720"/>
        <w:rPr>
          <w:rFonts w:ascii="Cambria Math" w:hAnsi="Cambria Math"/>
          <w:oMath/>
        </w:rPr>
      </w:pPr>
      <m:oMath>
        <m:r>
          <w:rPr>
            <w:rFonts w:ascii="Cambria Math" w:hAnsi="Cambria Math"/>
          </w:rPr>
          <m:t>f</m:t>
        </m:r>
      </m:oMath>
      <w:r>
        <w:tab/>
      </w:r>
      <w:r>
        <w:tab/>
      </w:r>
      <w:r>
        <w:tab/>
        <w:t>Friction factor</w:t>
      </w:r>
    </w:p>
    <w:p w14:paraId="469BB4FE" w14:textId="77777777" w:rsidR="003D069C" w:rsidRPr="00C72160" w:rsidRDefault="003D069C" w:rsidP="00C72160">
      <w:pPr>
        <w:spacing w:line="240" w:lineRule="auto"/>
        <w:ind w:firstLine="720"/>
      </w:pPr>
      <m:oMath>
        <m:r>
          <w:rPr>
            <w:rFonts w:ascii="Cambria Math" w:hAnsi="Cambria Math"/>
          </w:rPr>
          <m:t>g</m:t>
        </m:r>
      </m:oMath>
      <w:r w:rsidRPr="00C72160">
        <w:tab/>
      </w:r>
      <w:r>
        <w:tab/>
      </w:r>
      <w:r>
        <w:tab/>
      </w:r>
      <w:r w:rsidRPr="00C72160">
        <w:t>Acceleration Due to Gravity</w:t>
      </w:r>
    </w:p>
    <w:p w14:paraId="5E7B492A" w14:textId="77777777" w:rsidR="003D069C" w:rsidRPr="006C65CA" w:rsidRDefault="003D069C" w:rsidP="00A81161">
      <w:pPr>
        <w:spacing w:line="240" w:lineRule="auto"/>
        <w:ind w:firstLine="720"/>
        <w:rPr>
          <w:rFonts w:ascii="Cambria Math" w:hAnsi="Cambria Math"/>
          <w:oMath/>
        </w:rPr>
      </w:pPr>
      <m:oMath>
        <m:r>
          <w:rPr>
            <w:rFonts w:ascii="Cambria Math" w:hAnsi="Cambria Math"/>
          </w:rPr>
          <m:t>k</m:t>
        </m:r>
      </m:oMath>
      <w:r>
        <w:t xml:space="preserve"> </w:t>
      </w:r>
      <w:r>
        <w:tab/>
      </w:r>
      <w:r>
        <w:tab/>
      </w:r>
      <w:r>
        <w:tab/>
        <w:t xml:space="preserve">permeability </w:t>
      </w:r>
    </w:p>
    <w:p w14:paraId="3AB2C8BE" w14:textId="77777777" w:rsidR="003D069C" w:rsidRDefault="003D069C" w:rsidP="00A81161">
      <w:pPr>
        <w:spacing w:line="240" w:lineRule="auto"/>
        <w:ind w:firstLine="720"/>
      </w:pPr>
      <m:oMath>
        <m:r>
          <w:rPr>
            <w:rFonts w:ascii="Cambria Math" w:hAnsi="Cambria Math"/>
          </w:rPr>
          <m:t>l</m:t>
        </m:r>
      </m:oMath>
      <w:r>
        <w:tab/>
      </w:r>
      <w:r>
        <w:tab/>
      </w:r>
      <w:r>
        <w:tab/>
        <w:t>width of slit in slot flow</w:t>
      </w:r>
    </w:p>
    <w:p w14:paraId="77CBFDDB" w14:textId="77777777" w:rsidR="003D069C" w:rsidRPr="006C65CA" w:rsidRDefault="003D069C" w:rsidP="00A81161">
      <w:pPr>
        <w:spacing w:line="240" w:lineRule="auto"/>
        <w:ind w:firstLine="720"/>
        <w:rPr>
          <w:rFonts w:ascii="Cambria Math" w:hAnsi="Cambria Math"/>
          <w:oMath/>
        </w:rPr>
      </w:pPr>
      <m:oMath>
        <m:r>
          <w:rPr>
            <w:rFonts w:ascii="Cambria Math" w:hAnsi="Cambria Math"/>
          </w:rPr>
          <m:t xml:space="preserve">r </m:t>
        </m:r>
      </m:oMath>
      <w:r>
        <w:tab/>
      </w:r>
      <w:r>
        <w:tab/>
      </w:r>
      <w:r>
        <w:tab/>
        <w:t>radial distance</w:t>
      </w:r>
    </w:p>
    <w:p w14:paraId="67D6BCC8" w14:textId="77777777" w:rsidR="003D069C" w:rsidRPr="008B4036" w:rsidRDefault="003D069C" w:rsidP="00A81161">
      <w:pPr>
        <w:spacing w:line="240" w:lineRule="auto"/>
        <w:ind w:firstLine="720"/>
        <w:rPr>
          <w:rFonts w:ascii="Cambria Math" w:hAnsi="Cambria Math"/>
          <w:oMath/>
        </w:rPr>
      </w:pPr>
      <m:oMath>
        <m:r>
          <w:rPr>
            <w:rFonts w:ascii="Cambria Math" w:hAnsi="Cambria Math"/>
          </w:rPr>
          <m:t>r</m:t>
        </m:r>
      </m:oMath>
      <w:r>
        <w:tab/>
      </w:r>
      <w:r>
        <w:tab/>
      </w:r>
      <w:r>
        <w:tab/>
        <w:t>Radius</w:t>
      </w:r>
    </w:p>
    <w:p w14:paraId="3415392C" w14:textId="77777777" w:rsidR="003D069C" w:rsidRPr="006C65CA" w:rsidRDefault="003D069C" w:rsidP="00A81161">
      <w:pPr>
        <w:spacing w:line="240" w:lineRule="auto"/>
        <w:ind w:firstLine="720"/>
        <w:rPr>
          <w:rFonts w:ascii="Cambria Math" w:hAnsi="Cambria Math"/>
          <w:oMath/>
        </w:rPr>
      </w:pPr>
      <m:oMath>
        <m:r>
          <w:rPr>
            <w:rFonts w:ascii="Cambria Math" w:hAnsi="Cambria Math"/>
          </w:rPr>
          <m:t>t</m:t>
        </m:r>
      </m:oMath>
      <w:r>
        <w:tab/>
      </w:r>
      <w:r>
        <w:tab/>
      </w:r>
      <w:r>
        <w:tab/>
        <w:t>time</w:t>
      </w:r>
    </w:p>
    <w:p w14:paraId="2D3F11C5" w14:textId="77777777" w:rsidR="003D069C" w:rsidRPr="00C72160" w:rsidRDefault="003D069C" w:rsidP="00C72160">
      <w:pPr>
        <w:spacing w:line="240" w:lineRule="auto"/>
        <w:ind w:firstLine="720"/>
      </w:pPr>
      <m:oMath>
        <m:r>
          <w:rPr>
            <w:rFonts w:ascii="Cambria Math" w:hAnsi="Cambria Math"/>
          </w:rPr>
          <m:t>v</m:t>
        </m:r>
      </m:oMath>
      <w:r w:rsidRPr="00C72160">
        <w:tab/>
      </w:r>
      <w:r w:rsidRPr="00C72160">
        <w:tab/>
      </w:r>
      <w:r>
        <w:tab/>
      </w:r>
      <w:r w:rsidRPr="00C72160">
        <w:t>Poisson’s ratio</w:t>
      </w:r>
    </w:p>
    <w:p w14:paraId="679982AA" w14:textId="77777777" w:rsidR="003D069C" w:rsidRPr="008B4036" w:rsidRDefault="003D069C" w:rsidP="00A81161">
      <w:pPr>
        <w:spacing w:line="240" w:lineRule="auto"/>
        <w:ind w:firstLine="720"/>
        <w:rPr>
          <w:rFonts w:ascii="Cambria Math" w:hAnsi="Cambria Math"/>
          <w:oMath/>
        </w:rPr>
      </w:pPr>
      <m:oMath>
        <m:r>
          <m:rPr>
            <m:scr m:val="fraktur"/>
          </m:rPr>
          <w:rPr>
            <w:rFonts w:ascii="Cambria Math" w:hAnsi="Cambria Math"/>
          </w:rPr>
          <m:t>F</m:t>
        </m:r>
      </m:oMath>
      <w:r>
        <w:tab/>
      </w:r>
      <w:r>
        <w:tab/>
      </w:r>
      <w:r>
        <w:tab/>
        <w:t>Friction loss term</w:t>
      </w:r>
    </w:p>
    <w:p w14:paraId="07369445" w14:textId="77777777" w:rsidR="003D069C" w:rsidRPr="008B4036" w:rsidRDefault="003D069C" w:rsidP="00A81161">
      <w:pPr>
        <w:spacing w:line="240" w:lineRule="auto"/>
        <w:ind w:firstLine="720"/>
        <w:rPr>
          <w:rFonts w:ascii="Cambria Math" w:hAnsi="Cambria Math"/>
          <w:oMath/>
        </w:rPr>
      </w:pPr>
      <m:oMath>
        <m:r>
          <w:rPr>
            <w:rFonts w:ascii="Cambria Math" w:hAnsi="Cambria Math"/>
          </w:rPr>
          <m:t>ΔP</m:t>
        </m:r>
      </m:oMath>
      <w:r>
        <w:tab/>
      </w:r>
      <w:r>
        <w:tab/>
      </w:r>
      <w:r>
        <w:tab/>
        <w:t>Change in pressure</w:t>
      </w:r>
    </w:p>
    <w:p w14:paraId="53E2CCBE" w14:textId="77777777" w:rsidR="003D069C" w:rsidRPr="008B4036" w:rsidRDefault="003D069C" w:rsidP="00A81161">
      <w:pPr>
        <w:spacing w:line="240" w:lineRule="auto"/>
        <w:ind w:firstLine="720"/>
        <w:rPr>
          <w:rFonts w:ascii="Cambria Math" w:hAnsi="Cambria Math"/>
          <w:oMath/>
        </w:rPr>
      </w:pPr>
      <m:oMath>
        <m:r>
          <w:rPr>
            <w:rFonts w:ascii="Cambria Math" w:hAnsi="Cambria Math"/>
          </w:rPr>
          <m:t>Δgz</m:t>
        </m:r>
      </m:oMath>
      <w:r>
        <w:tab/>
      </w:r>
      <w:r>
        <w:tab/>
      </w:r>
      <w:r>
        <w:tab/>
        <w:t>Gravitational potential energy</w:t>
      </w:r>
    </w:p>
    <w:p w14:paraId="3ED57F46" w14:textId="77777777" w:rsidR="003D069C" w:rsidRPr="008B4036" w:rsidRDefault="003D069C" w:rsidP="00A81161">
      <w:pPr>
        <w:spacing w:line="240" w:lineRule="auto"/>
        <w:ind w:firstLine="720"/>
        <w:rPr>
          <w:rFonts w:ascii="Cambria Math" w:hAnsi="Cambria Math"/>
          <w:oMath/>
        </w:rPr>
      </w:pPr>
      <m:oMath>
        <m:r>
          <w:rPr>
            <w:rFonts w:ascii="Cambria Math" w:hAnsi="Cambria Math"/>
          </w:rPr>
          <m:t>Δx</m:t>
        </m:r>
      </m:oMath>
      <w:r>
        <w:tab/>
      </w:r>
      <w:r>
        <w:tab/>
      </w:r>
      <w:r>
        <w:tab/>
        <w:t>Change in length</w:t>
      </w:r>
    </w:p>
    <w:p w14:paraId="1F8069A3" w14:textId="77777777" w:rsidR="003D069C" w:rsidRPr="00C72160" w:rsidRDefault="003D069C" w:rsidP="00C72160">
      <w:pPr>
        <w:spacing w:line="240" w:lineRule="auto"/>
        <w:ind w:firstLine="720"/>
      </w:pPr>
      <m:oMath>
        <m:r>
          <w:rPr>
            <w:rFonts w:ascii="Cambria Math" w:hAnsi="Cambria Math"/>
          </w:rPr>
          <m:t>α</m:t>
        </m:r>
      </m:oMath>
      <w:r w:rsidRPr="00C72160">
        <w:t xml:space="preserve"> </w:t>
      </w:r>
      <w:r w:rsidRPr="00C72160">
        <w:tab/>
      </w:r>
      <w:r>
        <w:tab/>
      </w:r>
      <w:r>
        <w:tab/>
      </w:r>
      <w:r w:rsidRPr="00C72160">
        <w:t>Linear Coefficient of Thermal Expansion</w:t>
      </w:r>
    </w:p>
    <w:p w14:paraId="1C615773" w14:textId="30BB391E" w:rsidR="003D069C" w:rsidRPr="00C72160" w:rsidRDefault="003D069C" w:rsidP="00C72160">
      <w:pPr>
        <w:spacing w:line="240" w:lineRule="auto"/>
        <w:ind w:firstLine="720"/>
      </w:pPr>
      <m:oMath>
        <m:r>
          <w:rPr>
            <w:rFonts w:ascii="Cambria Math" w:hAnsi="Cambria Math"/>
          </w:rPr>
          <m:t>γ</m:t>
        </m:r>
      </m:oMath>
      <w:r w:rsidRPr="00C72160">
        <w:tab/>
      </w:r>
      <w:r>
        <w:tab/>
      </w:r>
      <w:r>
        <w:tab/>
      </w:r>
      <w:r w:rsidRPr="00C72160">
        <w:t>Biot’s Coefficient</w:t>
      </w:r>
    </w:p>
    <w:p w14:paraId="5D64AA52" w14:textId="77777777" w:rsidR="003D069C" w:rsidRPr="00C72160" w:rsidRDefault="003D069C" w:rsidP="00C72160">
      <w:pPr>
        <w:spacing w:line="240" w:lineRule="auto"/>
        <w:ind w:firstLine="720"/>
      </w:pPr>
      <m:oMath>
        <m:r>
          <w:rPr>
            <w:rFonts w:ascii="Cambria Math" w:hAnsi="Cambria Math"/>
          </w:rPr>
          <m:t>δ</m:t>
        </m:r>
        <m:sSub>
          <m:sSubPr>
            <m:ctrlPr>
              <w:rPr>
                <w:rFonts w:ascii="Cambria Math" w:hAnsi="Cambria Math"/>
                <w:i/>
              </w:rPr>
            </m:ctrlPr>
          </m:sSubPr>
          <m:e>
            <m:r>
              <w:rPr>
                <w:rFonts w:ascii="Cambria Math" w:hAnsi="Cambria Math"/>
              </w:rPr>
              <m:t>σ</m:t>
            </m:r>
          </m:e>
          <m:sub>
            <m:r>
              <w:rPr>
                <w:rFonts w:ascii="Cambria Math" w:hAnsi="Cambria Math"/>
              </w:rPr>
              <m:t>V</m:t>
            </m:r>
          </m:sub>
        </m:sSub>
      </m:oMath>
      <w:r w:rsidRPr="00C72160">
        <w:tab/>
      </w:r>
      <w:r w:rsidRPr="00C72160">
        <w:tab/>
      </w:r>
      <w:r>
        <w:tab/>
      </w:r>
      <w:r w:rsidRPr="00C72160">
        <w:t>Vertical Stress Variation</w:t>
      </w:r>
    </w:p>
    <w:p w14:paraId="79E6F9EE" w14:textId="77777777" w:rsidR="003D069C" w:rsidRPr="008B4036" w:rsidRDefault="003D069C" w:rsidP="00A81161">
      <w:pPr>
        <w:spacing w:line="240" w:lineRule="auto"/>
        <w:ind w:firstLine="720"/>
        <w:rPr>
          <w:rFonts w:ascii="Cambria Math" w:hAnsi="Cambria Math"/>
          <w:oMath/>
        </w:rPr>
      </w:pPr>
      <m:oMath>
        <m:r>
          <w:rPr>
            <w:rFonts w:ascii="Cambria Math" w:hAnsi="Cambria Math"/>
          </w:rPr>
          <m:t>δR</m:t>
        </m:r>
      </m:oMath>
      <w:r>
        <w:tab/>
      </w:r>
      <w:r>
        <w:tab/>
      </w:r>
      <w:r>
        <w:tab/>
        <w:t>Gap width</w:t>
      </w:r>
    </w:p>
    <w:p w14:paraId="2D0F201D" w14:textId="77777777" w:rsidR="003D069C" w:rsidRPr="00C72160" w:rsidRDefault="003D069C" w:rsidP="00C72160">
      <w:pPr>
        <w:spacing w:line="240" w:lineRule="auto"/>
        <w:ind w:firstLine="720"/>
      </w:pPr>
      <m:oMath>
        <m:r>
          <w:rPr>
            <w:rFonts w:ascii="Cambria Math" w:hAnsi="Cambria Math"/>
          </w:rPr>
          <m:t>κ</m:t>
        </m:r>
      </m:oMath>
      <w:r w:rsidRPr="00C72160">
        <w:t xml:space="preserve"> </w:t>
      </w:r>
      <w:r w:rsidRPr="00C72160">
        <w:tab/>
      </w:r>
      <w:r w:rsidRPr="00C72160">
        <w:tab/>
      </w:r>
      <w:r>
        <w:tab/>
      </w:r>
      <w:r w:rsidRPr="00C72160">
        <w:t>Thermal Conductivity</w:t>
      </w:r>
    </w:p>
    <w:p w14:paraId="384FCDBB" w14:textId="77777777" w:rsidR="003D069C" w:rsidRPr="008B4036" w:rsidRDefault="003D069C" w:rsidP="00A81161">
      <w:pPr>
        <w:spacing w:line="240" w:lineRule="auto"/>
        <w:ind w:firstLine="720"/>
        <w:rPr>
          <w:rFonts w:ascii="Cambria Math" w:hAnsi="Cambria Math"/>
          <w:oMath/>
        </w:rPr>
      </w:pPr>
      <m:oMath>
        <m:r>
          <w:rPr>
            <w:rFonts w:ascii="Cambria Math" w:hAnsi="Cambria Math"/>
          </w:rPr>
          <m:t xml:space="preserve">μ </m:t>
        </m:r>
      </m:oMath>
      <w:r>
        <w:tab/>
      </w:r>
      <w:r>
        <w:tab/>
      </w:r>
      <w:r>
        <w:tab/>
        <w:t>Viscosity</w:t>
      </w:r>
    </w:p>
    <w:p w14:paraId="68944690" w14:textId="77777777" w:rsidR="003D069C" w:rsidRPr="008B4036" w:rsidRDefault="003D069C" w:rsidP="00A81161">
      <w:pPr>
        <w:spacing w:line="240" w:lineRule="auto"/>
        <w:ind w:firstLine="720"/>
        <w:rPr>
          <w:rFonts w:ascii="Cambria Math" w:hAnsi="Cambria Math"/>
          <w:oMath/>
        </w:rPr>
      </w:pPr>
      <m:oMath>
        <m:r>
          <w:rPr>
            <w:rFonts w:ascii="Cambria Math" w:hAnsi="Cambria Math"/>
          </w:rPr>
          <m:t xml:space="preserve">ρ </m:t>
        </m:r>
      </m:oMath>
      <w:r>
        <w:tab/>
      </w:r>
      <w:r>
        <w:tab/>
      </w:r>
      <w:r>
        <w:tab/>
        <w:t>Density</w:t>
      </w:r>
    </w:p>
    <w:p w14:paraId="64BBEAE7" w14:textId="77777777" w:rsidR="003D069C" w:rsidRPr="00C72160" w:rsidRDefault="003D069C" w:rsidP="00C72160">
      <w:pPr>
        <w:spacing w:line="240" w:lineRule="auto"/>
        <w:ind w:firstLine="720"/>
      </w:pPr>
      <m:oMath>
        <m:r>
          <w:rPr>
            <w:rFonts w:ascii="Cambria Math" w:hAnsi="Cambria Math"/>
          </w:rPr>
          <m:t>ρ(z)</m:t>
        </m:r>
      </m:oMath>
      <w:r w:rsidRPr="00C72160">
        <w:tab/>
      </w:r>
      <w:r>
        <w:tab/>
      </w:r>
      <w:r>
        <w:tab/>
      </w:r>
      <w:r w:rsidRPr="00C72160">
        <w:t>Bulk Density at Depth z</w:t>
      </w:r>
    </w:p>
    <w:p w14:paraId="182F8633" w14:textId="77777777" w:rsidR="003D069C" w:rsidRPr="00C72160" w:rsidRDefault="003D069C" w:rsidP="00C72160">
      <w:pPr>
        <w:spacing w:line="240" w:lineRule="auto"/>
        <w:ind w:firstLine="720"/>
      </w:pPr>
      <m:oMath>
        <m:r>
          <w:rPr>
            <w:rFonts w:ascii="Cambria Math" w:hAnsi="Cambria Math"/>
          </w:rPr>
          <m:t>σ</m:t>
        </m:r>
      </m:oMath>
      <w:r w:rsidRPr="00C72160">
        <w:tab/>
      </w:r>
      <w:r w:rsidRPr="00C72160">
        <w:tab/>
      </w:r>
      <w:r>
        <w:tab/>
      </w:r>
      <w:r w:rsidRPr="00C72160">
        <w:t>Stress</w:t>
      </w:r>
    </w:p>
    <w:p w14:paraId="03660A0C" w14:textId="77777777" w:rsidR="003D069C" w:rsidRPr="008B4036" w:rsidRDefault="003D069C" w:rsidP="00A81161">
      <w:pPr>
        <w:spacing w:line="240" w:lineRule="auto"/>
        <w:ind w:firstLine="720"/>
        <w:rPr>
          <w:rFonts w:ascii="Cambria Math" w:hAnsi="Cambria Math"/>
          <w:oMath/>
        </w:rPr>
      </w:pPr>
      <m:oMath>
        <m:r>
          <w:rPr>
            <w:rFonts w:ascii="Cambria Math" w:hAnsi="Cambria Math"/>
          </w:rPr>
          <m:t xml:space="preserve">τ </m:t>
        </m:r>
      </m:oMath>
      <w:r>
        <w:tab/>
      </w:r>
      <w:r>
        <w:tab/>
      </w:r>
      <w:r>
        <w:tab/>
        <w:t>Shear stress</w:t>
      </w:r>
    </w:p>
    <w:p w14:paraId="0EA24B35" w14:textId="77777777" w:rsidR="003D069C" w:rsidRPr="00C72160" w:rsidRDefault="003D069C" w:rsidP="00C72160">
      <w:pPr>
        <w:spacing w:line="240" w:lineRule="auto"/>
        <w:ind w:firstLine="720"/>
      </w:pPr>
      <m:oMath>
        <m:r>
          <w:rPr>
            <w:rFonts w:ascii="Cambria Math" w:hAnsi="Cambria Math"/>
          </w:rPr>
          <m:t>υ</m:t>
        </m:r>
      </m:oMath>
      <w:r w:rsidRPr="00C72160">
        <w:tab/>
      </w:r>
      <w:r>
        <w:tab/>
      </w:r>
      <w:r>
        <w:tab/>
        <w:t>Poisson’s Ratio</w:t>
      </w:r>
    </w:p>
    <w:p w14:paraId="032BF21F" w14:textId="77777777" w:rsidR="003D069C" w:rsidRPr="00C72160" w:rsidRDefault="003D069C" w:rsidP="00C72160">
      <w:pPr>
        <w:spacing w:line="240" w:lineRule="auto"/>
        <w:ind w:firstLine="720"/>
      </w:pPr>
      <m:oMath>
        <m:r>
          <w:rPr>
            <w:rFonts w:ascii="Cambria Math" w:hAnsi="Cambria Math"/>
          </w:rPr>
          <m:t>ϵ</m:t>
        </m:r>
      </m:oMath>
      <w:r w:rsidRPr="00C72160">
        <w:tab/>
      </w:r>
      <w:r>
        <w:tab/>
      </w:r>
      <w:r>
        <w:tab/>
        <w:t>Strain</w:t>
      </w:r>
    </w:p>
    <w:p w14:paraId="47F435C6" w14:textId="77777777" w:rsidR="003D069C" w:rsidRDefault="003D069C" w:rsidP="00A81161">
      <w:pPr>
        <w:spacing w:line="240" w:lineRule="auto"/>
        <w:ind w:firstLine="720"/>
      </w:pPr>
      <m:oMath>
        <m:r>
          <w:rPr>
            <w:rFonts w:ascii="Cambria Math" w:hAnsi="Cambria Math"/>
          </w:rPr>
          <m:t>ϵ</m:t>
        </m:r>
      </m:oMath>
      <w:r>
        <w:tab/>
      </w:r>
      <w:r>
        <w:tab/>
      </w:r>
      <w:r>
        <w:tab/>
        <w:t>Surface roughness</w:t>
      </w:r>
    </w:p>
    <w:p w14:paraId="7EBFD4B4" w14:textId="77777777" w:rsidR="003D069C" w:rsidRDefault="003D069C" w:rsidP="00A81161">
      <w:pPr>
        <w:spacing w:line="240" w:lineRule="auto"/>
        <w:ind w:firstLine="720"/>
      </w:pPr>
      <m:oMath>
        <m:r>
          <w:rPr>
            <w:rFonts w:ascii="Cambria Math" w:hAnsi="Cambria Math"/>
          </w:rPr>
          <m:t xml:space="preserve">ϕ </m:t>
        </m:r>
      </m:oMath>
      <w:r>
        <w:tab/>
      </w:r>
      <w:r>
        <w:tab/>
      </w:r>
      <w:r>
        <w:tab/>
        <w:t>porosity</w:t>
      </w:r>
    </w:p>
    <w:p w14:paraId="75D83C49" w14:textId="6C0A9AE4" w:rsidR="00AC4D0A" w:rsidRDefault="00AC4D0A" w:rsidP="00AC4D0A">
      <w:pPr>
        <w:pStyle w:val="Heading1"/>
        <w:numPr>
          <w:ilvl w:val="0"/>
          <w:numId w:val="0"/>
        </w:numPr>
      </w:pPr>
      <w:bookmarkStart w:id="173" w:name="_Toc67566071"/>
      <w:bookmarkStart w:id="174" w:name="_Hlk38986223"/>
      <w:r>
        <w:lastRenderedPageBreak/>
        <w:t>References</w:t>
      </w:r>
      <w:bookmarkEnd w:id="173"/>
      <w:r>
        <w:t xml:space="preserve"> </w:t>
      </w:r>
    </w:p>
    <w:bookmarkEnd w:id="174"/>
    <w:p w14:paraId="25E81FA7" w14:textId="77777777" w:rsidR="00F34FBC" w:rsidRPr="00F34FBC" w:rsidRDefault="00F34FBC" w:rsidP="00F34FBC">
      <w:pPr>
        <w:spacing w:line="240" w:lineRule="auto"/>
        <w:ind w:left="720" w:hanging="720"/>
        <w:rPr>
          <w:shd w:val="clear" w:color="auto" w:fill="FFFFFF"/>
        </w:rPr>
      </w:pPr>
      <w:r w:rsidRPr="00F34FBC">
        <w:rPr>
          <w:shd w:val="clear" w:color="auto" w:fill="FFFFFF"/>
        </w:rPr>
        <w:t>76 FR 64462, Oct. 18, 2011, as amended at 77 FR 50892, Aug. 22, 2012; 81 FR 26018, Apr. 29, 2016.</w:t>
      </w:r>
    </w:p>
    <w:p w14:paraId="551321EF" w14:textId="77777777" w:rsidR="00F34FBC" w:rsidRPr="00F34FBC" w:rsidRDefault="00F34FBC" w:rsidP="00F34FBC">
      <w:pPr>
        <w:spacing w:line="240" w:lineRule="auto"/>
        <w:ind w:left="720" w:hanging="720"/>
        <w:rPr>
          <w:bCs/>
          <w:u w:val="single"/>
          <w:shd w:val="clear" w:color="auto" w:fill="FFFFFF"/>
        </w:rPr>
      </w:pPr>
      <w:r w:rsidRPr="00F34FBC">
        <w:rPr>
          <w:shd w:val="clear" w:color="auto" w:fill="FFFFFF"/>
          <w:lang w:val="nb-NO"/>
        </w:rPr>
        <w:t xml:space="preserve">Aas, B., Sørbø, J., Stokka, S. et al. 2016. </w:t>
      </w:r>
      <w:r w:rsidRPr="00F34FBC">
        <w:rPr>
          <w:shd w:val="clear" w:color="auto" w:fill="FFFFFF"/>
        </w:rPr>
        <w:t>Cement placement with tubing left in hole during plug and abandonment operations. In </w:t>
      </w:r>
      <w:r w:rsidRPr="00F34FBC">
        <w:rPr>
          <w:iCs/>
          <w:shd w:val="clear" w:color="auto" w:fill="FFFFFF"/>
        </w:rPr>
        <w:t xml:space="preserve">IADC/SPE Drilling Conference and Exhibition, 1-3 March, Fort Worth, Texas, USA. </w:t>
      </w:r>
      <w:r w:rsidRPr="00F34FBC">
        <w:rPr>
          <w:bCs/>
          <w:shd w:val="clear" w:color="auto" w:fill="FFFFFF"/>
        </w:rPr>
        <w:t xml:space="preserve">SPE-178840-MS. </w:t>
      </w:r>
      <w:hyperlink r:id="rId88" w:tgtFrame="_blank" w:history="1">
        <w:r w:rsidRPr="00F34FBC">
          <w:rPr>
            <w:rStyle w:val="Hyperlink"/>
            <w:rFonts w:cs="Times New Roman"/>
            <w:bCs/>
            <w:szCs w:val="24"/>
            <w:shd w:val="clear" w:color="auto" w:fill="FFFFFF"/>
          </w:rPr>
          <w:t>https://doi.org/10.2118/178840-MS</w:t>
        </w:r>
      </w:hyperlink>
      <w:r w:rsidRPr="00F34FBC">
        <w:rPr>
          <w:bCs/>
          <w:u w:val="single"/>
          <w:shd w:val="clear" w:color="auto" w:fill="FFFFFF"/>
        </w:rPr>
        <w:t xml:space="preserve">. </w:t>
      </w:r>
    </w:p>
    <w:p w14:paraId="5A09A69D" w14:textId="77777777" w:rsidR="00F34FBC" w:rsidRPr="00F34FBC" w:rsidRDefault="00F34FBC" w:rsidP="00F34FBC">
      <w:pPr>
        <w:spacing w:line="240" w:lineRule="auto"/>
        <w:ind w:left="720" w:hanging="720"/>
        <w:rPr>
          <w:shd w:val="clear" w:color="auto" w:fill="FFFFFF"/>
        </w:rPr>
      </w:pPr>
      <w:r w:rsidRPr="00F34FBC">
        <w:rPr>
          <w:shd w:val="clear" w:color="auto" w:fill="FFFFFF"/>
        </w:rPr>
        <w:t>Al Ramadan, M., Salehi, S., and Teodoriu, C. 2019. Robust Leakage Modeling for Plug and Abandonment Applications. In </w:t>
      </w:r>
      <w:r w:rsidRPr="00F34FBC">
        <w:rPr>
          <w:i/>
          <w:iCs/>
          <w:shd w:val="clear" w:color="auto" w:fill="FFFFFF"/>
        </w:rPr>
        <w:t>International Conference on Offshore Mechanics and Arctic Engineering</w:t>
      </w:r>
      <w:r w:rsidRPr="00F34FBC">
        <w:rPr>
          <w:shd w:val="clear" w:color="auto" w:fill="FFFFFF"/>
        </w:rPr>
        <w:t> (Vol. 58875, p. V008T11A054). American Society of Mechanical Engineers.</w:t>
      </w:r>
    </w:p>
    <w:p w14:paraId="3F49B83E" w14:textId="77777777" w:rsidR="00F34FBC" w:rsidRPr="00F34FBC" w:rsidRDefault="00F34FBC" w:rsidP="00F34FBC">
      <w:pPr>
        <w:spacing w:line="240" w:lineRule="auto"/>
        <w:ind w:left="720" w:hanging="720"/>
        <w:rPr>
          <w:shd w:val="clear" w:color="auto" w:fill="FFFFFF"/>
        </w:rPr>
      </w:pPr>
      <w:r w:rsidRPr="00F34FBC">
        <w:rPr>
          <w:shd w:val="clear" w:color="auto" w:fill="FFFFFF"/>
          <w:lang w:val="nb-NO"/>
        </w:rPr>
        <w:t xml:space="preserve">Albawi, A., De Andrade, J., Torsaeter, M. et al. 2014. </w:t>
      </w:r>
      <w:r w:rsidRPr="00F34FBC">
        <w:rPr>
          <w:shd w:val="clear" w:color="auto" w:fill="FFFFFF"/>
        </w:rPr>
        <w:t xml:space="preserve">Experimental Set-Up for Testing Cement Sheath Integrity in Arctic Wells. In OTC Arctic Technology Conference, 10-12 February, Houston, Texas, USA. OTC-24587-MS. </w:t>
      </w:r>
      <w:hyperlink r:id="rId89" w:history="1">
        <w:r w:rsidRPr="00F34FBC">
          <w:rPr>
            <w:rStyle w:val="Hyperlink"/>
            <w:rFonts w:cs="Times New Roman"/>
            <w:szCs w:val="24"/>
            <w:shd w:val="clear" w:color="auto" w:fill="FFFFFF"/>
          </w:rPr>
          <w:t>https://doi.org/10.4043/24587-MS</w:t>
        </w:r>
      </w:hyperlink>
      <w:r w:rsidRPr="00F34FBC">
        <w:rPr>
          <w:shd w:val="clear" w:color="auto" w:fill="FFFFFF"/>
        </w:rPr>
        <w:t xml:space="preserve">. </w:t>
      </w:r>
    </w:p>
    <w:p w14:paraId="0A2DE8E2" w14:textId="77777777" w:rsidR="00F34FBC" w:rsidRPr="00F34FBC" w:rsidRDefault="00F34FBC" w:rsidP="00F34FBC">
      <w:pPr>
        <w:spacing w:line="240" w:lineRule="auto"/>
        <w:ind w:left="720" w:hanging="720"/>
        <w:rPr>
          <w:shd w:val="clear" w:color="auto" w:fill="FFFFFF"/>
        </w:rPr>
      </w:pPr>
      <w:r w:rsidRPr="00F34FBC">
        <w:rPr>
          <w:shd w:val="clear" w:color="auto" w:fill="FFFFFF"/>
        </w:rPr>
        <w:t>Alfano, M., Furgiuele, F., Leonardi, L. et al. 2007. Fracture analysis of adhesive joints using intrinsic cohesive zone models. </w:t>
      </w:r>
      <w:r w:rsidRPr="00F34FBC">
        <w:rPr>
          <w:i/>
          <w:iCs/>
          <w:shd w:val="clear" w:color="auto" w:fill="FFFFFF"/>
        </w:rPr>
        <w:t>Key Eng Mater</w:t>
      </w:r>
      <w:r w:rsidRPr="00F34FBC">
        <w:rPr>
          <w:shd w:val="clear" w:color="auto" w:fill="FFFFFF"/>
        </w:rPr>
        <w:t>, </w:t>
      </w:r>
      <w:r w:rsidRPr="00F34FBC">
        <w:rPr>
          <w:i/>
          <w:iCs/>
          <w:shd w:val="clear" w:color="auto" w:fill="FFFFFF"/>
        </w:rPr>
        <w:t>348</w:t>
      </w:r>
      <w:r w:rsidRPr="00F34FBC">
        <w:rPr>
          <w:shd w:val="clear" w:color="auto" w:fill="FFFFFF"/>
        </w:rPr>
        <w:t>, 13-16.</w:t>
      </w:r>
    </w:p>
    <w:p w14:paraId="1E4BEF16" w14:textId="77777777" w:rsidR="00F34FBC" w:rsidRPr="00F34FBC" w:rsidRDefault="00F34FBC" w:rsidP="00F34FBC">
      <w:pPr>
        <w:spacing w:line="240" w:lineRule="auto"/>
        <w:ind w:left="720" w:hanging="720"/>
        <w:rPr>
          <w:shd w:val="clear" w:color="auto" w:fill="FFFFFF"/>
        </w:rPr>
      </w:pPr>
      <w:r w:rsidRPr="00F34FBC">
        <w:rPr>
          <w:shd w:val="clear" w:color="auto" w:fill="FFFFFF"/>
        </w:rPr>
        <w:t>ANSYS. 2019. Academic Research Mechanical, Release 19.1, Help System, Theory Reference, Thin Fluid Film Flow, ANSYS, Inc.</w:t>
      </w:r>
    </w:p>
    <w:p w14:paraId="621FCF52" w14:textId="77777777" w:rsidR="00F34FBC" w:rsidRPr="00F34FBC" w:rsidRDefault="00F34FBC" w:rsidP="00F34FBC">
      <w:pPr>
        <w:spacing w:line="240" w:lineRule="auto"/>
        <w:ind w:left="720" w:hanging="720"/>
        <w:rPr>
          <w:shd w:val="clear" w:color="auto" w:fill="FFFFFF"/>
        </w:rPr>
      </w:pPr>
      <w:r w:rsidRPr="00F34FBC">
        <w:rPr>
          <w:shd w:val="clear" w:color="auto" w:fill="FFFFFF"/>
        </w:rPr>
        <w:t>API 2010. Isolating Potential Flow Zones During Well Construction API Standard 65—Part 2, Second Edition, December 2010.</w:t>
      </w:r>
    </w:p>
    <w:p w14:paraId="79615CB2" w14:textId="77777777" w:rsidR="00F34FBC" w:rsidRPr="00F34FBC" w:rsidRDefault="00F34FBC" w:rsidP="00F34FBC">
      <w:pPr>
        <w:spacing w:line="240" w:lineRule="auto"/>
        <w:ind w:left="720" w:hanging="720"/>
        <w:rPr>
          <w:shd w:val="clear" w:color="auto" w:fill="FFFFFF"/>
        </w:rPr>
      </w:pPr>
      <w:r w:rsidRPr="00F34FBC">
        <w:rPr>
          <w:shd w:val="clear" w:color="auto" w:fill="FFFFFF"/>
        </w:rPr>
        <w:t>API 2015, API TR 5C3/ISO 10400:2007 – Technical Report on Equations and Calculations for Casing, Tubing, and Line Pipe used as Casing or Tubing; and Performance Properties Tables for Casing and Tubing (includes Addendum 1 dated October 2015).</w:t>
      </w:r>
    </w:p>
    <w:p w14:paraId="272E05B0" w14:textId="77777777" w:rsidR="00F34FBC" w:rsidRPr="00F34FBC" w:rsidRDefault="00F34FBC" w:rsidP="00F34FBC">
      <w:pPr>
        <w:spacing w:line="240" w:lineRule="auto"/>
        <w:ind w:left="720" w:hanging="720"/>
        <w:rPr>
          <w:shd w:val="clear" w:color="auto" w:fill="FFFFFF"/>
        </w:rPr>
      </w:pPr>
      <w:r w:rsidRPr="00F34FBC">
        <w:rPr>
          <w:shd w:val="clear" w:color="auto" w:fill="FFFFFF"/>
        </w:rPr>
        <w:t>Archer, S., &amp; Rasouli, V. 2012. A log based analysis to estimate mechanical properties and in-situ stresses in a shale gas well in North Perth Basin. </w:t>
      </w:r>
      <w:r w:rsidRPr="00F34FBC">
        <w:rPr>
          <w:i/>
          <w:iCs/>
          <w:shd w:val="clear" w:color="auto" w:fill="FFFFFF"/>
        </w:rPr>
        <w:t>WIT Transactions on Engineering Sciences</w:t>
      </w:r>
      <w:r w:rsidRPr="00F34FBC">
        <w:rPr>
          <w:shd w:val="clear" w:color="auto" w:fill="FFFFFF"/>
        </w:rPr>
        <w:t>, </w:t>
      </w:r>
      <w:r w:rsidRPr="00F34FBC">
        <w:rPr>
          <w:i/>
          <w:iCs/>
          <w:shd w:val="clear" w:color="auto" w:fill="FFFFFF"/>
        </w:rPr>
        <w:t>81</w:t>
      </w:r>
      <w:r w:rsidRPr="00F34FBC">
        <w:rPr>
          <w:shd w:val="clear" w:color="auto" w:fill="FFFFFF"/>
        </w:rPr>
        <w:t>, 163-174.</w:t>
      </w:r>
    </w:p>
    <w:p w14:paraId="2B9CEF81" w14:textId="77777777" w:rsidR="00F34FBC" w:rsidRPr="00F34FBC" w:rsidRDefault="00F34FBC" w:rsidP="00F34FBC">
      <w:pPr>
        <w:spacing w:line="240" w:lineRule="auto"/>
        <w:ind w:left="720" w:hanging="720"/>
        <w:rPr>
          <w:shd w:val="clear" w:color="auto" w:fill="FFFFFF"/>
          <w:lang w:val="nb-NO"/>
        </w:rPr>
      </w:pPr>
      <w:r w:rsidRPr="00F34FBC">
        <w:rPr>
          <w:shd w:val="clear" w:color="auto" w:fill="FFFFFF"/>
        </w:rPr>
        <w:t>Bachu, S., &amp; Watson, T. L. (2006). Possible indicators for CO2 leakage along wells. In </w:t>
      </w:r>
      <w:r w:rsidRPr="00F34FBC">
        <w:rPr>
          <w:i/>
          <w:iCs/>
          <w:shd w:val="clear" w:color="auto" w:fill="FFFFFF"/>
        </w:rPr>
        <w:t>8th International conference on greenhouse gas control technologies</w:t>
      </w:r>
      <w:r w:rsidRPr="00F34FBC">
        <w:rPr>
          <w:shd w:val="clear" w:color="auto" w:fill="FFFFFF"/>
        </w:rPr>
        <w:t> (pp. 19-22).</w:t>
      </w:r>
    </w:p>
    <w:p w14:paraId="3E9CF50A" w14:textId="77777777" w:rsidR="00F34FBC" w:rsidRPr="00F34FBC" w:rsidRDefault="00F34FBC" w:rsidP="00F34FBC">
      <w:pPr>
        <w:spacing w:line="240" w:lineRule="auto"/>
        <w:ind w:left="720" w:hanging="720"/>
        <w:rPr>
          <w:shd w:val="clear" w:color="auto" w:fill="FFFFFF"/>
          <w:lang w:val="nb-NO"/>
        </w:rPr>
      </w:pPr>
      <w:r w:rsidRPr="00F34FBC">
        <w:rPr>
          <w:shd w:val="clear" w:color="auto" w:fill="FFFFFF"/>
          <w:lang w:val="nb-NO"/>
        </w:rPr>
        <w:t xml:space="preserve">Baklushin, M., Velikaya, N., Zyryanov, V. et al. 2019. </w:t>
      </w:r>
      <w:r w:rsidRPr="00F34FBC">
        <w:rPr>
          <w:shd w:val="clear" w:color="auto" w:fill="FFFFFF"/>
        </w:rPr>
        <w:t xml:space="preserve">Applying a Resin-Cement System to Help Prevent Fluid Migration in the Annulus: A Case Study, Western Siberia. Presented at the SPE Russian Petroleum Technology Conference, Moscow, Russia, 22-24 October. </w:t>
      </w:r>
      <w:r w:rsidRPr="00F34FBC">
        <w:rPr>
          <w:shd w:val="clear" w:color="auto" w:fill="FFFFFF"/>
          <w:lang w:val="nb-NO"/>
        </w:rPr>
        <w:t xml:space="preserve">SPE-196799-MS. </w:t>
      </w:r>
      <w:hyperlink r:id="rId90" w:history="1">
        <w:r w:rsidRPr="00F34FBC">
          <w:rPr>
            <w:rStyle w:val="Hyperlink"/>
            <w:rFonts w:cs="Times New Roman"/>
            <w:szCs w:val="24"/>
            <w:shd w:val="clear" w:color="auto" w:fill="FFFFFF"/>
            <w:lang w:val="nb-NO"/>
          </w:rPr>
          <w:t>https://doi.org/10.2118/196799-RU</w:t>
        </w:r>
      </w:hyperlink>
      <w:r w:rsidRPr="00F34FBC">
        <w:rPr>
          <w:shd w:val="clear" w:color="auto" w:fill="FFFFFF"/>
          <w:lang w:val="nb-NO"/>
        </w:rPr>
        <w:t>.</w:t>
      </w:r>
    </w:p>
    <w:p w14:paraId="26715DEC" w14:textId="77777777" w:rsidR="00F34FBC" w:rsidRPr="00F34FBC" w:rsidRDefault="00F34FBC" w:rsidP="00F34FBC">
      <w:pPr>
        <w:spacing w:line="240" w:lineRule="auto"/>
        <w:ind w:left="720" w:hanging="720"/>
        <w:rPr>
          <w:shd w:val="clear" w:color="auto" w:fill="FFFFFF"/>
        </w:rPr>
      </w:pPr>
      <w:r w:rsidRPr="00F34FBC">
        <w:rPr>
          <w:shd w:val="clear" w:color="auto" w:fill="FFFFFF"/>
          <w:lang w:val="nb-NO"/>
        </w:rPr>
        <w:t xml:space="preserve">Beharie, C., Francis, S. and Øvestad, K.H. 2015. </w:t>
      </w:r>
      <w:r w:rsidRPr="00F34FBC">
        <w:rPr>
          <w:shd w:val="clear" w:color="auto" w:fill="FFFFFF"/>
        </w:rPr>
        <w:t xml:space="preserve">Resin: An Alternative Barrier Solution Material. Presented at the SPE Bergen One Day Seminar, Bergen, Norway, 22 April. SPE-173852-MS. </w:t>
      </w:r>
      <w:hyperlink r:id="rId91" w:history="1">
        <w:r w:rsidRPr="00F34FBC">
          <w:rPr>
            <w:rStyle w:val="Hyperlink"/>
            <w:rFonts w:cs="Times New Roman"/>
            <w:szCs w:val="24"/>
            <w:shd w:val="clear" w:color="auto" w:fill="FFFFFF"/>
          </w:rPr>
          <w:t>https://doi.org/10.2118/173852-MS</w:t>
        </w:r>
      </w:hyperlink>
      <w:r w:rsidRPr="00F34FBC">
        <w:rPr>
          <w:shd w:val="clear" w:color="auto" w:fill="FFFFFF"/>
        </w:rPr>
        <w:t>.</w:t>
      </w:r>
    </w:p>
    <w:p w14:paraId="662CDFAE" w14:textId="77777777" w:rsidR="00F34FBC" w:rsidRPr="00F34FBC" w:rsidRDefault="00F34FBC" w:rsidP="00F34FBC">
      <w:pPr>
        <w:spacing w:line="240" w:lineRule="auto"/>
        <w:ind w:left="720" w:hanging="720"/>
        <w:rPr>
          <w:shd w:val="clear" w:color="auto" w:fill="FFFFFF"/>
        </w:rPr>
      </w:pPr>
      <w:r w:rsidRPr="00F34FBC">
        <w:rPr>
          <w:shd w:val="clear" w:color="auto" w:fill="FFFFFF"/>
        </w:rPr>
        <w:t xml:space="preserve">Bensted, J. and Barnes, P. 2002. </w:t>
      </w:r>
      <w:r w:rsidRPr="00F34FBC">
        <w:rPr>
          <w:i/>
          <w:shd w:val="clear" w:color="auto" w:fill="FFFFFF"/>
        </w:rPr>
        <w:t>Structure and Performance of Cements</w:t>
      </w:r>
      <w:r w:rsidRPr="00F34FBC">
        <w:rPr>
          <w:shd w:val="clear" w:color="auto" w:fill="FFFFFF"/>
        </w:rPr>
        <w:t>: CRC Press. 565.</w:t>
      </w:r>
    </w:p>
    <w:p w14:paraId="628DF1D9" w14:textId="77777777" w:rsidR="00F34FBC" w:rsidRPr="00F34FBC" w:rsidRDefault="00F34FBC" w:rsidP="00F34FBC">
      <w:pPr>
        <w:spacing w:line="240" w:lineRule="auto"/>
        <w:ind w:left="720" w:hanging="720"/>
        <w:rPr>
          <w:shd w:val="clear" w:color="auto" w:fill="FFFFFF"/>
        </w:rPr>
      </w:pPr>
      <w:r w:rsidRPr="00F34FBC">
        <w:rPr>
          <w:shd w:val="clear" w:color="auto" w:fill="FFFFFF"/>
        </w:rPr>
        <w:t xml:space="preserve">Bhaisora, D., Aly, A., Morsy, A. et al. </w:t>
      </w:r>
      <w:r w:rsidRPr="00F34FBC">
        <w:rPr>
          <w:shd w:val="clear" w:color="auto" w:fill="FFFFFF"/>
          <w:lang w:val="nb-NO"/>
        </w:rPr>
        <w:t xml:space="preserve">2015. </w:t>
      </w:r>
      <w:r w:rsidRPr="00F34FBC">
        <w:rPr>
          <w:shd w:val="clear" w:color="auto" w:fill="FFFFFF"/>
        </w:rPr>
        <w:t xml:space="preserve">Innovative Application of Ultra-Lightweight Epoxy Resin-Cement Slurry Mixture Achieved Zonal Isolation Objectives and Secured Well Integrity: Case History From Offshore Gulf of Suez. Presented at the International Petroleum Technology Conference, Doha, Qatar, 6-9 December. IPTC-18504-MS. </w:t>
      </w:r>
      <w:hyperlink r:id="rId92" w:history="1">
        <w:r w:rsidRPr="00F34FBC">
          <w:rPr>
            <w:rStyle w:val="Hyperlink"/>
            <w:rFonts w:cs="Times New Roman"/>
            <w:szCs w:val="24"/>
            <w:shd w:val="clear" w:color="auto" w:fill="FFFFFF"/>
          </w:rPr>
          <w:t>https://doi.org/10.2523/IPTC-18504-MS</w:t>
        </w:r>
      </w:hyperlink>
      <w:r w:rsidRPr="00F34FBC">
        <w:rPr>
          <w:shd w:val="clear" w:color="auto" w:fill="FFFFFF"/>
        </w:rPr>
        <w:t>.</w:t>
      </w:r>
    </w:p>
    <w:p w14:paraId="7A83F14A" w14:textId="77777777" w:rsidR="00F34FBC" w:rsidRPr="00F34FBC" w:rsidRDefault="00F34FBC" w:rsidP="00F34FBC">
      <w:pPr>
        <w:spacing w:line="240" w:lineRule="auto"/>
        <w:ind w:left="720" w:hanging="720"/>
        <w:rPr>
          <w:shd w:val="clear" w:color="auto" w:fill="FFFFFF"/>
        </w:rPr>
      </w:pPr>
      <w:r w:rsidRPr="00F34FBC">
        <w:rPr>
          <w:shd w:val="clear" w:color="auto" w:fill="FFFFFF"/>
        </w:rPr>
        <w:t>Bird, R.B., Stewart, W.E., and Lightfoot, E.N. 2007. </w:t>
      </w:r>
      <w:r w:rsidRPr="00F34FBC">
        <w:rPr>
          <w:i/>
          <w:shd w:val="clear" w:color="auto" w:fill="FFFFFF"/>
        </w:rPr>
        <w:t>T</w:t>
      </w:r>
      <w:r w:rsidRPr="00F34FBC">
        <w:rPr>
          <w:i/>
          <w:iCs/>
          <w:shd w:val="clear" w:color="auto" w:fill="FFFFFF"/>
        </w:rPr>
        <w:t>ransport Phenomena</w:t>
      </w:r>
      <w:r w:rsidRPr="00F34FBC">
        <w:rPr>
          <w:shd w:val="clear" w:color="auto" w:fill="FFFFFF"/>
        </w:rPr>
        <w:t>, revised second edition. New York: Wiley.</w:t>
      </w:r>
    </w:p>
    <w:p w14:paraId="32CC8D75" w14:textId="77777777" w:rsidR="00F34FBC" w:rsidRPr="00F34FBC" w:rsidRDefault="00F34FBC" w:rsidP="00F34FBC">
      <w:pPr>
        <w:spacing w:line="240" w:lineRule="auto"/>
        <w:ind w:left="720" w:hanging="720"/>
        <w:rPr>
          <w:shd w:val="clear" w:color="auto" w:fill="FFFFFF"/>
        </w:rPr>
      </w:pPr>
      <w:r w:rsidRPr="00F34FBC">
        <w:rPr>
          <w:shd w:val="clear" w:color="auto" w:fill="FFFFFF"/>
        </w:rPr>
        <w:lastRenderedPageBreak/>
        <w:t xml:space="preserve">Bois, A. P., Garnier, A., Galdiolo, G. et al. 2012. Use of A Mechanistic Model to Forecast Cement-Sheath Integrity. SPE Drilling &amp; Completion, 27(02), 303-314. </w:t>
      </w:r>
      <w:hyperlink r:id="rId93" w:history="1">
        <w:r w:rsidRPr="00F34FBC">
          <w:rPr>
            <w:rStyle w:val="Hyperlink"/>
            <w:rFonts w:cs="Times New Roman"/>
            <w:szCs w:val="24"/>
            <w:shd w:val="clear" w:color="auto" w:fill="FFFFFF"/>
          </w:rPr>
          <w:t>https://doi.org/10.2118/139668-PA</w:t>
        </w:r>
      </w:hyperlink>
      <w:r w:rsidRPr="00F34FBC">
        <w:rPr>
          <w:shd w:val="clear" w:color="auto" w:fill="FFFFFF"/>
        </w:rPr>
        <w:t xml:space="preserve">. </w:t>
      </w:r>
    </w:p>
    <w:p w14:paraId="6C5B98CB" w14:textId="77777777" w:rsidR="00F34FBC" w:rsidRPr="00F34FBC" w:rsidRDefault="00F34FBC" w:rsidP="00F34FBC">
      <w:pPr>
        <w:spacing w:line="240" w:lineRule="auto"/>
        <w:ind w:left="720" w:hanging="720"/>
        <w:rPr>
          <w:shd w:val="clear" w:color="auto" w:fill="FFFFFF"/>
        </w:rPr>
      </w:pPr>
      <w:r w:rsidRPr="00F34FBC">
        <w:rPr>
          <w:shd w:val="clear" w:color="auto" w:fill="FFFFFF"/>
        </w:rPr>
        <w:t>Bois, A. P., Vu, M. H., Ghabezloo, S. et al. 2013. Cement sheath integrity for CO2 storage–An integrated perspective. </w:t>
      </w:r>
      <w:r w:rsidRPr="00F34FBC">
        <w:rPr>
          <w:i/>
          <w:iCs/>
          <w:shd w:val="clear" w:color="auto" w:fill="FFFFFF"/>
        </w:rPr>
        <w:t>Energy Procedia</w:t>
      </w:r>
      <w:r w:rsidRPr="00F34FBC">
        <w:rPr>
          <w:shd w:val="clear" w:color="auto" w:fill="FFFFFF"/>
        </w:rPr>
        <w:t>, </w:t>
      </w:r>
      <w:r w:rsidRPr="00F34FBC">
        <w:rPr>
          <w:i/>
          <w:iCs/>
          <w:shd w:val="clear" w:color="auto" w:fill="FFFFFF"/>
        </w:rPr>
        <w:t>37</w:t>
      </w:r>
      <w:r w:rsidRPr="00F34FBC">
        <w:rPr>
          <w:shd w:val="clear" w:color="auto" w:fill="FFFFFF"/>
        </w:rPr>
        <w:t xml:space="preserve">, 5628-5641. </w:t>
      </w:r>
      <w:hyperlink r:id="rId94" w:tgtFrame="_blank" w:tooltip="Persistent link using digital object identifier" w:history="1">
        <w:r w:rsidRPr="00F34FBC">
          <w:rPr>
            <w:rStyle w:val="Hyperlink"/>
            <w:rFonts w:cs="Times New Roman"/>
            <w:szCs w:val="24"/>
            <w:shd w:val="clear" w:color="auto" w:fill="FFFFFF"/>
          </w:rPr>
          <w:t>https://doi.org/10.1016/j.egypro.2013.06.485</w:t>
        </w:r>
      </w:hyperlink>
      <w:r w:rsidRPr="00F34FBC">
        <w:rPr>
          <w:shd w:val="clear" w:color="auto" w:fill="FFFFFF"/>
        </w:rPr>
        <w:t xml:space="preserve">. </w:t>
      </w:r>
    </w:p>
    <w:p w14:paraId="1101950A" w14:textId="77777777" w:rsidR="00F34FBC" w:rsidRPr="00F34FBC" w:rsidRDefault="00F34FBC" w:rsidP="00F34FBC">
      <w:pPr>
        <w:spacing w:line="240" w:lineRule="auto"/>
        <w:ind w:left="720" w:hanging="720"/>
        <w:rPr>
          <w:shd w:val="clear" w:color="auto" w:fill="FFFFFF"/>
        </w:rPr>
      </w:pPr>
      <w:r w:rsidRPr="00F34FBC">
        <w:rPr>
          <w:shd w:val="clear" w:color="auto" w:fill="FFFFFF"/>
        </w:rPr>
        <w:t xml:space="preserve">Bois, A.P., Garnier, A., Rodot, F. et al. 2011. How to Prevent Loss of Zonal Isolation Through a Comprehensive Analysis of Microannulus Formation. </w:t>
      </w:r>
      <w:r w:rsidRPr="00F34FBC">
        <w:rPr>
          <w:i/>
          <w:shd w:val="clear" w:color="auto" w:fill="FFFFFF"/>
        </w:rPr>
        <w:t>SPE Drilling &amp; Completion</w:t>
      </w:r>
      <w:r w:rsidRPr="00F34FBC">
        <w:rPr>
          <w:shd w:val="clear" w:color="auto" w:fill="FFFFFF"/>
        </w:rPr>
        <w:t xml:space="preserve"> 26 (01): 13-31. SPE-124719-PA. </w:t>
      </w:r>
      <w:hyperlink r:id="rId95" w:history="1">
        <w:r w:rsidRPr="00F34FBC">
          <w:rPr>
            <w:rStyle w:val="Hyperlink"/>
            <w:rFonts w:cs="Times New Roman"/>
            <w:szCs w:val="24"/>
            <w:shd w:val="clear" w:color="auto" w:fill="FFFFFF"/>
          </w:rPr>
          <w:t>https://doi.org/10.2118/124719-PA</w:t>
        </w:r>
      </w:hyperlink>
      <w:r w:rsidRPr="00F34FBC">
        <w:rPr>
          <w:shd w:val="clear" w:color="auto" w:fill="FFFFFF"/>
        </w:rPr>
        <w:t>.</w:t>
      </w:r>
    </w:p>
    <w:p w14:paraId="04BF6CB0" w14:textId="77777777" w:rsidR="00F34FBC" w:rsidRPr="00F34FBC" w:rsidRDefault="00F34FBC" w:rsidP="00F34FBC">
      <w:pPr>
        <w:spacing w:line="240" w:lineRule="auto"/>
        <w:ind w:left="720" w:hanging="720"/>
        <w:rPr>
          <w:shd w:val="clear" w:color="auto" w:fill="FFFFFF"/>
        </w:rPr>
      </w:pPr>
      <w:r w:rsidRPr="00F34FBC">
        <w:rPr>
          <w:shd w:val="clear" w:color="auto" w:fill="FFFFFF"/>
        </w:rPr>
        <w:t>Bois, A.P., Vu, M.H., Galdiolo, G. et al. 2017. Use of Advanced Gas Migration Model to Optimize Zonal Isolation. Paper presented at the 2017 AADE National Technical Conference and Exhibition, Houston, Texas.</w:t>
      </w:r>
    </w:p>
    <w:p w14:paraId="3EB95D6D" w14:textId="77777777" w:rsidR="00F34FBC" w:rsidRPr="00F34FBC" w:rsidRDefault="00F34FBC" w:rsidP="00F34FBC">
      <w:pPr>
        <w:spacing w:line="240" w:lineRule="auto"/>
        <w:ind w:left="720" w:hanging="720"/>
        <w:rPr>
          <w:bCs/>
          <w:shd w:val="clear" w:color="auto" w:fill="FFFFFF"/>
        </w:rPr>
      </w:pPr>
      <w:r w:rsidRPr="00F34FBC">
        <w:rPr>
          <w:shd w:val="clear" w:color="auto" w:fill="FFFFFF"/>
        </w:rPr>
        <w:t>Bois, A.P., Vu, M.H., Noël, K. et al. 2019. Evaluating Cement-Plug Mechanical and Hydraulic Integrity. </w:t>
      </w:r>
      <w:r w:rsidRPr="00F34FBC">
        <w:rPr>
          <w:i/>
          <w:iCs/>
          <w:shd w:val="clear" w:color="auto" w:fill="FFFFFF"/>
        </w:rPr>
        <w:t>SPE Drilling &amp; Completion</w:t>
      </w:r>
      <w:r w:rsidRPr="00F34FBC">
        <w:rPr>
          <w:shd w:val="clear" w:color="auto" w:fill="FFFFFF"/>
        </w:rPr>
        <w:t xml:space="preserve">. SPE-191335-PA. </w:t>
      </w:r>
      <w:hyperlink r:id="rId96" w:history="1">
        <w:r w:rsidRPr="00F34FBC">
          <w:rPr>
            <w:rStyle w:val="Hyperlink"/>
            <w:rFonts w:cs="Times New Roman"/>
            <w:szCs w:val="24"/>
            <w:shd w:val="clear" w:color="auto" w:fill="FFFFFF"/>
          </w:rPr>
          <w:t>https://doi.org/10.2118/191335-PA</w:t>
        </w:r>
      </w:hyperlink>
      <w:r w:rsidRPr="00F34FBC">
        <w:rPr>
          <w:shd w:val="clear" w:color="auto" w:fill="FFFFFF"/>
        </w:rPr>
        <w:t xml:space="preserve">. </w:t>
      </w:r>
      <w:r w:rsidRPr="00F34FBC">
        <w:rPr>
          <w:bCs/>
          <w:shd w:val="clear" w:color="auto" w:fill="FFFFFF"/>
        </w:rPr>
        <w:t xml:space="preserve"> </w:t>
      </w:r>
    </w:p>
    <w:p w14:paraId="6841EEFE" w14:textId="77777777" w:rsidR="00F34FBC" w:rsidRPr="00F34FBC" w:rsidRDefault="00F34FBC" w:rsidP="00F34FBC">
      <w:pPr>
        <w:spacing w:line="240" w:lineRule="auto"/>
        <w:ind w:left="720" w:hanging="720"/>
        <w:rPr>
          <w:shd w:val="clear" w:color="auto" w:fill="FFFFFF"/>
        </w:rPr>
      </w:pPr>
      <w:r w:rsidRPr="00F34FBC">
        <w:rPr>
          <w:shd w:val="clear" w:color="auto" w:fill="FFFFFF"/>
        </w:rPr>
        <w:t xml:space="preserve">Bosma, M., Ravi, K., Van Driel, W. et al. 1999. Design Approach to Sealant Selection for the Life of the Well. In SPE Annual Technical Conference and Exhibition, 3-6 October, Houston, TX, USA. SPE-56536-MS. </w:t>
      </w:r>
      <w:hyperlink r:id="rId97" w:tgtFrame="_blank" w:history="1">
        <w:r w:rsidRPr="00F34FBC">
          <w:rPr>
            <w:rStyle w:val="Hyperlink"/>
            <w:rFonts w:cs="Times New Roman"/>
            <w:bCs/>
            <w:szCs w:val="24"/>
            <w:shd w:val="clear" w:color="auto" w:fill="FFFFFF"/>
          </w:rPr>
          <w:t>https://doi.org/10.2118/56536-MS</w:t>
        </w:r>
      </w:hyperlink>
      <w:r w:rsidRPr="00F34FBC">
        <w:rPr>
          <w:shd w:val="clear" w:color="auto" w:fill="FFFFFF"/>
        </w:rPr>
        <w:t>.</w:t>
      </w:r>
    </w:p>
    <w:p w14:paraId="447A82A8" w14:textId="77777777" w:rsidR="00F34FBC" w:rsidRPr="00F34FBC" w:rsidRDefault="00F34FBC" w:rsidP="00F34FBC">
      <w:pPr>
        <w:spacing w:line="240" w:lineRule="auto"/>
        <w:ind w:left="720" w:hanging="720"/>
        <w:rPr>
          <w:shd w:val="clear" w:color="auto" w:fill="FFFFFF"/>
        </w:rPr>
      </w:pPr>
      <w:r w:rsidRPr="00F34FBC">
        <w:rPr>
          <w:shd w:val="clear" w:color="auto" w:fill="FFFFFF"/>
          <w:lang w:val="nb-NO"/>
        </w:rPr>
        <w:t xml:space="preserve">Bourgoyne,  A.T., Millheim, K.K., Chenevert, M.E. et al. 1986. </w:t>
      </w:r>
      <w:r w:rsidRPr="00F34FBC">
        <w:rPr>
          <w:shd w:val="clear" w:color="auto" w:fill="FFFFFF"/>
        </w:rPr>
        <w:t>Applied Drilling Engineering, Vol. 2. In: SPE textbook series. Society of Petroleum Engineers.</w:t>
      </w:r>
    </w:p>
    <w:p w14:paraId="2AF32E97" w14:textId="77777777" w:rsidR="00F34FBC" w:rsidRPr="00F34FBC" w:rsidRDefault="00F34FBC" w:rsidP="00F34FBC">
      <w:pPr>
        <w:spacing w:line="240" w:lineRule="auto"/>
        <w:ind w:left="720" w:hanging="720"/>
        <w:rPr>
          <w:shd w:val="clear" w:color="auto" w:fill="FFFFFF"/>
        </w:rPr>
      </w:pPr>
      <w:r w:rsidRPr="00F34FBC">
        <w:rPr>
          <w:shd w:val="clear" w:color="auto" w:fill="FFFFFF"/>
        </w:rPr>
        <w:t>Bradley, W. B. 1979. Failure of inclined boreholes. </w:t>
      </w:r>
      <w:r w:rsidRPr="00F34FBC">
        <w:rPr>
          <w:i/>
          <w:iCs/>
          <w:shd w:val="clear" w:color="auto" w:fill="FFFFFF"/>
        </w:rPr>
        <w:t>Journal of Energy Resources Technology</w:t>
      </w:r>
      <w:r w:rsidRPr="00F34FBC">
        <w:rPr>
          <w:shd w:val="clear" w:color="auto" w:fill="FFFFFF"/>
        </w:rPr>
        <w:t>, </w:t>
      </w:r>
      <w:r w:rsidRPr="00F34FBC">
        <w:rPr>
          <w:i/>
          <w:iCs/>
          <w:shd w:val="clear" w:color="auto" w:fill="FFFFFF"/>
        </w:rPr>
        <w:t>101</w:t>
      </w:r>
      <w:r w:rsidRPr="00F34FBC">
        <w:rPr>
          <w:shd w:val="clear" w:color="auto" w:fill="FFFFFF"/>
        </w:rPr>
        <w:t>(4), 232-239.</w:t>
      </w:r>
    </w:p>
    <w:p w14:paraId="4E4F1C3D" w14:textId="77777777" w:rsidR="00F34FBC" w:rsidRPr="00F34FBC" w:rsidRDefault="00F34FBC" w:rsidP="00F34FBC">
      <w:pPr>
        <w:spacing w:line="240" w:lineRule="auto"/>
        <w:ind w:left="720" w:hanging="720"/>
        <w:rPr>
          <w:shd w:val="clear" w:color="auto" w:fill="FFFFFF"/>
        </w:rPr>
      </w:pPr>
      <w:r w:rsidRPr="00F34FBC">
        <w:rPr>
          <w:shd w:val="clear" w:color="auto" w:fill="FFFFFF"/>
        </w:rPr>
        <w:t xml:space="preserve">Breckels, I.M. &amp; van Eekelen, H.A.M. 1982. Relationship Between Horizontal Stress and Depth in Sedimentary Basins. </w:t>
      </w:r>
      <w:r w:rsidRPr="00F34FBC">
        <w:rPr>
          <w:i/>
          <w:shd w:val="clear" w:color="auto" w:fill="FFFFFF"/>
        </w:rPr>
        <w:t>Journal of Petroleum Technology</w:t>
      </w:r>
      <w:r w:rsidRPr="00F34FBC">
        <w:rPr>
          <w:shd w:val="clear" w:color="auto" w:fill="FFFFFF"/>
        </w:rPr>
        <w:t xml:space="preserve"> 34(09): 2-191. SPE-10336-PA. </w:t>
      </w:r>
      <w:hyperlink r:id="rId98" w:tgtFrame="_blank" w:history="1">
        <w:r w:rsidRPr="00F34FBC">
          <w:rPr>
            <w:rStyle w:val="Hyperlink"/>
            <w:rFonts w:cs="Times New Roman"/>
            <w:bCs/>
            <w:szCs w:val="24"/>
            <w:shd w:val="clear" w:color="auto" w:fill="FFFFFF"/>
          </w:rPr>
          <w:t>https://doi.org/10.2118/10336-PA</w:t>
        </w:r>
      </w:hyperlink>
      <w:r w:rsidRPr="00F34FBC">
        <w:rPr>
          <w:shd w:val="clear" w:color="auto" w:fill="FFFFFF"/>
        </w:rPr>
        <w:t>.</w:t>
      </w:r>
    </w:p>
    <w:p w14:paraId="4BFB31A4" w14:textId="77777777" w:rsidR="00F34FBC" w:rsidRPr="00F34FBC" w:rsidRDefault="00F34FBC" w:rsidP="00F34FBC">
      <w:pPr>
        <w:spacing w:line="240" w:lineRule="auto"/>
        <w:ind w:left="720" w:hanging="720"/>
        <w:rPr>
          <w:shd w:val="clear" w:color="auto" w:fill="FFFFFF"/>
        </w:rPr>
      </w:pPr>
      <w:r w:rsidRPr="00F34FBC">
        <w:rPr>
          <w:shd w:val="clear" w:color="auto" w:fill="FFFFFF"/>
        </w:rPr>
        <w:t>Carey, J. W., Wigand, M., Chipera, S. J. et al. 2007. Analysis and performance of oil well cement with 30 years of CO2 exposure from the SACROC Unit, West Texas, USA. </w:t>
      </w:r>
      <w:r w:rsidRPr="00F34FBC">
        <w:rPr>
          <w:i/>
          <w:iCs/>
          <w:shd w:val="clear" w:color="auto" w:fill="FFFFFF"/>
        </w:rPr>
        <w:t>International Journal of Greenhouse Gas Control</w:t>
      </w:r>
      <w:r w:rsidRPr="00F34FBC">
        <w:rPr>
          <w:shd w:val="clear" w:color="auto" w:fill="FFFFFF"/>
        </w:rPr>
        <w:t>, </w:t>
      </w:r>
      <w:r w:rsidRPr="00F34FBC">
        <w:rPr>
          <w:i/>
          <w:iCs/>
          <w:shd w:val="clear" w:color="auto" w:fill="FFFFFF"/>
        </w:rPr>
        <w:t>1</w:t>
      </w:r>
      <w:r w:rsidRPr="00F34FBC">
        <w:rPr>
          <w:shd w:val="clear" w:color="auto" w:fill="FFFFFF"/>
        </w:rPr>
        <w:t xml:space="preserve">(1), 75-85. </w:t>
      </w:r>
      <w:hyperlink r:id="rId99" w:history="1">
        <w:r w:rsidRPr="00F34FBC">
          <w:rPr>
            <w:rStyle w:val="Hyperlink"/>
            <w:rFonts w:cs="Times New Roman"/>
            <w:szCs w:val="24"/>
            <w:shd w:val="clear" w:color="auto" w:fill="FFFFFF"/>
          </w:rPr>
          <w:t>https://doi.org/10.1016/S1750-5836(06)00004-1</w:t>
        </w:r>
      </w:hyperlink>
      <w:r w:rsidRPr="00F34FBC">
        <w:rPr>
          <w:shd w:val="clear" w:color="auto" w:fill="FFFFFF"/>
        </w:rPr>
        <w:t xml:space="preserve">. </w:t>
      </w:r>
    </w:p>
    <w:p w14:paraId="7EAC467A" w14:textId="77777777" w:rsidR="00F34FBC" w:rsidRPr="00F34FBC" w:rsidRDefault="00F34FBC" w:rsidP="00F34FBC">
      <w:pPr>
        <w:spacing w:line="240" w:lineRule="auto"/>
        <w:ind w:left="720" w:hanging="720"/>
        <w:rPr>
          <w:shd w:val="clear" w:color="auto" w:fill="FFFFFF"/>
        </w:rPr>
      </w:pPr>
      <w:r w:rsidRPr="00F34FBC">
        <w:rPr>
          <w:shd w:val="clear" w:color="auto" w:fill="FFFFFF"/>
          <w:lang w:val="nb-NO"/>
        </w:rPr>
        <w:t xml:space="preserve">Carter, L. G., &amp; Evans, G. W. 1964. </w:t>
      </w:r>
      <w:r w:rsidRPr="00F34FBC">
        <w:rPr>
          <w:shd w:val="clear" w:color="auto" w:fill="FFFFFF"/>
        </w:rPr>
        <w:t>A study of cement-pipe bonding. </w:t>
      </w:r>
      <w:r w:rsidRPr="00F34FBC">
        <w:rPr>
          <w:i/>
          <w:iCs/>
          <w:shd w:val="clear" w:color="auto" w:fill="FFFFFF"/>
        </w:rPr>
        <w:t>Journal of Petroleum Technology</w:t>
      </w:r>
      <w:r w:rsidRPr="00F34FBC">
        <w:rPr>
          <w:shd w:val="clear" w:color="auto" w:fill="FFFFFF"/>
        </w:rPr>
        <w:t>, </w:t>
      </w:r>
      <w:r w:rsidRPr="00F34FBC">
        <w:rPr>
          <w:i/>
          <w:iCs/>
          <w:shd w:val="clear" w:color="auto" w:fill="FFFFFF"/>
        </w:rPr>
        <w:t>16</w:t>
      </w:r>
      <w:r w:rsidRPr="00F34FBC">
        <w:rPr>
          <w:shd w:val="clear" w:color="auto" w:fill="FFFFFF"/>
        </w:rPr>
        <w:t>(02), 157-160.</w:t>
      </w:r>
    </w:p>
    <w:p w14:paraId="3218B7B9" w14:textId="77777777" w:rsidR="00F34FBC" w:rsidRPr="00F34FBC" w:rsidRDefault="00F34FBC" w:rsidP="00F34FBC">
      <w:pPr>
        <w:spacing w:line="240" w:lineRule="auto"/>
        <w:ind w:left="720" w:hanging="720"/>
        <w:rPr>
          <w:shd w:val="clear" w:color="auto" w:fill="FFFFFF"/>
        </w:rPr>
      </w:pPr>
      <w:r w:rsidRPr="00F34FBC">
        <w:rPr>
          <w:shd w:val="clear" w:color="auto" w:fill="FFFFFF"/>
        </w:rPr>
        <w:t>Cerasi, P. and Stroisz, A. 2015. Experimental investigation of cement to rock bonding. In </w:t>
      </w:r>
      <w:r w:rsidRPr="00F34FBC">
        <w:rPr>
          <w:iCs/>
          <w:shd w:val="clear" w:color="auto" w:fill="FFFFFF"/>
        </w:rPr>
        <w:t>49th US Rock Mechanics/Geomechanics Symposium</w:t>
      </w:r>
      <w:r w:rsidRPr="00F34FBC">
        <w:rPr>
          <w:shd w:val="clear" w:color="auto" w:fill="FFFFFF"/>
        </w:rPr>
        <w:t>. American Rock Mechanics Association, 28 June-1 July, San Francisco, California, USA. ARMA-2015-237.</w:t>
      </w:r>
    </w:p>
    <w:p w14:paraId="794D025B" w14:textId="77777777" w:rsidR="00F34FBC" w:rsidRPr="00F34FBC" w:rsidRDefault="00F34FBC" w:rsidP="00F34FBC">
      <w:pPr>
        <w:spacing w:line="240" w:lineRule="auto"/>
        <w:ind w:left="720" w:hanging="720"/>
        <w:rPr>
          <w:shd w:val="clear" w:color="auto" w:fill="FFFFFF"/>
        </w:rPr>
      </w:pPr>
      <w:r w:rsidRPr="00F34FBC">
        <w:rPr>
          <w:shd w:val="clear" w:color="auto" w:fill="FFFFFF"/>
          <w:lang w:val="nb-NO"/>
        </w:rPr>
        <w:t xml:space="preserve">Cerasi, P., Lund, E., Kleiven, M. L. et al. 2017. </w:t>
      </w:r>
      <w:r w:rsidRPr="00F34FBC">
        <w:rPr>
          <w:shd w:val="clear" w:color="auto" w:fill="FFFFFF"/>
        </w:rPr>
        <w:t>Shale creep as leakage healing mechanism in CO2 sequestration. </w:t>
      </w:r>
      <w:r w:rsidRPr="00F34FBC">
        <w:rPr>
          <w:i/>
          <w:iCs/>
          <w:shd w:val="clear" w:color="auto" w:fill="FFFFFF"/>
        </w:rPr>
        <w:t>Energy Procedia</w:t>
      </w:r>
      <w:r w:rsidRPr="00F34FBC">
        <w:rPr>
          <w:shd w:val="clear" w:color="auto" w:fill="FFFFFF"/>
        </w:rPr>
        <w:t>, </w:t>
      </w:r>
      <w:r w:rsidRPr="00F34FBC">
        <w:rPr>
          <w:i/>
          <w:iCs/>
          <w:shd w:val="clear" w:color="auto" w:fill="FFFFFF"/>
        </w:rPr>
        <w:t>114</w:t>
      </w:r>
      <w:r w:rsidRPr="00F34FBC">
        <w:rPr>
          <w:shd w:val="clear" w:color="auto" w:fill="FFFFFF"/>
        </w:rPr>
        <w:t xml:space="preserve">, 3096-3112. </w:t>
      </w:r>
      <w:hyperlink r:id="rId100" w:history="1">
        <w:r w:rsidRPr="00F34FBC">
          <w:rPr>
            <w:rStyle w:val="Hyperlink"/>
            <w:rFonts w:cs="Times New Roman"/>
            <w:szCs w:val="24"/>
            <w:shd w:val="clear" w:color="auto" w:fill="FFFFFF"/>
          </w:rPr>
          <w:t>https://doi.org/10.1016/j.egypro.2017.03.1439</w:t>
        </w:r>
      </w:hyperlink>
      <w:r w:rsidRPr="00F34FBC">
        <w:rPr>
          <w:shd w:val="clear" w:color="auto" w:fill="FFFFFF"/>
        </w:rPr>
        <w:t>.</w:t>
      </w:r>
    </w:p>
    <w:p w14:paraId="1A604835" w14:textId="77777777" w:rsidR="00F34FBC" w:rsidRPr="00F34FBC" w:rsidRDefault="00F34FBC" w:rsidP="00F34FBC">
      <w:pPr>
        <w:spacing w:line="240" w:lineRule="auto"/>
        <w:ind w:left="720" w:hanging="720"/>
        <w:rPr>
          <w:shd w:val="clear" w:color="auto" w:fill="FFFFFF"/>
        </w:rPr>
      </w:pPr>
      <w:r w:rsidRPr="00F34FBC">
        <w:rPr>
          <w:shd w:val="clear" w:color="auto" w:fill="FFFFFF"/>
        </w:rPr>
        <w:t>Colebrook, C. 1939. Turbulent Flow in Pipes, With Particular Reference to The Transition Region Between the Smooth and Rough Pipe Laws. </w:t>
      </w:r>
      <w:r w:rsidRPr="00F34FBC">
        <w:rPr>
          <w:i/>
          <w:iCs/>
          <w:shd w:val="clear" w:color="auto" w:fill="FFFFFF"/>
        </w:rPr>
        <w:t>Journal of the Institution of Civil Engineers</w:t>
      </w:r>
      <w:r w:rsidRPr="00F34FBC">
        <w:rPr>
          <w:shd w:val="clear" w:color="auto" w:fill="FFFFFF"/>
        </w:rPr>
        <w:t>, </w:t>
      </w:r>
      <w:r w:rsidRPr="00F34FBC">
        <w:rPr>
          <w:i/>
          <w:iCs/>
          <w:shd w:val="clear" w:color="auto" w:fill="FFFFFF"/>
        </w:rPr>
        <w:t>11</w:t>
      </w:r>
      <w:r w:rsidRPr="00F34FBC">
        <w:rPr>
          <w:shd w:val="clear" w:color="auto" w:fill="FFFFFF"/>
        </w:rPr>
        <w:t>(4), 133-156.</w:t>
      </w:r>
    </w:p>
    <w:p w14:paraId="7ABEE980" w14:textId="77777777" w:rsidR="00F34FBC" w:rsidRPr="00F34FBC" w:rsidRDefault="00F34FBC" w:rsidP="00F34FBC">
      <w:pPr>
        <w:spacing w:line="240" w:lineRule="auto"/>
        <w:ind w:left="720" w:hanging="720"/>
        <w:rPr>
          <w:shd w:val="clear" w:color="auto" w:fill="FFFFFF"/>
        </w:rPr>
      </w:pPr>
      <w:r w:rsidRPr="00F34FBC">
        <w:rPr>
          <w:shd w:val="clear" w:color="auto" w:fill="FFFFFF"/>
        </w:rPr>
        <w:t>Cooke, C. E., Jr., Kluck, M. P., and Medrano, R. 1983. Field Measurements of Annular Pressure and Temperature During Primary Cementing. </w:t>
      </w:r>
      <w:r w:rsidRPr="00F34FBC">
        <w:rPr>
          <w:i/>
          <w:iCs/>
          <w:shd w:val="clear" w:color="auto" w:fill="FFFFFF"/>
        </w:rPr>
        <w:t>Journal of Petroleum Technology</w:t>
      </w:r>
      <w:r w:rsidRPr="00F34FBC">
        <w:rPr>
          <w:shd w:val="clear" w:color="auto" w:fill="FFFFFF"/>
        </w:rPr>
        <w:t> </w:t>
      </w:r>
      <w:r w:rsidRPr="00F34FBC">
        <w:rPr>
          <w:bCs/>
          <w:shd w:val="clear" w:color="auto" w:fill="FFFFFF"/>
        </w:rPr>
        <w:t>35</w:t>
      </w:r>
      <w:r w:rsidRPr="00F34FBC">
        <w:rPr>
          <w:shd w:val="clear" w:color="auto" w:fill="FFFFFF"/>
        </w:rPr>
        <w:t> (08): 1429-1438. https://doi.org/10.2118/11206-PA.</w:t>
      </w:r>
    </w:p>
    <w:p w14:paraId="0910C1F3" w14:textId="77777777" w:rsidR="00F34FBC" w:rsidRPr="00F34FBC" w:rsidRDefault="00F34FBC" w:rsidP="00F34FBC">
      <w:pPr>
        <w:spacing w:line="240" w:lineRule="auto"/>
        <w:ind w:left="720" w:hanging="720"/>
        <w:rPr>
          <w:shd w:val="clear" w:color="auto" w:fill="FFFFFF"/>
          <w:lang w:val="nb-NO"/>
        </w:rPr>
      </w:pPr>
      <w:r w:rsidRPr="00F34FBC">
        <w:rPr>
          <w:shd w:val="clear" w:color="auto" w:fill="FFFFFF"/>
        </w:rPr>
        <w:t>Corina, A.N., Opedal, N., Vrålstad, T. et al. 2019. Cement plug sealing studies of silica cement systems. In </w:t>
      </w:r>
      <w:r w:rsidRPr="00F34FBC">
        <w:rPr>
          <w:iCs/>
          <w:shd w:val="clear" w:color="auto" w:fill="FFFFFF"/>
        </w:rPr>
        <w:t>ASME 2019 38th International Conference on Ocean, Offshore and Arctic Engineering</w:t>
      </w:r>
      <w:r w:rsidRPr="00F34FBC">
        <w:rPr>
          <w:shd w:val="clear" w:color="auto" w:fill="FFFFFF"/>
        </w:rPr>
        <w:t xml:space="preserve">, Glasgow, Scotland, UK, 09-14 June. </w:t>
      </w:r>
      <w:r w:rsidRPr="00F34FBC">
        <w:rPr>
          <w:shd w:val="clear" w:color="auto" w:fill="FFFFFF"/>
          <w:lang w:val="nb-NO"/>
        </w:rPr>
        <w:t>OMAE2019-95928.</w:t>
      </w:r>
    </w:p>
    <w:p w14:paraId="62ED30DC" w14:textId="77777777" w:rsidR="00F34FBC" w:rsidRPr="00F34FBC" w:rsidRDefault="00F34FBC" w:rsidP="00F34FBC">
      <w:pPr>
        <w:spacing w:line="240" w:lineRule="auto"/>
        <w:ind w:left="720" w:hanging="720"/>
        <w:rPr>
          <w:u w:val="single"/>
          <w:shd w:val="clear" w:color="auto" w:fill="FFFFFF"/>
        </w:rPr>
      </w:pPr>
      <w:r w:rsidRPr="00F34FBC">
        <w:rPr>
          <w:shd w:val="clear" w:color="auto" w:fill="FFFFFF"/>
          <w:lang w:val="nb-NO"/>
        </w:rPr>
        <w:lastRenderedPageBreak/>
        <w:t xml:space="preserve">Corina, A.N., Opedal, N., Vrålstad, T. et al. 2020. </w:t>
      </w:r>
      <w:r w:rsidRPr="00F34FBC">
        <w:rPr>
          <w:shd w:val="clear" w:color="auto" w:fill="FFFFFF"/>
        </w:rPr>
        <w:t>The Effect of Casing-Pipe Roughness on Cement-Plug Integrity. </w:t>
      </w:r>
      <w:r w:rsidRPr="00F34FBC">
        <w:rPr>
          <w:i/>
          <w:iCs/>
          <w:shd w:val="clear" w:color="auto" w:fill="FFFFFF"/>
        </w:rPr>
        <w:t>SPE Drilling &amp; Completion</w:t>
      </w:r>
      <w:r w:rsidRPr="00F34FBC">
        <w:rPr>
          <w:shd w:val="clear" w:color="auto" w:fill="FFFFFF"/>
        </w:rPr>
        <w:t>. PREPRINT. SPE-194158-PA.</w:t>
      </w:r>
      <w:r w:rsidRPr="00F34FBC">
        <w:rPr>
          <w:shd w:val="clear" w:color="auto" w:fill="FFFFFF"/>
        </w:rPr>
        <w:tab/>
        <w:t xml:space="preserve"> </w:t>
      </w:r>
      <w:r w:rsidRPr="00F34FBC">
        <w:rPr>
          <w:shd w:val="clear" w:color="auto" w:fill="FFFFFF"/>
        </w:rPr>
        <w:br/>
      </w:r>
      <w:hyperlink r:id="rId101" w:history="1">
        <w:r w:rsidRPr="00F34FBC">
          <w:rPr>
            <w:rStyle w:val="Hyperlink"/>
            <w:rFonts w:cs="Times New Roman"/>
            <w:bCs/>
            <w:szCs w:val="24"/>
            <w:shd w:val="clear" w:color="auto" w:fill="FFFFFF"/>
          </w:rPr>
          <w:t>https://doi.org/10.2118/194158-PA</w:t>
        </w:r>
      </w:hyperlink>
    </w:p>
    <w:p w14:paraId="407860DB" w14:textId="77777777" w:rsidR="00F34FBC" w:rsidRPr="00F34FBC" w:rsidRDefault="00F34FBC" w:rsidP="00F34FBC">
      <w:pPr>
        <w:spacing w:line="240" w:lineRule="auto"/>
        <w:ind w:left="720" w:hanging="720"/>
        <w:rPr>
          <w:shd w:val="clear" w:color="auto" w:fill="FFFFFF"/>
        </w:rPr>
      </w:pPr>
      <w:r w:rsidRPr="00F34FBC">
        <w:rPr>
          <w:shd w:val="clear" w:color="auto" w:fill="FFFFFF"/>
        </w:rPr>
        <w:t>Crain, D., Zhang, W., and Eckert, A. 2018. Numerical Simulation of Micro-Annuli Attributes Imposed by Stress Regime and Elastic Contrast. In </w:t>
      </w:r>
      <w:r w:rsidRPr="00F34FBC">
        <w:rPr>
          <w:iCs/>
          <w:shd w:val="clear" w:color="auto" w:fill="FFFFFF"/>
        </w:rPr>
        <w:t>52nd US Rock Mechanics/Geomechanics Symposium, 17-20 June, Seattle, Washington, USA</w:t>
      </w:r>
      <w:r w:rsidRPr="00F34FBC">
        <w:rPr>
          <w:shd w:val="clear" w:color="auto" w:fill="FFFFFF"/>
        </w:rPr>
        <w:t>. ARMA-2018-1026.</w:t>
      </w:r>
    </w:p>
    <w:p w14:paraId="652891D7" w14:textId="77777777" w:rsidR="00F34FBC" w:rsidRPr="00F34FBC" w:rsidRDefault="00F34FBC" w:rsidP="00F34FBC">
      <w:pPr>
        <w:spacing w:line="240" w:lineRule="auto"/>
        <w:ind w:left="720" w:hanging="720"/>
        <w:rPr>
          <w:shd w:val="clear" w:color="auto" w:fill="FFFFFF"/>
          <w:lang w:val="nb-NO"/>
        </w:rPr>
      </w:pPr>
      <w:r w:rsidRPr="00F34FBC">
        <w:rPr>
          <w:shd w:val="clear" w:color="auto" w:fill="FFFFFF"/>
        </w:rPr>
        <w:t>Crow, W., Carey, J. W., Gasda, S. et al. 2010. Wellbore integrity analysis of a natural CO2 producer. </w:t>
      </w:r>
      <w:r w:rsidRPr="00F34FBC">
        <w:rPr>
          <w:i/>
          <w:iCs/>
          <w:shd w:val="clear" w:color="auto" w:fill="FFFFFF"/>
        </w:rPr>
        <w:t>International Journal of Greenhouse Gas Control</w:t>
      </w:r>
      <w:r w:rsidRPr="00F34FBC">
        <w:rPr>
          <w:shd w:val="clear" w:color="auto" w:fill="FFFFFF"/>
        </w:rPr>
        <w:t>, </w:t>
      </w:r>
      <w:r w:rsidRPr="00F34FBC">
        <w:rPr>
          <w:i/>
          <w:iCs/>
          <w:shd w:val="clear" w:color="auto" w:fill="FFFFFF"/>
        </w:rPr>
        <w:t>4</w:t>
      </w:r>
      <w:r w:rsidRPr="00F34FBC">
        <w:rPr>
          <w:shd w:val="clear" w:color="auto" w:fill="FFFFFF"/>
        </w:rPr>
        <w:t xml:space="preserve">(2), 186-197. </w:t>
      </w:r>
      <w:hyperlink r:id="rId102" w:history="1">
        <w:r w:rsidRPr="00F34FBC">
          <w:rPr>
            <w:rStyle w:val="Hyperlink"/>
            <w:rFonts w:cs="Times New Roman"/>
            <w:szCs w:val="24"/>
            <w:shd w:val="clear" w:color="auto" w:fill="FFFFFF"/>
            <w:lang w:val="nb-NO"/>
          </w:rPr>
          <w:t>https://doi.org/10.1016/j.ijggc.2009.10.010</w:t>
        </w:r>
      </w:hyperlink>
      <w:r w:rsidRPr="00F34FBC">
        <w:rPr>
          <w:shd w:val="clear" w:color="auto" w:fill="FFFFFF"/>
          <w:lang w:val="nb-NO"/>
        </w:rPr>
        <w:t xml:space="preserve">. </w:t>
      </w:r>
    </w:p>
    <w:p w14:paraId="606FCE9A" w14:textId="77777777" w:rsidR="00F34FBC" w:rsidRPr="00F34FBC" w:rsidRDefault="00F34FBC" w:rsidP="00F34FBC">
      <w:pPr>
        <w:spacing w:line="240" w:lineRule="auto"/>
        <w:ind w:left="720" w:hanging="720"/>
        <w:rPr>
          <w:shd w:val="clear" w:color="auto" w:fill="FFFFFF"/>
        </w:rPr>
      </w:pPr>
      <w:r w:rsidRPr="00F34FBC">
        <w:rPr>
          <w:shd w:val="clear" w:color="auto" w:fill="FFFFFF"/>
        </w:rPr>
        <w:t>Data.bsee.gov. (2018). Borehole Online Query. [online] Available at:</w:t>
      </w:r>
      <w:r w:rsidRPr="00F34FBC">
        <w:rPr>
          <w:shd w:val="clear" w:color="auto" w:fill="FFFFFF"/>
        </w:rPr>
        <w:tab/>
        <w:t xml:space="preserve"> https://www.data.bsee.gov/Well/Borehole/Default.aspx [Accessed 22 Aug. 2018].</w:t>
      </w:r>
    </w:p>
    <w:p w14:paraId="3C55E08F" w14:textId="77777777" w:rsidR="00F34FBC" w:rsidRPr="00F34FBC" w:rsidRDefault="00F34FBC" w:rsidP="00F34FBC">
      <w:pPr>
        <w:spacing w:line="240" w:lineRule="auto"/>
        <w:ind w:left="720" w:hanging="720"/>
        <w:rPr>
          <w:shd w:val="clear" w:color="auto" w:fill="FFFFFF"/>
          <w:lang w:val="nb-NO"/>
        </w:rPr>
      </w:pPr>
      <w:r w:rsidRPr="00F34FBC">
        <w:rPr>
          <w:shd w:val="clear" w:color="auto" w:fill="FFFFFF"/>
          <w:lang w:val="nb-NO"/>
        </w:rPr>
        <w:t xml:space="preserve">De Andrade, J., Fagerås, S., and Sangesland, S. 2019. </w:t>
      </w:r>
      <w:r w:rsidRPr="00F34FBC">
        <w:rPr>
          <w:shd w:val="clear" w:color="auto" w:fill="FFFFFF"/>
        </w:rPr>
        <w:t>A Novel Mechanical Tool for Annular Cement Verification. In </w:t>
      </w:r>
      <w:r w:rsidRPr="00F34FBC">
        <w:rPr>
          <w:iCs/>
          <w:shd w:val="clear" w:color="auto" w:fill="FFFFFF"/>
        </w:rPr>
        <w:t>SPE/IADC International Drilling Conference and Exhibition</w:t>
      </w:r>
      <w:r w:rsidRPr="00F34FBC">
        <w:rPr>
          <w:shd w:val="clear" w:color="auto" w:fill="FFFFFF"/>
        </w:rPr>
        <w:t xml:space="preserve">. Society of Petroleum Engineers, 5-7 March, The Hague, The Netherlands. </w:t>
      </w:r>
      <w:r w:rsidRPr="00F34FBC">
        <w:rPr>
          <w:shd w:val="clear" w:color="auto" w:fill="FFFFFF"/>
          <w:lang w:val="nb-NO"/>
        </w:rPr>
        <w:t xml:space="preserve">SPE-194135-MS. </w:t>
      </w:r>
      <w:hyperlink r:id="rId103" w:history="1">
        <w:r w:rsidRPr="00F34FBC">
          <w:rPr>
            <w:rStyle w:val="Hyperlink"/>
            <w:rFonts w:cs="Times New Roman"/>
            <w:szCs w:val="24"/>
            <w:shd w:val="clear" w:color="auto" w:fill="FFFFFF"/>
            <w:lang w:val="nb-NO"/>
          </w:rPr>
          <w:t>https://doi.org/10.2118/194135-MS</w:t>
        </w:r>
      </w:hyperlink>
      <w:r w:rsidRPr="00F34FBC">
        <w:rPr>
          <w:shd w:val="clear" w:color="auto" w:fill="FFFFFF"/>
          <w:lang w:val="nb-NO"/>
        </w:rPr>
        <w:t xml:space="preserve">. </w:t>
      </w:r>
    </w:p>
    <w:p w14:paraId="45949608" w14:textId="77777777" w:rsidR="00F34FBC" w:rsidRPr="00F34FBC" w:rsidRDefault="00F34FBC" w:rsidP="00F34FBC">
      <w:pPr>
        <w:spacing w:line="240" w:lineRule="auto"/>
        <w:ind w:left="720" w:hanging="720"/>
        <w:rPr>
          <w:shd w:val="clear" w:color="auto" w:fill="FFFFFF"/>
        </w:rPr>
      </w:pPr>
      <w:r w:rsidRPr="00F34FBC">
        <w:rPr>
          <w:shd w:val="clear" w:color="auto" w:fill="FFFFFF"/>
          <w:lang w:val="nb-NO"/>
        </w:rPr>
        <w:t xml:space="preserve">De Andrade, J., Sangesland, S., Skorpa, R. et al. 2016. </w:t>
      </w:r>
      <w:r w:rsidRPr="00F34FBC">
        <w:rPr>
          <w:shd w:val="clear" w:color="auto" w:fill="FFFFFF"/>
        </w:rPr>
        <w:t>Experimental laboratory setup for visualization and quantification of cement-sheath integrity. </w:t>
      </w:r>
      <w:r w:rsidRPr="00F34FBC">
        <w:rPr>
          <w:i/>
          <w:iCs/>
          <w:shd w:val="clear" w:color="auto" w:fill="FFFFFF"/>
        </w:rPr>
        <w:t>SPE Drilling &amp; Completion</w:t>
      </w:r>
      <w:r w:rsidRPr="00F34FBC">
        <w:rPr>
          <w:shd w:val="clear" w:color="auto" w:fill="FFFFFF"/>
        </w:rPr>
        <w:t>, </w:t>
      </w:r>
      <w:r w:rsidRPr="00F34FBC">
        <w:rPr>
          <w:i/>
          <w:iCs/>
          <w:shd w:val="clear" w:color="auto" w:fill="FFFFFF"/>
        </w:rPr>
        <w:t>31</w:t>
      </w:r>
      <w:r w:rsidRPr="00F34FBC">
        <w:rPr>
          <w:shd w:val="clear" w:color="auto" w:fill="FFFFFF"/>
        </w:rPr>
        <w:t xml:space="preserve">(04), 317-326. SPE-173871-PA. </w:t>
      </w:r>
      <w:hyperlink r:id="rId104" w:tgtFrame="_blank" w:history="1">
        <w:r w:rsidRPr="00F34FBC">
          <w:rPr>
            <w:rStyle w:val="Hyperlink"/>
            <w:rFonts w:cs="Times New Roman"/>
            <w:bCs/>
            <w:szCs w:val="24"/>
            <w:shd w:val="clear" w:color="auto" w:fill="FFFFFF"/>
          </w:rPr>
          <w:t>https://doi.org/10.2118/173871-PA</w:t>
        </w:r>
      </w:hyperlink>
      <w:r w:rsidRPr="00F34FBC">
        <w:rPr>
          <w:shd w:val="clear" w:color="auto" w:fill="FFFFFF"/>
        </w:rPr>
        <w:t>.</w:t>
      </w:r>
    </w:p>
    <w:p w14:paraId="704C80B4" w14:textId="77777777" w:rsidR="00F34FBC" w:rsidRPr="00F34FBC" w:rsidRDefault="00F34FBC" w:rsidP="00F34FBC">
      <w:pPr>
        <w:spacing w:line="240" w:lineRule="auto"/>
        <w:ind w:left="720" w:hanging="720"/>
        <w:rPr>
          <w:shd w:val="clear" w:color="auto" w:fill="FFFFFF"/>
        </w:rPr>
      </w:pPr>
      <w:r w:rsidRPr="00F34FBC">
        <w:rPr>
          <w:shd w:val="clear" w:color="auto" w:fill="FFFFFF"/>
        </w:rPr>
        <w:t xml:space="preserve">de Nevers, N. 2005. </w:t>
      </w:r>
      <w:r w:rsidRPr="00F34FBC">
        <w:rPr>
          <w:i/>
          <w:shd w:val="clear" w:color="auto" w:fill="FFFFFF"/>
        </w:rPr>
        <w:t>Fluid Mechanics for Chemical Engineers</w:t>
      </w:r>
      <w:r w:rsidRPr="00F34FBC">
        <w:rPr>
          <w:shd w:val="clear" w:color="auto" w:fill="FFFFFF"/>
        </w:rPr>
        <w:t>, third edition. New York, NY: McGraw-Hill.</w:t>
      </w:r>
    </w:p>
    <w:p w14:paraId="41F26463" w14:textId="77777777" w:rsidR="00F34FBC" w:rsidRPr="00F34FBC" w:rsidRDefault="00F34FBC" w:rsidP="00F34FBC">
      <w:pPr>
        <w:spacing w:line="240" w:lineRule="auto"/>
        <w:ind w:left="720" w:hanging="720"/>
        <w:rPr>
          <w:shd w:val="clear" w:color="auto" w:fill="FFFFFF"/>
        </w:rPr>
      </w:pPr>
      <w:r w:rsidRPr="00F34FBC">
        <w:rPr>
          <w:shd w:val="clear" w:color="auto" w:fill="FFFFFF"/>
        </w:rPr>
        <w:t xml:space="preserve">Deshpande, A., Jones, P., Jadhav, R. et al. 2019. Comparative Study of the Mechanical Properties of Reduced Density Cements. In SPE Middle East Oil and Gas Show and Conference, 18-21 March, Manama, Bahrain. SPE-194918-MS. </w:t>
      </w:r>
      <w:hyperlink r:id="rId105" w:tgtFrame="_blank" w:history="1">
        <w:r w:rsidRPr="00F34FBC">
          <w:rPr>
            <w:rStyle w:val="Hyperlink"/>
            <w:rFonts w:cs="Times New Roman"/>
            <w:bCs/>
            <w:szCs w:val="24"/>
            <w:shd w:val="clear" w:color="auto" w:fill="FFFFFF"/>
          </w:rPr>
          <w:t>https://doi.org/10.2118/194918-MS</w:t>
        </w:r>
      </w:hyperlink>
      <w:r w:rsidRPr="00F34FBC">
        <w:rPr>
          <w:shd w:val="clear" w:color="auto" w:fill="FFFFFF"/>
        </w:rPr>
        <w:t>.</w:t>
      </w:r>
    </w:p>
    <w:p w14:paraId="0B02127E" w14:textId="77777777" w:rsidR="00F34FBC" w:rsidRPr="00F34FBC" w:rsidRDefault="00F34FBC" w:rsidP="00F34FBC">
      <w:pPr>
        <w:spacing w:line="240" w:lineRule="auto"/>
        <w:ind w:left="720" w:hanging="720"/>
        <w:rPr>
          <w:shd w:val="clear" w:color="auto" w:fill="FFFFFF"/>
        </w:rPr>
      </w:pPr>
      <w:r w:rsidRPr="00F34FBC">
        <w:rPr>
          <w:shd w:val="clear" w:color="auto" w:fill="FFFFFF"/>
        </w:rPr>
        <w:t xml:space="preserve">Feng, Y., Li, X., and Gray, KE. 2017. Development of a 3D numerical model for quantifying fluid-driven interface debonding or an injector well. </w:t>
      </w:r>
      <w:r w:rsidRPr="00F34FBC">
        <w:rPr>
          <w:i/>
          <w:iCs/>
          <w:shd w:val="clear" w:color="auto" w:fill="FFFFFF"/>
        </w:rPr>
        <w:t>International Journal of Greenhouse Gas Control</w:t>
      </w:r>
      <w:r w:rsidRPr="00F34FBC">
        <w:rPr>
          <w:shd w:val="clear" w:color="auto" w:fill="FFFFFF"/>
        </w:rPr>
        <w:t> </w:t>
      </w:r>
      <w:r w:rsidRPr="00F34FBC">
        <w:rPr>
          <w:iCs/>
          <w:shd w:val="clear" w:color="auto" w:fill="FFFFFF"/>
        </w:rPr>
        <w:t>62</w:t>
      </w:r>
      <w:r w:rsidRPr="00F34FBC">
        <w:rPr>
          <w:shd w:val="clear" w:color="auto" w:fill="FFFFFF"/>
        </w:rPr>
        <w:t xml:space="preserve">: 76-90. </w:t>
      </w:r>
      <w:hyperlink r:id="rId106" w:tgtFrame="_blank" w:tooltip="Persistent link using digital object identifier" w:history="1">
        <w:r w:rsidRPr="00F34FBC">
          <w:rPr>
            <w:rStyle w:val="Hyperlink"/>
            <w:rFonts w:cs="Times New Roman"/>
            <w:szCs w:val="24"/>
            <w:shd w:val="clear" w:color="auto" w:fill="FFFFFF"/>
          </w:rPr>
          <w:t>https://doi.org/10.1016/j.ijggc.2017.04.008</w:t>
        </w:r>
      </w:hyperlink>
      <w:r w:rsidRPr="00F34FBC">
        <w:rPr>
          <w:shd w:val="clear" w:color="auto" w:fill="FFFFFF"/>
        </w:rPr>
        <w:t>.</w:t>
      </w:r>
    </w:p>
    <w:p w14:paraId="698C2E28" w14:textId="77777777" w:rsidR="00F34FBC" w:rsidRPr="00F34FBC" w:rsidRDefault="00F34FBC" w:rsidP="00F34FBC">
      <w:pPr>
        <w:spacing w:line="240" w:lineRule="auto"/>
        <w:ind w:left="720" w:hanging="720"/>
        <w:rPr>
          <w:shd w:val="clear" w:color="auto" w:fill="FFFFFF"/>
        </w:rPr>
      </w:pPr>
      <w:r w:rsidRPr="00F34FBC">
        <w:rPr>
          <w:shd w:val="clear" w:color="auto" w:fill="FFFFFF"/>
        </w:rPr>
        <w:t>Finkbeiner, T., Stump, B. B., Zoback, M. D. et al. 1996. </w:t>
      </w:r>
      <w:r w:rsidRPr="00F34FBC">
        <w:rPr>
          <w:iCs/>
          <w:shd w:val="clear" w:color="auto" w:fill="FFFFFF"/>
        </w:rPr>
        <w:t>Pressure (Pp), overburden (Sv), and minimum horizontal stress (SHMIN) in Eugene Island Block 330, offshore Gulf of Mexico. Topical report, April 1-July 1, 1996</w:t>
      </w:r>
      <w:r w:rsidRPr="00F34FBC">
        <w:rPr>
          <w:shd w:val="clear" w:color="auto" w:fill="FFFFFF"/>
        </w:rPr>
        <w:t>(No. PB-97-124549/XAB). Pennsylvania State Univ., University Park, PA (United States). Dept. of Geosciences.</w:t>
      </w:r>
    </w:p>
    <w:p w14:paraId="41D3B230" w14:textId="77777777" w:rsidR="00F34FBC" w:rsidRPr="00F34FBC" w:rsidRDefault="00F34FBC" w:rsidP="00F34FBC">
      <w:pPr>
        <w:spacing w:line="240" w:lineRule="auto"/>
        <w:ind w:left="720" w:hanging="720"/>
        <w:rPr>
          <w:shd w:val="clear" w:color="auto" w:fill="FFFFFF"/>
        </w:rPr>
      </w:pPr>
      <w:r w:rsidRPr="00F34FBC">
        <w:rPr>
          <w:shd w:val="clear" w:color="auto" w:fill="FFFFFF"/>
        </w:rPr>
        <w:t>Fjaer, E., Holt, R.M., Horsrud, P., Raaen, A.M., &amp; Risnes, R. 2008. Petroleum related rock mechanics, Vol. 53: Elsevier.</w:t>
      </w:r>
    </w:p>
    <w:p w14:paraId="7167A65D" w14:textId="77777777" w:rsidR="00F34FBC" w:rsidRPr="00F34FBC" w:rsidRDefault="00F34FBC" w:rsidP="00F34FBC">
      <w:pPr>
        <w:spacing w:line="240" w:lineRule="auto"/>
        <w:ind w:left="720" w:hanging="720"/>
        <w:rPr>
          <w:shd w:val="clear" w:color="auto" w:fill="FFFFFF"/>
        </w:rPr>
      </w:pPr>
      <w:r w:rsidRPr="00F34FBC">
        <w:rPr>
          <w:shd w:val="clear" w:color="auto" w:fill="FFFFFF"/>
        </w:rPr>
        <w:t>Fleckenstein, W.W., Eustes, A.W. III, and Miller, M.G. 2001. Burst-Induced Stresses in Cemented Wellbores. SPE Drill &amp; Compl 16 (2): 74–82. SPE-72059-PA. doi: 10.2118/72059-PA.</w:t>
      </w:r>
    </w:p>
    <w:p w14:paraId="30663034" w14:textId="77777777" w:rsidR="00F34FBC" w:rsidRPr="00F34FBC" w:rsidRDefault="00F34FBC" w:rsidP="00F34FBC">
      <w:pPr>
        <w:spacing w:line="240" w:lineRule="auto"/>
        <w:ind w:left="720" w:hanging="720"/>
        <w:rPr>
          <w:shd w:val="clear" w:color="auto" w:fill="FFFFFF"/>
        </w:rPr>
      </w:pPr>
      <w:r w:rsidRPr="00F34FBC">
        <w:rPr>
          <w:shd w:val="clear" w:color="auto" w:fill="FFFFFF"/>
          <w:lang w:val="nb-NO"/>
        </w:rPr>
        <w:t xml:space="preserve">Ford, E. P., Moeinikia, F., Lohne, H. P. et al. 2017. </w:t>
      </w:r>
      <w:r w:rsidRPr="00F34FBC">
        <w:rPr>
          <w:shd w:val="clear" w:color="auto" w:fill="FFFFFF"/>
        </w:rPr>
        <w:t>Leakage calculator for plugged and abandoned wells. In </w:t>
      </w:r>
      <w:r w:rsidRPr="00F34FBC">
        <w:rPr>
          <w:iCs/>
          <w:shd w:val="clear" w:color="auto" w:fill="FFFFFF"/>
        </w:rPr>
        <w:t>SPE Bergen One Day Seminar</w:t>
      </w:r>
      <w:r w:rsidRPr="00F34FBC">
        <w:rPr>
          <w:shd w:val="clear" w:color="auto" w:fill="FFFFFF"/>
        </w:rPr>
        <w:t xml:space="preserve">, 5 April, Bergen, Norway. SPE-185890-MS. </w:t>
      </w:r>
      <w:hyperlink r:id="rId107" w:history="1">
        <w:r w:rsidRPr="00F34FBC">
          <w:rPr>
            <w:rStyle w:val="Hyperlink"/>
            <w:rFonts w:cs="Times New Roman"/>
            <w:szCs w:val="24"/>
            <w:shd w:val="clear" w:color="auto" w:fill="FFFFFF"/>
          </w:rPr>
          <w:t>https://doi.org/10.2118/185890-MS</w:t>
        </w:r>
      </w:hyperlink>
      <w:r w:rsidRPr="00F34FBC">
        <w:rPr>
          <w:shd w:val="clear" w:color="auto" w:fill="FFFFFF"/>
        </w:rPr>
        <w:t xml:space="preserve">. </w:t>
      </w:r>
    </w:p>
    <w:p w14:paraId="5B53FC74" w14:textId="77777777" w:rsidR="00F34FBC" w:rsidRPr="00F34FBC" w:rsidRDefault="00F34FBC" w:rsidP="00F34FBC">
      <w:pPr>
        <w:spacing w:line="240" w:lineRule="auto"/>
        <w:ind w:left="720" w:hanging="720"/>
        <w:rPr>
          <w:iCs/>
          <w:shd w:val="clear" w:color="auto" w:fill="FFFFFF"/>
        </w:rPr>
      </w:pPr>
      <w:r w:rsidRPr="00F34FBC">
        <w:rPr>
          <w:iCs/>
          <w:shd w:val="clear" w:color="auto" w:fill="FFFFFF"/>
        </w:rPr>
        <w:t xml:space="preserve">Fourmaintraux, D. M., Bois, A. P., and Fraboulet, B. 2005. Efficient wellbore cement sheath design using the SRC (System Response Curve) method. In SPE Europe/EAGE Annual Conference. 13-16 June, Madrid, Spain. SPE-94176-MS. </w:t>
      </w:r>
      <w:hyperlink r:id="rId108" w:tgtFrame="_blank" w:history="1">
        <w:r w:rsidRPr="00F34FBC">
          <w:rPr>
            <w:rStyle w:val="Hyperlink"/>
            <w:rFonts w:cs="Times New Roman"/>
            <w:bCs/>
            <w:iCs/>
            <w:szCs w:val="24"/>
            <w:shd w:val="clear" w:color="auto" w:fill="FFFFFF"/>
          </w:rPr>
          <w:t>https://doi.org/10.2118/94176-MS</w:t>
        </w:r>
      </w:hyperlink>
      <w:r w:rsidRPr="00F34FBC">
        <w:rPr>
          <w:iCs/>
          <w:shd w:val="clear" w:color="auto" w:fill="FFFFFF"/>
        </w:rPr>
        <w:t>.</w:t>
      </w:r>
    </w:p>
    <w:p w14:paraId="4008C582" w14:textId="77777777" w:rsidR="00F34FBC" w:rsidRPr="00F34FBC" w:rsidRDefault="00F34FBC" w:rsidP="00F34FBC">
      <w:pPr>
        <w:spacing w:line="240" w:lineRule="auto"/>
        <w:ind w:left="720" w:hanging="720"/>
        <w:rPr>
          <w:shd w:val="clear" w:color="auto" w:fill="FFFFFF"/>
        </w:rPr>
      </w:pPr>
      <w:r w:rsidRPr="00F34FBC">
        <w:rPr>
          <w:iCs/>
          <w:shd w:val="clear" w:color="auto" w:fill="FFFFFF"/>
        </w:rPr>
        <w:t>Ghabezloo, S., Sulem, J., Guédon, S. et al. 2008. Poromechanical behaviour of hardened cement paste under isotropic loading. </w:t>
      </w:r>
      <w:r w:rsidRPr="00F34FBC">
        <w:rPr>
          <w:i/>
          <w:iCs/>
          <w:shd w:val="clear" w:color="auto" w:fill="FFFFFF"/>
        </w:rPr>
        <w:t>Cement and Concrete research</w:t>
      </w:r>
      <w:r w:rsidRPr="00F34FBC">
        <w:rPr>
          <w:iCs/>
          <w:shd w:val="clear" w:color="auto" w:fill="FFFFFF"/>
        </w:rPr>
        <w:t>, </w:t>
      </w:r>
      <w:r w:rsidRPr="00F34FBC">
        <w:rPr>
          <w:i/>
          <w:iCs/>
          <w:shd w:val="clear" w:color="auto" w:fill="FFFFFF"/>
        </w:rPr>
        <w:t>38</w:t>
      </w:r>
      <w:r w:rsidRPr="00F34FBC">
        <w:rPr>
          <w:iCs/>
          <w:shd w:val="clear" w:color="auto" w:fill="FFFFFF"/>
        </w:rPr>
        <w:t>(12), 1424-1437.</w:t>
      </w:r>
    </w:p>
    <w:p w14:paraId="2B8DDE20" w14:textId="77777777" w:rsidR="00F34FBC" w:rsidRPr="00F34FBC" w:rsidRDefault="00F34FBC" w:rsidP="00F34FBC">
      <w:pPr>
        <w:spacing w:line="240" w:lineRule="auto"/>
        <w:ind w:left="720" w:hanging="720"/>
        <w:rPr>
          <w:shd w:val="clear" w:color="auto" w:fill="FFFFFF"/>
        </w:rPr>
      </w:pPr>
      <w:r w:rsidRPr="00F34FBC">
        <w:rPr>
          <w:shd w:val="clear" w:color="auto" w:fill="FFFFFF"/>
        </w:rPr>
        <w:lastRenderedPageBreak/>
        <w:t>Gheibi, S., Agofack, N., and Sangesland, S. 2021. Modified discrete element method (MDEM) as a numerical tool for cement sheath integrity in wells. </w:t>
      </w:r>
      <w:r w:rsidRPr="00F34FBC">
        <w:rPr>
          <w:i/>
          <w:iCs/>
          <w:shd w:val="clear" w:color="auto" w:fill="FFFFFF"/>
        </w:rPr>
        <w:t>Journal of Petroleum Science and Engineering</w:t>
      </w:r>
      <w:r w:rsidRPr="00F34FBC">
        <w:rPr>
          <w:shd w:val="clear" w:color="auto" w:fill="FFFFFF"/>
        </w:rPr>
        <w:t>, </w:t>
      </w:r>
      <w:r w:rsidRPr="00F34FBC">
        <w:rPr>
          <w:i/>
          <w:iCs/>
          <w:shd w:val="clear" w:color="auto" w:fill="FFFFFF"/>
        </w:rPr>
        <w:t>196</w:t>
      </w:r>
      <w:r w:rsidRPr="00F34FBC">
        <w:rPr>
          <w:shd w:val="clear" w:color="auto" w:fill="FFFFFF"/>
        </w:rPr>
        <w:t>, 107720.</w:t>
      </w:r>
    </w:p>
    <w:p w14:paraId="7C8F398E" w14:textId="77777777" w:rsidR="00F34FBC" w:rsidRPr="00F34FBC" w:rsidRDefault="00F34FBC" w:rsidP="00F34FBC">
      <w:pPr>
        <w:spacing w:line="240" w:lineRule="auto"/>
        <w:ind w:left="720" w:hanging="720"/>
        <w:rPr>
          <w:shd w:val="clear" w:color="auto" w:fill="FFFFFF"/>
        </w:rPr>
      </w:pPr>
      <w:r w:rsidRPr="00F34FBC">
        <w:rPr>
          <w:shd w:val="clear" w:color="auto" w:fill="FFFFFF"/>
        </w:rPr>
        <w:t>Gosavi, S. V., Kumar, S., Kirane, K. et al. 2017. Advanced Fracture Modeling: Lab Experiments to Field Applications. In </w:t>
      </w:r>
      <w:r w:rsidRPr="00F34FBC">
        <w:rPr>
          <w:i/>
          <w:iCs/>
          <w:shd w:val="clear" w:color="auto" w:fill="FFFFFF"/>
        </w:rPr>
        <w:t>Abu Dhabi International Petroleum Exhibition &amp; Conference</w:t>
      </w:r>
      <w:r w:rsidRPr="00F34FBC">
        <w:rPr>
          <w:shd w:val="clear" w:color="auto" w:fill="FFFFFF"/>
        </w:rPr>
        <w:t>. Society of Petroleum Engineers.</w:t>
      </w:r>
    </w:p>
    <w:p w14:paraId="1D9FE4D0" w14:textId="77777777" w:rsidR="00F34FBC" w:rsidRPr="00F34FBC" w:rsidRDefault="00F34FBC" w:rsidP="00F34FBC">
      <w:pPr>
        <w:spacing w:line="240" w:lineRule="auto"/>
        <w:ind w:left="720" w:hanging="720"/>
        <w:rPr>
          <w:shd w:val="clear" w:color="auto" w:fill="FFFFFF"/>
          <w:lang w:val="nb-NO"/>
        </w:rPr>
      </w:pPr>
      <w:r w:rsidRPr="00F34FBC">
        <w:rPr>
          <w:shd w:val="clear" w:color="auto" w:fill="FFFFFF"/>
        </w:rPr>
        <w:t>Gray, K.E., Podnos, E., and Becker, E. 2009. Finite-element studies of near-wellbore region during cementing operations: Part I. </w:t>
      </w:r>
      <w:r w:rsidRPr="00F34FBC">
        <w:rPr>
          <w:i/>
          <w:iCs/>
          <w:shd w:val="clear" w:color="auto" w:fill="FFFFFF"/>
        </w:rPr>
        <w:t>SPE drilling &amp; completion</w:t>
      </w:r>
      <w:r w:rsidRPr="00F34FBC">
        <w:rPr>
          <w:shd w:val="clear" w:color="auto" w:fill="FFFFFF"/>
        </w:rPr>
        <w:t> </w:t>
      </w:r>
      <w:r w:rsidRPr="00F34FBC">
        <w:rPr>
          <w:bCs/>
          <w:shd w:val="clear" w:color="auto" w:fill="FFFFFF"/>
        </w:rPr>
        <w:t>24</w:t>
      </w:r>
      <w:r w:rsidRPr="00F34FBC">
        <w:rPr>
          <w:shd w:val="clear" w:color="auto" w:fill="FFFFFF"/>
        </w:rPr>
        <w:t xml:space="preserve">: 127-136. </w:t>
      </w:r>
      <w:r w:rsidRPr="00F34FBC">
        <w:rPr>
          <w:shd w:val="clear" w:color="auto" w:fill="FFFFFF"/>
          <w:lang w:val="nb-NO"/>
        </w:rPr>
        <w:t>SPE-106998-PA.</w:t>
      </w:r>
      <w:r w:rsidRPr="00F34FBC">
        <w:rPr>
          <w:shd w:val="clear" w:color="auto" w:fill="FFFFFF"/>
          <w:lang w:val="nb-NO"/>
        </w:rPr>
        <w:tab/>
        <w:t xml:space="preserve"> </w:t>
      </w:r>
      <w:hyperlink r:id="rId109" w:tgtFrame="_blank" w:history="1">
        <w:r w:rsidRPr="00F34FBC">
          <w:rPr>
            <w:rStyle w:val="Hyperlink"/>
            <w:rFonts w:cs="Times New Roman"/>
            <w:bCs/>
            <w:szCs w:val="24"/>
            <w:shd w:val="clear" w:color="auto" w:fill="FFFFFF"/>
            <w:lang w:val="nb-NO"/>
          </w:rPr>
          <w:t>https://doi.org/10.2118/106998-PA</w:t>
        </w:r>
      </w:hyperlink>
      <w:r w:rsidRPr="00F34FBC">
        <w:rPr>
          <w:shd w:val="clear" w:color="auto" w:fill="FFFFFF"/>
          <w:lang w:val="nb-NO"/>
        </w:rPr>
        <w:t>.</w:t>
      </w:r>
    </w:p>
    <w:p w14:paraId="1A19CC84" w14:textId="77777777" w:rsidR="00F34FBC" w:rsidRPr="00F34FBC" w:rsidRDefault="00F34FBC" w:rsidP="00F34FBC">
      <w:pPr>
        <w:spacing w:line="240" w:lineRule="auto"/>
        <w:ind w:left="720" w:hanging="720"/>
        <w:rPr>
          <w:shd w:val="clear" w:color="auto" w:fill="FFFFFF"/>
        </w:rPr>
      </w:pPr>
      <w:r w:rsidRPr="00F34FBC">
        <w:rPr>
          <w:shd w:val="clear" w:color="auto" w:fill="FFFFFF"/>
        </w:rPr>
        <w:t>Greenberg, M. L. and Castagna, J. P. 1992. Shear-wave velocity estimation in porous rocks: Theoretical formulation, preliminary verification and applications: Geophys. Prosp., 40, 195-210.</w:t>
      </w:r>
    </w:p>
    <w:p w14:paraId="6AC7AC55" w14:textId="77777777" w:rsidR="00F34FBC" w:rsidRPr="00F34FBC" w:rsidRDefault="00F34FBC" w:rsidP="00F34FBC">
      <w:pPr>
        <w:spacing w:line="240" w:lineRule="auto"/>
        <w:ind w:left="720" w:hanging="720"/>
        <w:rPr>
          <w:shd w:val="clear" w:color="auto" w:fill="FFFFFF"/>
        </w:rPr>
      </w:pPr>
      <w:r w:rsidRPr="00F34FBC">
        <w:rPr>
          <w:shd w:val="clear" w:color="auto" w:fill="FFFFFF"/>
        </w:rPr>
        <w:t xml:space="preserve">Hillerborg, A., Modéer, M., and Petersson, P.E. 1976. Analysis of crack formation and crack growth in concrete by means of fracture mechanics and finite elements. </w:t>
      </w:r>
      <w:r w:rsidRPr="00F34FBC">
        <w:rPr>
          <w:i/>
          <w:shd w:val="clear" w:color="auto" w:fill="FFFFFF"/>
        </w:rPr>
        <w:t>Cement and Concrete Research</w:t>
      </w:r>
      <w:r w:rsidRPr="00F34FBC">
        <w:rPr>
          <w:shd w:val="clear" w:color="auto" w:fill="FFFFFF"/>
        </w:rPr>
        <w:t xml:space="preserve"> 6(6): 773-781. </w:t>
      </w:r>
      <w:hyperlink r:id="rId110" w:tgtFrame="_blank" w:tooltip="Persistent link using digital object identifier" w:history="1">
        <w:r w:rsidRPr="00F34FBC">
          <w:rPr>
            <w:rStyle w:val="Hyperlink"/>
            <w:rFonts w:cs="Times New Roman"/>
            <w:szCs w:val="24"/>
            <w:shd w:val="clear" w:color="auto" w:fill="FFFFFF"/>
          </w:rPr>
          <w:t>https://doi.org/10.1016/0008-8846(76)90007-7</w:t>
        </w:r>
      </w:hyperlink>
      <w:r w:rsidRPr="00F34FBC">
        <w:rPr>
          <w:shd w:val="clear" w:color="auto" w:fill="FFFFFF"/>
        </w:rPr>
        <w:t>.</w:t>
      </w:r>
    </w:p>
    <w:p w14:paraId="092B248E" w14:textId="77777777" w:rsidR="00F34FBC" w:rsidRPr="00F34FBC" w:rsidRDefault="00F34FBC" w:rsidP="00F34FBC">
      <w:pPr>
        <w:spacing w:line="240" w:lineRule="auto"/>
        <w:ind w:left="720" w:hanging="720"/>
        <w:rPr>
          <w:shd w:val="clear" w:color="auto" w:fill="FFFFFF"/>
        </w:rPr>
      </w:pPr>
      <w:r w:rsidRPr="00F34FBC">
        <w:rPr>
          <w:shd w:val="clear" w:color="auto" w:fill="FFFFFF"/>
        </w:rPr>
        <w:t xml:space="preserve">Hiramatsu, Y., &amp; Oka, Y. 1968. Determination of the stress in rock unaffected by boreholes or drifts, from measured strains or deformations. </w:t>
      </w:r>
      <w:r w:rsidRPr="00F34FBC">
        <w:rPr>
          <w:i/>
          <w:iCs/>
          <w:shd w:val="clear" w:color="auto" w:fill="FFFFFF"/>
        </w:rPr>
        <w:t>International Journal of Rock Mechanics and Mining Sciences &amp; Geomechanics Abstracts</w:t>
      </w:r>
      <w:r w:rsidRPr="00F34FBC">
        <w:rPr>
          <w:shd w:val="clear" w:color="auto" w:fill="FFFFFF"/>
        </w:rPr>
        <w:t xml:space="preserve"> (Vol. 5, No. 4, pp. 337-353). </w:t>
      </w:r>
    </w:p>
    <w:p w14:paraId="57260FCF" w14:textId="77777777" w:rsidR="00F34FBC" w:rsidRPr="00F34FBC" w:rsidRDefault="00F34FBC" w:rsidP="00F34FBC">
      <w:pPr>
        <w:spacing w:line="240" w:lineRule="auto"/>
        <w:ind w:left="720" w:hanging="720"/>
        <w:rPr>
          <w:shd w:val="clear" w:color="auto" w:fill="FFFFFF"/>
        </w:rPr>
      </w:pPr>
      <w:r w:rsidRPr="00F34FBC">
        <w:rPr>
          <w:shd w:val="clear" w:color="auto" w:fill="FFFFFF"/>
        </w:rPr>
        <w:t>Hubbert, M. K. 1956. Darcy's law and the field equations of the flow of underground fluids. </w:t>
      </w:r>
      <w:r w:rsidRPr="00F34FBC">
        <w:rPr>
          <w:i/>
          <w:iCs/>
          <w:shd w:val="clear" w:color="auto" w:fill="FFFFFF"/>
        </w:rPr>
        <w:t>Transactions of the AIME</w:t>
      </w:r>
      <w:r w:rsidRPr="00F34FBC">
        <w:rPr>
          <w:shd w:val="clear" w:color="auto" w:fill="FFFFFF"/>
        </w:rPr>
        <w:t>, </w:t>
      </w:r>
      <w:r w:rsidRPr="00F34FBC">
        <w:rPr>
          <w:i/>
          <w:iCs/>
          <w:shd w:val="clear" w:color="auto" w:fill="FFFFFF"/>
        </w:rPr>
        <w:t>207</w:t>
      </w:r>
      <w:r w:rsidRPr="00F34FBC">
        <w:rPr>
          <w:shd w:val="clear" w:color="auto" w:fill="FFFFFF"/>
        </w:rPr>
        <w:t>(01), 222-239.</w:t>
      </w:r>
    </w:p>
    <w:p w14:paraId="6A396930" w14:textId="77777777" w:rsidR="00F34FBC" w:rsidRPr="00F34FBC" w:rsidRDefault="00F34FBC" w:rsidP="00F34FBC">
      <w:pPr>
        <w:spacing w:line="240" w:lineRule="auto"/>
        <w:ind w:left="720" w:hanging="720"/>
        <w:rPr>
          <w:shd w:val="clear" w:color="auto" w:fill="FFFFFF"/>
        </w:rPr>
      </w:pPr>
      <w:r w:rsidRPr="00F34FBC">
        <w:rPr>
          <w:shd w:val="clear" w:color="auto" w:fill="FFFFFF"/>
        </w:rPr>
        <w:t xml:space="preserve">Ichim, A. and Teodoriu, C. 2017. Development of a Cement Repository to Improve the Understanding of Well Integrity Behavior with Time. In SPE Oklahoma City Oil and Gas Symposium, 27-31 March, Oklahoma City, OK, USA. SPE-185089-MS. </w:t>
      </w:r>
      <w:hyperlink r:id="rId111" w:tgtFrame="_blank" w:history="1">
        <w:r w:rsidRPr="00F34FBC">
          <w:rPr>
            <w:rStyle w:val="Hyperlink"/>
            <w:rFonts w:cs="Times New Roman"/>
            <w:bCs/>
            <w:szCs w:val="24"/>
            <w:shd w:val="clear" w:color="auto" w:fill="FFFFFF"/>
          </w:rPr>
          <w:t>https://doi.org/10.2118/185089-MS</w:t>
        </w:r>
      </w:hyperlink>
      <w:r w:rsidRPr="00F34FBC">
        <w:rPr>
          <w:shd w:val="clear" w:color="auto" w:fill="FFFFFF"/>
        </w:rPr>
        <w:t>.</w:t>
      </w:r>
    </w:p>
    <w:p w14:paraId="37855358" w14:textId="77777777" w:rsidR="00F34FBC" w:rsidRPr="00F34FBC" w:rsidRDefault="00F34FBC" w:rsidP="00F34FBC">
      <w:pPr>
        <w:spacing w:line="240" w:lineRule="auto"/>
        <w:ind w:left="720" w:hanging="720"/>
        <w:rPr>
          <w:shd w:val="clear" w:color="auto" w:fill="FFFFFF"/>
        </w:rPr>
      </w:pPr>
      <w:r w:rsidRPr="00F34FBC">
        <w:rPr>
          <w:shd w:val="clear" w:color="auto" w:fill="FFFFFF"/>
        </w:rPr>
        <w:t>Ingraffea, A. R., Wells, M. T., Santoro, R. L. et al. 2014. Assessment and risk analysis of casing and cement impairment in oil and gas wells in Pennsylvania, 2000–2012. </w:t>
      </w:r>
      <w:r w:rsidRPr="00F34FBC">
        <w:rPr>
          <w:i/>
          <w:iCs/>
          <w:shd w:val="clear" w:color="auto" w:fill="FFFFFF"/>
        </w:rPr>
        <w:t>Proceedings of the National Academy of Sciences</w:t>
      </w:r>
      <w:r w:rsidRPr="00F34FBC">
        <w:rPr>
          <w:shd w:val="clear" w:color="auto" w:fill="FFFFFF"/>
        </w:rPr>
        <w:t>, </w:t>
      </w:r>
      <w:r w:rsidRPr="00F34FBC">
        <w:rPr>
          <w:i/>
          <w:iCs/>
          <w:shd w:val="clear" w:color="auto" w:fill="FFFFFF"/>
        </w:rPr>
        <w:t>111</w:t>
      </w:r>
      <w:r w:rsidRPr="00F34FBC">
        <w:rPr>
          <w:shd w:val="clear" w:color="auto" w:fill="FFFFFF"/>
        </w:rPr>
        <w:t>(30), 10955-10960.</w:t>
      </w:r>
    </w:p>
    <w:p w14:paraId="10DB28F2" w14:textId="77777777" w:rsidR="00F34FBC" w:rsidRPr="00F34FBC" w:rsidRDefault="00F34FBC" w:rsidP="00F34FBC">
      <w:pPr>
        <w:spacing w:line="240" w:lineRule="auto"/>
        <w:ind w:left="720" w:hanging="720"/>
        <w:rPr>
          <w:shd w:val="clear" w:color="auto" w:fill="FFFFFF"/>
        </w:rPr>
      </w:pPr>
      <w:r w:rsidRPr="00F34FBC">
        <w:rPr>
          <w:shd w:val="clear" w:color="auto" w:fill="FFFFFF"/>
        </w:rPr>
        <w:t>Jaeger, J. C., Cook, N.G.W. &amp; Zimmerman, R.W. 2007. Fundamentals of rock mechanics, 4th edition. Malden, MA: Blackwell Pub.</w:t>
      </w:r>
    </w:p>
    <w:p w14:paraId="42BE7473" w14:textId="77777777" w:rsidR="00F34FBC" w:rsidRPr="00F34FBC" w:rsidRDefault="00F34FBC" w:rsidP="00F34FBC">
      <w:pPr>
        <w:spacing w:line="240" w:lineRule="auto"/>
        <w:ind w:left="720" w:hanging="720"/>
        <w:rPr>
          <w:shd w:val="clear" w:color="auto" w:fill="FFFFFF"/>
        </w:rPr>
      </w:pPr>
      <w:r w:rsidRPr="00F34FBC">
        <w:rPr>
          <w:shd w:val="clear" w:color="auto" w:fill="FFFFFF"/>
        </w:rPr>
        <w:t>Jahn, F., Cook, M., &amp; Graham, M. 2008. </w:t>
      </w:r>
      <w:r w:rsidRPr="00F34FBC">
        <w:rPr>
          <w:i/>
          <w:iCs/>
          <w:shd w:val="clear" w:color="auto" w:fill="FFFFFF"/>
        </w:rPr>
        <w:t>Hydrocarbon exploration and production</w:t>
      </w:r>
      <w:r w:rsidRPr="00F34FBC">
        <w:rPr>
          <w:shd w:val="clear" w:color="auto" w:fill="FFFFFF"/>
        </w:rPr>
        <w:t>. Elsevier.</w:t>
      </w:r>
    </w:p>
    <w:p w14:paraId="1F8643E2" w14:textId="77777777" w:rsidR="00F34FBC" w:rsidRPr="00F34FBC" w:rsidRDefault="00F34FBC" w:rsidP="00F34FBC">
      <w:pPr>
        <w:spacing w:line="240" w:lineRule="auto"/>
        <w:ind w:left="720" w:hanging="720"/>
        <w:rPr>
          <w:shd w:val="clear" w:color="auto" w:fill="FFFFFF"/>
        </w:rPr>
      </w:pPr>
      <w:r w:rsidRPr="00F34FBC">
        <w:rPr>
          <w:shd w:val="clear" w:color="auto" w:fill="FFFFFF"/>
        </w:rPr>
        <w:t xml:space="preserve">James, S.G. and Boukhelifa, L. 2006. Zonal Isolation Modelling and Measurements-Past Myths and Todays Realities. In Abu Dhabi International Petroleum Exhibition and Conference, 5-8 November, Abu Dhabi, U.A.E. SPE-101310-MS. </w:t>
      </w:r>
      <w:hyperlink r:id="rId112" w:tgtFrame="_blank" w:history="1">
        <w:r w:rsidRPr="00F34FBC">
          <w:rPr>
            <w:rStyle w:val="Hyperlink"/>
            <w:rFonts w:cs="Times New Roman"/>
            <w:bCs/>
            <w:szCs w:val="24"/>
            <w:shd w:val="clear" w:color="auto" w:fill="FFFFFF"/>
          </w:rPr>
          <w:t>https://doi.org/10.2118/101310-MS</w:t>
        </w:r>
      </w:hyperlink>
      <w:r w:rsidRPr="00F34FBC">
        <w:rPr>
          <w:shd w:val="clear" w:color="auto" w:fill="FFFFFF"/>
        </w:rPr>
        <w:t>.</w:t>
      </w:r>
    </w:p>
    <w:p w14:paraId="7CE70259" w14:textId="77777777" w:rsidR="00F34FBC" w:rsidRPr="00F34FBC" w:rsidRDefault="00F34FBC" w:rsidP="00F34FBC">
      <w:pPr>
        <w:spacing w:line="240" w:lineRule="auto"/>
        <w:ind w:left="720" w:hanging="720"/>
        <w:rPr>
          <w:shd w:val="clear" w:color="auto" w:fill="FFFFFF"/>
        </w:rPr>
      </w:pPr>
      <w:r w:rsidRPr="00F34FBC">
        <w:rPr>
          <w:shd w:val="clear" w:color="auto" w:fill="FFFFFF"/>
        </w:rPr>
        <w:t>Jiang, J., Li, J., Liu, G. et al. 2020. Numerical simulation investigation on fracture debonding failure of cement plug/casing interface in abandoned wells. </w:t>
      </w:r>
      <w:r w:rsidRPr="00F34FBC">
        <w:rPr>
          <w:i/>
          <w:iCs/>
          <w:shd w:val="clear" w:color="auto" w:fill="FFFFFF"/>
        </w:rPr>
        <w:t>Journal of Petroleum Science and Engineering</w:t>
      </w:r>
      <w:r w:rsidRPr="00F34FBC">
        <w:rPr>
          <w:shd w:val="clear" w:color="auto" w:fill="FFFFFF"/>
        </w:rPr>
        <w:t>, </w:t>
      </w:r>
      <w:r w:rsidRPr="00F34FBC">
        <w:rPr>
          <w:i/>
          <w:iCs/>
          <w:shd w:val="clear" w:color="auto" w:fill="FFFFFF"/>
        </w:rPr>
        <w:t>192</w:t>
      </w:r>
      <w:r w:rsidRPr="00F34FBC">
        <w:rPr>
          <w:shd w:val="clear" w:color="auto" w:fill="FFFFFF"/>
        </w:rPr>
        <w:t>, 107226.</w:t>
      </w:r>
    </w:p>
    <w:p w14:paraId="45521AF3" w14:textId="77777777" w:rsidR="00F34FBC" w:rsidRPr="00F34FBC" w:rsidRDefault="00F34FBC" w:rsidP="00F34FBC">
      <w:pPr>
        <w:spacing w:line="240" w:lineRule="auto"/>
        <w:ind w:left="720" w:hanging="720"/>
        <w:rPr>
          <w:shd w:val="clear" w:color="auto" w:fill="FFFFFF"/>
        </w:rPr>
      </w:pPr>
      <w:r w:rsidRPr="00F34FBC">
        <w:rPr>
          <w:shd w:val="clear" w:color="auto" w:fill="FFFFFF"/>
        </w:rPr>
        <w:t xml:space="preserve">Jones, P.J., Karcher, J.D., Ruch, A. et al. 2014. Rigless Operation to Restore Wellbore Integrity using Synthetic-based Resin Sealants. Presented at the SPE/EAGE European Unconventional Conference and Exhibition, Vienna, Austria, 25-27 February. SPE-167759-MS. </w:t>
      </w:r>
      <w:hyperlink r:id="rId113" w:history="1">
        <w:r w:rsidRPr="00F34FBC">
          <w:rPr>
            <w:rStyle w:val="Hyperlink"/>
            <w:rFonts w:cs="Times New Roman"/>
            <w:szCs w:val="24"/>
            <w:shd w:val="clear" w:color="auto" w:fill="FFFFFF"/>
          </w:rPr>
          <w:t>https://doi.org/10.2118/167759-MS</w:t>
        </w:r>
      </w:hyperlink>
      <w:r w:rsidRPr="00F34FBC">
        <w:rPr>
          <w:shd w:val="clear" w:color="auto" w:fill="FFFFFF"/>
        </w:rPr>
        <w:t>.</w:t>
      </w:r>
    </w:p>
    <w:p w14:paraId="79E0B79D" w14:textId="77777777" w:rsidR="00F34FBC" w:rsidRPr="00F34FBC" w:rsidRDefault="00F34FBC" w:rsidP="00F34FBC">
      <w:pPr>
        <w:spacing w:line="240" w:lineRule="auto"/>
        <w:ind w:left="720" w:hanging="720"/>
        <w:rPr>
          <w:shd w:val="clear" w:color="auto" w:fill="FFFFFF"/>
        </w:rPr>
      </w:pPr>
      <w:r w:rsidRPr="00F34FBC">
        <w:rPr>
          <w:shd w:val="clear" w:color="auto" w:fill="FFFFFF"/>
        </w:rPr>
        <w:t>Kang, M., Kanno, C. M., Reid, M. C. et al. 2014. Direct measurements of methane emissions from abandoned oil and gas wells in Pennsylvania. </w:t>
      </w:r>
      <w:r w:rsidRPr="00F34FBC">
        <w:rPr>
          <w:i/>
          <w:iCs/>
          <w:shd w:val="clear" w:color="auto" w:fill="FFFFFF"/>
        </w:rPr>
        <w:t>Proceedings of the National Academy of Sciences</w:t>
      </w:r>
      <w:r w:rsidRPr="00F34FBC">
        <w:rPr>
          <w:shd w:val="clear" w:color="auto" w:fill="FFFFFF"/>
        </w:rPr>
        <w:t>, </w:t>
      </w:r>
      <w:r w:rsidRPr="00F34FBC">
        <w:rPr>
          <w:i/>
          <w:iCs/>
          <w:shd w:val="clear" w:color="auto" w:fill="FFFFFF"/>
        </w:rPr>
        <w:t>111</w:t>
      </w:r>
      <w:r w:rsidRPr="00F34FBC">
        <w:rPr>
          <w:shd w:val="clear" w:color="auto" w:fill="FFFFFF"/>
        </w:rPr>
        <w:t>(51), 18173-18177.</w:t>
      </w:r>
    </w:p>
    <w:p w14:paraId="3CF0EBFC" w14:textId="77777777" w:rsidR="00F34FBC" w:rsidRPr="00F34FBC" w:rsidRDefault="00F34FBC" w:rsidP="00F34FBC">
      <w:pPr>
        <w:spacing w:line="240" w:lineRule="auto"/>
        <w:ind w:left="720" w:hanging="720"/>
        <w:rPr>
          <w:shd w:val="clear" w:color="auto" w:fill="FFFFFF"/>
        </w:rPr>
      </w:pPr>
      <w:r w:rsidRPr="00F34FBC">
        <w:rPr>
          <w:shd w:val="clear" w:color="auto" w:fill="FFFFFF"/>
        </w:rPr>
        <w:t>Kell, S. 2011. </w:t>
      </w:r>
      <w:r w:rsidRPr="00F34FBC">
        <w:rPr>
          <w:i/>
          <w:iCs/>
          <w:shd w:val="clear" w:color="auto" w:fill="FFFFFF"/>
        </w:rPr>
        <w:t>State Oil and Gas Agency Groundwater Investigations: And Their Role in Advancing Regulatory Reform; a Two-state Review, Ohio and Texas</w:t>
      </w:r>
      <w:r w:rsidRPr="00F34FBC">
        <w:rPr>
          <w:shd w:val="clear" w:color="auto" w:fill="FFFFFF"/>
        </w:rPr>
        <w:t>. GWPC.</w:t>
      </w:r>
    </w:p>
    <w:p w14:paraId="0199F665" w14:textId="77777777" w:rsidR="00F34FBC" w:rsidRPr="00F34FBC" w:rsidRDefault="00F34FBC" w:rsidP="00F34FBC">
      <w:pPr>
        <w:spacing w:line="240" w:lineRule="auto"/>
        <w:ind w:left="720" w:hanging="720"/>
        <w:rPr>
          <w:shd w:val="clear" w:color="auto" w:fill="FFFFFF"/>
        </w:rPr>
      </w:pPr>
      <w:r w:rsidRPr="00F34FBC">
        <w:rPr>
          <w:shd w:val="clear" w:color="auto" w:fill="FFFFFF"/>
        </w:rPr>
        <w:lastRenderedPageBreak/>
        <w:t>Khodami, E., Ramezanzadeh, A., and Noroozi, M. 2021. Numerical modeling of oil well integrity with a particular view to cement (case study: Maroon Oilfield in southwest of Iran). </w:t>
      </w:r>
      <w:r w:rsidRPr="00F34FBC">
        <w:rPr>
          <w:i/>
          <w:iCs/>
          <w:shd w:val="clear" w:color="auto" w:fill="FFFFFF"/>
        </w:rPr>
        <w:t>Journal of Petroleum Science and Engineering</w:t>
      </w:r>
      <w:r w:rsidRPr="00F34FBC">
        <w:rPr>
          <w:shd w:val="clear" w:color="auto" w:fill="FFFFFF"/>
        </w:rPr>
        <w:t>, </w:t>
      </w:r>
      <w:r w:rsidRPr="00F34FBC">
        <w:rPr>
          <w:i/>
          <w:iCs/>
          <w:shd w:val="clear" w:color="auto" w:fill="FFFFFF"/>
        </w:rPr>
        <w:t>196</w:t>
      </w:r>
      <w:r w:rsidRPr="00F34FBC">
        <w:rPr>
          <w:shd w:val="clear" w:color="auto" w:fill="FFFFFF"/>
        </w:rPr>
        <w:t>, 107991.</w:t>
      </w:r>
    </w:p>
    <w:p w14:paraId="0A8E3DFD" w14:textId="77777777" w:rsidR="00F34FBC" w:rsidRPr="00F34FBC" w:rsidRDefault="00F34FBC" w:rsidP="00F34FBC">
      <w:pPr>
        <w:spacing w:line="240" w:lineRule="auto"/>
        <w:ind w:left="720" w:hanging="720"/>
        <w:rPr>
          <w:shd w:val="clear" w:color="auto" w:fill="FFFFFF"/>
        </w:rPr>
      </w:pPr>
      <w:r w:rsidRPr="00F34FBC">
        <w:rPr>
          <w:shd w:val="clear" w:color="auto" w:fill="FFFFFF"/>
        </w:rPr>
        <w:t>Kirsch. 1898. Die Theorie der Elastizitat und die Bedurfnisse der Festigkeitslehre. Zeitschrift des Vereines deutscher Ingenieure 42, 797-807.</w:t>
      </w:r>
    </w:p>
    <w:p w14:paraId="0DECB65B" w14:textId="77777777" w:rsidR="00F34FBC" w:rsidRPr="00F34FBC" w:rsidRDefault="00F34FBC" w:rsidP="00F34FBC">
      <w:pPr>
        <w:spacing w:line="240" w:lineRule="auto"/>
        <w:ind w:left="720" w:hanging="720"/>
        <w:rPr>
          <w:shd w:val="clear" w:color="auto" w:fill="FFFFFF"/>
        </w:rPr>
      </w:pPr>
      <w:r w:rsidRPr="00F34FBC">
        <w:rPr>
          <w:shd w:val="clear" w:color="auto" w:fill="FFFFFF"/>
        </w:rPr>
        <w:t xml:space="preserve">Kleinstreuer, C. 2010. </w:t>
      </w:r>
      <w:r w:rsidRPr="00F34FBC">
        <w:rPr>
          <w:i/>
          <w:shd w:val="clear" w:color="auto" w:fill="FFFFFF"/>
        </w:rPr>
        <w:t>Modern Fluid Dynamics: Basic Theory and Selected Applications in Macro-and Micro-Fluidics</w:t>
      </w:r>
      <w:r w:rsidRPr="00F34FBC">
        <w:rPr>
          <w:shd w:val="clear" w:color="auto" w:fill="FFFFFF"/>
        </w:rPr>
        <w:t>. New York, NY: Springer.</w:t>
      </w:r>
    </w:p>
    <w:p w14:paraId="4D1C7CD0" w14:textId="77777777" w:rsidR="00F34FBC" w:rsidRPr="00F34FBC" w:rsidRDefault="00F34FBC" w:rsidP="00F34FBC">
      <w:pPr>
        <w:spacing w:line="240" w:lineRule="auto"/>
        <w:ind w:left="720" w:hanging="720"/>
        <w:rPr>
          <w:shd w:val="clear" w:color="auto" w:fill="FFFFFF"/>
        </w:rPr>
      </w:pPr>
      <w:r w:rsidRPr="00F34FBC">
        <w:rPr>
          <w:shd w:val="clear" w:color="auto" w:fill="FFFFFF"/>
        </w:rPr>
        <w:t>Klinkenberg, L. J. 1941. The permeability of porous media to liquids and gases. In </w:t>
      </w:r>
      <w:r w:rsidRPr="00F34FBC">
        <w:rPr>
          <w:i/>
          <w:iCs/>
          <w:shd w:val="clear" w:color="auto" w:fill="FFFFFF"/>
        </w:rPr>
        <w:t>Drilling and production practice</w:t>
      </w:r>
      <w:r w:rsidRPr="00F34FBC">
        <w:rPr>
          <w:shd w:val="clear" w:color="auto" w:fill="FFFFFF"/>
        </w:rPr>
        <w:t>. American Petroleum Institute.</w:t>
      </w:r>
    </w:p>
    <w:p w14:paraId="58ED1F26" w14:textId="77777777" w:rsidR="00F34FBC" w:rsidRPr="00F34FBC" w:rsidRDefault="00F34FBC" w:rsidP="00F34FBC">
      <w:pPr>
        <w:spacing w:line="240" w:lineRule="auto"/>
        <w:ind w:left="720" w:hanging="720"/>
        <w:rPr>
          <w:shd w:val="clear" w:color="auto" w:fill="FFFFFF"/>
        </w:rPr>
      </w:pPr>
      <w:r w:rsidRPr="00F34FBC">
        <w:rPr>
          <w:shd w:val="clear" w:color="auto" w:fill="FFFFFF"/>
        </w:rPr>
        <w:t>Kumar, N. A. 2004. </w:t>
      </w:r>
      <w:r w:rsidRPr="00F34FBC">
        <w:rPr>
          <w:iCs/>
          <w:shd w:val="clear" w:color="auto" w:fill="FFFFFF"/>
        </w:rPr>
        <w:t>Compressibility factors for natural and sour reservoir gases by correlations and cubic equations of state</w:t>
      </w:r>
      <w:r w:rsidRPr="00F34FBC">
        <w:rPr>
          <w:shd w:val="clear" w:color="auto" w:fill="FFFFFF"/>
        </w:rPr>
        <w:t> (Doctoral dissertation, Texas Tech University).</w:t>
      </w:r>
    </w:p>
    <w:p w14:paraId="1BD0E666" w14:textId="77777777" w:rsidR="00F34FBC" w:rsidRPr="00F34FBC" w:rsidRDefault="00F34FBC" w:rsidP="00F34FBC">
      <w:pPr>
        <w:spacing w:line="240" w:lineRule="auto"/>
        <w:ind w:left="720" w:hanging="720"/>
        <w:rPr>
          <w:shd w:val="clear" w:color="auto" w:fill="FFFFFF"/>
        </w:rPr>
      </w:pPr>
      <w:r w:rsidRPr="00F34FBC">
        <w:rPr>
          <w:shd w:val="clear" w:color="auto" w:fill="FFFFFF"/>
        </w:rPr>
        <w:t>Kumar, S., Zhou, F., Searles, K. H. et al. 2017. Modeling of fluid-driven fractures using XFEM. In </w:t>
      </w:r>
      <w:r w:rsidRPr="00F34FBC">
        <w:rPr>
          <w:i/>
          <w:iCs/>
          <w:shd w:val="clear" w:color="auto" w:fill="FFFFFF"/>
        </w:rPr>
        <w:t>51st US Rock Mechanics/Geomechanics Symposium</w:t>
      </w:r>
      <w:r w:rsidRPr="00F34FBC">
        <w:rPr>
          <w:shd w:val="clear" w:color="auto" w:fill="FFFFFF"/>
        </w:rPr>
        <w:t>. American Rock Mechanics Association.</w:t>
      </w:r>
    </w:p>
    <w:p w14:paraId="3823989E" w14:textId="77777777" w:rsidR="00F34FBC" w:rsidRPr="00F34FBC" w:rsidRDefault="00F34FBC" w:rsidP="00F34FBC">
      <w:pPr>
        <w:spacing w:line="240" w:lineRule="auto"/>
        <w:ind w:left="720" w:hanging="720"/>
        <w:rPr>
          <w:shd w:val="clear" w:color="auto" w:fill="FFFFFF"/>
        </w:rPr>
      </w:pPr>
      <w:r w:rsidRPr="00F34FBC">
        <w:rPr>
          <w:shd w:val="clear" w:color="auto" w:fill="FFFFFF"/>
        </w:rPr>
        <w:t>Kumar, S., Zielonka, M., Searles, K. et al. 2017. Modeling of hydraulic fracturing in ultra-low permeability formations: the role of pore fluid cavitation. </w:t>
      </w:r>
      <w:r w:rsidRPr="00F34FBC">
        <w:rPr>
          <w:i/>
          <w:iCs/>
          <w:shd w:val="clear" w:color="auto" w:fill="FFFFFF"/>
        </w:rPr>
        <w:t>Engineering Fracture Mechanics</w:t>
      </w:r>
      <w:r w:rsidRPr="00F34FBC">
        <w:rPr>
          <w:shd w:val="clear" w:color="auto" w:fill="FFFFFF"/>
        </w:rPr>
        <w:t>, </w:t>
      </w:r>
      <w:r w:rsidRPr="00F34FBC">
        <w:rPr>
          <w:i/>
          <w:iCs/>
          <w:shd w:val="clear" w:color="auto" w:fill="FFFFFF"/>
        </w:rPr>
        <w:t>184</w:t>
      </w:r>
      <w:r w:rsidRPr="00F34FBC">
        <w:rPr>
          <w:shd w:val="clear" w:color="auto" w:fill="FFFFFF"/>
        </w:rPr>
        <w:t>, 227-240.</w:t>
      </w:r>
    </w:p>
    <w:p w14:paraId="48A2BCC4" w14:textId="77777777" w:rsidR="00F34FBC" w:rsidRPr="00F34FBC" w:rsidRDefault="00F34FBC" w:rsidP="00F34FBC">
      <w:pPr>
        <w:spacing w:line="240" w:lineRule="auto"/>
        <w:ind w:left="720" w:hanging="720"/>
        <w:rPr>
          <w:shd w:val="clear" w:color="auto" w:fill="FFFFFF"/>
        </w:rPr>
      </w:pPr>
      <w:r w:rsidRPr="00F34FBC">
        <w:rPr>
          <w:shd w:val="clear" w:color="auto" w:fill="FFFFFF"/>
        </w:rPr>
        <w:t>Landau, L. D. and Lifshitz, E. M. 1987. </w:t>
      </w:r>
      <w:r w:rsidRPr="00F34FBC">
        <w:rPr>
          <w:i/>
          <w:shd w:val="clear" w:color="auto" w:fill="FFFFFF"/>
        </w:rPr>
        <w:t xml:space="preserve">Fluid </w:t>
      </w:r>
      <w:r w:rsidRPr="00F34FBC">
        <w:rPr>
          <w:i/>
          <w:iCs/>
          <w:shd w:val="clear" w:color="auto" w:fill="FFFFFF"/>
        </w:rPr>
        <w:t>Mechanics: Volume 2</w:t>
      </w:r>
      <w:r w:rsidRPr="00F34FBC">
        <w:rPr>
          <w:shd w:val="clear" w:color="auto" w:fill="FFFFFF"/>
        </w:rPr>
        <w:t> (Vol. 2). Butterworth-Heinemann.</w:t>
      </w:r>
    </w:p>
    <w:p w14:paraId="26307D1A" w14:textId="77777777" w:rsidR="00F34FBC" w:rsidRPr="00F34FBC" w:rsidRDefault="00F34FBC" w:rsidP="00F34FBC">
      <w:pPr>
        <w:spacing w:line="240" w:lineRule="auto"/>
        <w:ind w:left="720" w:hanging="720"/>
        <w:rPr>
          <w:shd w:val="clear" w:color="auto" w:fill="FFFFFF"/>
        </w:rPr>
      </w:pPr>
      <w:r w:rsidRPr="00F34FBC">
        <w:rPr>
          <w:shd w:val="clear" w:color="auto" w:fill="FFFFFF"/>
        </w:rPr>
        <w:t>Lavrov, A. and Torsæter, M. 2018. All microannuli are not created equal: Role of uncertainty and stochastic properties in well leakage prediction. </w:t>
      </w:r>
      <w:r w:rsidRPr="00F34FBC">
        <w:rPr>
          <w:i/>
          <w:iCs/>
          <w:shd w:val="clear" w:color="auto" w:fill="FFFFFF"/>
        </w:rPr>
        <w:t>International Journal of Greenhouse Gas Control</w:t>
      </w:r>
      <w:r w:rsidRPr="00F34FBC">
        <w:rPr>
          <w:shd w:val="clear" w:color="auto" w:fill="FFFFFF"/>
        </w:rPr>
        <w:t>, </w:t>
      </w:r>
      <w:r w:rsidRPr="00F34FBC">
        <w:rPr>
          <w:i/>
          <w:iCs/>
          <w:shd w:val="clear" w:color="auto" w:fill="FFFFFF"/>
        </w:rPr>
        <w:t>79</w:t>
      </w:r>
      <w:r w:rsidRPr="00F34FBC">
        <w:rPr>
          <w:shd w:val="clear" w:color="auto" w:fill="FFFFFF"/>
        </w:rPr>
        <w:t xml:space="preserve">, 323-328. </w:t>
      </w:r>
      <w:hyperlink r:id="rId114" w:history="1">
        <w:r w:rsidRPr="00F34FBC">
          <w:rPr>
            <w:rStyle w:val="Hyperlink"/>
            <w:rFonts w:cs="Times New Roman"/>
            <w:szCs w:val="24"/>
            <w:shd w:val="clear" w:color="auto" w:fill="FFFFFF"/>
          </w:rPr>
          <w:t>https://doi.org/10.1016/j.ijggc.2018.09.001</w:t>
        </w:r>
      </w:hyperlink>
      <w:r w:rsidRPr="00F34FBC">
        <w:rPr>
          <w:shd w:val="clear" w:color="auto" w:fill="FFFFFF"/>
        </w:rPr>
        <w:t xml:space="preserve">. </w:t>
      </w:r>
    </w:p>
    <w:p w14:paraId="2D3C1661" w14:textId="77777777" w:rsidR="00F34FBC" w:rsidRPr="00F34FBC" w:rsidRDefault="00F34FBC" w:rsidP="00F34FBC">
      <w:pPr>
        <w:spacing w:line="240" w:lineRule="auto"/>
        <w:ind w:left="720" w:hanging="720"/>
        <w:rPr>
          <w:shd w:val="clear" w:color="auto" w:fill="FFFFFF"/>
        </w:rPr>
      </w:pPr>
      <w:r w:rsidRPr="00F34FBC">
        <w:rPr>
          <w:shd w:val="clear" w:color="auto" w:fill="FFFFFF"/>
        </w:rPr>
        <w:t>Lavrov, A., Bhuiyan, M., and Stroisz, A. 2019. Push-out test: Why bother?. </w:t>
      </w:r>
      <w:r w:rsidRPr="00F34FBC">
        <w:rPr>
          <w:i/>
          <w:iCs/>
          <w:shd w:val="clear" w:color="auto" w:fill="FFFFFF"/>
        </w:rPr>
        <w:t>Journal of Petroleum Science and Engineering</w:t>
      </w:r>
      <w:r w:rsidRPr="00F34FBC">
        <w:rPr>
          <w:shd w:val="clear" w:color="auto" w:fill="FFFFFF"/>
        </w:rPr>
        <w:t>, </w:t>
      </w:r>
      <w:r w:rsidRPr="00F34FBC">
        <w:rPr>
          <w:i/>
          <w:iCs/>
          <w:shd w:val="clear" w:color="auto" w:fill="FFFFFF"/>
        </w:rPr>
        <w:t>172</w:t>
      </w:r>
      <w:r w:rsidRPr="00F34FBC">
        <w:rPr>
          <w:shd w:val="clear" w:color="auto" w:fill="FFFFFF"/>
        </w:rPr>
        <w:t xml:space="preserve">, 297-302. </w:t>
      </w:r>
      <w:hyperlink r:id="rId115" w:tgtFrame="_blank" w:tooltip="Persistent link using digital object identifier" w:history="1">
        <w:r w:rsidRPr="00F34FBC">
          <w:rPr>
            <w:rStyle w:val="Hyperlink"/>
            <w:rFonts w:cs="Times New Roman"/>
            <w:szCs w:val="24"/>
            <w:shd w:val="clear" w:color="auto" w:fill="FFFFFF"/>
          </w:rPr>
          <w:t>https://doi.org/10.1016/j.petrol.2018.09.067</w:t>
        </w:r>
      </w:hyperlink>
      <w:r w:rsidRPr="00F34FBC">
        <w:rPr>
          <w:shd w:val="clear" w:color="auto" w:fill="FFFFFF"/>
        </w:rPr>
        <w:t>.</w:t>
      </w:r>
    </w:p>
    <w:p w14:paraId="75334919" w14:textId="77777777" w:rsidR="00F34FBC" w:rsidRPr="00F34FBC" w:rsidRDefault="00F34FBC" w:rsidP="00F34FBC">
      <w:pPr>
        <w:spacing w:line="240" w:lineRule="auto"/>
        <w:ind w:left="720" w:hanging="720"/>
        <w:rPr>
          <w:shd w:val="clear" w:color="auto" w:fill="FFFFFF"/>
        </w:rPr>
      </w:pPr>
      <w:r w:rsidRPr="00F34FBC">
        <w:rPr>
          <w:shd w:val="clear" w:color="auto" w:fill="FFFFFF"/>
        </w:rPr>
        <w:t xml:space="preserve">Le Roy-Delage, S., Baumgarte, C., Thiercelin, M. et al. 2000. New Cement Systems for Durable Zonal Isolation. In IADC/SPE Drilling Conference, 23-25 February, New Orleans, LA, USA. SPE-59132-MS. </w:t>
      </w:r>
      <w:hyperlink r:id="rId116" w:tgtFrame="_blank" w:history="1">
        <w:r w:rsidRPr="00F34FBC">
          <w:rPr>
            <w:rStyle w:val="Hyperlink"/>
            <w:rFonts w:cs="Times New Roman"/>
            <w:bCs/>
            <w:szCs w:val="24"/>
            <w:shd w:val="clear" w:color="auto" w:fill="FFFFFF"/>
          </w:rPr>
          <w:t>https://doi.org/10.2118/59132-MS</w:t>
        </w:r>
      </w:hyperlink>
      <w:r w:rsidRPr="00F34FBC">
        <w:rPr>
          <w:shd w:val="clear" w:color="auto" w:fill="FFFFFF"/>
        </w:rPr>
        <w:t>.</w:t>
      </w:r>
    </w:p>
    <w:p w14:paraId="4B883752" w14:textId="77777777" w:rsidR="00F34FBC" w:rsidRPr="00F34FBC" w:rsidRDefault="00F34FBC" w:rsidP="00F34FBC">
      <w:pPr>
        <w:spacing w:line="240" w:lineRule="auto"/>
        <w:ind w:left="720" w:hanging="720"/>
        <w:rPr>
          <w:u w:val="single"/>
          <w:shd w:val="clear" w:color="auto" w:fill="FFFFFF"/>
        </w:rPr>
      </w:pPr>
      <w:r w:rsidRPr="00F34FBC">
        <w:rPr>
          <w:shd w:val="clear" w:color="auto" w:fill="FFFFFF"/>
        </w:rPr>
        <w:t>Lee, H. H. 2017. </w:t>
      </w:r>
      <w:r w:rsidRPr="00F34FBC">
        <w:rPr>
          <w:i/>
          <w:iCs/>
          <w:shd w:val="clear" w:color="auto" w:fill="FFFFFF"/>
        </w:rPr>
        <w:t>Finite element simulations with ANSYS Workbench 17</w:t>
      </w:r>
      <w:r w:rsidRPr="00F34FBC">
        <w:rPr>
          <w:shd w:val="clear" w:color="auto" w:fill="FFFFFF"/>
        </w:rPr>
        <w:t>. SDC publications.</w:t>
      </w:r>
    </w:p>
    <w:p w14:paraId="43BF2CB7" w14:textId="77777777" w:rsidR="00F34FBC" w:rsidRPr="00F34FBC" w:rsidRDefault="00F34FBC" w:rsidP="00F34FBC">
      <w:pPr>
        <w:spacing w:line="240" w:lineRule="auto"/>
        <w:ind w:left="720" w:hanging="720"/>
        <w:rPr>
          <w:shd w:val="clear" w:color="auto" w:fill="FFFFFF"/>
        </w:rPr>
      </w:pPr>
      <w:r w:rsidRPr="00F34FBC">
        <w:rPr>
          <w:shd w:val="clear" w:color="auto" w:fill="FFFFFF"/>
        </w:rPr>
        <w:t xml:space="preserve">Loiseau, A. 2014. Thermal Expansion of Cement and Well Integrity of Heavy Oil Wells. In SPE Heavy and Extra Heavy Oil Conference: Latin America, 24-26 September, Medellin, Colombia. SPE-171066-MS. </w:t>
      </w:r>
      <w:hyperlink r:id="rId117" w:tgtFrame="_blank" w:history="1">
        <w:r w:rsidRPr="00F34FBC">
          <w:rPr>
            <w:rStyle w:val="Hyperlink"/>
            <w:rFonts w:cs="Times New Roman"/>
            <w:bCs/>
            <w:szCs w:val="24"/>
            <w:shd w:val="clear" w:color="auto" w:fill="FFFFFF"/>
          </w:rPr>
          <w:t>https://doi.org/10.2118/171066-MS</w:t>
        </w:r>
      </w:hyperlink>
      <w:r w:rsidRPr="00F34FBC">
        <w:rPr>
          <w:shd w:val="clear" w:color="auto" w:fill="FFFFFF"/>
        </w:rPr>
        <w:t>.</w:t>
      </w:r>
    </w:p>
    <w:p w14:paraId="18233FDA" w14:textId="77777777" w:rsidR="00F34FBC" w:rsidRPr="00F34FBC" w:rsidRDefault="00F34FBC" w:rsidP="00F34FBC">
      <w:pPr>
        <w:spacing w:line="240" w:lineRule="auto"/>
        <w:ind w:left="720" w:hanging="720"/>
        <w:rPr>
          <w:shd w:val="clear" w:color="auto" w:fill="FFFFFF"/>
          <w:lang w:val="nb-NO"/>
        </w:rPr>
      </w:pPr>
      <w:r w:rsidRPr="00F34FBC">
        <w:rPr>
          <w:shd w:val="clear" w:color="auto" w:fill="FFFFFF"/>
        </w:rPr>
        <w:t xml:space="preserve">Mansour, A.K., Taleghani, A.D., and Li, G. 2017. Smart Lost Circulation Materials for Wellbore Strengthening. Presented at the 51st US Rock Mechanics/Geomechanics Symposium, San Francisco, CA, 25-28 June. </w:t>
      </w:r>
      <w:r w:rsidRPr="00F34FBC">
        <w:rPr>
          <w:shd w:val="clear" w:color="auto" w:fill="FFFFFF"/>
          <w:lang w:val="nb-NO"/>
        </w:rPr>
        <w:t>ARMA-17-0492.</w:t>
      </w:r>
    </w:p>
    <w:p w14:paraId="1B5539BB" w14:textId="77777777" w:rsidR="00F34FBC" w:rsidRPr="00F34FBC" w:rsidRDefault="00F34FBC" w:rsidP="00F34FBC">
      <w:pPr>
        <w:spacing w:line="240" w:lineRule="auto"/>
        <w:ind w:left="720" w:hanging="720"/>
        <w:rPr>
          <w:shd w:val="clear" w:color="auto" w:fill="FFFFFF"/>
        </w:rPr>
      </w:pPr>
      <w:r w:rsidRPr="00F34FBC">
        <w:rPr>
          <w:shd w:val="clear" w:color="auto" w:fill="FFFFFF"/>
        </w:rPr>
        <w:t xml:space="preserve">McDaniel, J., Watters, L., and Combs, N.K. 2014. Zonal Isolation Assurance: Relating Cement Mechanical Properties to Mechanical Durability. In SPE/AAPG/SEG Unconventional Resources Technology Conference, 25-27 August, Denver, CO, USA. URTEC-1913405-MS. </w:t>
      </w:r>
      <w:hyperlink r:id="rId118" w:tgtFrame="_blank" w:history="1">
        <w:r w:rsidRPr="00F34FBC">
          <w:rPr>
            <w:rStyle w:val="Hyperlink"/>
            <w:rFonts w:cs="Times New Roman"/>
            <w:bCs/>
            <w:szCs w:val="24"/>
            <w:shd w:val="clear" w:color="auto" w:fill="FFFFFF"/>
          </w:rPr>
          <w:t>https://doi.org/10.15530/URTEC-2014-1913405</w:t>
        </w:r>
      </w:hyperlink>
      <w:r w:rsidRPr="00F34FBC">
        <w:rPr>
          <w:shd w:val="clear" w:color="auto" w:fill="FFFFFF"/>
        </w:rPr>
        <w:t>.</w:t>
      </w:r>
    </w:p>
    <w:p w14:paraId="2F9482DE" w14:textId="77777777" w:rsidR="00F34FBC" w:rsidRPr="00F34FBC" w:rsidRDefault="00F34FBC" w:rsidP="00F34FBC">
      <w:pPr>
        <w:spacing w:line="240" w:lineRule="auto"/>
        <w:ind w:left="720" w:hanging="720"/>
        <w:rPr>
          <w:shd w:val="clear" w:color="auto" w:fill="FFFFFF"/>
          <w:lang w:val="nb-NO"/>
        </w:rPr>
      </w:pPr>
      <w:r w:rsidRPr="00F34FBC">
        <w:rPr>
          <w:shd w:val="clear" w:color="auto" w:fill="FFFFFF"/>
        </w:rPr>
        <w:t xml:space="preserve">Meng, J., Pashin, J. C., Nygaard, R. et al. 2018. Analysis of the stress field in the DeSoto canyon Salt Basin for ensuring safe offshore carbon storage. </w:t>
      </w:r>
      <w:r w:rsidRPr="00F34FBC">
        <w:rPr>
          <w:i/>
          <w:shd w:val="clear" w:color="auto" w:fill="FFFFFF"/>
        </w:rPr>
        <w:t>International Journal of Greenhouse Gas Control</w:t>
      </w:r>
      <w:r w:rsidRPr="00F34FBC">
        <w:rPr>
          <w:shd w:val="clear" w:color="auto" w:fill="FFFFFF"/>
        </w:rPr>
        <w:t xml:space="preserve"> 79: 279-288. </w:t>
      </w:r>
      <w:hyperlink r:id="rId119" w:history="1">
        <w:r w:rsidRPr="00F34FBC">
          <w:rPr>
            <w:rStyle w:val="Hyperlink"/>
            <w:rFonts w:cs="Times New Roman"/>
            <w:szCs w:val="24"/>
            <w:shd w:val="clear" w:color="auto" w:fill="FFFFFF"/>
          </w:rPr>
          <w:t>https://doi.org/10.1016/j.ijggc.2018.11.006</w:t>
        </w:r>
      </w:hyperlink>
      <w:r w:rsidRPr="00F34FBC">
        <w:rPr>
          <w:shd w:val="clear" w:color="auto" w:fill="FFFFFF"/>
        </w:rPr>
        <w:t>.</w:t>
      </w:r>
    </w:p>
    <w:p w14:paraId="6F6D4082" w14:textId="77777777" w:rsidR="00F34FBC" w:rsidRPr="00F34FBC" w:rsidRDefault="00F34FBC" w:rsidP="00F34FBC">
      <w:pPr>
        <w:spacing w:line="240" w:lineRule="auto"/>
        <w:ind w:left="720" w:hanging="720"/>
        <w:rPr>
          <w:shd w:val="clear" w:color="auto" w:fill="FFFFFF"/>
        </w:rPr>
      </w:pPr>
      <w:r w:rsidRPr="00F34FBC">
        <w:rPr>
          <w:shd w:val="clear" w:color="auto" w:fill="FFFFFF"/>
          <w:lang w:val="nb-NO"/>
        </w:rPr>
        <w:t xml:space="preserve">Moeinikia, F., Ford, E. P., Lohne, H. P. et al. 2018. </w:t>
      </w:r>
      <w:r w:rsidRPr="00F34FBC">
        <w:rPr>
          <w:shd w:val="clear" w:color="auto" w:fill="FFFFFF"/>
        </w:rPr>
        <w:t>Leakage Calculator for Plugged-and-Abandoned Wells. </w:t>
      </w:r>
      <w:r w:rsidRPr="00F34FBC">
        <w:rPr>
          <w:i/>
          <w:iCs/>
          <w:shd w:val="clear" w:color="auto" w:fill="FFFFFF"/>
        </w:rPr>
        <w:t>SPE Production &amp; Operations</w:t>
      </w:r>
      <w:r w:rsidRPr="00F34FBC">
        <w:rPr>
          <w:shd w:val="clear" w:color="auto" w:fill="FFFFFF"/>
        </w:rPr>
        <w:t>, </w:t>
      </w:r>
      <w:r w:rsidRPr="00F34FBC">
        <w:rPr>
          <w:i/>
          <w:iCs/>
          <w:shd w:val="clear" w:color="auto" w:fill="FFFFFF"/>
        </w:rPr>
        <w:t>33</w:t>
      </w:r>
      <w:r w:rsidRPr="00F34FBC">
        <w:rPr>
          <w:shd w:val="clear" w:color="auto" w:fill="FFFFFF"/>
        </w:rPr>
        <w:t xml:space="preserve">(04), 790-801. SPE-185890-PA. </w:t>
      </w:r>
      <w:hyperlink r:id="rId120" w:history="1">
        <w:r w:rsidRPr="00F34FBC">
          <w:rPr>
            <w:rStyle w:val="Hyperlink"/>
            <w:rFonts w:cs="Times New Roman"/>
            <w:szCs w:val="24"/>
            <w:shd w:val="clear" w:color="auto" w:fill="FFFFFF"/>
          </w:rPr>
          <w:t>https://doi.org/10.2118/185890-PA</w:t>
        </w:r>
      </w:hyperlink>
      <w:r w:rsidRPr="00F34FBC">
        <w:rPr>
          <w:shd w:val="clear" w:color="auto" w:fill="FFFFFF"/>
        </w:rPr>
        <w:t xml:space="preserve">. </w:t>
      </w:r>
    </w:p>
    <w:p w14:paraId="4D50AE77" w14:textId="77777777" w:rsidR="00F34FBC" w:rsidRPr="00F34FBC" w:rsidRDefault="00F34FBC" w:rsidP="00F34FBC">
      <w:pPr>
        <w:spacing w:line="240" w:lineRule="auto"/>
        <w:ind w:left="720" w:hanging="720"/>
        <w:rPr>
          <w:shd w:val="clear" w:color="auto" w:fill="FFFFFF"/>
        </w:rPr>
      </w:pPr>
      <w:r w:rsidRPr="00F34FBC">
        <w:rPr>
          <w:shd w:val="clear" w:color="auto" w:fill="FFFFFF"/>
        </w:rPr>
        <w:t xml:space="preserve">Morris, W., Criado, M.A., Robles, J. et al. 2003. Design of High Toughness Cement for Effective Long Lasting Well Isolations. In SPE Latin American and Caribbean Petroleum </w:t>
      </w:r>
      <w:r w:rsidRPr="00F34FBC">
        <w:rPr>
          <w:shd w:val="clear" w:color="auto" w:fill="FFFFFF"/>
        </w:rPr>
        <w:lastRenderedPageBreak/>
        <w:t xml:space="preserve">Engineering Conference, 27-30 April, Port-of-Spain, Trinidad and Tobago. SPE-81001-MS. </w:t>
      </w:r>
      <w:hyperlink r:id="rId121" w:history="1">
        <w:r w:rsidRPr="00F34FBC">
          <w:rPr>
            <w:rStyle w:val="Hyperlink"/>
            <w:rFonts w:cs="Times New Roman"/>
            <w:szCs w:val="24"/>
            <w:shd w:val="clear" w:color="auto" w:fill="FFFFFF"/>
          </w:rPr>
          <w:t>https://doi.org/10.2118/81001-MS</w:t>
        </w:r>
      </w:hyperlink>
      <w:r w:rsidRPr="00F34FBC">
        <w:rPr>
          <w:shd w:val="clear" w:color="auto" w:fill="FFFFFF"/>
        </w:rPr>
        <w:t>.</w:t>
      </w:r>
    </w:p>
    <w:p w14:paraId="2B41F328" w14:textId="77777777" w:rsidR="00F34FBC" w:rsidRPr="00F34FBC" w:rsidRDefault="00F34FBC" w:rsidP="00F34FBC">
      <w:pPr>
        <w:spacing w:line="240" w:lineRule="auto"/>
        <w:ind w:left="720" w:hanging="720"/>
        <w:rPr>
          <w:shd w:val="clear" w:color="auto" w:fill="FFFFFF"/>
        </w:rPr>
      </w:pPr>
      <w:r w:rsidRPr="00F34FBC">
        <w:rPr>
          <w:shd w:val="clear" w:color="auto" w:fill="FFFFFF"/>
        </w:rPr>
        <w:t>Nelson, E. B. 1990. </w:t>
      </w:r>
      <w:r w:rsidRPr="00F34FBC">
        <w:rPr>
          <w:i/>
          <w:iCs/>
          <w:shd w:val="clear" w:color="auto" w:fill="FFFFFF"/>
        </w:rPr>
        <w:t xml:space="preserve">Well cementing. Development of petroleum Science </w:t>
      </w:r>
      <w:r w:rsidRPr="00F34FBC">
        <w:rPr>
          <w:shd w:val="clear" w:color="auto" w:fill="FFFFFF"/>
        </w:rPr>
        <w:t>(Vol. 28. Elsevier Science, 600.</w:t>
      </w:r>
    </w:p>
    <w:p w14:paraId="1C1A1CE6" w14:textId="77777777" w:rsidR="00F34FBC" w:rsidRPr="00F34FBC" w:rsidRDefault="00F34FBC" w:rsidP="00F34FBC">
      <w:pPr>
        <w:spacing w:line="240" w:lineRule="auto"/>
        <w:ind w:left="720" w:hanging="720"/>
        <w:rPr>
          <w:shd w:val="clear" w:color="auto" w:fill="FFFFFF"/>
        </w:rPr>
      </w:pPr>
      <w:r w:rsidRPr="00F34FBC">
        <w:rPr>
          <w:shd w:val="clear" w:color="auto" w:fill="FFFFFF"/>
        </w:rPr>
        <w:t>Nelson, E. B., &amp; Guillot, D. 2006. </w:t>
      </w:r>
      <w:r w:rsidRPr="00F34FBC">
        <w:rPr>
          <w:i/>
          <w:iCs/>
          <w:shd w:val="clear" w:color="auto" w:fill="FFFFFF"/>
        </w:rPr>
        <w:t>Well Cementing 2</w:t>
      </w:r>
      <w:r w:rsidRPr="00F34FBC">
        <w:rPr>
          <w:i/>
          <w:iCs/>
          <w:shd w:val="clear" w:color="auto" w:fill="FFFFFF"/>
          <w:vertAlign w:val="superscript"/>
        </w:rPr>
        <w:t>nd</w:t>
      </w:r>
      <w:r w:rsidRPr="00F34FBC">
        <w:rPr>
          <w:i/>
          <w:iCs/>
          <w:shd w:val="clear" w:color="auto" w:fill="FFFFFF"/>
        </w:rPr>
        <w:t xml:space="preserve"> edition</w:t>
      </w:r>
      <w:r w:rsidRPr="00F34FBC">
        <w:rPr>
          <w:shd w:val="clear" w:color="auto" w:fill="FFFFFF"/>
        </w:rPr>
        <w:t>: Schlumberger 773.</w:t>
      </w:r>
    </w:p>
    <w:p w14:paraId="30D37574" w14:textId="77777777" w:rsidR="00F34FBC" w:rsidRPr="00F34FBC" w:rsidRDefault="00F34FBC" w:rsidP="00F34FBC">
      <w:pPr>
        <w:spacing w:line="240" w:lineRule="auto"/>
        <w:ind w:left="720" w:hanging="720"/>
        <w:rPr>
          <w:shd w:val="clear" w:color="auto" w:fill="FFFFFF"/>
          <w:lang w:val="nb-NO"/>
        </w:rPr>
      </w:pPr>
      <w:r w:rsidRPr="00F34FBC">
        <w:rPr>
          <w:shd w:val="clear" w:color="auto" w:fill="FFFFFF"/>
        </w:rPr>
        <w:t>Nygaard, R., Salehi, S., and Lavoie, R.G. 2011. Effect of Dynamic Loading on Wellbore Leakage for the Wabamun Area CO2 Sequestration Project. In Canadian Unconventional Resources Conference, Calgary, Alberta, Canada. November 15-17. SPE-146640-MS. </w:t>
      </w:r>
      <w:hyperlink r:id="rId122" w:history="1">
        <w:r w:rsidRPr="00F34FBC">
          <w:rPr>
            <w:rStyle w:val="Hyperlink"/>
            <w:rFonts w:cs="Times New Roman"/>
            <w:szCs w:val="24"/>
            <w:shd w:val="clear" w:color="auto" w:fill="FFFFFF"/>
            <w:lang w:val="nb-NO"/>
          </w:rPr>
          <w:t>https://doi.org/10.2118/146640-MS.</w:t>
        </w:r>
      </w:hyperlink>
      <w:r w:rsidRPr="00F34FBC">
        <w:rPr>
          <w:shd w:val="clear" w:color="auto" w:fill="FFFFFF"/>
          <w:lang w:val="nb-NO"/>
        </w:rPr>
        <w:t xml:space="preserve"> </w:t>
      </w:r>
    </w:p>
    <w:p w14:paraId="3B4DAB13" w14:textId="77777777" w:rsidR="00F34FBC" w:rsidRPr="00F34FBC" w:rsidRDefault="00F34FBC" w:rsidP="00F34FBC">
      <w:pPr>
        <w:spacing w:line="240" w:lineRule="auto"/>
        <w:ind w:left="720" w:hanging="720"/>
        <w:rPr>
          <w:shd w:val="clear" w:color="auto" w:fill="FFFFFF"/>
        </w:rPr>
      </w:pPr>
      <w:r w:rsidRPr="00F34FBC">
        <w:rPr>
          <w:shd w:val="clear" w:color="auto" w:fill="FFFFFF"/>
          <w:lang w:val="nb-NO"/>
        </w:rPr>
        <w:t xml:space="preserve">Nygaard, R., Salehi, S., Weideman, B. et al. 2014. </w:t>
      </w:r>
      <w:r w:rsidRPr="00F34FBC">
        <w:rPr>
          <w:shd w:val="clear" w:color="auto" w:fill="FFFFFF"/>
        </w:rPr>
        <w:t>Effect of Dynamic Loading on Wellbore Leakage for the Wabamun Area CO2-Sequestration Project. </w:t>
      </w:r>
      <w:r w:rsidRPr="00F34FBC">
        <w:rPr>
          <w:i/>
          <w:iCs/>
          <w:shd w:val="clear" w:color="auto" w:fill="FFFFFF"/>
        </w:rPr>
        <w:t>Journal of Canadian Petroleum Technology</w:t>
      </w:r>
      <w:r w:rsidRPr="00F34FBC">
        <w:rPr>
          <w:shd w:val="clear" w:color="auto" w:fill="FFFFFF"/>
        </w:rPr>
        <w:t>, </w:t>
      </w:r>
      <w:r w:rsidRPr="00F34FBC">
        <w:rPr>
          <w:i/>
          <w:iCs/>
          <w:shd w:val="clear" w:color="auto" w:fill="FFFFFF"/>
        </w:rPr>
        <w:t>53</w:t>
      </w:r>
      <w:r w:rsidRPr="00F34FBC">
        <w:rPr>
          <w:shd w:val="clear" w:color="auto" w:fill="FFFFFF"/>
        </w:rPr>
        <w:t xml:space="preserve">(01), 69-82. SPE-146640-PA. </w:t>
      </w:r>
      <w:hyperlink r:id="rId123" w:tgtFrame="_blank" w:history="1">
        <w:r w:rsidRPr="00F34FBC">
          <w:rPr>
            <w:rStyle w:val="Hyperlink"/>
            <w:rFonts w:cs="Times New Roman"/>
            <w:bCs/>
            <w:szCs w:val="24"/>
            <w:shd w:val="clear" w:color="auto" w:fill="FFFFFF"/>
          </w:rPr>
          <w:t>https://doi.org/10.2118/146640-PA</w:t>
        </w:r>
      </w:hyperlink>
      <w:r w:rsidRPr="00F34FBC">
        <w:rPr>
          <w:shd w:val="clear" w:color="auto" w:fill="FFFFFF"/>
        </w:rPr>
        <w:t>.</w:t>
      </w:r>
    </w:p>
    <w:p w14:paraId="2DA8B9C4" w14:textId="77777777" w:rsidR="00F34FBC" w:rsidRPr="00F34FBC" w:rsidRDefault="00F34FBC" w:rsidP="00F34FBC">
      <w:pPr>
        <w:spacing w:line="240" w:lineRule="auto"/>
        <w:ind w:left="720" w:hanging="720"/>
        <w:rPr>
          <w:shd w:val="clear" w:color="auto" w:fill="FFFFFF"/>
        </w:rPr>
      </w:pPr>
      <w:r w:rsidRPr="00F34FBC">
        <w:rPr>
          <w:shd w:val="clear" w:color="auto" w:fill="FFFFFF"/>
        </w:rPr>
        <w:t>Opedal, N., Cerasi, P., and Vrålstad, T. 2019. Cement Bond Strength Measurements. In </w:t>
      </w:r>
      <w:r w:rsidRPr="00F34FBC">
        <w:rPr>
          <w:i/>
          <w:iCs/>
          <w:shd w:val="clear" w:color="auto" w:fill="FFFFFF"/>
        </w:rPr>
        <w:t>International Conference on Offshore Mechanics and Arctic Engineering</w:t>
      </w:r>
      <w:r w:rsidRPr="00F34FBC">
        <w:rPr>
          <w:shd w:val="clear" w:color="auto" w:fill="FFFFFF"/>
        </w:rPr>
        <w:t> (Vol. 58875, p. V008T11A039). American Society of Mechanical Engineers.</w:t>
      </w:r>
    </w:p>
    <w:p w14:paraId="3CEB6114" w14:textId="77777777" w:rsidR="00F34FBC" w:rsidRPr="00F34FBC" w:rsidRDefault="00F34FBC" w:rsidP="00F34FBC">
      <w:pPr>
        <w:spacing w:line="240" w:lineRule="auto"/>
        <w:ind w:left="720" w:hanging="720"/>
        <w:rPr>
          <w:shd w:val="clear" w:color="auto" w:fill="FFFFFF"/>
        </w:rPr>
      </w:pPr>
      <w:r w:rsidRPr="00F34FBC">
        <w:rPr>
          <w:shd w:val="clear" w:color="auto" w:fill="FFFFFF"/>
        </w:rPr>
        <w:t>Opedal, N., Corina, A. N., and Vrålstad, T. 2018. Laboratory test on cement plug integrity. In </w:t>
      </w:r>
      <w:r w:rsidRPr="00F34FBC">
        <w:rPr>
          <w:i/>
          <w:iCs/>
          <w:shd w:val="clear" w:color="auto" w:fill="FFFFFF"/>
        </w:rPr>
        <w:t>International Conference on Offshore Mechanics and Arctic Engineering</w:t>
      </w:r>
      <w:r w:rsidRPr="00F34FBC">
        <w:rPr>
          <w:shd w:val="clear" w:color="auto" w:fill="FFFFFF"/>
        </w:rPr>
        <w:t> (Vol. 51296, p. V008T11A071). American Society of Mechanical Engineers.</w:t>
      </w:r>
    </w:p>
    <w:p w14:paraId="2CF8240B" w14:textId="77777777" w:rsidR="00F34FBC" w:rsidRPr="00F34FBC" w:rsidRDefault="00F34FBC" w:rsidP="00F34FBC">
      <w:pPr>
        <w:spacing w:line="240" w:lineRule="auto"/>
        <w:ind w:left="720" w:hanging="720"/>
        <w:rPr>
          <w:shd w:val="clear" w:color="auto" w:fill="FFFFFF"/>
        </w:rPr>
      </w:pPr>
      <w:r w:rsidRPr="00F34FBC">
        <w:rPr>
          <w:shd w:val="clear" w:color="auto" w:fill="FFFFFF"/>
        </w:rPr>
        <w:t>Outmans, H. D. 1963. Mechanics of static and dynamic filtration in the borehole. </w:t>
      </w:r>
      <w:r w:rsidRPr="00F34FBC">
        <w:rPr>
          <w:i/>
          <w:iCs/>
          <w:shd w:val="clear" w:color="auto" w:fill="FFFFFF"/>
        </w:rPr>
        <w:t>Society of Petroleum Engineers Journal</w:t>
      </w:r>
      <w:r w:rsidRPr="00F34FBC">
        <w:rPr>
          <w:shd w:val="clear" w:color="auto" w:fill="FFFFFF"/>
        </w:rPr>
        <w:t>, </w:t>
      </w:r>
      <w:r w:rsidRPr="00F34FBC">
        <w:rPr>
          <w:i/>
          <w:iCs/>
          <w:shd w:val="clear" w:color="auto" w:fill="FFFFFF"/>
        </w:rPr>
        <w:t>3</w:t>
      </w:r>
      <w:r w:rsidRPr="00F34FBC">
        <w:rPr>
          <w:shd w:val="clear" w:color="auto" w:fill="FFFFFF"/>
        </w:rPr>
        <w:t>(03), 236-244.</w:t>
      </w:r>
    </w:p>
    <w:p w14:paraId="468B836D" w14:textId="77777777" w:rsidR="00F34FBC" w:rsidRPr="00F34FBC" w:rsidRDefault="00F34FBC" w:rsidP="00F34FBC">
      <w:pPr>
        <w:spacing w:line="240" w:lineRule="auto"/>
        <w:ind w:left="720" w:hanging="720"/>
        <w:rPr>
          <w:shd w:val="clear" w:color="auto" w:fill="FFFFFF"/>
        </w:rPr>
      </w:pPr>
      <w:r w:rsidRPr="00F34FBC">
        <w:rPr>
          <w:shd w:val="clear" w:color="auto" w:fill="FFFFFF"/>
        </w:rPr>
        <w:t>Patel, H. and Salehi, S. 2019. Development of an Advanced Finite Element Model and Parametric Study to Evaluate Cement Sheath Barrier. </w:t>
      </w:r>
      <w:r w:rsidRPr="00F34FBC">
        <w:rPr>
          <w:i/>
          <w:iCs/>
          <w:shd w:val="clear" w:color="auto" w:fill="FFFFFF"/>
        </w:rPr>
        <w:t>Journal of Energy Resources Technology</w:t>
      </w:r>
      <w:r w:rsidRPr="00F34FBC">
        <w:rPr>
          <w:shd w:val="clear" w:color="auto" w:fill="FFFFFF"/>
        </w:rPr>
        <w:t>, </w:t>
      </w:r>
      <w:r w:rsidRPr="00F34FBC">
        <w:rPr>
          <w:i/>
          <w:iCs/>
          <w:shd w:val="clear" w:color="auto" w:fill="FFFFFF"/>
        </w:rPr>
        <w:t>141</w:t>
      </w:r>
      <w:r w:rsidRPr="00F34FBC">
        <w:rPr>
          <w:shd w:val="clear" w:color="auto" w:fill="FFFFFF"/>
        </w:rPr>
        <w:t xml:space="preserve">(9), 092902. </w:t>
      </w:r>
      <w:hyperlink r:id="rId124" w:tgtFrame="_blank" w:history="1">
        <w:r w:rsidRPr="00F34FBC">
          <w:rPr>
            <w:rStyle w:val="Hyperlink"/>
            <w:rFonts w:cs="Times New Roman"/>
            <w:szCs w:val="24"/>
            <w:shd w:val="clear" w:color="auto" w:fill="FFFFFF"/>
          </w:rPr>
          <w:t>https://doi.org/10.1115/1.4043137</w:t>
        </w:r>
      </w:hyperlink>
      <w:r w:rsidRPr="00F34FBC">
        <w:rPr>
          <w:shd w:val="clear" w:color="auto" w:fill="FFFFFF"/>
        </w:rPr>
        <w:t>.</w:t>
      </w:r>
    </w:p>
    <w:p w14:paraId="713DC6BC" w14:textId="77777777" w:rsidR="00F34FBC" w:rsidRPr="00F34FBC" w:rsidRDefault="00F34FBC" w:rsidP="00F34FBC">
      <w:pPr>
        <w:spacing w:line="240" w:lineRule="auto"/>
        <w:ind w:left="720" w:hanging="720"/>
        <w:rPr>
          <w:shd w:val="clear" w:color="auto" w:fill="FFFFFF"/>
        </w:rPr>
      </w:pPr>
      <w:r w:rsidRPr="00F34FBC">
        <w:rPr>
          <w:shd w:val="clear" w:color="auto" w:fill="FFFFFF"/>
        </w:rPr>
        <w:t>Pattillo, P.D. and Kristiansen, T.G. 2002. Analysis of Horizontal Casing Integrity in the Valhall Field. Paper SPE 78204 presented at the SPE/ISRM Rock Mechanics Conference, Irving, Texas, USA, 20–23 October. doi: 10.2118/78204-MS.</w:t>
      </w:r>
    </w:p>
    <w:p w14:paraId="69FE07D7" w14:textId="77777777" w:rsidR="00F34FBC" w:rsidRPr="00F34FBC" w:rsidRDefault="00F34FBC" w:rsidP="00F34FBC">
      <w:pPr>
        <w:spacing w:line="240" w:lineRule="auto"/>
        <w:ind w:left="720" w:hanging="720"/>
        <w:rPr>
          <w:shd w:val="clear" w:color="auto" w:fill="FFFFFF"/>
        </w:rPr>
      </w:pPr>
      <w:r w:rsidRPr="00F34FBC">
        <w:rPr>
          <w:shd w:val="clear" w:color="auto" w:fill="FFFFFF"/>
        </w:rPr>
        <w:t xml:space="preserve">Philippacopoulos, A.J. and Berndt, M.L. 2002. Mechanical Response and Characterization of Well Cements. In SPE Annual Technical Conference and Exhibition, 29 September-2 October, San Antonio, TX, USA. SPE-77755-MS. </w:t>
      </w:r>
      <w:hyperlink r:id="rId125" w:tgtFrame="_blank" w:history="1">
        <w:r w:rsidRPr="00F34FBC">
          <w:rPr>
            <w:rStyle w:val="Hyperlink"/>
            <w:rFonts w:cs="Times New Roman"/>
            <w:bCs/>
            <w:szCs w:val="24"/>
            <w:shd w:val="clear" w:color="auto" w:fill="FFFFFF"/>
          </w:rPr>
          <w:t>https://doi.org/10.2118/77755-MS</w:t>
        </w:r>
      </w:hyperlink>
      <w:r w:rsidRPr="00F34FBC">
        <w:rPr>
          <w:shd w:val="clear" w:color="auto" w:fill="FFFFFF"/>
        </w:rPr>
        <w:t>.</w:t>
      </w:r>
    </w:p>
    <w:p w14:paraId="517FB286" w14:textId="77777777" w:rsidR="00F34FBC" w:rsidRPr="00F34FBC" w:rsidRDefault="00F34FBC" w:rsidP="00F34FBC">
      <w:pPr>
        <w:spacing w:line="240" w:lineRule="auto"/>
        <w:ind w:left="720" w:hanging="720"/>
        <w:rPr>
          <w:shd w:val="clear" w:color="auto" w:fill="FFFFFF"/>
        </w:rPr>
      </w:pPr>
      <w:r w:rsidRPr="00F34FBC">
        <w:rPr>
          <w:shd w:val="clear" w:color="auto" w:fill="FFFFFF"/>
        </w:rPr>
        <w:t>Piau, J.M., Le Parc, G., Fourmaintraux, D.: “Etude de l’étanchéité des gaines cimentées”, Elf Aquitaine Production, Internal report (1995).</w:t>
      </w:r>
    </w:p>
    <w:p w14:paraId="2AF09C57" w14:textId="77777777" w:rsidR="00F34FBC" w:rsidRPr="00F34FBC" w:rsidRDefault="00F34FBC" w:rsidP="00F34FBC">
      <w:pPr>
        <w:spacing w:line="240" w:lineRule="auto"/>
        <w:ind w:left="720" w:hanging="720"/>
        <w:rPr>
          <w:shd w:val="clear" w:color="auto" w:fill="FFFFFF"/>
        </w:rPr>
      </w:pPr>
      <w:r w:rsidRPr="00F34FBC">
        <w:rPr>
          <w:shd w:val="clear" w:color="auto" w:fill="FFFFFF"/>
        </w:rPr>
        <w:t xml:space="preserve">Ravi, K., Bosma, M., and Gastebled, O. 2002. Improve the Economics of Oil and Gas Wells by Reducing the Risk of Cement Failure. In IADC/SPE Drilling Conference, Dallas, 26–28 February. SPE-74497-MS. </w:t>
      </w:r>
      <w:hyperlink r:id="rId126" w:history="1">
        <w:r w:rsidRPr="00F34FBC">
          <w:rPr>
            <w:rStyle w:val="Hyperlink"/>
            <w:rFonts w:cs="Times New Roman"/>
            <w:szCs w:val="24"/>
            <w:shd w:val="clear" w:color="auto" w:fill="FFFFFF"/>
          </w:rPr>
          <w:t>https://doi.org/10.2118/74497-MS</w:t>
        </w:r>
      </w:hyperlink>
      <w:r w:rsidRPr="00F34FBC">
        <w:rPr>
          <w:shd w:val="clear" w:color="auto" w:fill="FFFFFF"/>
        </w:rPr>
        <w:t xml:space="preserve">. </w:t>
      </w:r>
    </w:p>
    <w:p w14:paraId="6BAA9164" w14:textId="77777777" w:rsidR="00F34FBC" w:rsidRPr="00F34FBC" w:rsidRDefault="00F34FBC" w:rsidP="00F34FBC">
      <w:pPr>
        <w:spacing w:line="240" w:lineRule="auto"/>
        <w:ind w:left="720" w:hanging="720"/>
        <w:rPr>
          <w:shd w:val="clear" w:color="auto" w:fill="FFFFFF"/>
        </w:rPr>
      </w:pPr>
      <w:r w:rsidRPr="00F34FBC">
        <w:rPr>
          <w:shd w:val="clear" w:color="auto" w:fill="FFFFFF"/>
        </w:rPr>
        <w:t>Reddy, B. R., Xu, Y., Ravi, K. et al. 2007. Cement Shrinkage measurement in oilwell cementing-A comparative study of laboratory methods and procedures. In </w:t>
      </w:r>
      <w:r w:rsidRPr="00F34FBC">
        <w:rPr>
          <w:i/>
          <w:iCs/>
          <w:shd w:val="clear" w:color="auto" w:fill="FFFFFF"/>
        </w:rPr>
        <w:t>Rocky Mountain Oil &amp; Gas Technology Symposium</w:t>
      </w:r>
      <w:r w:rsidRPr="00F34FBC">
        <w:rPr>
          <w:shd w:val="clear" w:color="auto" w:fill="FFFFFF"/>
        </w:rPr>
        <w:t>. Society of Petroleum Engineers.</w:t>
      </w:r>
    </w:p>
    <w:p w14:paraId="099896BA" w14:textId="77777777" w:rsidR="00F34FBC" w:rsidRPr="00F34FBC" w:rsidRDefault="00F34FBC" w:rsidP="00F34FBC">
      <w:pPr>
        <w:spacing w:line="240" w:lineRule="auto"/>
        <w:ind w:left="720" w:hanging="720"/>
        <w:rPr>
          <w:shd w:val="clear" w:color="auto" w:fill="FFFFFF"/>
        </w:rPr>
      </w:pPr>
      <w:r w:rsidRPr="00F34FBC">
        <w:rPr>
          <w:shd w:val="clear" w:color="auto" w:fill="FFFFFF"/>
        </w:rPr>
        <w:t>Ritchie, M., Hareland, G., Kjeldal, V. N. et al. 2019. An Unconventional Study on the Bond Strength of the Casing/Cement Interface and the Benefits of Nanoparticle Additives. In </w:t>
      </w:r>
      <w:r w:rsidRPr="00F34FBC">
        <w:rPr>
          <w:i/>
          <w:iCs/>
          <w:shd w:val="clear" w:color="auto" w:fill="FFFFFF"/>
        </w:rPr>
        <w:t>SPE Symposium: Decommissioning and Abandonment</w:t>
      </w:r>
      <w:r w:rsidRPr="00F34FBC">
        <w:rPr>
          <w:shd w:val="clear" w:color="auto" w:fill="FFFFFF"/>
        </w:rPr>
        <w:t>. Society of Petroleum Engineers.</w:t>
      </w:r>
    </w:p>
    <w:p w14:paraId="3DDB188A" w14:textId="77777777" w:rsidR="00F34FBC" w:rsidRPr="00F34FBC" w:rsidRDefault="00F34FBC" w:rsidP="00F34FBC">
      <w:pPr>
        <w:spacing w:line="240" w:lineRule="auto"/>
        <w:ind w:left="720" w:hanging="720"/>
        <w:rPr>
          <w:shd w:val="clear" w:color="auto" w:fill="FFFFFF"/>
          <w:lang w:val="nb-NO"/>
        </w:rPr>
      </w:pPr>
      <w:r w:rsidRPr="00F34FBC">
        <w:rPr>
          <w:shd w:val="clear" w:color="auto" w:fill="FFFFFF"/>
        </w:rPr>
        <w:t xml:space="preserve">Saint-Marc, J., Garnier, A., and Bois, A.P. 2008. Initial State Of Stress: The Key to Achieving Long-Term Cement-Sheath Integrity. In SPE Annual Technical Conference and Exhibition, 21–24 September, Denver, CO, USA. </w:t>
      </w:r>
      <w:r w:rsidRPr="00F34FBC">
        <w:rPr>
          <w:shd w:val="clear" w:color="auto" w:fill="FFFFFF"/>
          <w:lang w:val="nb-NO"/>
        </w:rPr>
        <w:t xml:space="preserve">SPE-116651-MS. </w:t>
      </w:r>
      <w:hyperlink r:id="rId127" w:history="1">
        <w:r w:rsidRPr="00F34FBC">
          <w:rPr>
            <w:rStyle w:val="Hyperlink"/>
            <w:rFonts w:cs="Times New Roman"/>
            <w:szCs w:val="24"/>
            <w:shd w:val="clear" w:color="auto" w:fill="FFFFFF"/>
            <w:lang w:val="nb-NO"/>
          </w:rPr>
          <w:t>https://doi.org/10.2118/116651-MS</w:t>
        </w:r>
      </w:hyperlink>
      <w:r w:rsidRPr="00F34FBC">
        <w:rPr>
          <w:shd w:val="clear" w:color="auto" w:fill="FFFFFF"/>
          <w:lang w:val="nb-NO"/>
        </w:rPr>
        <w:t xml:space="preserve">. </w:t>
      </w:r>
    </w:p>
    <w:p w14:paraId="19493E1A" w14:textId="77777777" w:rsidR="00F34FBC" w:rsidRPr="00F34FBC" w:rsidRDefault="00F34FBC" w:rsidP="00F34FBC">
      <w:pPr>
        <w:spacing w:line="240" w:lineRule="auto"/>
        <w:ind w:left="720" w:hanging="720"/>
        <w:rPr>
          <w:shd w:val="clear" w:color="auto" w:fill="FFFFFF"/>
        </w:rPr>
      </w:pPr>
      <w:r w:rsidRPr="00F34FBC">
        <w:rPr>
          <w:shd w:val="clear" w:color="auto" w:fill="FFFFFF"/>
          <w:lang w:val="nb-NO"/>
        </w:rPr>
        <w:lastRenderedPageBreak/>
        <w:t xml:space="preserve">Saleh, F. K., Rivera, R., Salehi, S. et al. 2018. </w:t>
      </w:r>
      <w:r w:rsidRPr="00F34FBC">
        <w:rPr>
          <w:shd w:val="clear" w:color="auto" w:fill="FFFFFF"/>
        </w:rPr>
        <w:t>How does mixing water quality affect cement properties. In </w:t>
      </w:r>
      <w:r w:rsidRPr="00F34FBC">
        <w:rPr>
          <w:iCs/>
          <w:shd w:val="clear" w:color="auto" w:fill="FFFFFF"/>
        </w:rPr>
        <w:t>SPE International Conference and Exhibition on Formation Damage Control, 7-9 February, Lafayette, Louisiana, USA</w:t>
      </w:r>
      <w:r w:rsidRPr="00F34FBC">
        <w:rPr>
          <w:shd w:val="clear" w:color="auto" w:fill="FFFFFF"/>
        </w:rPr>
        <w:t xml:space="preserve">. SPE-189505-MS. </w:t>
      </w:r>
      <w:hyperlink r:id="rId128" w:tgtFrame="_blank" w:history="1">
        <w:r w:rsidRPr="00F34FBC">
          <w:rPr>
            <w:rStyle w:val="Hyperlink"/>
            <w:rFonts w:cs="Times New Roman"/>
            <w:bCs/>
            <w:szCs w:val="24"/>
            <w:shd w:val="clear" w:color="auto" w:fill="FFFFFF"/>
          </w:rPr>
          <w:t>https://doi.org/10.2118/189505-MS</w:t>
        </w:r>
      </w:hyperlink>
      <w:r w:rsidRPr="00F34FBC">
        <w:rPr>
          <w:shd w:val="clear" w:color="auto" w:fill="FFFFFF"/>
        </w:rPr>
        <w:t>.</w:t>
      </w:r>
    </w:p>
    <w:p w14:paraId="29E0285D" w14:textId="77777777" w:rsidR="00F34FBC" w:rsidRPr="00F34FBC" w:rsidRDefault="00F34FBC" w:rsidP="00F34FBC">
      <w:pPr>
        <w:spacing w:line="240" w:lineRule="auto"/>
        <w:ind w:left="720" w:hanging="720"/>
        <w:rPr>
          <w:shd w:val="clear" w:color="auto" w:fill="FFFFFF"/>
        </w:rPr>
      </w:pPr>
      <w:r w:rsidRPr="00F34FBC">
        <w:rPr>
          <w:shd w:val="clear" w:color="auto" w:fill="FFFFFF"/>
        </w:rPr>
        <w:t>Searles, K. H., Zielonka, M. G., and Garzon, J. L. 2018. Fully Coupled 3-D Hydraulic Fracture Models—Development and Validation. In </w:t>
      </w:r>
      <w:r w:rsidRPr="00F34FBC">
        <w:rPr>
          <w:i/>
          <w:iCs/>
          <w:shd w:val="clear" w:color="auto" w:fill="FFFFFF"/>
        </w:rPr>
        <w:t>Hydraulic Fracture Modeling</w:t>
      </w:r>
      <w:r w:rsidRPr="00F34FBC">
        <w:rPr>
          <w:shd w:val="clear" w:color="auto" w:fill="FFFFFF"/>
        </w:rPr>
        <w:t> (pp. 155-193). Gulf Professional Publishing.</w:t>
      </w:r>
    </w:p>
    <w:p w14:paraId="1779451D" w14:textId="77777777" w:rsidR="00F34FBC" w:rsidRPr="00F34FBC" w:rsidRDefault="00F34FBC" w:rsidP="00F34FBC">
      <w:pPr>
        <w:spacing w:line="240" w:lineRule="auto"/>
        <w:ind w:left="720" w:hanging="720"/>
        <w:rPr>
          <w:shd w:val="clear" w:color="auto" w:fill="FFFFFF"/>
        </w:rPr>
      </w:pPr>
      <w:r w:rsidRPr="00F34FBC">
        <w:rPr>
          <w:shd w:val="clear" w:color="auto" w:fill="FFFFFF"/>
        </w:rPr>
        <w:t>SIMULIA. 2016. Abaqus Version 2016 Analysis User's Guide. Providence. Dassault Systèmes, RI, USA.</w:t>
      </w:r>
    </w:p>
    <w:p w14:paraId="225D2E65" w14:textId="77777777" w:rsidR="00F34FBC" w:rsidRPr="00F34FBC" w:rsidRDefault="00F34FBC" w:rsidP="00F34FBC">
      <w:pPr>
        <w:spacing w:line="240" w:lineRule="auto"/>
        <w:ind w:left="720" w:hanging="720"/>
        <w:rPr>
          <w:shd w:val="clear" w:color="auto" w:fill="FFFFFF"/>
          <w:lang w:val="nb-NO"/>
        </w:rPr>
      </w:pPr>
      <w:r w:rsidRPr="00F34FBC">
        <w:rPr>
          <w:shd w:val="clear" w:color="auto" w:fill="FFFFFF"/>
          <w:lang w:val="nb-NO"/>
        </w:rPr>
        <w:t xml:space="preserve">Skadsem, H. J., Kragset, S., and Sørbø, J. 2019. </w:t>
      </w:r>
      <w:r w:rsidRPr="00F34FBC">
        <w:rPr>
          <w:shd w:val="clear" w:color="auto" w:fill="FFFFFF"/>
        </w:rPr>
        <w:t>Cementing an Irregular Annulus Geometry: Full-Scale Experiments and 3D Simulations. In </w:t>
      </w:r>
      <w:r w:rsidRPr="00F34FBC">
        <w:rPr>
          <w:iCs/>
          <w:shd w:val="clear" w:color="auto" w:fill="FFFFFF"/>
        </w:rPr>
        <w:t>SPE/IADC International Drilling Conference and Exhibition</w:t>
      </w:r>
      <w:r w:rsidRPr="00F34FBC">
        <w:rPr>
          <w:shd w:val="clear" w:color="auto" w:fill="FFFFFF"/>
        </w:rPr>
        <w:t xml:space="preserve">, 5-7 March, The Hague, The Netherlands. </w:t>
      </w:r>
      <w:r w:rsidRPr="00F34FBC">
        <w:rPr>
          <w:shd w:val="clear" w:color="auto" w:fill="FFFFFF"/>
          <w:lang w:val="nb-NO"/>
        </w:rPr>
        <w:t xml:space="preserve">SPE-194091-MS. </w:t>
      </w:r>
      <w:hyperlink r:id="rId129" w:tgtFrame="_blank" w:history="1">
        <w:r w:rsidRPr="00F34FBC">
          <w:rPr>
            <w:rStyle w:val="Hyperlink"/>
            <w:rFonts w:cs="Times New Roman"/>
            <w:bCs/>
            <w:szCs w:val="24"/>
            <w:shd w:val="clear" w:color="auto" w:fill="FFFFFF"/>
            <w:lang w:val="nb-NO"/>
          </w:rPr>
          <w:t>https://doi.org/10.2118/194091-MS</w:t>
        </w:r>
      </w:hyperlink>
      <w:r w:rsidRPr="00F34FBC">
        <w:rPr>
          <w:shd w:val="clear" w:color="auto" w:fill="FFFFFF"/>
          <w:lang w:val="nb-NO"/>
        </w:rPr>
        <w:t>.</w:t>
      </w:r>
    </w:p>
    <w:p w14:paraId="6BC9AFC1" w14:textId="77777777" w:rsidR="00F34FBC" w:rsidRPr="00F34FBC" w:rsidRDefault="00F34FBC" w:rsidP="00F34FBC">
      <w:pPr>
        <w:spacing w:line="240" w:lineRule="auto"/>
        <w:ind w:left="720" w:hanging="720"/>
        <w:rPr>
          <w:shd w:val="clear" w:color="auto" w:fill="FFFFFF"/>
        </w:rPr>
      </w:pPr>
      <w:r w:rsidRPr="00F34FBC">
        <w:rPr>
          <w:shd w:val="clear" w:color="auto" w:fill="FFFFFF"/>
          <w:lang w:val="nb-NO"/>
        </w:rPr>
        <w:t xml:space="preserve">Skorpa, R. and Vrålstad, T. 2018. </w:t>
      </w:r>
      <w:r w:rsidRPr="00F34FBC">
        <w:rPr>
          <w:shd w:val="clear" w:color="auto" w:fill="FFFFFF"/>
        </w:rPr>
        <w:t>Visualization of fluid flow through cracks and microannuli in cement sheaths. </w:t>
      </w:r>
      <w:r w:rsidRPr="00F34FBC">
        <w:rPr>
          <w:i/>
          <w:iCs/>
          <w:shd w:val="clear" w:color="auto" w:fill="FFFFFF"/>
        </w:rPr>
        <w:t>SPE Journal</w:t>
      </w:r>
      <w:r w:rsidRPr="00F34FBC">
        <w:rPr>
          <w:shd w:val="clear" w:color="auto" w:fill="FFFFFF"/>
        </w:rPr>
        <w:t>, </w:t>
      </w:r>
      <w:r w:rsidRPr="00F34FBC">
        <w:rPr>
          <w:i/>
          <w:iCs/>
          <w:shd w:val="clear" w:color="auto" w:fill="FFFFFF"/>
        </w:rPr>
        <w:t>23</w:t>
      </w:r>
      <w:r w:rsidRPr="00F34FBC">
        <w:rPr>
          <w:shd w:val="clear" w:color="auto" w:fill="FFFFFF"/>
        </w:rPr>
        <w:t xml:space="preserve">(04), 1-067. SPE-180019-PA. </w:t>
      </w:r>
      <w:hyperlink r:id="rId130" w:history="1">
        <w:r w:rsidRPr="00F34FBC">
          <w:rPr>
            <w:rStyle w:val="Hyperlink"/>
            <w:rFonts w:cs="Times New Roman"/>
            <w:szCs w:val="24"/>
            <w:shd w:val="clear" w:color="auto" w:fill="FFFFFF"/>
          </w:rPr>
          <w:t>https://doi.org/10.2118/180019-PA</w:t>
        </w:r>
      </w:hyperlink>
      <w:r w:rsidRPr="00F34FBC">
        <w:rPr>
          <w:shd w:val="clear" w:color="auto" w:fill="FFFFFF"/>
        </w:rPr>
        <w:t xml:space="preserve">. </w:t>
      </w:r>
    </w:p>
    <w:p w14:paraId="336881DD" w14:textId="77777777" w:rsidR="00F34FBC" w:rsidRPr="00F34FBC" w:rsidRDefault="00F34FBC" w:rsidP="00F34FBC">
      <w:pPr>
        <w:spacing w:line="240" w:lineRule="auto"/>
        <w:ind w:left="720" w:hanging="720"/>
        <w:rPr>
          <w:shd w:val="clear" w:color="auto" w:fill="FFFFFF"/>
        </w:rPr>
      </w:pPr>
      <w:r w:rsidRPr="00F34FBC">
        <w:rPr>
          <w:shd w:val="clear" w:color="auto" w:fill="FFFFFF"/>
        </w:rPr>
        <w:t>Smith, D. K. 1987. </w:t>
      </w:r>
      <w:r w:rsidRPr="00F34FBC">
        <w:rPr>
          <w:i/>
          <w:iCs/>
          <w:shd w:val="clear" w:color="auto" w:fill="FFFFFF"/>
        </w:rPr>
        <w:t>Cementing</w:t>
      </w:r>
      <w:r w:rsidRPr="00F34FBC">
        <w:rPr>
          <w:shd w:val="clear" w:color="auto" w:fill="FFFFFF"/>
        </w:rPr>
        <w:t>: H.L. Doherty Memorial Fund of AIME, Society of Petroleum Engineers. 254.</w:t>
      </w:r>
    </w:p>
    <w:p w14:paraId="4B4AD3C6" w14:textId="77777777" w:rsidR="00F34FBC" w:rsidRPr="00F34FBC" w:rsidRDefault="00F34FBC" w:rsidP="00F34FBC">
      <w:pPr>
        <w:spacing w:line="240" w:lineRule="auto"/>
        <w:ind w:left="720" w:hanging="720"/>
        <w:rPr>
          <w:shd w:val="clear" w:color="auto" w:fill="FFFFFF"/>
        </w:rPr>
      </w:pPr>
      <w:r w:rsidRPr="00F34FBC">
        <w:rPr>
          <w:shd w:val="clear" w:color="auto" w:fill="FFFFFF"/>
        </w:rPr>
        <w:t>Smith, R. C. 1984. Successful Primary Cementing Can Be a Reality. </w:t>
      </w:r>
      <w:r w:rsidRPr="00F34FBC">
        <w:rPr>
          <w:i/>
          <w:iCs/>
          <w:shd w:val="clear" w:color="auto" w:fill="FFFFFF"/>
        </w:rPr>
        <w:t xml:space="preserve">Journal of Petroleum Technology </w:t>
      </w:r>
      <w:r w:rsidRPr="00F34FBC">
        <w:rPr>
          <w:bCs/>
          <w:shd w:val="clear" w:color="auto" w:fill="FFFFFF"/>
        </w:rPr>
        <w:t>36</w:t>
      </w:r>
      <w:r w:rsidRPr="00F34FBC">
        <w:rPr>
          <w:shd w:val="clear" w:color="auto" w:fill="FFFFFF"/>
        </w:rPr>
        <w:t> (11): 1851-1858. https://doi.org/10.2118/13498-PA.</w:t>
      </w:r>
    </w:p>
    <w:p w14:paraId="10AB40A1" w14:textId="77777777" w:rsidR="00F34FBC" w:rsidRPr="00F34FBC" w:rsidRDefault="00F34FBC" w:rsidP="00F34FBC">
      <w:pPr>
        <w:spacing w:line="240" w:lineRule="auto"/>
        <w:ind w:left="720" w:hanging="720"/>
        <w:rPr>
          <w:shd w:val="clear" w:color="auto" w:fill="FFFFFF"/>
        </w:rPr>
      </w:pPr>
      <w:r w:rsidRPr="00F34FBC">
        <w:rPr>
          <w:shd w:val="clear" w:color="auto" w:fill="FFFFFF"/>
          <w:lang w:val="nb-NO"/>
        </w:rPr>
        <w:t xml:space="preserve">Stormont, J. C., Fernandez, S. G., Taha, M. R. et al. 2018. </w:t>
      </w:r>
      <w:r w:rsidRPr="00F34FBC">
        <w:rPr>
          <w:shd w:val="clear" w:color="auto" w:fill="FFFFFF"/>
        </w:rPr>
        <w:t>Gas flow through cement-casing microannuli under varying stress conditions. </w:t>
      </w:r>
      <w:r w:rsidRPr="00F34FBC">
        <w:rPr>
          <w:i/>
          <w:iCs/>
          <w:shd w:val="clear" w:color="auto" w:fill="FFFFFF"/>
        </w:rPr>
        <w:t>Geomechanics for Energy and the Environment</w:t>
      </w:r>
      <w:r w:rsidRPr="00F34FBC">
        <w:rPr>
          <w:shd w:val="clear" w:color="auto" w:fill="FFFFFF"/>
        </w:rPr>
        <w:t>, </w:t>
      </w:r>
      <w:r w:rsidRPr="00F34FBC">
        <w:rPr>
          <w:i/>
          <w:iCs/>
          <w:shd w:val="clear" w:color="auto" w:fill="FFFFFF"/>
        </w:rPr>
        <w:t>13</w:t>
      </w:r>
      <w:r w:rsidRPr="00F34FBC">
        <w:rPr>
          <w:shd w:val="clear" w:color="auto" w:fill="FFFFFF"/>
        </w:rPr>
        <w:t xml:space="preserve">, 1-13. </w:t>
      </w:r>
      <w:hyperlink r:id="rId131" w:history="1">
        <w:r w:rsidRPr="00F34FBC">
          <w:rPr>
            <w:rStyle w:val="Hyperlink"/>
            <w:rFonts w:cs="Times New Roman"/>
            <w:szCs w:val="24"/>
            <w:shd w:val="clear" w:color="auto" w:fill="FFFFFF"/>
          </w:rPr>
          <w:t>https://doi.org/10.1016/j.gete.2017.12.001</w:t>
        </w:r>
      </w:hyperlink>
      <w:r w:rsidRPr="00F34FBC">
        <w:rPr>
          <w:shd w:val="clear" w:color="auto" w:fill="FFFFFF"/>
        </w:rPr>
        <w:t>.</w:t>
      </w:r>
    </w:p>
    <w:p w14:paraId="14DB10F8" w14:textId="77777777" w:rsidR="00F34FBC" w:rsidRPr="00F34FBC" w:rsidRDefault="00F34FBC" w:rsidP="00F34FBC">
      <w:pPr>
        <w:spacing w:line="240" w:lineRule="auto"/>
        <w:ind w:left="720" w:hanging="720"/>
        <w:rPr>
          <w:shd w:val="clear" w:color="auto" w:fill="FFFFFF"/>
        </w:rPr>
      </w:pPr>
      <w:r w:rsidRPr="00F34FBC">
        <w:rPr>
          <w:shd w:val="clear" w:color="auto" w:fill="FFFFFF"/>
        </w:rPr>
        <w:t>Sutera, S. P. and Skalak, R. 1993. The history of Poiseuille's law. </w:t>
      </w:r>
      <w:r w:rsidRPr="00F34FBC">
        <w:rPr>
          <w:i/>
          <w:iCs/>
          <w:shd w:val="clear" w:color="auto" w:fill="FFFFFF"/>
        </w:rPr>
        <w:t>Annual review of fluid mechanics</w:t>
      </w:r>
      <w:r w:rsidRPr="00F34FBC">
        <w:rPr>
          <w:shd w:val="clear" w:color="auto" w:fill="FFFFFF"/>
        </w:rPr>
        <w:t>, </w:t>
      </w:r>
      <w:r w:rsidRPr="00F34FBC">
        <w:rPr>
          <w:i/>
          <w:iCs/>
          <w:shd w:val="clear" w:color="auto" w:fill="FFFFFF"/>
        </w:rPr>
        <w:t>25</w:t>
      </w:r>
      <w:r w:rsidRPr="00F34FBC">
        <w:rPr>
          <w:shd w:val="clear" w:color="auto" w:fill="FFFFFF"/>
        </w:rPr>
        <w:t>(1), 1-20.</w:t>
      </w:r>
    </w:p>
    <w:p w14:paraId="3326C194" w14:textId="77777777" w:rsidR="00F34FBC" w:rsidRPr="00F34FBC" w:rsidRDefault="00F34FBC" w:rsidP="00F34FBC">
      <w:pPr>
        <w:spacing w:line="240" w:lineRule="auto"/>
        <w:ind w:left="720" w:hanging="720"/>
        <w:rPr>
          <w:shd w:val="clear" w:color="auto" w:fill="FFFFFF"/>
        </w:rPr>
      </w:pPr>
      <w:r w:rsidRPr="00F34FBC">
        <w:rPr>
          <w:shd w:val="clear" w:color="auto" w:fill="FFFFFF"/>
        </w:rPr>
        <w:t>Tarco, J. C., and Asghari, K. 2010. Experimental study of stability and integrity of cement in wellbores used for CO2 storage. </w:t>
      </w:r>
      <w:r w:rsidRPr="00F34FBC">
        <w:rPr>
          <w:i/>
          <w:iCs/>
          <w:shd w:val="clear" w:color="auto" w:fill="FFFFFF"/>
        </w:rPr>
        <w:t>Journal of Canadian Petroleum Technology</w:t>
      </w:r>
      <w:r w:rsidRPr="00F34FBC">
        <w:rPr>
          <w:shd w:val="clear" w:color="auto" w:fill="FFFFFF"/>
        </w:rPr>
        <w:t>, </w:t>
      </w:r>
      <w:r w:rsidRPr="00F34FBC">
        <w:rPr>
          <w:i/>
          <w:iCs/>
          <w:shd w:val="clear" w:color="auto" w:fill="FFFFFF"/>
        </w:rPr>
        <w:t>49</w:t>
      </w:r>
      <w:r w:rsidRPr="00F34FBC">
        <w:rPr>
          <w:shd w:val="clear" w:color="auto" w:fill="FFFFFF"/>
        </w:rPr>
        <w:t xml:space="preserve">(10), 37-44. SPE-142004-PA. </w:t>
      </w:r>
      <w:hyperlink r:id="rId132" w:tgtFrame="_blank" w:history="1">
        <w:r w:rsidRPr="00F34FBC">
          <w:rPr>
            <w:rStyle w:val="Hyperlink"/>
            <w:rFonts w:cs="Times New Roman"/>
            <w:bCs/>
            <w:szCs w:val="24"/>
            <w:shd w:val="clear" w:color="auto" w:fill="FFFFFF"/>
          </w:rPr>
          <w:t>https://doi.org/10.2118/142004-PA</w:t>
        </w:r>
      </w:hyperlink>
      <w:r w:rsidRPr="00F34FBC">
        <w:rPr>
          <w:shd w:val="clear" w:color="auto" w:fill="FFFFFF"/>
        </w:rPr>
        <w:t xml:space="preserve">. </w:t>
      </w:r>
    </w:p>
    <w:p w14:paraId="70DD092E" w14:textId="77777777" w:rsidR="00F34FBC" w:rsidRPr="00F34FBC" w:rsidRDefault="00F34FBC" w:rsidP="00F34FBC">
      <w:pPr>
        <w:spacing w:line="240" w:lineRule="auto"/>
        <w:ind w:left="720" w:hanging="720"/>
        <w:rPr>
          <w:shd w:val="clear" w:color="auto" w:fill="FFFFFF"/>
        </w:rPr>
      </w:pPr>
      <w:r w:rsidRPr="00F34FBC">
        <w:rPr>
          <w:shd w:val="clear" w:color="auto" w:fill="FFFFFF"/>
          <w:lang w:val="nb-NO"/>
        </w:rPr>
        <w:t xml:space="preserve">Teodoriu, C., Yuan, Z., Schubert, J. et al. 2012. </w:t>
      </w:r>
      <w:r w:rsidRPr="00F34FBC">
        <w:rPr>
          <w:shd w:val="clear" w:color="auto" w:fill="FFFFFF"/>
        </w:rPr>
        <w:t>Experimental Measurements of Mechanical Parameters of Class G Cement. In </w:t>
      </w:r>
      <w:r w:rsidRPr="00F34FBC">
        <w:rPr>
          <w:iCs/>
          <w:shd w:val="clear" w:color="auto" w:fill="FFFFFF"/>
        </w:rPr>
        <w:t xml:space="preserve">SPE/EAGE European Unconventional Resources Conference &amp; Exhibition-From Potential to Production, 20-22 March, Vienna, Austria. </w:t>
      </w:r>
      <w:hyperlink r:id="rId133" w:history="1">
        <w:r w:rsidRPr="00F34FBC">
          <w:rPr>
            <w:rStyle w:val="Hyperlink"/>
            <w:rFonts w:cs="Times New Roman"/>
            <w:iCs/>
            <w:szCs w:val="24"/>
            <w:shd w:val="clear" w:color="auto" w:fill="FFFFFF"/>
          </w:rPr>
          <w:t>https://doi.org/10.3997/2214-4609-pdb.285.spe153007</w:t>
        </w:r>
      </w:hyperlink>
      <w:r w:rsidRPr="00F34FBC">
        <w:rPr>
          <w:shd w:val="clear" w:color="auto" w:fill="FFFFFF"/>
        </w:rPr>
        <w:t>.</w:t>
      </w:r>
    </w:p>
    <w:p w14:paraId="6AB60F50" w14:textId="77777777" w:rsidR="00F34FBC" w:rsidRPr="00F34FBC" w:rsidRDefault="00F34FBC" w:rsidP="00F34FBC">
      <w:pPr>
        <w:spacing w:line="240" w:lineRule="auto"/>
        <w:ind w:left="720" w:hanging="720"/>
        <w:rPr>
          <w:shd w:val="clear" w:color="auto" w:fill="FFFFFF"/>
        </w:rPr>
      </w:pPr>
      <w:r w:rsidRPr="00F34FBC">
        <w:rPr>
          <w:shd w:val="clear" w:color="auto" w:fill="FFFFFF"/>
        </w:rPr>
        <w:t xml:space="preserve">Turon, A., Dávila, C.G., Camanho, P.P. et al. 2006. An engineering solution for mesh size effects in the simulation of delamination using cohesive zone models. </w:t>
      </w:r>
      <w:r w:rsidRPr="00F34FBC">
        <w:rPr>
          <w:i/>
          <w:shd w:val="clear" w:color="auto" w:fill="FFFFFF"/>
        </w:rPr>
        <w:t>Engineering Fracture Mechanics</w:t>
      </w:r>
      <w:r w:rsidRPr="00F34FBC">
        <w:rPr>
          <w:shd w:val="clear" w:color="auto" w:fill="FFFFFF"/>
        </w:rPr>
        <w:t xml:space="preserve"> 74(2007): 1665-1682. </w:t>
      </w:r>
      <w:hyperlink r:id="rId134" w:tgtFrame="_blank" w:tooltip="Persistent link using digital object identifier" w:history="1">
        <w:r w:rsidRPr="00F34FBC">
          <w:rPr>
            <w:rStyle w:val="Hyperlink"/>
            <w:rFonts w:cs="Times New Roman"/>
            <w:szCs w:val="24"/>
            <w:shd w:val="clear" w:color="auto" w:fill="FFFFFF"/>
          </w:rPr>
          <w:t>https://doi.org/10.1016/j.engfracmech.2006.08.025</w:t>
        </w:r>
      </w:hyperlink>
      <w:r w:rsidRPr="00F34FBC">
        <w:rPr>
          <w:shd w:val="clear" w:color="auto" w:fill="FFFFFF"/>
        </w:rPr>
        <w:t>.</w:t>
      </w:r>
    </w:p>
    <w:p w14:paraId="65765597" w14:textId="77777777" w:rsidR="00F34FBC" w:rsidRPr="00F34FBC" w:rsidRDefault="00F34FBC" w:rsidP="00F34FBC">
      <w:pPr>
        <w:spacing w:line="240" w:lineRule="auto"/>
        <w:ind w:left="720" w:hanging="720"/>
        <w:rPr>
          <w:shd w:val="clear" w:color="auto" w:fill="FFFFFF"/>
        </w:rPr>
      </w:pPr>
      <w:r w:rsidRPr="00F34FBC">
        <w:rPr>
          <w:shd w:val="clear" w:color="auto" w:fill="FFFFFF"/>
        </w:rPr>
        <w:t xml:space="preserve">Vignes, B. and Aadnoy, B. 2008. Well Integrity Issues Offshore Norway. In IADC/SPE Drilling Conference, 4-6 March, Orlando, Florida, USA. SPE-112535-MS. </w:t>
      </w:r>
      <w:hyperlink r:id="rId135" w:history="1">
        <w:r w:rsidRPr="00F34FBC">
          <w:rPr>
            <w:rStyle w:val="Hyperlink"/>
            <w:rFonts w:cs="Times New Roman"/>
            <w:szCs w:val="24"/>
            <w:shd w:val="clear" w:color="auto" w:fill="FFFFFF"/>
          </w:rPr>
          <w:t>https://doi.org/10.2118/112535-MS</w:t>
        </w:r>
      </w:hyperlink>
      <w:r w:rsidRPr="00F34FBC">
        <w:rPr>
          <w:shd w:val="clear" w:color="auto" w:fill="FFFFFF"/>
        </w:rPr>
        <w:t>.</w:t>
      </w:r>
    </w:p>
    <w:p w14:paraId="07BE606B" w14:textId="77777777" w:rsidR="00F34FBC" w:rsidRPr="00F34FBC" w:rsidRDefault="00F34FBC" w:rsidP="00F34FBC">
      <w:pPr>
        <w:spacing w:line="240" w:lineRule="auto"/>
        <w:ind w:left="720" w:hanging="720"/>
        <w:rPr>
          <w:shd w:val="clear" w:color="auto" w:fill="FFFFFF"/>
        </w:rPr>
      </w:pPr>
      <w:r w:rsidRPr="00F34FBC">
        <w:rPr>
          <w:shd w:val="clear" w:color="auto" w:fill="FFFFFF"/>
        </w:rPr>
        <w:t>Vrålstad, T. and Skorpa, R. 2020. Digital Cement Integrity: A Methodology for 3D Visualization of Cracks and Microannuli in Well Cement. </w:t>
      </w:r>
      <w:r w:rsidRPr="00F34FBC">
        <w:rPr>
          <w:i/>
          <w:iCs/>
          <w:shd w:val="clear" w:color="auto" w:fill="FFFFFF"/>
        </w:rPr>
        <w:t>Sustainability</w:t>
      </w:r>
      <w:r w:rsidRPr="00F34FBC">
        <w:rPr>
          <w:shd w:val="clear" w:color="auto" w:fill="FFFFFF"/>
        </w:rPr>
        <w:t>, </w:t>
      </w:r>
      <w:r w:rsidRPr="00F34FBC">
        <w:rPr>
          <w:i/>
          <w:iCs/>
          <w:shd w:val="clear" w:color="auto" w:fill="FFFFFF"/>
        </w:rPr>
        <w:t>12</w:t>
      </w:r>
      <w:r w:rsidRPr="00F34FBC">
        <w:rPr>
          <w:shd w:val="clear" w:color="auto" w:fill="FFFFFF"/>
        </w:rPr>
        <w:t>(10), 4128.</w:t>
      </w:r>
    </w:p>
    <w:p w14:paraId="2D85A531" w14:textId="77777777" w:rsidR="00F34FBC" w:rsidRPr="00F34FBC" w:rsidRDefault="00F34FBC" w:rsidP="00F34FBC">
      <w:pPr>
        <w:spacing w:line="240" w:lineRule="auto"/>
        <w:ind w:left="720" w:hanging="720"/>
        <w:rPr>
          <w:shd w:val="clear" w:color="auto" w:fill="FFFFFF"/>
        </w:rPr>
      </w:pPr>
      <w:r w:rsidRPr="00F34FBC">
        <w:rPr>
          <w:shd w:val="clear" w:color="auto" w:fill="FFFFFF"/>
        </w:rPr>
        <w:t>Vrålstad, T., Saasen, A., Fjær, E. et al. 2018. Plug &amp; abandonment of offshore wells: Ensuring long-term well integrity and cost-efficiency. </w:t>
      </w:r>
      <w:r w:rsidRPr="00F34FBC">
        <w:rPr>
          <w:i/>
          <w:iCs/>
          <w:shd w:val="clear" w:color="auto" w:fill="FFFFFF"/>
        </w:rPr>
        <w:t>Journal of Petroleum Science and Engineering</w:t>
      </w:r>
      <w:r w:rsidRPr="00F34FBC">
        <w:rPr>
          <w:shd w:val="clear" w:color="auto" w:fill="FFFFFF"/>
        </w:rPr>
        <w:t>, </w:t>
      </w:r>
      <w:r w:rsidRPr="00F34FBC">
        <w:rPr>
          <w:i/>
          <w:iCs/>
          <w:shd w:val="clear" w:color="auto" w:fill="FFFFFF"/>
        </w:rPr>
        <w:t>173</w:t>
      </w:r>
      <w:r w:rsidRPr="00F34FBC">
        <w:rPr>
          <w:shd w:val="clear" w:color="auto" w:fill="FFFFFF"/>
        </w:rPr>
        <w:t xml:space="preserve">, 478-491. </w:t>
      </w:r>
      <w:hyperlink r:id="rId136" w:tgtFrame="_blank" w:tooltip="Persistent link using digital object identifier" w:history="1">
        <w:r w:rsidRPr="00F34FBC">
          <w:rPr>
            <w:rStyle w:val="Hyperlink"/>
            <w:rFonts w:cs="Times New Roman"/>
            <w:szCs w:val="24"/>
            <w:shd w:val="clear" w:color="auto" w:fill="FFFFFF"/>
          </w:rPr>
          <w:t>https://doi.org/10.1016/j.petrol.2018.10.049</w:t>
        </w:r>
      </w:hyperlink>
      <w:r w:rsidRPr="00F34FBC">
        <w:rPr>
          <w:shd w:val="clear" w:color="auto" w:fill="FFFFFF"/>
        </w:rPr>
        <w:t>.</w:t>
      </w:r>
    </w:p>
    <w:p w14:paraId="7B1F04BD" w14:textId="77777777" w:rsidR="00F34FBC" w:rsidRPr="00F34FBC" w:rsidRDefault="00F34FBC" w:rsidP="00F34FBC">
      <w:pPr>
        <w:spacing w:line="240" w:lineRule="auto"/>
        <w:ind w:left="720" w:hanging="720"/>
        <w:rPr>
          <w:shd w:val="clear" w:color="auto" w:fill="FFFFFF"/>
        </w:rPr>
      </w:pPr>
      <w:r w:rsidRPr="00F34FBC">
        <w:rPr>
          <w:shd w:val="clear" w:color="auto" w:fill="FFFFFF"/>
        </w:rPr>
        <w:t>Vrålstad, T., Skorpa, R., Opedal, N. et al. 2015. Effect of thermal cycling on cement sheath integrity: Realistic experimental tests and simulation of resulting leakages. In </w:t>
      </w:r>
      <w:r w:rsidRPr="00F34FBC">
        <w:rPr>
          <w:iCs/>
          <w:shd w:val="clear" w:color="auto" w:fill="FFFFFF"/>
        </w:rPr>
        <w:t xml:space="preserve">SPE Thermal </w:t>
      </w:r>
      <w:r w:rsidRPr="00F34FBC">
        <w:rPr>
          <w:iCs/>
          <w:shd w:val="clear" w:color="auto" w:fill="FFFFFF"/>
        </w:rPr>
        <w:lastRenderedPageBreak/>
        <w:t>Well Integrity and Design Symposium, 23-25 November, Banff, Alberta, Canada</w:t>
      </w:r>
      <w:r w:rsidRPr="00F34FBC">
        <w:rPr>
          <w:shd w:val="clear" w:color="auto" w:fill="FFFFFF"/>
        </w:rPr>
        <w:t xml:space="preserve">. SPE-178467-MS. </w:t>
      </w:r>
      <w:hyperlink r:id="rId137" w:tgtFrame="_blank" w:history="1">
        <w:r w:rsidRPr="00F34FBC">
          <w:rPr>
            <w:rStyle w:val="Hyperlink"/>
            <w:rFonts w:cs="Times New Roman"/>
            <w:bCs/>
            <w:szCs w:val="24"/>
            <w:shd w:val="clear" w:color="auto" w:fill="FFFFFF"/>
          </w:rPr>
          <w:t>https://doi.org/10.2118/178467-MS</w:t>
        </w:r>
      </w:hyperlink>
      <w:r w:rsidRPr="00F34FBC">
        <w:rPr>
          <w:shd w:val="clear" w:color="auto" w:fill="FFFFFF"/>
        </w:rPr>
        <w:t>.</w:t>
      </w:r>
    </w:p>
    <w:p w14:paraId="7005D2D9" w14:textId="77777777" w:rsidR="00F34FBC" w:rsidRPr="00F34FBC" w:rsidRDefault="00F34FBC" w:rsidP="00F34FBC">
      <w:pPr>
        <w:spacing w:line="240" w:lineRule="auto"/>
        <w:ind w:left="720" w:hanging="720"/>
        <w:rPr>
          <w:shd w:val="clear" w:color="auto" w:fill="FFFFFF"/>
        </w:rPr>
      </w:pPr>
      <w:r w:rsidRPr="00F34FBC">
        <w:rPr>
          <w:shd w:val="clear" w:color="auto" w:fill="FFFFFF"/>
        </w:rPr>
        <w:t>Vu, M. H., Bois, A. P., and Badalamenti, A. 2018. Gas Migration Modeling to Prevent Sustained Casing Pressure and Casing Vent Flow. In </w:t>
      </w:r>
      <w:r w:rsidRPr="00F34FBC">
        <w:rPr>
          <w:iCs/>
          <w:shd w:val="clear" w:color="auto" w:fill="FFFFFF"/>
        </w:rPr>
        <w:t xml:space="preserve">SPE/IADC Middle East Drilling Technology Conference and Exhibition, 29-31 January, Abu Dhabi, UAE. SPE-189384-MS. </w:t>
      </w:r>
      <w:hyperlink r:id="rId138" w:tgtFrame="_blank" w:history="1">
        <w:r w:rsidRPr="00F34FBC">
          <w:rPr>
            <w:rStyle w:val="Hyperlink"/>
            <w:rFonts w:cs="Times New Roman"/>
            <w:bCs/>
            <w:iCs/>
            <w:szCs w:val="24"/>
            <w:shd w:val="clear" w:color="auto" w:fill="FFFFFF"/>
          </w:rPr>
          <w:t>https://doi.org/10.2118/189384-MS</w:t>
        </w:r>
      </w:hyperlink>
      <w:r w:rsidRPr="00F34FBC">
        <w:rPr>
          <w:shd w:val="clear" w:color="auto" w:fill="FFFFFF"/>
        </w:rPr>
        <w:t xml:space="preserve">. </w:t>
      </w:r>
    </w:p>
    <w:p w14:paraId="2A76C957" w14:textId="77777777" w:rsidR="00F34FBC" w:rsidRPr="00F34FBC" w:rsidRDefault="00F34FBC" w:rsidP="00F34FBC">
      <w:pPr>
        <w:spacing w:line="240" w:lineRule="auto"/>
        <w:ind w:left="720" w:hanging="720"/>
        <w:rPr>
          <w:shd w:val="clear" w:color="auto" w:fill="FFFFFF"/>
        </w:rPr>
      </w:pPr>
      <w:r w:rsidRPr="00F34FBC">
        <w:rPr>
          <w:shd w:val="clear" w:color="auto" w:fill="FFFFFF"/>
        </w:rPr>
        <w:t>Wang, H. F. 2017. </w:t>
      </w:r>
      <w:r w:rsidRPr="00F34FBC">
        <w:rPr>
          <w:i/>
          <w:iCs/>
          <w:shd w:val="clear" w:color="auto" w:fill="FFFFFF"/>
        </w:rPr>
        <w:t>Theory of linear poroelasticity with applications to geomechanics and hydrogeology</w:t>
      </w:r>
      <w:r w:rsidRPr="00F34FBC">
        <w:rPr>
          <w:shd w:val="clear" w:color="auto" w:fill="FFFFFF"/>
        </w:rPr>
        <w:t>. Princeton University Press.</w:t>
      </w:r>
    </w:p>
    <w:p w14:paraId="2A16E7D9" w14:textId="77777777" w:rsidR="00F34FBC" w:rsidRPr="00F34FBC" w:rsidRDefault="00F34FBC" w:rsidP="00F34FBC">
      <w:pPr>
        <w:spacing w:line="240" w:lineRule="auto"/>
        <w:ind w:left="720" w:hanging="720"/>
        <w:rPr>
          <w:shd w:val="clear" w:color="auto" w:fill="FFFFFF"/>
        </w:rPr>
      </w:pPr>
      <w:r w:rsidRPr="00F34FBC">
        <w:rPr>
          <w:shd w:val="clear" w:color="auto" w:fill="FFFFFF"/>
        </w:rPr>
        <w:t>Wang, W. and Taleghani, A. D. 2014. Three-dimensional analysis of cement sheath integrity around Wellbores. </w:t>
      </w:r>
      <w:r w:rsidRPr="00F34FBC">
        <w:rPr>
          <w:i/>
          <w:iCs/>
          <w:shd w:val="clear" w:color="auto" w:fill="FFFFFF"/>
        </w:rPr>
        <w:t>Journal of Petroleum Science and Engineering</w:t>
      </w:r>
      <w:r w:rsidRPr="00F34FBC">
        <w:rPr>
          <w:shd w:val="clear" w:color="auto" w:fill="FFFFFF"/>
        </w:rPr>
        <w:t>, </w:t>
      </w:r>
      <w:r w:rsidRPr="00F34FBC">
        <w:rPr>
          <w:i/>
          <w:iCs/>
          <w:shd w:val="clear" w:color="auto" w:fill="FFFFFF"/>
        </w:rPr>
        <w:t>121</w:t>
      </w:r>
      <w:r w:rsidRPr="00F34FBC">
        <w:rPr>
          <w:shd w:val="clear" w:color="auto" w:fill="FFFFFF"/>
        </w:rPr>
        <w:t>, 38-51.</w:t>
      </w:r>
      <w:r w:rsidRPr="00F34FBC">
        <w:rPr>
          <w:shd w:val="clear" w:color="auto" w:fill="FFFFFF"/>
        </w:rPr>
        <w:tab/>
        <w:t xml:space="preserve"> </w:t>
      </w:r>
      <w:hyperlink r:id="rId139" w:tgtFrame="_blank" w:tooltip="Persistent link using digital object identifier" w:history="1">
        <w:r w:rsidRPr="00F34FBC">
          <w:rPr>
            <w:rStyle w:val="Hyperlink"/>
            <w:rFonts w:cs="Times New Roman"/>
            <w:szCs w:val="24"/>
            <w:shd w:val="clear" w:color="auto" w:fill="FFFFFF"/>
          </w:rPr>
          <w:t>https://doi.org/10.1016/j.petrol.2014.05.024</w:t>
        </w:r>
      </w:hyperlink>
      <w:r w:rsidRPr="00F34FBC">
        <w:rPr>
          <w:shd w:val="clear" w:color="auto" w:fill="FFFFFF"/>
        </w:rPr>
        <w:t>.</w:t>
      </w:r>
    </w:p>
    <w:p w14:paraId="4BC9301F" w14:textId="77777777" w:rsidR="00F34FBC" w:rsidRPr="00F34FBC" w:rsidRDefault="00F34FBC" w:rsidP="00F34FBC">
      <w:pPr>
        <w:spacing w:line="240" w:lineRule="auto"/>
        <w:ind w:left="720" w:hanging="720"/>
        <w:rPr>
          <w:shd w:val="clear" w:color="auto" w:fill="FFFFFF"/>
        </w:rPr>
      </w:pPr>
      <w:r w:rsidRPr="00F34FBC">
        <w:rPr>
          <w:shd w:val="clear" w:color="auto" w:fill="FFFFFF"/>
        </w:rPr>
        <w:t>Watson, T. L. and Bachu, S. 2008. Identification of wells with high CO2-leakage potential in mature oil fields developed for CO2-enhanced oil recovery. In </w:t>
      </w:r>
      <w:r w:rsidRPr="00F34FBC">
        <w:rPr>
          <w:iCs/>
          <w:shd w:val="clear" w:color="auto" w:fill="FFFFFF"/>
        </w:rPr>
        <w:t>SPE Symposium on Improved Oil Recovery</w:t>
      </w:r>
      <w:r w:rsidRPr="00F34FBC">
        <w:rPr>
          <w:shd w:val="clear" w:color="auto" w:fill="FFFFFF"/>
        </w:rPr>
        <w:t xml:space="preserve">, 20-23 April, Tulsa, Oklahoma, USA. SPE-112924-MS. </w:t>
      </w:r>
      <w:hyperlink r:id="rId140" w:history="1">
        <w:r w:rsidRPr="00F34FBC">
          <w:rPr>
            <w:rStyle w:val="Hyperlink"/>
            <w:rFonts w:cs="Times New Roman"/>
            <w:szCs w:val="24"/>
            <w:shd w:val="clear" w:color="auto" w:fill="FFFFFF"/>
          </w:rPr>
          <w:t>https://doi.org/10.2118/112924-MS</w:t>
        </w:r>
      </w:hyperlink>
      <w:r w:rsidRPr="00F34FBC">
        <w:rPr>
          <w:shd w:val="clear" w:color="auto" w:fill="FFFFFF"/>
        </w:rPr>
        <w:t xml:space="preserve">. </w:t>
      </w:r>
    </w:p>
    <w:p w14:paraId="0047E943" w14:textId="77777777" w:rsidR="00F34FBC" w:rsidRPr="00F34FBC" w:rsidRDefault="00F34FBC" w:rsidP="00F34FBC">
      <w:pPr>
        <w:spacing w:line="240" w:lineRule="auto"/>
        <w:ind w:left="720" w:hanging="720"/>
        <w:rPr>
          <w:shd w:val="clear" w:color="auto" w:fill="FFFFFF"/>
        </w:rPr>
      </w:pPr>
      <w:r w:rsidRPr="00F34FBC">
        <w:rPr>
          <w:shd w:val="clear" w:color="auto" w:fill="FFFFFF"/>
        </w:rPr>
        <w:t xml:space="preserve">Watson, T. L., and Bachu, S. 2007. Evaluation of the potential for gas and CO2 leakage along wellbores. In E&amp;P Environmental and Safety Conference, 5-7 March, Galveston, Texas, USA. SPE-106817-MS. </w:t>
      </w:r>
      <w:hyperlink r:id="rId141" w:history="1">
        <w:r w:rsidRPr="00F34FBC">
          <w:rPr>
            <w:rStyle w:val="Hyperlink"/>
            <w:rFonts w:cs="Times New Roman"/>
            <w:szCs w:val="24"/>
            <w:shd w:val="clear" w:color="auto" w:fill="FFFFFF"/>
          </w:rPr>
          <w:t>https://doi.org/10.2118/106817-MS</w:t>
        </w:r>
      </w:hyperlink>
      <w:r w:rsidRPr="00F34FBC">
        <w:rPr>
          <w:shd w:val="clear" w:color="auto" w:fill="FFFFFF"/>
        </w:rPr>
        <w:t xml:space="preserve">. </w:t>
      </w:r>
    </w:p>
    <w:p w14:paraId="61CC5434" w14:textId="77777777" w:rsidR="00F34FBC" w:rsidRPr="00F34FBC" w:rsidRDefault="00F34FBC" w:rsidP="00F34FBC">
      <w:pPr>
        <w:spacing w:line="240" w:lineRule="auto"/>
        <w:ind w:left="720" w:hanging="720"/>
        <w:rPr>
          <w:shd w:val="clear" w:color="auto" w:fill="FFFFFF"/>
        </w:rPr>
      </w:pPr>
      <w:r w:rsidRPr="00F34FBC">
        <w:rPr>
          <w:shd w:val="clear" w:color="auto" w:fill="FFFFFF"/>
        </w:rPr>
        <w:t>Watson, T. L., and Bachu, S. 2009. Evaluation of the potential for gas and CO2 leakage along wellbores. </w:t>
      </w:r>
      <w:r w:rsidRPr="00F34FBC">
        <w:rPr>
          <w:i/>
          <w:iCs/>
          <w:shd w:val="clear" w:color="auto" w:fill="FFFFFF"/>
        </w:rPr>
        <w:t>SPE Drilling &amp; Completion</w:t>
      </w:r>
      <w:r w:rsidRPr="00F34FBC">
        <w:rPr>
          <w:shd w:val="clear" w:color="auto" w:fill="FFFFFF"/>
        </w:rPr>
        <w:t>, </w:t>
      </w:r>
      <w:r w:rsidRPr="00F34FBC">
        <w:rPr>
          <w:i/>
          <w:iCs/>
          <w:shd w:val="clear" w:color="auto" w:fill="FFFFFF"/>
        </w:rPr>
        <w:t>24</w:t>
      </w:r>
      <w:r w:rsidRPr="00F34FBC">
        <w:rPr>
          <w:shd w:val="clear" w:color="auto" w:fill="FFFFFF"/>
        </w:rPr>
        <w:t xml:space="preserve">(01), 115-126. SPE-106817-PA. </w:t>
      </w:r>
      <w:hyperlink r:id="rId142" w:history="1">
        <w:r w:rsidRPr="00F34FBC">
          <w:rPr>
            <w:rStyle w:val="Hyperlink"/>
            <w:rFonts w:cs="Times New Roman"/>
            <w:szCs w:val="24"/>
            <w:shd w:val="clear" w:color="auto" w:fill="FFFFFF"/>
          </w:rPr>
          <w:t>Https://doi.org/10.2118/106817-PA</w:t>
        </w:r>
      </w:hyperlink>
      <w:r w:rsidRPr="00F34FBC">
        <w:rPr>
          <w:shd w:val="clear" w:color="auto" w:fill="FFFFFF"/>
        </w:rPr>
        <w:t xml:space="preserve">. </w:t>
      </w:r>
    </w:p>
    <w:p w14:paraId="76C736D1" w14:textId="77777777" w:rsidR="00F34FBC" w:rsidRPr="00F34FBC" w:rsidRDefault="00F34FBC" w:rsidP="00F34FBC">
      <w:pPr>
        <w:spacing w:line="240" w:lineRule="auto"/>
        <w:ind w:left="720" w:hanging="720"/>
        <w:rPr>
          <w:shd w:val="clear" w:color="auto" w:fill="FFFFFF"/>
        </w:rPr>
      </w:pPr>
      <w:r w:rsidRPr="00F34FBC">
        <w:rPr>
          <w:shd w:val="clear" w:color="auto" w:fill="FFFFFF"/>
        </w:rPr>
        <w:t>Weideman, B. and Nygaard, R. 2014. </w:t>
      </w:r>
      <w:r w:rsidRPr="00F34FBC">
        <w:rPr>
          <w:iCs/>
          <w:shd w:val="clear" w:color="auto" w:fill="FFFFFF"/>
        </w:rPr>
        <w:t>How cement operations affect your cement sheath short and long term integrity.</w:t>
      </w:r>
      <w:r w:rsidRPr="00F34FBC">
        <w:rPr>
          <w:shd w:val="clear" w:color="auto" w:fill="FFFFFF"/>
        </w:rPr>
        <w:t xml:space="preserve"> In 2014 American Association of Drilling Engineers Fluids Technical Conference and Exhibition, April 15-16, Houston, TX, USA. AADE-14-FTCE-20. </w:t>
      </w:r>
    </w:p>
    <w:p w14:paraId="538ED5AD" w14:textId="77777777" w:rsidR="00F34FBC" w:rsidRPr="00F34FBC" w:rsidRDefault="00F34FBC" w:rsidP="00F34FBC">
      <w:pPr>
        <w:spacing w:line="240" w:lineRule="auto"/>
        <w:ind w:left="720" w:hanging="720"/>
        <w:rPr>
          <w:shd w:val="clear" w:color="auto" w:fill="FFFFFF"/>
        </w:rPr>
      </w:pPr>
      <w:r w:rsidRPr="00F34FBC">
        <w:rPr>
          <w:shd w:val="clear" w:color="auto" w:fill="FFFFFF"/>
        </w:rPr>
        <w:t xml:space="preserve">Weideman, B.L. 2014. Investigation of Cased Wellbore Integrity in the Wabamun Area Sequestration Project. </w:t>
      </w:r>
      <w:r w:rsidRPr="00F34FBC">
        <w:rPr>
          <w:i/>
          <w:shd w:val="clear" w:color="auto" w:fill="FFFFFF"/>
        </w:rPr>
        <w:t>MS Thesis</w:t>
      </w:r>
      <w:r w:rsidRPr="00F34FBC">
        <w:rPr>
          <w:shd w:val="clear" w:color="auto" w:fill="FFFFFF"/>
        </w:rPr>
        <w:t>, Missouri University of Science and Technology, Rolla, MO.</w:t>
      </w:r>
    </w:p>
    <w:p w14:paraId="29A84177" w14:textId="77777777" w:rsidR="00F34FBC" w:rsidRPr="00F34FBC" w:rsidRDefault="00F34FBC" w:rsidP="00F34FBC">
      <w:pPr>
        <w:spacing w:line="240" w:lineRule="auto"/>
        <w:ind w:left="720" w:hanging="720"/>
        <w:rPr>
          <w:shd w:val="clear" w:color="auto" w:fill="FFFFFF"/>
        </w:rPr>
      </w:pPr>
      <w:r w:rsidRPr="00F34FBC">
        <w:rPr>
          <w:shd w:val="clear" w:color="auto" w:fill="FFFFFF"/>
        </w:rPr>
        <w:t>White, F.M. 2011. </w:t>
      </w:r>
      <w:r w:rsidRPr="00F34FBC">
        <w:rPr>
          <w:i/>
          <w:iCs/>
          <w:shd w:val="clear" w:color="auto" w:fill="FFFFFF"/>
        </w:rPr>
        <w:t>Fluid Mechanics</w:t>
      </w:r>
      <w:r w:rsidRPr="00F34FBC">
        <w:rPr>
          <w:shd w:val="clear" w:color="auto" w:fill="FFFFFF"/>
        </w:rPr>
        <w:t>, seventh edition. New York, NY: McGraw-Hill.</w:t>
      </w:r>
    </w:p>
    <w:p w14:paraId="36E4301F" w14:textId="77777777" w:rsidR="00F34FBC" w:rsidRPr="00F34FBC" w:rsidRDefault="00F34FBC" w:rsidP="00F34FBC">
      <w:pPr>
        <w:spacing w:line="240" w:lineRule="auto"/>
        <w:ind w:left="720" w:hanging="720"/>
        <w:rPr>
          <w:shd w:val="clear" w:color="auto" w:fill="FFFFFF"/>
        </w:rPr>
      </w:pPr>
      <w:r w:rsidRPr="00F34FBC">
        <w:rPr>
          <w:shd w:val="clear" w:color="auto" w:fill="FFFFFF"/>
        </w:rPr>
        <w:t>Wise, J., Nygaard, R., and Hareland, G. 2019. Numerical Analysis of Wellbore Integrity and Cement Sheath Debonding for Wells in the Eugene Island OPD, Gulf of Mexico. In </w:t>
      </w:r>
      <w:r w:rsidRPr="00F34FBC">
        <w:rPr>
          <w:iCs/>
          <w:shd w:val="clear" w:color="auto" w:fill="FFFFFF"/>
        </w:rPr>
        <w:t>53rd US Rock Mechanics/Geomechanics Symposium</w:t>
      </w:r>
      <w:r w:rsidRPr="00F34FBC">
        <w:rPr>
          <w:shd w:val="clear" w:color="auto" w:fill="FFFFFF"/>
        </w:rPr>
        <w:t>, 23-26 June, New York City, New York, USA. ARMA-2019-0439.</w:t>
      </w:r>
    </w:p>
    <w:p w14:paraId="6B16F072" w14:textId="77777777" w:rsidR="00F34FBC" w:rsidRPr="00F34FBC" w:rsidRDefault="00F34FBC" w:rsidP="00F34FBC">
      <w:pPr>
        <w:spacing w:line="240" w:lineRule="auto"/>
        <w:ind w:left="720" w:hanging="720"/>
        <w:rPr>
          <w:shd w:val="clear" w:color="auto" w:fill="FFFFFF"/>
        </w:rPr>
      </w:pPr>
      <w:r w:rsidRPr="00F34FBC">
        <w:rPr>
          <w:shd w:val="clear" w:color="auto" w:fill="FFFFFF"/>
        </w:rPr>
        <w:t>Witherspoon, P. A., Wang, J. S., Iwai, K. et al. 1980. Validity of cubic law for fluid flow in a deformable rock fracture. </w:t>
      </w:r>
      <w:r w:rsidRPr="00F34FBC">
        <w:rPr>
          <w:i/>
          <w:iCs/>
          <w:shd w:val="clear" w:color="auto" w:fill="FFFFFF"/>
        </w:rPr>
        <w:t>Water resources research</w:t>
      </w:r>
      <w:r w:rsidRPr="00F34FBC">
        <w:rPr>
          <w:shd w:val="clear" w:color="auto" w:fill="FFFFFF"/>
        </w:rPr>
        <w:t>, </w:t>
      </w:r>
      <w:r w:rsidRPr="00F34FBC">
        <w:rPr>
          <w:i/>
          <w:iCs/>
          <w:shd w:val="clear" w:color="auto" w:fill="FFFFFF"/>
        </w:rPr>
        <w:t>16</w:t>
      </w:r>
      <w:r w:rsidRPr="00F34FBC">
        <w:rPr>
          <w:shd w:val="clear" w:color="auto" w:fill="FFFFFF"/>
        </w:rPr>
        <w:t>(6), 1016-1024.</w:t>
      </w:r>
    </w:p>
    <w:p w14:paraId="6A1347C9" w14:textId="77777777" w:rsidR="00F34FBC" w:rsidRPr="00F34FBC" w:rsidRDefault="00F34FBC" w:rsidP="00F34FBC">
      <w:pPr>
        <w:spacing w:line="240" w:lineRule="auto"/>
        <w:ind w:left="720" w:hanging="720"/>
        <w:rPr>
          <w:shd w:val="clear" w:color="auto" w:fill="FFFFFF"/>
        </w:rPr>
      </w:pPr>
      <w:r w:rsidRPr="00F34FBC">
        <w:rPr>
          <w:shd w:val="clear" w:color="auto" w:fill="FFFFFF"/>
        </w:rPr>
        <w:t xml:space="preserve">Wojtanowicz, A.K., Bourgoyne, A.T., Zhou, D. et al. 2000. Strength and Fracture Gradients for Shallow Marine Sediments. </w:t>
      </w:r>
      <w:r w:rsidRPr="00F34FBC">
        <w:rPr>
          <w:i/>
          <w:shd w:val="clear" w:color="auto" w:fill="FFFFFF"/>
        </w:rPr>
        <w:t>US Department of Interior Mineral Management Service Final Report.</w:t>
      </w:r>
    </w:p>
    <w:p w14:paraId="00B5EC53" w14:textId="77777777" w:rsidR="00F34FBC" w:rsidRPr="00F34FBC" w:rsidRDefault="00F34FBC" w:rsidP="00F34FBC">
      <w:pPr>
        <w:spacing w:line="240" w:lineRule="auto"/>
        <w:ind w:left="720" w:hanging="720"/>
        <w:rPr>
          <w:shd w:val="clear" w:color="auto" w:fill="FFFFFF"/>
        </w:rPr>
      </w:pPr>
      <w:r w:rsidRPr="00F34FBC">
        <w:rPr>
          <w:shd w:val="clear" w:color="auto" w:fill="FFFFFF"/>
        </w:rPr>
        <w:t>Wolterbeek, T. K. T., Cornelissen, E. K., Nolan, S. et al. 2021. Restoration of annular zonal isolation using localized casing expansion (LCE) technology: A proof of concept based on laboratory studies and field trial results. </w:t>
      </w:r>
      <w:r w:rsidRPr="00F34FBC">
        <w:rPr>
          <w:i/>
          <w:iCs/>
          <w:shd w:val="clear" w:color="auto" w:fill="FFFFFF"/>
        </w:rPr>
        <w:t>Journal of Petroleum Science and Engineering</w:t>
      </w:r>
      <w:r w:rsidRPr="00F34FBC">
        <w:rPr>
          <w:shd w:val="clear" w:color="auto" w:fill="FFFFFF"/>
        </w:rPr>
        <w:t>, 108103.</w:t>
      </w:r>
    </w:p>
    <w:p w14:paraId="5E37DAC2" w14:textId="77777777" w:rsidR="00F34FBC" w:rsidRPr="00F34FBC" w:rsidRDefault="00F34FBC" w:rsidP="00F34FBC">
      <w:pPr>
        <w:spacing w:line="240" w:lineRule="auto"/>
        <w:ind w:left="720" w:hanging="720"/>
        <w:rPr>
          <w:shd w:val="clear" w:color="auto" w:fill="FFFFFF"/>
        </w:rPr>
      </w:pPr>
      <w:r w:rsidRPr="00F34FBC">
        <w:rPr>
          <w:shd w:val="clear" w:color="auto" w:fill="FFFFFF"/>
        </w:rPr>
        <w:t xml:space="preserve">Won, J., Lee, D., Na, K. et al. 2015. Physical properties of G-class cement for geothermal well cementing in South Korea. </w:t>
      </w:r>
      <w:r w:rsidRPr="00F34FBC">
        <w:rPr>
          <w:i/>
          <w:shd w:val="clear" w:color="auto" w:fill="FFFFFF"/>
        </w:rPr>
        <w:t>Renewable Energy</w:t>
      </w:r>
      <w:r w:rsidRPr="00F34FBC">
        <w:rPr>
          <w:shd w:val="clear" w:color="auto" w:fill="FFFFFF"/>
        </w:rPr>
        <w:t xml:space="preserve"> 80(August 2015): 123-131. </w:t>
      </w:r>
      <w:hyperlink r:id="rId143" w:history="1">
        <w:r w:rsidRPr="00F34FBC">
          <w:rPr>
            <w:rStyle w:val="Hyperlink"/>
            <w:rFonts w:cs="Times New Roman"/>
            <w:szCs w:val="24"/>
            <w:shd w:val="clear" w:color="auto" w:fill="FFFFFF"/>
          </w:rPr>
          <w:t>https://doi.org/10.1016/j.renene.2015.01.067</w:t>
        </w:r>
      </w:hyperlink>
      <w:r w:rsidRPr="00F34FBC">
        <w:rPr>
          <w:shd w:val="clear" w:color="auto" w:fill="FFFFFF"/>
        </w:rPr>
        <w:t>.</w:t>
      </w:r>
    </w:p>
    <w:p w14:paraId="1FD01D92" w14:textId="77777777" w:rsidR="00F34FBC" w:rsidRPr="00F34FBC" w:rsidRDefault="00F34FBC" w:rsidP="00F34FBC">
      <w:pPr>
        <w:spacing w:line="240" w:lineRule="auto"/>
        <w:ind w:left="720" w:hanging="720"/>
        <w:rPr>
          <w:shd w:val="clear" w:color="auto" w:fill="FFFFFF"/>
        </w:rPr>
      </w:pPr>
      <w:r w:rsidRPr="00F34FBC">
        <w:rPr>
          <w:shd w:val="clear" w:color="auto" w:fill="FFFFFF"/>
        </w:rPr>
        <w:lastRenderedPageBreak/>
        <w:t>Xu, Y., Yan, Y., Xu, S. et al. 2020. Numerical Simulation Study on Propagation of Initial Microcracks in Cement Sheath Body during Hydraulic Fracturing Process. </w:t>
      </w:r>
      <w:r w:rsidRPr="00F34FBC">
        <w:rPr>
          <w:i/>
          <w:iCs/>
          <w:shd w:val="clear" w:color="auto" w:fill="FFFFFF"/>
        </w:rPr>
        <w:t>Energies</w:t>
      </w:r>
      <w:r w:rsidRPr="00F34FBC">
        <w:rPr>
          <w:shd w:val="clear" w:color="auto" w:fill="FFFFFF"/>
        </w:rPr>
        <w:t>, </w:t>
      </w:r>
      <w:r w:rsidRPr="00F34FBC">
        <w:rPr>
          <w:i/>
          <w:iCs/>
          <w:shd w:val="clear" w:color="auto" w:fill="FFFFFF"/>
        </w:rPr>
        <w:t>13</w:t>
      </w:r>
      <w:r w:rsidRPr="00F34FBC">
        <w:rPr>
          <w:shd w:val="clear" w:color="auto" w:fill="FFFFFF"/>
        </w:rPr>
        <w:t>(5), 1260.</w:t>
      </w:r>
    </w:p>
    <w:p w14:paraId="0E0B27DC" w14:textId="77777777" w:rsidR="00F34FBC" w:rsidRPr="00F34FBC" w:rsidRDefault="00F34FBC" w:rsidP="00F34FBC">
      <w:pPr>
        <w:spacing w:line="240" w:lineRule="auto"/>
        <w:ind w:left="720" w:hanging="720"/>
        <w:rPr>
          <w:shd w:val="clear" w:color="auto" w:fill="FFFFFF"/>
        </w:rPr>
      </w:pPr>
      <w:r w:rsidRPr="00F34FBC">
        <w:rPr>
          <w:shd w:val="clear" w:color="auto" w:fill="FFFFFF"/>
        </w:rPr>
        <w:t>Yalcinkaya, T., Radonjic, M., Hughes, R. G. et al. 2011. The Effect of CO2-Saturated Brine on the Conductivity of Wellbore-Cement Fractures. </w:t>
      </w:r>
      <w:r w:rsidRPr="00F34FBC">
        <w:rPr>
          <w:i/>
          <w:iCs/>
          <w:shd w:val="clear" w:color="auto" w:fill="FFFFFF"/>
        </w:rPr>
        <w:t>SPE Drilling &amp; Completion</w:t>
      </w:r>
      <w:r w:rsidRPr="00F34FBC">
        <w:rPr>
          <w:shd w:val="clear" w:color="auto" w:fill="FFFFFF"/>
        </w:rPr>
        <w:t>, </w:t>
      </w:r>
      <w:r w:rsidRPr="00F34FBC">
        <w:rPr>
          <w:i/>
          <w:iCs/>
          <w:shd w:val="clear" w:color="auto" w:fill="FFFFFF"/>
        </w:rPr>
        <w:t>26</w:t>
      </w:r>
      <w:r w:rsidRPr="00F34FBC">
        <w:rPr>
          <w:shd w:val="clear" w:color="auto" w:fill="FFFFFF"/>
        </w:rPr>
        <w:t xml:space="preserve">(03), 332-340. SPE-139713-PA. </w:t>
      </w:r>
      <w:hyperlink r:id="rId144" w:history="1">
        <w:r w:rsidRPr="00F34FBC">
          <w:rPr>
            <w:rStyle w:val="Hyperlink"/>
            <w:rFonts w:cs="Times New Roman"/>
            <w:szCs w:val="24"/>
            <w:shd w:val="clear" w:color="auto" w:fill="FFFFFF"/>
          </w:rPr>
          <w:t>https://doi.org/10.2118/139713-PA</w:t>
        </w:r>
      </w:hyperlink>
      <w:r w:rsidRPr="00F34FBC">
        <w:rPr>
          <w:shd w:val="clear" w:color="auto" w:fill="FFFFFF"/>
        </w:rPr>
        <w:t xml:space="preserve">. </w:t>
      </w:r>
    </w:p>
    <w:p w14:paraId="5D04D0C7" w14:textId="77777777" w:rsidR="00F34FBC" w:rsidRPr="00F34FBC" w:rsidRDefault="00F34FBC" w:rsidP="00F34FBC">
      <w:pPr>
        <w:spacing w:line="240" w:lineRule="auto"/>
        <w:ind w:left="720" w:hanging="720"/>
        <w:rPr>
          <w:shd w:val="clear" w:color="auto" w:fill="FFFFFF"/>
        </w:rPr>
      </w:pPr>
      <w:r w:rsidRPr="00F34FBC">
        <w:rPr>
          <w:shd w:val="clear" w:color="auto" w:fill="FFFFFF"/>
        </w:rPr>
        <w:t>Zhang, M. and Bachu, S. 2011. Review of integrity of existing wells in relation to CO2 geological storage: What do we know?. </w:t>
      </w:r>
      <w:r w:rsidRPr="00F34FBC">
        <w:rPr>
          <w:i/>
          <w:iCs/>
          <w:shd w:val="clear" w:color="auto" w:fill="FFFFFF"/>
        </w:rPr>
        <w:t>International Journal of Greenhouse Gas Control</w:t>
      </w:r>
      <w:r w:rsidRPr="00F34FBC">
        <w:rPr>
          <w:shd w:val="clear" w:color="auto" w:fill="FFFFFF"/>
        </w:rPr>
        <w:t>, </w:t>
      </w:r>
      <w:r w:rsidRPr="00F34FBC">
        <w:rPr>
          <w:i/>
          <w:iCs/>
          <w:shd w:val="clear" w:color="auto" w:fill="FFFFFF"/>
        </w:rPr>
        <w:t>5</w:t>
      </w:r>
      <w:r w:rsidRPr="00F34FBC">
        <w:rPr>
          <w:shd w:val="clear" w:color="auto" w:fill="FFFFFF"/>
        </w:rPr>
        <w:t>(4), 826-840.</w:t>
      </w:r>
    </w:p>
    <w:p w14:paraId="1CCA426E" w14:textId="77777777" w:rsidR="00F34FBC" w:rsidRPr="00F34FBC" w:rsidRDefault="00F34FBC" w:rsidP="00F34FBC">
      <w:pPr>
        <w:spacing w:line="240" w:lineRule="auto"/>
        <w:ind w:left="720" w:hanging="720"/>
        <w:rPr>
          <w:shd w:val="clear" w:color="auto" w:fill="FFFFFF"/>
        </w:rPr>
      </w:pPr>
      <w:r w:rsidRPr="00F34FBC">
        <w:rPr>
          <w:shd w:val="clear" w:color="auto" w:fill="FFFFFF"/>
        </w:rPr>
        <w:t>Zhang, W., Eckert, A., and Liu, X. 2017. Numerical simulation of micro-annuli generation by thermal cycling. In </w:t>
      </w:r>
      <w:r w:rsidRPr="00F34FBC">
        <w:rPr>
          <w:iCs/>
          <w:shd w:val="clear" w:color="auto" w:fill="FFFFFF"/>
        </w:rPr>
        <w:t>51st US Rock Mechanics/Geomechanics Symposium</w:t>
      </w:r>
      <w:r w:rsidRPr="00F34FBC">
        <w:rPr>
          <w:shd w:val="clear" w:color="auto" w:fill="FFFFFF"/>
        </w:rPr>
        <w:t>, 25-28 June, San Francisco, California, USA. ARMA-2017-0354.</w:t>
      </w:r>
    </w:p>
    <w:p w14:paraId="16632B2A" w14:textId="77777777" w:rsidR="00F34FBC" w:rsidRPr="00F34FBC" w:rsidRDefault="00F34FBC" w:rsidP="00F34FBC">
      <w:pPr>
        <w:spacing w:line="240" w:lineRule="auto"/>
        <w:ind w:left="720" w:hanging="720"/>
        <w:rPr>
          <w:u w:val="single"/>
          <w:shd w:val="clear" w:color="auto" w:fill="FFFFFF"/>
        </w:rPr>
      </w:pPr>
      <w:r w:rsidRPr="00F34FBC">
        <w:rPr>
          <w:shd w:val="clear" w:color="auto" w:fill="FFFFFF"/>
        </w:rPr>
        <w:t>Zhang, W., Hilgedick, S., and Eckert, A. 2019. A Novel Approach to Investigate Cement Pore Pressure during Hardening. In 2019 AADE National Technical Conference and Exhibition. American Association of Drilling Engineers, 9-10 April, Denver, CO, USA. AADE-19-NTCE-086.</w:t>
      </w:r>
    </w:p>
    <w:p w14:paraId="757B9C62" w14:textId="77777777" w:rsidR="00F34FBC" w:rsidRPr="00F34FBC" w:rsidRDefault="00F34FBC" w:rsidP="00F34FBC">
      <w:pPr>
        <w:spacing w:line="240" w:lineRule="auto"/>
        <w:ind w:left="720" w:hanging="720"/>
        <w:rPr>
          <w:shd w:val="clear" w:color="auto" w:fill="FFFFFF"/>
        </w:rPr>
      </w:pPr>
      <w:r w:rsidRPr="00F34FBC">
        <w:rPr>
          <w:shd w:val="clear" w:color="auto" w:fill="FFFFFF"/>
        </w:rPr>
        <w:t xml:space="preserve">Ziashahabi, P., Ravi, K. and Prohaska, M. 2019. Polymer-Based Sealing Materials as Cement Alternative to Restore Wellbore Isolation. Presented at the SPE Gas &amp; Oil Technology Showcase and Conference, Dubai, UAE, 21-23 October. SPE-198584-MS. </w:t>
      </w:r>
      <w:hyperlink r:id="rId145" w:history="1">
        <w:r w:rsidRPr="00F34FBC">
          <w:rPr>
            <w:rStyle w:val="Hyperlink"/>
            <w:rFonts w:cs="Times New Roman"/>
            <w:szCs w:val="24"/>
            <w:shd w:val="clear" w:color="auto" w:fill="FFFFFF"/>
          </w:rPr>
          <w:t>https://doi.org/10.2118/198584-MS</w:t>
        </w:r>
      </w:hyperlink>
      <w:r w:rsidRPr="00F34FBC">
        <w:rPr>
          <w:shd w:val="clear" w:color="auto" w:fill="FFFFFF"/>
        </w:rPr>
        <w:t>.</w:t>
      </w:r>
    </w:p>
    <w:p w14:paraId="57093901" w14:textId="222B494C" w:rsidR="00F57760" w:rsidRDefault="00F34FBC" w:rsidP="00F34FBC">
      <w:pPr>
        <w:spacing w:line="240" w:lineRule="auto"/>
        <w:ind w:left="720" w:hanging="720"/>
      </w:pPr>
      <w:r w:rsidRPr="00F34FBC">
        <w:rPr>
          <w:shd w:val="clear" w:color="auto" w:fill="FFFFFF"/>
        </w:rPr>
        <w:t>Zielonka, M. G., Searles, K. H., Ning, J. et al. 2014. Development and validation of fully-coupled hydraulic fracturing simulation capabilities. In </w:t>
      </w:r>
      <w:r w:rsidRPr="00F34FBC">
        <w:rPr>
          <w:i/>
          <w:iCs/>
          <w:shd w:val="clear" w:color="auto" w:fill="FFFFFF"/>
        </w:rPr>
        <w:t>Proceedings of the SIMULIA community conference, SCC2014</w:t>
      </w:r>
      <w:r w:rsidRPr="00F34FBC">
        <w:rPr>
          <w:shd w:val="clear" w:color="auto" w:fill="FFFFFF"/>
        </w:rPr>
        <w:t> (pp. 19-21).</w:t>
      </w:r>
      <w:r w:rsidR="00F57760" w:rsidRPr="00820DA9">
        <w:t xml:space="preserve"> </w:t>
      </w:r>
    </w:p>
    <w:p w14:paraId="54119D7C" w14:textId="665A7587" w:rsidR="00B55C11" w:rsidRDefault="00B55C11" w:rsidP="00B55C11">
      <w:pPr>
        <w:pStyle w:val="Heading1"/>
        <w:numPr>
          <w:ilvl w:val="0"/>
          <w:numId w:val="0"/>
        </w:numPr>
      </w:pPr>
      <w:bookmarkStart w:id="175" w:name="_Toc67566072"/>
      <w:r>
        <w:lastRenderedPageBreak/>
        <w:t xml:space="preserve">Appendix A: </w:t>
      </w:r>
      <w:r w:rsidR="00B919CE">
        <w:t>Basic Rock Mechanics</w:t>
      </w:r>
      <w:bookmarkEnd w:id="175"/>
    </w:p>
    <w:p w14:paraId="3A006263" w14:textId="14EB856B" w:rsidR="00393D6E" w:rsidRDefault="00393D6E" w:rsidP="00393D6E">
      <w:pPr>
        <w:ind w:firstLine="720"/>
      </w:pPr>
      <w:r w:rsidRPr="00EC7EFC">
        <w:t>The theory of elasticity in regards to rock mechanics consists of two major concepts: stress and st</w:t>
      </w:r>
      <w:r>
        <w:t xml:space="preserve">rain. </w:t>
      </w:r>
      <w:r w:rsidRPr="00EC7EFC">
        <w:t xml:space="preserve">Stress is defined in Equation </w:t>
      </w:r>
      <w:r>
        <w:t>A</w:t>
      </w:r>
      <w:r w:rsidRPr="00EC7EFC">
        <w:t>.1 and states</w:t>
      </w:r>
      <w:r>
        <w:t xml:space="preserve"> that the stress of a material </w:t>
      </w:r>
      <m:oMath>
        <m:r>
          <w:rPr>
            <w:rFonts w:ascii="Cambria Math" w:hAnsi="Cambria Math"/>
          </w:rPr>
          <m:t>(σ)</m:t>
        </m:r>
      </m:oMath>
      <w:r w:rsidRPr="00EC7EFC">
        <w:t xml:space="preserve"> is equal to the force </w:t>
      </w:r>
      <m:oMath>
        <m:r>
          <w:rPr>
            <w:rFonts w:ascii="Cambria Math" w:hAnsi="Cambria Math"/>
          </w:rPr>
          <m:t>(F)</m:t>
        </m:r>
      </m:oMath>
      <w:r w:rsidRPr="00EC7EFC">
        <w:t xml:space="preserve"> acting through the cross-sectional area divided by the </w:t>
      </w:r>
      <w:r w:rsidRPr="001E64C9">
        <w:t>cross-sectional</w:t>
      </w:r>
      <w:r w:rsidRPr="00EC7EFC">
        <w:t xml:space="preserve"> area </w:t>
      </w:r>
      <m:oMath>
        <m:r>
          <w:rPr>
            <w:rFonts w:ascii="Cambria Math" w:hAnsi="Cambria Math"/>
          </w:rPr>
          <m:t>(A)</m:t>
        </m:r>
      </m:oMath>
      <w:r w:rsidRPr="00EC7EFC">
        <w:t>.</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393D6E" w14:paraId="0F7252A6" w14:textId="77777777" w:rsidTr="00393D6E">
        <w:trPr>
          <w:trHeight w:val="576"/>
        </w:trPr>
        <w:tc>
          <w:tcPr>
            <w:tcW w:w="720" w:type="dxa"/>
            <w:vAlign w:val="center"/>
          </w:tcPr>
          <w:p w14:paraId="287DD2E4" w14:textId="363948F5" w:rsidR="00393D6E" w:rsidRDefault="00393D6E" w:rsidP="00393D6E">
            <w:pPr>
              <w:spacing w:line="240" w:lineRule="auto"/>
              <w:jc w:val="center"/>
            </w:pPr>
          </w:p>
        </w:tc>
        <w:tc>
          <w:tcPr>
            <w:tcW w:w="7920" w:type="dxa"/>
            <w:vAlign w:val="center"/>
          </w:tcPr>
          <w:p w14:paraId="7E102D78" w14:textId="369D8910" w:rsidR="00393D6E" w:rsidRPr="003E4C6A" w:rsidRDefault="00393D6E" w:rsidP="00393D6E">
            <w:pPr>
              <w:spacing w:line="240" w:lineRule="auto"/>
              <w:jc w:val="center"/>
            </w:pPr>
            <m:oMathPara>
              <m:oMath>
                <m:r>
                  <w:rPr>
                    <w:rFonts w:ascii="Cambria Math" w:hAnsi="Cambria Math"/>
                  </w:rPr>
                  <m:t>σ=</m:t>
                </m:r>
                <m:f>
                  <m:fPr>
                    <m:ctrlPr>
                      <w:rPr>
                        <w:rFonts w:ascii="Cambria Math" w:hAnsi="Cambria Math"/>
                        <w:i/>
                      </w:rPr>
                    </m:ctrlPr>
                  </m:fPr>
                  <m:num>
                    <m:r>
                      <w:rPr>
                        <w:rFonts w:ascii="Cambria Math" w:hAnsi="Cambria Math"/>
                      </w:rPr>
                      <m:t>F</m:t>
                    </m:r>
                  </m:num>
                  <m:den>
                    <m:r>
                      <w:rPr>
                        <w:rFonts w:ascii="Cambria Math" w:hAnsi="Cambria Math"/>
                      </w:rPr>
                      <m:t>A</m:t>
                    </m:r>
                  </m:den>
                </m:f>
              </m:oMath>
            </m:oMathPara>
          </w:p>
        </w:tc>
        <w:tc>
          <w:tcPr>
            <w:tcW w:w="720" w:type="dxa"/>
            <w:vAlign w:val="bottom"/>
          </w:tcPr>
          <w:p w14:paraId="4DAD6115" w14:textId="5347A3B8" w:rsidR="00393D6E" w:rsidRPr="00393D6E" w:rsidRDefault="00393D6E" w:rsidP="00BC23AD">
            <w:pPr>
              <w:pStyle w:val="Caption"/>
            </w:pPr>
            <w:r w:rsidRPr="00393D6E">
              <w:t>A.1</w:t>
            </w:r>
          </w:p>
        </w:tc>
      </w:tr>
    </w:tbl>
    <w:p w14:paraId="0A36ADB9" w14:textId="77777777" w:rsidR="00393D6E" w:rsidRPr="00EC7EFC" w:rsidRDefault="00393D6E" w:rsidP="00393D6E">
      <w:pPr>
        <w:ind w:firstLine="720"/>
      </w:pPr>
    </w:p>
    <w:p w14:paraId="7E27E4A5" w14:textId="469B098C" w:rsidR="00393D6E" w:rsidRDefault="00393D6E" w:rsidP="00393D6E">
      <w:pPr>
        <w:ind w:firstLine="720"/>
      </w:pPr>
      <w:r w:rsidRPr="00EC7EFC">
        <w:t>The SI units of stress are Pascal (Pa</w:t>
      </w:r>
      <w:r>
        <w:t xml:space="preserve">). </w:t>
      </w:r>
      <w:r w:rsidRPr="00EC7EFC">
        <w:t xml:space="preserve">The sign convention for stress used in the petroleum industry and this thesis are that compressive stresses are positive while </w:t>
      </w:r>
      <w:r>
        <w:t xml:space="preserve">tensile stresses are negative. </w:t>
      </w:r>
      <w:r w:rsidRPr="00EC7EFC">
        <w:t xml:space="preserve">Two examples of stress </w:t>
      </w:r>
      <w:r w:rsidRPr="001E64C9">
        <w:t>are shown</w:t>
      </w:r>
      <w:r w:rsidRPr="00EC7EFC">
        <w:t xml:space="preserve"> in </w:t>
      </w:r>
      <w:r>
        <w:t>Figure A.1</w:t>
      </w:r>
      <w:r w:rsidRPr="00EC7EFC">
        <w:t xml:space="preserve"> in which a stress is applied perpendicular to a cylindrical sample, and an example in which stress </w:t>
      </w:r>
      <w:r w:rsidRPr="001E64C9">
        <w:t>is applied</w:t>
      </w:r>
      <w:r w:rsidRPr="00EC7EFC">
        <w:t xml:space="preserve"> at an angle.</w:t>
      </w:r>
    </w:p>
    <w:p w14:paraId="0FC0073F" w14:textId="77777777" w:rsidR="00393D6E" w:rsidRPr="00EC7EFC" w:rsidRDefault="00393D6E" w:rsidP="00393D6E">
      <w:pPr>
        <w:ind w:firstLine="720"/>
      </w:pPr>
    </w:p>
    <w:p w14:paraId="5B7B8AD8" w14:textId="77777777" w:rsidR="00393D6E" w:rsidRPr="00EC7EFC" w:rsidRDefault="00393D6E" w:rsidP="00BC23AD">
      <w:pPr>
        <w:pStyle w:val="NoSpacing"/>
      </w:pPr>
      <w:r w:rsidRPr="001E64C9">
        <w:rPr>
          <w:noProof/>
        </w:rPr>
        <w:drawing>
          <wp:inline distT="0" distB="0" distL="0" distR="0" wp14:anchorId="6268BEE8" wp14:editId="6770AFE2">
            <wp:extent cx="4572000" cy="1618488"/>
            <wp:effectExtent l="0" t="0" r="0" b="127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4572000" cy="1618488"/>
                    </a:xfrm>
                    <a:prstGeom prst="rect">
                      <a:avLst/>
                    </a:prstGeom>
                    <a:noFill/>
                  </pic:spPr>
                </pic:pic>
              </a:graphicData>
            </a:graphic>
          </wp:inline>
        </w:drawing>
      </w:r>
    </w:p>
    <w:p w14:paraId="2D8A78E1" w14:textId="70003CDE" w:rsidR="00393D6E" w:rsidRPr="00EC7EFC" w:rsidRDefault="00393D6E" w:rsidP="00BC23AD">
      <w:pPr>
        <w:pStyle w:val="Caption"/>
      </w:pPr>
      <w:bookmarkStart w:id="176" w:name="_Toc7166641"/>
      <w:r>
        <w:t>Figure A.1</w:t>
      </w:r>
      <w:r w:rsidRPr="00EC7EFC">
        <w:t xml:space="preserve">: Two perspectives of stress on a </w:t>
      </w:r>
      <w:r w:rsidRPr="00DC733F">
        <w:t>cylindrical</w:t>
      </w:r>
      <w:r>
        <w:t xml:space="preserve"> sample. </w:t>
      </w:r>
      <w:r w:rsidRPr="00780C50">
        <w:t xml:space="preserve">A) the </w:t>
      </w:r>
      <w:r w:rsidRPr="001E64C9">
        <w:t>cross-sectional</w:t>
      </w:r>
      <w:r w:rsidRPr="00EC7EFC">
        <w:t xml:space="preserve"> area for</w:t>
      </w:r>
      <w:r>
        <w:t xml:space="preserve"> the two stresses. </w:t>
      </w:r>
      <w:r w:rsidRPr="00EC7EFC">
        <w:t>B) the force applied normal to the s</w:t>
      </w:r>
      <w:r>
        <w:t xml:space="preserve">ample (a) and at an angle (b). </w:t>
      </w:r>
      <w:r w:rsidRPr="00EC7EFC">
        <w:t>C) the force components for the stress applied at an angle (b).</w:t>
      </w:r>
      <w:bookmarkEnd w:id="176"/>
    </w:p>
    <w:p w14:paraId="344C259B" w14:textId="4F0D2C3D" w:rsidR="00393D6E" w:rsidRDefault="00393D6E" w:rsidP="00393D6E">
      <w:pPr>
        <w:ind w:firstLine="720"/>
      </w:pPr>
      <w:r w:rsidRPr="00EC7EFC">
        <w:t xml:space="preserve">Stress is considered a tensor in which it </w:t>
      </w:r>
      <w:r w:rsidRPr="001E64C9">
        <w:t>is described</w:t>
      </w:r>
      <w:r w:rsidRPr="00EC7EFC">
        <w:t xml:space="preserve"> as a magnitude and direction </w:t>
      </w:r>
      <w:r w:rsidRPr="001E64C9">
        <w:t>with reference to</w:t>
      </w:r>
      <w:r w:rsidRPr="00EC7EFC">
        <w:t xml:space="preserve"> the plane (cross-s</w:t>
      </w:r>
      <w:r>
        <w:t>ectional area) it acts across.</w:t>
      </w:r>
      <w:r w:rsidRPr="00EC7EFC">
        <w:t xml:space="preserve"> The magnitude is composed of dir</w:t>
      </w:r>
      <w:r>
        <w:t xml:space="preserve">ectional dependent components. </w:t>
      </w:r>
      <w:r w:rsidRPr="00EC7EFC">
        <w:t xml:space="preserve">If a force is no longer normal to the </w:t>
      </w:r>
      <w:r w:rsidRPr="001E64C9">
        <w:t>cross-section</w:t>
      </w:r>
      <w:r w:rsidRPr="00EC7EFC">
        <w:t xml:space="preserve">, such as in </w:t>
      </w:r>
      <w:r>
        <w:t>Figure A.1 (C</w:t>
      </w:r>
      <w:r w:rsidRPr="00EC7EFC">
        <w:t>), then the force needs to be b</w:t>
      </w:r>
      <w:r w:rsidRPr="00DC733F">
        <w:t>roken down into components</w:t>
      </w:r>
      <w:r w:rsidRPr="00780C50">
        <w:t>:</w:t>
      </w:r>
      <w:r>
        <w:t xml:space="preserve"> normal and shear force. </w:t>
      </w:r>
      <w:r w:rsidRPr="00FA60CD">
        <w:t xml:space="preserve">The normal force is perpendicular to the </w:t>
      </w:r>
      <w:r w:rsidRPr="001E64C9">
        <w:t>cross-section</w:t>
      </w:r>
      <w:r w:rsidRPr="00EC7EFC">
        <w:t xml:space="preserve"> while the shear force is parallel to the </w:t>
      </w:r>
      <w:r w:rsidRPr="001E64C9">
        <w:t>cross-</w:t>
      </w:r>
      <w:r w:rsidRPr="001E64C9">
        <w:lastRenderedPageBreak/>
        <w:t>section</w:t>
      </w:r>
      <w:r>
        <w:t xml:space="preserve">. </w:t>
      </w:r>
      <w:r w:rsidRPr="00EC7EFC">
        <w:t>The resulting force components are used in</w:t>
      </w:r>
      <w:r>
        <w:t xml:space="preserve"> Equation A</w:t>
      </w:r>
      <w:r w:rsidRPr="00EC7EFC">
        <w:t>.1 to determine normal (</w:t>
      </w:r>
      <m:oMath>
        <m:r>
          <w:rPr>
            <w:rFonts w:ascii="Cambria Math" w:hAnsi="Cambria Math"/>
          </w:rPr>
          <m:t>σ</m:t>
        </m:r>
      </m:oMath>
      <w:r w:rsidRPr="00EC7EFC">
        <w:t xml:space="preserve">) </w:t>
      </w:r>
      <w:r w:rsidRPr="001E64C9">
        <w:t>and</w:t>
      </w:r>
      <w:r w:rsidRPr="00EC7EFC">
        <w:t xml:space="preserve"> shear (</w:t>
      </w:r>
      <m:oMath>
        <m:r>
          <w:rPr>
            <w:rFonts w:ascii="Cambria Math" w:hAnsi="Cambria Math"/>
          </w:rPr>
          <m:t>τ</m:t>
        </m:r>
      </m:oMath>
      <w:r w:rsidRPr="00EC7EFC">
        <w:t>) stresses.</w:t>
      </w:r>
      <w:r>
        <w:t xml:space="preserve"> </w:t>
      </w:r>
      <w:r w:rsidRPr="00EC7EFC">
        <w:t xml:space="preserve">The normal and shear stresses are shown in Equations </w:t>
      </w:r>
      <w:r>
        <w:t>A</w:t>
      </w:r>
      <w:r w:rsidRPr="00EC7EFC">
        <w:t xml:space="preserve">.2 and </w:t>
      </w:r>
      <w:r>
        <w:t>A</w:t>
      </w:r>
      <w:r w:rsidRPr="00EC7EFC">
        <w:t>.3 respectively.</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393D6E" w14:paraId="585E9D8B" w14:textId="77777777" w:rsidTr="00393D6E">
        <w:trPr>
          <w:trHeight w:val="576"/>
        </w:trPr>
        <w:tc>
          <w:tcPr>
            <w:tcW w:w="720" w:type="dxa"/>
            <w:vAlign w:val="center"/>
          </w:tcPr>
          <w:p w14:paraId="794D65B0" w14:textId="77777777" w:rsidR="00393D6E" w:rsidRDefault="00393D6E" w:rsidP="00393D6E">
            <w:pPr>
              <w:spacing w:line="240" w:lineRule="auto"/>
              <w:jc w:val="center"/>
            </w:pPr>
          </w:p>
        </w:tc>
        <w:tc>
          <w:tcPr>
            <w:tcW w:w="7920" w:type="dxa"/>
            <w:vAlign w:val="center"/>
          </w:tcPr>
          <w:p w14:paraId="294319AF" w14:textId="24A39498" w:rsidR="00393D6E" w:rsidRPr="003E4C6A" w:rsidRDefault="00F21DDA" w:rsidP="00393D6E">
            <w:pPr>
              <w:spacing w:line="240" w:lineRule="auto"/>
              <w:jc w:val="center"/>
            </w:pPr>
            <m:oMathPara>
              <m:oMath>
                <m:r>
                  <w:rPr>
                    <w:rFonts w:ascii="Cambria Math" w:hAnsi="Cambria Math"/>
                  </w:rPr>
                  <m:t>σ=</m:t>
                </m:r>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n</m:t>
                        </m:r>
                      </m:sub>
                    </m:sSub>
                  </m:num>
                  <m:den>
                    <m:r>
                      <w:rPr>
                        <w:rFonts w:ascii="Cambria Math" w:hAnsi="Cambria Math"/>
                      </w:rPr>
                      <m:t>A</m:t>
                    </m:r>
                  </m:den>
                </m:f>
              </m:oMath>
            </m:oMathPara>
          </w:p>
        </w:tc>
        <w:tc>
          <w:tcPr>
            <w:tcW w:w="720" w:type="dxa"/>
            <w:vAlign w:val="bottom"/>
          </w:tcPr>
          <w:p w14:paraId="0E3D1516" w14:textId="21120AC9" w:rsidR="00393D6E" w:rsidRPr="00393D6E" w:rsidRDefault="00F21DDA" w:rsidP="00BC23AD">
            <w:pPr>
              <w:pStyle w:val="Caption"/>
            </w:pPr>
            <w:r>
              <w:t>A.2</w:t>
            </w:r>
          </w:p>
        </w:tc>
      </w:tr>
    </w:tbl>
    <w:p w14:paraId="4766ECF6" w14:textId="26B2402D" w:rsidR="00393D6E" w:rsidRDefault="00393D6E" w:rsidP="00393D6E">
      <w:pPr>
        <w:ind w:firstLine="720"/>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393D6E" w14:paraId="1DA52C61" w14:textId="77777777" w:rsidTr="00393D6E">
        <w:trPr>
          <w:trHeight w:val="576"/>
        </w:trPr>
        <w:tc>
          <w:tcPr>
            <w:tcW w:w="720" w:type="dxa"/>
            <w:vAlign w:val="center"/>
          </w:tcPr>
          <w:p w14:paraId="41E8B4C7" w14:textId="77777777" w:rsidR="00393D6E" w:rsidRDefault="00393D6E" w:rsidP="00393D6E">
            <w:pPr>
              <w:spacing w:line="240" w:lineRule="auto"/>
              <w:jc w:val="center"/>
            </w:pPr>
          </w:p>
        </w:tc>
        <w:tc>
          <w:tcPr>
            <w:tcW w:w="7920" w:type="dxa"/>
            <w:vAlign w:val="center"/>
          </w:tcPr>
          <w:p w14:paraId="176C033F" w14:textId="13B63A8D" w:rsidR="00393D6E" w:rsidRPr="003E4C6A" w:rsidRDefault="00F21DDA" w:rsidP="00393D6E">
            <w:pPr>
              <w:spacing w:line="240" w:lineRule="auto"/>
              <w:jc w:val="center"/>
            </w:pPr>
            <m:oMathPara>
              <m:oMath>
                <m:r>
                  <w:rPr>
                    <w:rFonts w:ascii="Cambria Math" w:hAnsi="Cambria Math"/>
                  </w:rPr>
                  <m:t>τ=</m:t>
                </m:r>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s</m:t>
                        </m:r>
                      </m:sub>
                    </m:sSub>
                  </m:num>
                  <m:den>
                    <m:r>
                      <w:rPr>
                        <w:rFonts w:ascii="Cambria Math" w:hAnsi="Cambria Math"/>
                      </w:rPr>
                      <m:t>A</m:t>
                    </m:r>
                  </m:den>
                </m:f>
              </m:oMath>
            </m:oMathPara>
          </w:p>
        </w:tc>
        <w:tc>
          <w:tcPr>
            <w:tcW w:w="720" w:type="dxa"/>
            <w:vAlign w:val="bottom"/>
          </w:tcPr>
          <w:p w14:paraId="25C55045" w14:textId="01DE1B3B" w:rsidR="00393D6E" w:rsidRPr="00393D6E" w:rsidRDefault="00F21DDA" w:rsidP="00BC23AD">
            <w:pPr>
              <w:pStyle w:val="Caption"/>
            </w:pPr>
            <w:r>
              <w:t>A.3</w:t>
            </w:r>
          </w:p>
        </w:tc>
      </w:tr>
    </w:tbl>
    <w:p w14:paraId="1F54C934" w14:textId="77777777" w:rsidR="00393D6E" w:rsidRDefault="00393D6E" w:rsidP="00393D6E">
      <w:pPr>
        <w:ind w:firstLine="720"/>
      </w:pPr>
    </w:p>
    <w:p w14:paraId="625510BE" w14:textId="139E836A" w:rsidR="00393D6E" w:rsidRPr="00EC7EFC" w:rsidRDefault="00393D6E" w:rsidP="00393D6E">
      <w:pPr>
        <w:ind w:firstLine="720"/>
      </w:pPr>
      <w:r w:rsidRPr="001E64C9">
        <w:t>Using a Cartesian coordinate system</w:t>
      </w:r>
      <w:r w:rsidRPr="00EC7EFC">
        <w:t xml:space="preserve">, the stress components for a 3D cube will be composed of normal </w:t>
      </w:r>
      <w:r w:rsidRPr="001E64C9">
        <w:t>and</w:t>
      </w:r>
      <w:r w:rsidRPr="00EC7EFC">
        <w:t xml:space="preserve"> shear stresses alon</w:t>
      </w:r>
      <w:r>
        <w:t xml:space="preserve">g each axis. </w:t>
      </w:r>
      <w:r w:rsidRPr="00EC7EFC">
        <w:t>The normal stress components are perpendicular to the axis while the shear stress compon</w:t>
      </w:r>
      <w:r>
        <w:t xml:space="preserve">ents are parallel to the axis. </w:t>
      </w:r>
      <w:r w:rsidRPr="00EC7EFC">
        <w:t xml:space="preserve">The 3D stress tensor is composed of nine stress components which </w:t>
      </w:r>
      <w:r w:rsidRPr="001E64C9">
        <w:t>are shown</w:t>
      </w:r>
      <w:r w:rsidRPr="00EC7EFC">
        <w:t xml:space="preserve"> in </w:t>
      </w:r>
      <w:r>
        <w:t xml:space="preserve">Figure A.2. </w:t>
      </w:r>
      <w:r w:rsidRPr="00DC733F">
        <w:t>The 3D stress tensor</w:t>
      </w:r>
      <w:r w:rsidRPr="00780C50">
        <w:t xml:space="preserve"> </w:t>
      </w:r>
      <w:r w:rsidRPr="00FA60CD">
        <w:t>consists of three</w:t>
      </w:r>
      <w:r w:rsidRPr="00EC7EFC">
        <w:t xml:space="preserve"> normal (</w:t>
      </w:r>
      <m:oMath>
        <m:sSub>
          <m:sSubPr>
            <m:ctrlPr>
              <w:rPr>
                <w:rFonts w:ascii="Cambria Math" w:hAnsi="Cambria Math"/>
                <w:i/>
              </w:rPr>
            </m:ctrlPr>
          </m:sSubPr>
          <m:e>
            <m:r>
              <w:rPr>
                <w:rFonts w:ascii="Cambria Math" w:hAnsi="Cambria Math"/>
              </w:rPr>
              <m:t>σ</m:t>
            </m:r>
          </m:e>
          <m:sub>
            <m:r>
              <w:rPr>
                <w:rFonts w:ascii="Cambria Math" w:hAnsi="Cambria Math"/>
              </w:rPr>
              <m:t>x</m:t>
            </m:r>
          </m:sub>
        </m:sSub>
      </m:oMath>
      <w:r w:rsidRPr="00EC7EFC">
        <w:t xml:space="preserve">, </w:t>
      </w:r>
      <m:oMath>
        <m:sSub>
          <m:sSubPr>
            <m:ctrlPr>
              <w:rPr>
                <w:rFonts w:ascii="Cambria Math" w:hAnsi="Cambria Math"/>
                <w:i/>
              </w:rPr>
            </m:ctrlPr>
          </m:sSubPr>
          <m:e>
            <m:r>
              <w:rPr>
                <w:rFonts w:ascii="Cambria Math" w:hAnsi="Cambria Math"/>
              </w:rPr>
              <m:t>σ</m:t>
            </m:r>
          </m:e>
          <m:sub>
            <m:r>
              <w:rPr>
                <w:rFonts w:ascii="Cambria Math" w:hAnsi="Cambria Math"/>
              </w:rPr>
              <m:t>y</m:t>
            </m:r>
          </m:sub>
        </m:sSub>
      </m:oMath>
      <w:r w:rsidRPr="00EC7EFC">
        <w:t xml:space="preserve">, </w:t>
      </w:r>
      <m:oMath>
        <m:sSub>
          <m:sSubPr>
            <m:ctrlPr>
              <w:rPr>
                <w:rFonts w:ascii="Cambria Math" w:hAnsi="Cambria Math"/>
                <w:i/>
              </w:rPr>
            </m:ctrlPr>
          </m:sSubPr>
          <m:e>
            <m:r>
              <w:rPr>
                <w:rFonts w:ascii="Cambria Math" w:hAnsi="Cambria Math"/>
              </w:rPr>
              <m:t>σ</m:t>
            </m:r>
          </m:e>
          <m:sub>
            <m:r>
              <w:rPr>
                <w:rFonts w:ascii="Cambria Math" w:hAnsi="Cambria Math"/>
              </w:rPr>
              <m:t>z</m:t>
            </m:r>
          </m:sub>
        </m:sSub>
      </m:oMath>
      <w:r w:rsidRPr="00EC7EFC">
        <w:t>)</w:t>
      </w:r>
      <w:r w:rsidRPr="00DC733F">
        <w:t xml:space="preserve"> and six</w:t>
      </w:r>
      <w:r w:rsidRPr="00780C50">
        <w:t xml:space="preserve"> </w:t>
      </w:r>
      <w:r w:rsidRPr="001E64C9">
        <w:t>shear</w:t>
      </w:r>
      <w:r w:rsidRPr="00EC7EFC">
        <w:t xml:space="preserve"> (</w:t>
      </w:r>
      <m:oMath>
        <m:sSub>
          <m:sSubPr>
            <m:ctrlPr>
              <w:rPr>
                <w:rFonts w:ascii="Cambria Math" w:hAnsi="Cambria Math"/>
                <w:i/>
              </w:rPr>
            </m:ctrlPr>
          </m:sSubPr>
          <m:e>
            <m:r>
              <w:rPr>
                <w:rFonts w:ascii="Cambria Math" w:hAnsi="Cambria Math"/>
              </w:rPr>
              <m:t>τ</m:t>
            </m:r>
          </m:e>
          <m:sub>
            <m:r>
              <w:rPr>
                <w:rFonts w:ascii="Cambria Math" w:hAnsi="Cambria Math"/>
              </w:rPr>
              <m:t>xy</m:t>
            </m:r>
          </m:sub>
        </m:sSub>
      </m:oMath>
      <w:r w:rsidRPr="00EC7EFC">
        <w:t xml:space="preserve">, </w:t>
      </w:r>
      <m:oMath>
        <m:sSub>
          <m:sSubPr>
            <m:ctrlPr>
              <w:rPr>
                <w:rFonts w:ascii="Cambria Math" w:hAnsi="Cambria Math"/>
                <w:i/>
              </w:rPr>
            </m:ctrlPr>
          </m:sSubPr>
          <m:e>
            <m:r>
              <w:rPr>
                <w:rFonts w:ascii="Cambria Math" w:hAnsi="Cambria Math"/>
              </w:rPr>
              <m:t>τ</m:t>
            </m:r>
          </m:e>
          <m:sub>
            <m:r>
              <w:rPr>
                <w:rFonts w:ascii="Cambria Math" w:hAnsi="Cambria Math"/>
              </w:rPr>
              <m:t>yx</m:t>
            </m:r>
          </m:sub>
        </m:sSub>
      </m:oMath>
      <w:r w:rsidRPr="00EC7EFC">
        <w:t xml:space="preserve">, </w:t>
      </w:r>
      <m:oMath>
        <m:sSub>
          <m:sSubPr>
            <m:ctrlPr>
              <w:rPr>
                <w:rFonts w:ascii="Cambria Math" w:hAnsi="Cambria Math"/>
                <w:i/>
              </w:rPr>
            </m:ctrlPr>
          </m:sSubPr>
          <m:e>
            <m:r>
              <w:rPr>
                <w:rFonts w:ascii="Cambria Math" w:hAnsi="Cambria Math"/>
              </w:rPr>
              <m:t>τ</m:t>
            </m:r>
          </m:e>
          <m:sub>
            <m:r>
              <w:rPr>
                <w:rFonts w:ascii="Cambria Math" w:hAnsi="Cambria Math"/>
              </w:rPr>
              <m:t>xz</m:t>
            </m:r>
          </m:sub>
        </m:sSub>
      </m:oMath>
      <w:r w:rsidRPr="00EC7EFC">
        <w:t xml:space="preserve">, </w:t>
      </w:r>
      <m:oMath>
        <m:sSub>
          <m:sSubPr>
            <m:ctrlPr>
              <w:rPr>
                <w:rFonts w:ascii="Cambria Math" w:hAnsi="Cambria Math"/>
                <w:i/>
              </w:rPr>
            </m:ctrlPr>
          </m:sSubPr>
          <m:e>
            <m:r>
              <w:rPr>
                <w:rFonts w:ascii="Cambria Math" w:hAnsi="Cambria Math"/>
              </w:rPr>
              <m:t>τ</m:t>
            </m:r>
          </m:e>
          <m:sub>
            <m:r>
              <w:rPr>
                <w:rFonts w:ascii="Cambria Math" w:hAnsi="Cambria Math"/>
              </w:rPr>
              <m:t>zx</m:t>
            </m:r>
          </m:sub>
        </m:sSub>
      </m:oMath>
      <w:r w:rsidRPr="00EC7EFC">
        <w:t xml:space="preserve">, </w:t>
      </w:r>
      <m:oMath>
        <m:sSub>
          <m:sSubPr>
            <m:ctrlPr>
              <w:rPr>
                <w:rFonts w:ascii="Cambria Math" w:hAnsi="Cambria Math"/>
                <w:i/>
              </w:rPr>
            </m:ctrlPr>
          </m:sSubPr>
          <m:e>
            <m:r>
              <w:rPr>
                <w:rFonts w:ascii="Cambria Math" w:hAnsi="Cambria Math"/>
              </w:rPr>
              <m:t>τ</m:t>
            </m:r>
          </m:e>
          <m:sub>
            <m:r>
              <w:rPr>
                <w:rFonts w:ascii="Cambria Math" w:hAnsi="Cambria Math"/>
              </w:rPr>
              <m:t>yz</m:t>
            </m:r>
          </m:sub>
        </m:sSub>
      </m:oMath>
      <w:r>
        <w:t>,</w:t>
      </w:r>
      <w:r w:rsidRPr="00EC7EFC">
        <w:t xml:space="preserve"> </w:t>
      </w:r>
      <m:oMath>
        <m:sSub>
          <m:sSubPr>
            <m:ctrlPr>
              <w:rPr>
                <w:rFonts w:ascii="Cambria Math" w:hAnsi="Cambria Math"/>
                <w:i/>
              </w:rPr>
            </m:ctrlPr>
          </m:sSubPr>
          <m:e>
            <m:r>
              <w:rPr>
                <w:rFonts w:ascii="Cambria Math" w:hAnsi="Cambria Math"/>
              </w:rPr>
              <m:t>τ</m:t>
            </m:r>
          </m:e>
          <m:sub>
            <m:r>
              <w:rPr>
                <w:rFonts w:ascii="Cambria Math" w:hAnsi="Cambria Math"/>
              </w:rPr>
              <m:t>zy</m:t>
            </m:r>
          </m:sub>
        </m:sSub>
      </m:oMath>
      <w:r>
        <w:t xml:space="preserve">) stress components. </w:t>
      </w:r>
      <w:r w:rsidRPr="00EC7EFC">
        <w:t xml:space="preserve">The 3D stress tensor matrix </w:t>
      </w:r>
      <w:r w:rsidRPr="001E64C9">
        <w:t>is shown</w:t>
      </w:r>
      <w:r w:rsidRPr="00EC7EFC">
        <w:t xml:space="preserve"> in </w:t>
      </w:r>
      <w:r>
        <w:t>Equation A</w:t>
      </w:r>
      <w:r w:rsidRPr="00EC7EFC">
        <w:t>.</w:t>
      </w:r>
      <w:r>
        <w:t>4</w:t>
      </w:r>
      <w:r w:rsidRPr="00EC7EFC">
        <w:t>.</w:t>
      </w:r>
    </w:p>
    <w:p w14:paraId="747035F7" w14:textId="77777777" w:rsidR="00393D6E" w:rsidRPr="00EC7EFC" w:rsidRDefault="00393D6E" w:rsidP="00BC23AD">
      <w:pPr>
        <w:pStyle w:val="NoSpacing"/>
      </w:pPr>
      <w:r w:rsidRPr="001E64C9">
        <w:rPr>
          <w:noProof/>
        </w:rPr>
        <w:drawing>
          <wp:inline distT="0" distB="0" distL="0" distR="0" wp14:anchorId="69186503" wp14:editId="67E82437">
            <wp:extent cx="4572000" cy="2578608"/>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4572000" cy="2578608"/>
                    </a:xfrm>
                    <a:prstGeom prst="rect">
                      <a:avLst/>
                    </a:prstGeom>
                    <a:noFill/>
                  </pic:spPr>
                </pic:pic>
              </a:graphicData>
            </a:graphic>
          </wp:inline>
        </w:drawing>
      </w:r>
    </w:p>
    <w:p w14:paraId="0FD348FB" w14:textId="51ED7395" w:rsidR="00393D6E" w:rsidRPr="00EC7EFC" w:rsidRDefault="00393D6E" w:rsidP="00BC23AD">
      <w:pPr>
        <w:pStyle w:val="Caption"/>
      </w:pPr>
      <w:bookmarkStart w:id="177" w:name="_Toc7166642"/>
      <w:r>
        <w:t>Figure A.2</w:t>
      </w:r>
      <w:r w:rsidRPr="00EC7EFC">
        <w:t xml:space="preserve">: 3D stresses on a cube </w:t>
      </w:r>
      <w:r w:rsidRPr="001E64C9">
        <w:t>with respect to</w:t>
      </w:r>
      <w:r>
        <w:t xml:space="preserve"> its axis. </w:t>
      </w:r>
      <w:r w:rsidRPr="00EC7EFC">
        <w:t xml:space="preserve">The normal stress </w:t>
      </w:r>
      <m:oMath>
        <m:r>
          <m:rPr>
            <m:sty m:val="bi"/>
          </m:rPr>
          <w:rPr>
            <w:rFonts w:ascii="Cambria Math" w:hAnsi="Cambria Math"/>
          </w:rPr>
          <m:t>(σ)</m:t>
        </m:r>
      </m:oMath>
      <w:r w:rsidRPr="00EC7EFC">
        <w:t xml:space="preserve"> is perpendicular to the axis plane while the shear stress </w:t>
      </w:r>
      <m:oMath>
        <m:r>
          <m:rPr>
            <m:sty m:val="bi"/>
          </m:rPr>
          <w:rPr>
            <w:rFonts w:ascii="Cambria Math" w:hAnsi="Cambria Math"/>
          </w:rPr>
          <m:t>(τ)</m:t>
        </m:r>
      </m:oMath>
      <w:r w:rsidRPr="00EC7EFC">
        <w:t xml:space="preserve"> is parallel to the axis plane.</w:t>
      </w:r>
      <w:bookmarkEnd w:id="177"/>
    </w:p>
    <w:p w14:paraId="37A38F97" w14:textId="77777777" w:rsidR="00393D6E" w:rsidRPr="00EC7EFC" w:rsidRDefault="00393D6E" w:rsidP="00393D6E">
      <w:pPr>
        <w:rPr>
          <w:sz w:val="6"/>
        </w:rPr>
      </w:pPr>
    </w:p>
    <w:p w14:paraId="18C8557F" w14:textId="51157555" w:rsidR="00393D6E" w:rsidRPr="00EC7EFC" w:rsidRDefault="00393D6E" w:rsidP="00393D6E">
      <w:pPr>
        <w:spacing w:line="240" w:lineRule="auto"/>
        <w:jc w:val="right"/>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F21DDA" w14:paraId="354E7AD3" w14:textId="77777777" w:rsidTr="0054184B">
        <w:trPr>
          <w:trHeight w:val="576"/>
        </w:trPr>
        <w:tc>
          <w:tcPr>
            <w:tcW w:w="720" w:type="dxa"/>
            <w:vAlign w:val="center"/>
          </w:tcPr>
          <w:p w14:paraId="60FCE47B" w14:textId="77777777" w:rsidR="00F21DDA" w:rsidRDefault="00F21DDA" w:rsidP="0054184B">
            <w:pPr>
              <w:spacing w:line="240" w:lineRule="auto"/>
              <w:jc w:val="center"/>
            </w:pPr>
          </w:p>
        </w:tc>
        <w:tc>
          <w:tcPr>
            <w:tcW w:w="7920" w:type="dxa"/>
            <w:vAlign w:val="center"/>
          </w:tcPr>
          <w:p w14:paraId="60D6243D" w14:textId="13CAFC21" w:rsidR="00F21DDA" w:rsidRPr="003E4C6A" w:rsidRDefault="00077C0B" w:rsidP="0054184B">
            <w:pPr>
              <w:spacing w:line="240" w:lineRule="auto"/>
              <w:jc w:val="center"/>
            </w:pPr>
            <m:oMathPara>
              <m:oMath>
                <m:d>
                  <m:dPr>
                    <m:begChr m:val="["/>
                    <m:endChr m:val="]"/>
                    <m:ctrlPr>
                      <w:rPr>
                        <w:rFonts w:ascii="Cambria Math" w:hAnsi="Cambria Math"/>
                        <w:i/>
                      </w:rPr>
                    </m:ctrlPr>
                  </m:dPr>
                  <m:e>
                    <m:m>
                      <m:mPr>
                        <m:mcs>
                          <m:mc>
                            <m:mcPr>
                              <m:count m:val="3"/>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σ</m:t>
                              </m:r>
                            </m:e>
                            <m:sub>
                              <m:r>
                                <w:rPr>
                                  <w:rFonts w:ascii="Cambria Math" w:hAnsi="Cambria Math"/>
                                </w:rPr>
                                <m:t>x</m:t>
                              </m:r>
                            </m:sub>
                          </m:sSub>
                        </m:e>
                        <m:e>
                          <m:sSub>
                            <m:sSubPr>
                              <m:ctrlPr>
                                <w:rPr>
                                  <w:rFonts w:ascii="Cambria Math" w:hAnsi="Cambria Math"/>
                                  <w:i/>
                                </w:rPr>
                              </m:ctrlPr>
                            </m:sSubPr>
                            <m:e>
                              <m:r>
                                <w:rPr>
                                  <w:rFonts w:ascii="Cambria Math" w:hAnsi="Cambria Math"/>
                                </w:rPr>
                                <m:t>τ</m:t>
                              </m:r>
                            </m:e>
                            <m:sub>
                              <m:r>
                                <w:rPr>
                                  <w:rFonts w:ascii="Cambria Math" w:hAnsi="Cambria Math"/>
                                </w:rPr>
                                <m:t>xy</m:t>
                              </m:r>
                            </m:sub>
                          </m:sSub>
                        </m:e>
                        <m:e>
                          <m:sSub>
                            <m:sSubPr>
                              <m:ctrlPr>
                                <w:rPr>
                                  <w:rFonts w:ascii="Cambria Math" w:hAnsi="Cambria Math"/>
                                  <w:i/>
                                </w:rPr>
                              </m:ctrlPr>
                            </m:sSubPr>
                            <m:e>
                              <m:r>
                                <w:rPr>
                                  <w:rFonts w:ascii="Cambria Math" w:hAnsi="Cambria Math"/>
                                </w:rPr>
                                <m:t>τ</m:t>
                              </m:r>
                            </m:e>
                            <m:sub>
                              <m:r>
                                <w:rPr>
                                  <w:rFonts w:ascii="Cambria Math" w:hAnsi="Cambria Math"/>
                                </w:rPr>
                                <m:t>xz</m:t>
                              </m:r>
                            </m:sub>
                          </m:sSub>
                        </m:e>
                      </m:mr>
                      <m:mr>
                        <m:e>
                          <m:sSub>
                            <m:sSubPr>
                              <m:ctrlPr>
                                <w:rPr>
                                  <w:rFonts w:ascii="Cambria Math" w:hAnsi="Cambria Math"/>
                                  <w:i/>
                                </w:rPr>
                              </m:ctrlPr>
                            </m:sSubPr>
                            <m:e>
                              <m:r>
                                <w:rPr>
                                  <w:rFonts w:ascii="Cambria Math" w:hAnsi="Cambria Math"/>
                                </w:rPr>
                                <m:t>τ</m:t>
                              </m:r>
                            </m:e>
                            <m:sub>
                              <m:r>
                                <w:rPr>
                                  <w:rFonts w:ascii="Cambria Math" w:hAnsi="Cambria Math"/>
                                </w:rPr>
                                <m:t>yx</m:t>
                              </m:r>
                            </m:sub>
                          </m:sSub>
                        </m:e>
                        <m:e>
                          <m:sSub>
                            <m:sSubPr>
                              <m:ctrlPr>
                                <w:rPr>
                                  <w:rFonts w:ascii="Cambria Math" w:hAnsi="Cambria Math"/>
                                  <w:i/>
                                </w:rPr>
                              </m:ctrlPr>
                            </m:sSubPr>
                            <m:e>
                              <m:r>
                                <w:rPr>
                                  <w:rFonts w:ascii="Cambria Math" w:hAnsi="Cambria Math"/>
                                </w:rPr>
                                <m:t>σ</m:t>
                              </m:r>
                            </m:e>
                            <m:sub>
                              <m:r>
                                <w:rPr>
                                  <w:rFonts w:ascii="Cambria Math" w:hAnsi="Cambria Math"/>
                                </w:rPr>
                                <m:t>y</m:t>
                              </m:r>
                            </m:sub>
                          </m:sSub>
                        </m:e>
                        <m:e>
                          <m:sSub>
                            <m:sSubPr>
                              <m:ctrlPr>
                                <w:rPr>
                                  <w:rFonts w:ascii="Cambria Math" w:hAnsi="Cambria Math"/>
                                  <w:i/>
                                </w:rPr>
                              </m:ctrlPr>
                            </m:sSubPr>
                            <m:e>
                              <m:r>
                                <w:rPr>
                                  <w:rFonts w:ascii="Cambria Math" w:hAnsi="Cambria Math"/>
                                </w:rPr>
                                <m:t>τ</m:t>
                              </m:r>
                            </m:e>
                            <m:sub>
                              <m:r>
                                <w:rPr>
                                  <w:rFonts w:ascii="Cambria Math" w:hAnsi="Cambria Math"/>
                                </w:rPr>
                                <m:t>yz</m:t>
                              </m:r>
                            </m:sub>
                          </m:sSub>
                        </m:e>
                      </m:mr>
                      <m:mr>
                        <m:e>
                          <m:sSub>
                            <m:sSubPr>
                              <m:ctrlPr>
                                <w:rPr>
                                  <w:rFonts w:ascii="Cambria Math" w:hAnsi="Cambria Math"/>
                                  <w:i/>
                                </w:rPr>
                              </m:ctrlPr>
                            </m:sSubPr>
                            <m:e>
                              <m:r>
                                <w:rPr>
                                  <w:rFonts w:ascii="Cambria Math" w:hAnsi="Cambria Math"/>
                                </w:rPr>
                                <m:t>τ</m:t>
                              </m:r>
                            </m:e>
                            <m:sub>
                              <m:r>
                                <w:rPr>
                                  <w:rFonts w:ascii="Cambria Math" w:hAnsi="Cambria Math"/>
                                </w:rPr>
                                <m:t>zx</m:t>
                              </m:r>
                            </m:sub>
                          </m:sSub>
                        </m:e>
                        <m:e>
                          <m:sSub>
                            <m:sSubPr>
                              <m:ctrlPr>
                                <w:rPr>
                                  <w:rFonts w:ascii="Cambria Math" w:hAnsi="Cambria Math"/>
                                  <w:i/>
                                </w:rPr>
                              </m:ctrlPr>
                            </m:sSubPr>
                            <m:e>
                              <m:r>
                                <w:rPr>
                                  <w:rFonts w:ascii="Cambria Math" w:hAnsi="Cambria Math"/>
                                </w:rPr>
                                <m:t>τ</m:t>
                              </m:r>
                            </m:e>
                            <m:sub>
                              <m:r>
                                <w:rPr>
                                  <w:rFonts w:ascii="Cambria Math" w:hAnsi="Cambria Math"/>
                                </w:rPr>
                                <m:t>zy</m:t>
                              </m:r>
                            </m:sub>
                          </m:sSub>
                        </m:e>
                        <m:e>
                          <m:sSub>
                            <m:sSubPr>
                              <m:ctrlPr>
                                <w:rPr>
                                  <w:rFonts w:ascii="Cambria Math" w:hAnsi="Cambria Math"/>
                                  <w:i/>
                                </w:rPr>
                              </m:ctrlPr>
                            </m:sSubPr>
                            <m:e>
                              <m:r>
                                <w:rPr>
                                  <w:rFonts w:ascii="Cambria Math" w:hAnsi="Cambria Math"/>
                                </w:rPr>
                                <m:t>σ</m:t>
                              </m:r>
                            </m:e>
                            <m:sub>
                              <m:r>
                                <w:rPr>
                                  <w:rFonts w:ascii="Cambria Math" w:hAnsi="Cambria Math"/>
                                </w:rPr>
                                <m:t>z</m:t>
                              </m:r>
                            </m:sub>
                          </m:sSub>
                        </m:e>
                      </m:mr>
                    </m:m>
                  </m:e>
                </m:d>
              </m:oMath>
            </m:oMathPara>
          </w:p>
        </w:tc>
        <w:tc>
          <w:tcPr>
            <w:tcW w:w="720" w:type="dxa"/>
            <w:vAlign w:val="bottom"/>
          </w:tcPr>
          <w:p w14:paraId="12392509" w14:textId="565DC501" w:rsidR="00F21DDA" w:rsidRPr="00393D6E" w:rsidRDefault="00F21DDA" w:rsidP="00BC23AD">
            <w:pPr>
              <w:pStyle w:val="Caption"/>
            </w:pPr>
            <w:r>
              <w:t>A.4</w:t>
            </w:r>
          </w:p>
        </w:tc>
      </w:tr>
    </w:tbl>
    <w:p w14:paraId="5884A11B" w14:textId="04D37B3C" w:rsidR="00393D6E" w:rsidRDefault="00393D6E" w:rsidP="00393D6E">
      <w:pPr>
        <w:ind w:firstLine="720"/>
      </w:pPr>
      <w:r w:rsidRPr="00EC7EFC">
        <w:lastRenderedPageBreak/>
        <w:t xml:space="preserve">If the rock (body) is considered to be in equilibrium (no translational or rotational forces acting on it), the stress tensor (Equation </w:t>
      </w:r>
      <w:r>
        <w:t>A</w:t>
      </w:r>
      <w:r w:rsidRPr="00EC7EFC">
        <w:t>.4) simplifies down such that there are still three normal stress components, but the six shear components simplify down to three components since the shear stresses are opposite of one another must be equal in magnitude (</w:t>
      </w:r>
      <m:oMath>
        <m:sSub>
          <m:sSubPr>
            <m:ctrlPr>
              <w:rPr>
                <w:rFonts w:ascii="Cambria Math" w:hAnsi="Cambria Math"/>
                <w:i/>
              </w:rPr>
            </m:ctrlPr>
          </m:sSubPr>
          <m:e>
            <m:r>
              <w:rPr>
                <w:rFonts w:ascii="Cambria Math" w:hAnsi="Cambria Math"/>
              </w:rPr>
              <m:t>τ</m:t>
            </m:r>
          </m:e>
          <m:sub>
            <m:r>
              <w:rPr>
                <w:rFonts w:ascii="Cambria Math" w:hAnsi="Cambria Math"/>
              </w:rPr>
              <m:t>xy</m:t>
            </m:r>
          </m:sub>
        </m:sSub>
        <m:r>
          <w:rPr>
            <w:rFonts w:ascii="Cambria Math" w:hAnsi="Cambria Math"/>
          </w:rPr>
          <m:t xml:space="preserve">= </m:t>
        </m:r>
        <m:sSub>
          <m:sSubPr>
            <m:ctrlPr>
              <w:rPr>
                <w:rFonts w:ascii="Cambria Math" w:hAnsi="Cambria Math"/>
                <w:i/>
              </w:rPr>
            </m:ctrlPr>
          </m:sSubPr>
          <m:e>
            <m:r>
              <w:rPr>
                <w:rFonts w:ascii="Cambria Math" w:hAnsi="Cambria Math"/>
              </w:rPr>
              <m:t>τ</m:t>
            </m:r>
          </m:e>
          <m:sub>
            <m:r>
              <w:rPr>
                <w:rFonts w:ascii="Cambria Math" w:hAnsi="Cambria Math"/>
              </w:rPr>
              <m:t>yx</m:t>
            </m:r>
          </m:sub>
        </m:sSub>
      </m:oMath>
      <w:r>
        <w:t xml:space="preserve">). </w:t>
      </w:r>
      <w:r w:rsidRPr="00EC7EFC">
        <w:t>This stres</w:t>
      </w:r>
      <w:r w:rsidRPr="00DC733F">
        <w:t xml:space="preserve">s tensor </w:t>
      </w:r>
      <w:r w:rsidRPr="001E64C9">
        <w:t>is shown</w:t>
      </w:r>
      <w:r w:rsidRPr="00EC7EFC">
        <w:t xml:space="preserve"> in Equation </w:t>
      </w:r>
      <w:r>
        <w:t>A</w:t>
      </w:r>
      <w:r w:rsidRPr="00EC7EFC">
        <w:t>.5</w:t>
      </w:r>
      <w:r>
        <w:t xml:space="preserve">. </w:t>
      </w:r>
      <w:r w:rsidRPr="00EC7EFC">
        <w:t>The result of this is that now the stresses of a body in equilibrium can be described using three normal and three shear stresses.</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F21DDA" w14:paraId="256DC7E5" w14:textId="77777777" w:rsidTr="0054184B">
        <w:trPr>
          <w:trHeight w:val="576"/>
        </w:trPr>
        <w:tc>
          <w:tcPr>
            <w:tcW w:w="720" w:type="dxa"/>
            <w:vAlign w:val="center"/>
          </w:tcPr>
          <w:p w14:paraId="49596D76" w14:textId="77777777" w:rsidR="00F21DDA" w:rsidRDefault="00F21DDA" w:rsidP="0054184B">
            <w:pPr>
              <w:spacing w:line="240" w:lineRule="auto"/>
              <w:jc w:val="center"/>
            </w:pPr>
          </w:p>
        </w:tc>
        <w:tc>
          <w:tcPr>
            <w:tcW w:w="7920" w:type="dxa"/>
            <w:vAlign w:val="center"/>
          </w:tcPr>
          <w:p w14:paraId="06C92276" w14:textId="68D1398C" w:rsidR="00F21DDA" w:rsidRPr="00B74A2F" w:rsidRDefault="00077C0B" w:rsidP="00B74A2F">
            <w:pPr>
              <w:spacing w:line="240" w:lineRule="auto"/>
              <w:jc w:val="center"/>
              <w:rPr>
                <w:rFonts w:eastAsiaTheme="minorEastAsia"/>
              </w:rPr>
            </w:pPr>
            <m:oMathPara>
              <m:oMath>
                <m:d>
                  <m:dPr>
                    <m:begChr m:val="["/>
                    <m:endChr m:val="]"/>
                    <m:ctrlPr>
                      <w:rPr>
                        <w:rFonts w:ascii="Cambria Math" w:hAnsi="Cambria Math"/>
                        <w:i/>
                      </w:rPr>
                    </m:ctrlPr>
                  </m:dPr>
                  <m:e>
                    <m:m>
                      <m:mPr>
                        <m:mcs>
                          <m:mc>
                            <m:mcPr>
                              <m:count m:val="3"/>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σ</m:t>
                              </m:r>
                            </m:e>
                            <m:sub>
                              <m:r>
                                <w:rPr>
                                  <w:rFonts w:ascii="Cambria Math" w:hAnsi="Cambria Math"/>
                                </w:rPr>
                                <m:t>x</m:t>
                              </m:r>
                            </m:sub>
                          </m:sSub>
                        </m:e>
                        <m:e>
                          <m:sSub>
                            <m:sSubPr>
                              <m:ctrlPr>
                                <w:rPr>
                                  <w:rFonts w:ascii="Cambria Math" w:hAnsi="Cambria Math"/>
                                  <w:i/>
                                </w:rPr>
                              </m:ctrlPr>
                            </m:sSubPr>
                            <m:e>
                              <m:r>
                                <w:rPr>
                                  <w:rFonts w:ascii="Cambria Math" w:hAnsi="Cambria Math"/>
                                </w:rPr>
                                <m:t>τ</m:t>
                              </m:r>
                            </m:e>
                            <m:sub>
                              <m:r>
                                <w:rPr>
                                  <w:rFonts w:ascii="Cambria Math" w:hAnsi="Cambria Math"/>
                                </w:rPr>
                                <m:t>xy</m:t>
                              </m:r>
                            </m:sub>
                          </m:sSub>
                        </m:e>
                        <m:e>
                          <m:sSub>
                            <m:sSubPr>
                              <m:ctrlPr>
                                <w:rPr>
                                  <w:rFonts w:ascii="Cambria Math" w:hAnsi="Cambria Math"/>
                                  <w:i/>
                                </w:rPr>
                              </m:ctrlPr>
                            </m:sSubPr>
                            <m:e>
                              <m:r>
                                <w:rPr>
                                  <w:rFonts w:ascii="Cambria Math" w:hAnsi="Cambria Math"/>
                                </w:rPr>
                                <m:t>τ</m:t>
                              </m:r>
                            </m:e>
                            <m:sub>
                              <m:r>
                                <w:rPr>
                                  <w:rFonts w:ascii="Cambria Math" w:hAnsi="Cambria Math"/>
                                </w:rPr>
                                <m:t>xz</m:t>
                              </m:r>
                            </m:sub>
                          </m:sSub>
                        </m:e>
                      </m:mr>
                      <m:mr>
                        <m:e>
                          <m:sSub>
                            <m:sSubPr>
                              <m:ctrlPr>
                                <w:rPr>
                                  <w:rFonts w:ascii="Cambria Math" w:hAnsi="Cambria Math"/>
                                  <w:i/>
                                </w:rPr>
                              </m:ctrlPr>
                            </m:sSubPr>
                            <m:e>
                              <m:r>
                                <w:rPr>
                                  <w:rFonts w:ascii="Cambria Math" w:hAnsi="Cambria Math"/>
                                </w:rPr>
                                <m:t>τ</m:t>
                              </m:r>
                            </m:e>
                            <m:sub>
                              <m:r>
                                <w:rPr>
                                  <w:rFonts w:ascii="Cambria Math" w:hAnsi="Cambria Math"/>
                                </w:rPr>
                                <m:t>yx</m:t>
                              </m:r>
                            </m:sub>
                          </m:sSub>
                        </m:e>
                        <m:e>
                          <m:sSub>
                            <m:sSubPr>
                              <m:ctrlPr>
                                <w:rPr>
                                  <w:rFonts w:ascii="Cambria Math" w:hAnsi="Cambria Math"/>
                                  <w:i/>
                                </w:rPr>
                              </m:ctrlPr>
                            </m:sSubPr>
                            <m:e>
                              <m:r>
                                <w:rPr>
                                  <w:rFonts w:ascii="Cambria Math" w:hAnsi="Cambria Math"/>
                                </w:rPr>
                                <m:t>σ</m:t>
                              </m:r>
                            </m:e>
                            <m:sub>
                              <m:r>
                                <w:rPr>
                                  <w:rFonts w:ascii="Cambria Math" w:hAnsi="Cambria Math"/>
                                </w:rPr>
                                <m:t>y</m:t>
                              </m:r>
                            </m:sub>
                          </m:sSub>
                        </m:e>
                        <m:e>
                          <m:sSub>
                            <m:sSubPr>
                              <m:ctrlPr>
                                <w:rPr>
                                  <w:rFonts w:ascii="Cambria Math" w:hAnsi="Cambria Math"/>
                                  <w:i/>
                                </w:rPr>
                              </m:ctrlPr>
                            </m:sSubPr>
                            <m:e>
                              <m:r>
                                <w:rPr>
                                  <w:rFonts w:ascii="Cambria Math" w:hAnsi="Cambria Math"/>
                                </w:rPr>
                                <m:t>τ</m:t>
                              </m:r>
                            </m:e>
                            <m:sub>
                              <m:r>
                                <w:rPr>
                                  <w:rFonts w:ascii="Cambria Math" w:hAnsi="Cambria Math"/>
                                </w:rPr>
                                <m:t>yz</m:t>
                              </m:r>
                            </m:sub>
                          </m:sSub>
                        </m:e>
                      </m:mr>
                      <m:mr>
                        <m:e>
                          <m:sSub>
                            <m:sSubPr>
                              <m:ctrlPr>
                                <w:rPr>
                                  <w:rFonts w:ascii="Cambria Math" w:hAnsi="Cambria Math"/>
                                  <w:i/>
                                </w:rPr>
                              </m:ctrlPr>
                            </m:sSubPr>
                            <m:e>
                              <m:r>
                                <w:rPr>
                                  <w:rFonts w:ascii="Cambria Math" w:hAnsi="Cambria Math"/>
                                </w:rPr>
                                <m:t>τ</m:t>
                              </m:r>
                            </m:e>
                            <m:sub>
                              <m:r>
                                <w:rPr>
                                  <w:rFonts w:ascii="Cambria Math" w:hAnsi="Cambria Math"/>
                                </w:rPr>
                                <m:t>zx</m:t>
                              </m:r>
                            </m:sub>
                          </m:sSub>
                        </m:e>
                        <m:e>
                          <m:sSub>
                            <m:sSubPr>
                              <m:ctrlPr>
                                <w:rPr>
                                  <w:rFonts w:ascii="Cambria Math" w:hAnsi="Cambria Math"/>
                                  <w:i/>
                                </w:rPr>
                              </m:ctrlPr>
                            </m:sSubPr>
                            <m:e>
                              <m:r>
                                <w:rPr>
                                  <w:rFonts w:ascii="Cambria Math" w:hAnsi="Cambria Math"/>
                                </w:rPr>
                                <m:t>τ</m:t>
                              </m:r>
                            </m:e>
                            <m:sub>
                              <m:r>
                                <w:rPr>
                                  <w:rFonts w:ascii="Cambria Math" w:hAnsi="Cambria Math"/>
                                </w:rPr>
                                <m:t>zy</m:t>
                              </m:r>
                            </m:sub>
                          </m:sSub>
                        </m:e>
                        <m:e>
                          <m:sSub>
                            <m:sSubPr>
                              <m:ctrlPr>
                                <w:rPr>
                                  <w:rFonts w:ascii="Cambria Math" w:hAnsi="Cambria Math"/>
                                  <w:i/>
                                </w:rPr>
                              </m:ctrlPr>
                            </m:sSubPr>
                            <m:e>
                              <m:r>
                                <w:rPr>
                                  <w:rFonts w:ascii="Cambria Math" w:hAnsi="Cambria Math"/>
                                </w:rPr>
                                <m:t>σ</m:t>
                              </m:r>
                            </m:e>
                            <m:sub>
                              <m:r>
                                <w:rPr>
                                  <w:rFonts w:ascii="Cambria Math" w:hAnsi="Cambria Math"/>
                                </w:rPr>
                                <m:t>z</m:t>
                              </m:r>
                            </m:sub>
                          </m:sSub>
                        </m:e>
                      </m:mr>
                    </m:m>
                  </m:e>
                </m:d>
                <m:r>
                  <w:rPr>
                    <w:rFonts w:ascii="Cambria Math" w:hAnsi="Cambria Math"/>
                  </w:rPr>
                  <m:t xml:space="preserve"> </m:t>
                </m:r>
              </m:oMath>
            </m:oMathPara>
          </w:p>
        </w:tc>
        <w:tc>
          <w:tcPr>
            <w:tcW w:w="720" w:type="dxa"/>
            <w:vAlign w:val="bottom"/>
          </w:tcPr>
          <w:p w14:paraId="6D3BAD21" w14:textId="7088DEBF" w:rsidR="00F21DDA" w:rsidRPr="00393D6E" w:rsidRDefault="00F21DDA" w:rsidP="00BC23AD">
            <w:pPr>
              <w:pStyle w:val="Caption"/>
            </w:pPr>
            <w:r>
              <w:t>A.5</w:t>
            </w:r>
          </w:p>
        </w:tc>
      </w:tr>
    </w:tbl>
    <w:p w14:paraId="593ADFDB" w14:textId="20C4B9FC" w:rsidR="00F21DDA" w:rsidRDefault="00F21DDA" w:rsidP="00393D6E">
      <w:pPr>
        <w:ind w:firstLine="720"/>
      </w:pPr>
    </w:p>
    <w:p w14:paraId="361FC19A" w14:textId="6437C6AE" w:rsidR="00B74A2F" w:rsidRDefault="00B74A2F" w:rsidP="00393D6E">
      <w:pPr>
        <w:ind w:firstLine="720"/>
      </w:pPr>
      <w:r>
        <w:t xml:space="preserve">Which </w:t>
      </w:r>
      <m:oMath>
        <m:sSub>
          <m:sSubPr>
            <m:ctrlPr>
              <w:rPr>
                <w:rFonts w:ascii="Cambria Math" w:hAnsi="Cambria Math"/>
                <w:i/>
              </w:rPr>
            </m:ctrlPr>
          </m:sSubPr>
          <m:e>
            <m:r>
              <w:rPr>
                <w:rFonts w:ascii="Cambria Math" w:hAnsi="Cambria Math"/>
              </w:rPr>
              <m:t>τ</m:t>
            </m:r>
          </m:e>
          <m:sub>
            <m:r>
              <w:rPr>
                <w:rFonts w:ascii="Cambria Math" w:hAnsi="Cambria Math"/>
              </w:rPr>
              <m:t>xy</m:t>
            </m:r>
          </m:sub>
        </m:sSub>
        <m:r>
          <w:rPr>
            <w:rFonts w:ascii="Cambria Math" w:hAnsi="Cambria Math"/>
          </w:rPr>
          <m:t>=</m:t>
        </m:r>
        <m:sSub>
          <m:sSubPr>
            <m:ctrlPr>
              <w:rPr>
                <w:rFonts w:ascii="Cambria Math" w:hAnsi="Cambria Math"/>
                <w:i/>
              </w:rPr>
            </m:ctrlPr>
          </m:sSubPr>
          <m:e>
            <m:r>
              <w:rPr>
                <w:rFonts w:ascii="Cambria Math" w:hAnsi="Cambria Math"/>
              </w:rPr>
              <m:t>τ</m:t>
            </m:r>
          </m:e>
          <m:sub>
            <m:r>
              <w:rPr>
                <w:rFonts w:ascii="Cambria Math" w:hAnsi="Cambria Math"/>
              </w:rPr>
              <m:t>yx</m:t>
            </m:r>
          </m:sub>
        </m:sSub>
        <m:r>
          <w:rPr>
            <w:rFonts w:ascii="Cambria Math" w:hAnsi="Cambria Math"/>
          </w:rPr>
          <m:t xml:space="preserve">, </m:t>
        </m:r>
        <m:sSub>
          <m:sSubPr>
            <m:ctrlPr>
              <w:rPr>
                <w:rFonts w:ascii="Cambria Math" w:hAnsi="Cambria Math"/>
                <w:i/>
              </w:rPr>
            </m:ctrlPr>
          </m:sSubPr>
          <m:e>
            <m:r>
              <w:rPr>
                <w:rFonts w:ascii="Cambria Math" w:hAnsi="Cambria Math"/>
              </w:rPr>
              <m:t>τ</m:t>
            </m:r>
          </m:e>
          <m:sub>
            <m:r>
              <w:rPr>
                <w:rFonts w:ascii="Cambria Math" w:hAnsi="Cambria Math"/>
              </w:rPr>
              <m:t>xz</m:t>
            </m:r>
          </m:sub>
        </m:sSub>
        <m:r>
          <w:rPr>
            <w:rFonts w:ascii="Cambria Math" w:hAnsi="Cambria Math"/>
          </w:rPr>
          <m:t>=</m:t>
        </m:r>
        <m:sSub>
          <m:sSubPr>
            <m:ctrlPr>
              <w:rPr>
                <w:rFonts w:ascii="Cambria Math" w:hAnsi="Cambria Math"/>
                <w:i/>
              </w:rPr>
            </m:ctrlPr>
          </m:sSubPr>
          <m:e>
            <m:r>
              <w:rPr>
                <w:rFonts w:ascii="Cambria Math" w:hAnsi="Cambria Math"/>
              </w:rPr>
              <m:t>τ</m:t>
            </m:r>
          </m:e>
          <m:sub>
            <m:r>
              <w:rPr>
                <w:rFonts w:ascii="Cambria Math" w:hAnsi="Cambria Math"/>
              </w:rPr>
              <m:t>zx</m:t>
            </m:r>
          </m:sub>
        </m:sSub>
        <m:r>
          <w:rPr>
            <w:rFonts w:ascii="Cambria Math" w:hAnsi="Cambria Math"/>
          </w:rPr>
          <m:t xml:space="preserve">, &amp; </m:t>
        </m:r>
        <m:sSub>
          <m:sSubPr>
            <m:ctrlPr>
              <w:rPr>
                <w:rFonts w:ascii="Cambria Math" w:hAnsi="Cambria Math"/>
                <w:i/>
              </w:rPr>
            </m:ctrlPr>
          </m:sSubPr>
          <m:e>
            <m:r>
              <w:rPr>
                <w:rFonts w:ascii="Cambria Math" w:hAnsi="Cambria Math"/>
              </w:rPr>
              <m:t>τ</m:t>
            </m:r>
          </m:e>
          <m:sub>
            <m:r>
              <w:rPr>
                <w:rFonts w:ascii="Cambria Math" w:hAnsi="Cambria Math"/>
              </w:rPr>
              <m:t>yz</m:t>
            </m:r>
          </m:sub>
        </m:sSub>
        <m:r>
          <w:rPr>
            <w:rFonts w:ascii="Cambria Math" w:hAnsi="Cambria Math"/>
          </w:rPr>
          <m:t>=</m:t>
        </m:r>
        <m:sSub>
          <m:sSubPr>
            <m:ctrlPr>
              <w:rPr>
                <w:rFonts w:ascii="Cambria Math" w:hAnsi="Cambria Math"/>
                <w:i/>
              </w:rPr>
            </m:ctrlPr>
          </m:sSubPr>
          <m:e>
            <m:r>
              <w:rPr>
                <w:rFonts w:ascii="Cambria Math" w:hAnsi="Cambria Math"/>
              </w:rPr>
              <m:t>τ</m:t>
            </m:r>
          </m:e>
          <m:sub>
            <m:r>
              <w:rPr>
                <w:rFonts w:ascii="Cambria Math" w:hAnsi="Cambria Math"/>
              </w:rPr>
              <m:t>zy</m:t>
            </m:r>
          </m:sub>
        </m:sSub>
      </m:oMath>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F21DDA" w14:paraId="0B4EAB79" w14:textId="77777777" w:rsidTr="0054184B">
        <w:trPr>
          <w:trHeight w:val="576"/>
        </w:trPr>
        <w:tc>
          <w:tcPr>
            <w:tcW w:w="720" w:type="dxa"/>
            <w:vAlign w:val="center"/>
          </w:tcPr>
          <w:p w14:paraId="2D3C9C83" w14:textId="77777777" w:rsidR="00F21DDA" w:rsidRDefault="00F21DDA" w:rsidP="0054184B">
            <w:pPr>
              <w:spacing w:line="240" w:lineRule="auto"/>
              <w:jc w:val="center"/>
            </w:pPr>
          </w:p>
        </w:tc>
        <w:tc>
          <w:tcPr>
            <w:tcW w:w="7920" w:type="dxa"/>
            <w:vAlign w:val="center"/>
          </w:tcPr>
          <w:p w14:paraId="094D1E5E" w14:textId="257DC3A4" w:rsidR="00F21DDA" w:rsidRPr="003E4C6A" w:rsidRDefault="00F21DDA" w:rsidP="0054184B">
            <w:pPr>
              <w:spacing w:line="240" w:lineRule="auto"/>
              <w:jc w:val="center"/>
            </w:pPr>
            <m:oMathPara>
              <m:oMath>
                <m:r>
                  <w:rPr>
                    <w:rFonts w:ascii="Cambria Math" w:hAnsi="Cambria Math"/>
                  </w:rPr>
                  <m:t xml:space="preserve">→ </m:t>
                </m:r>
                <m:d>
                  <m:dPr>
                    <m:begChr m:val="["/>
                    <m:endChr m:val="]"/>
                    <m:ctrlPr>
                      <w:rPr>
                        <w:rFonts w:ascii="Cambria Math" w:hAnsi="Cambria Math"/>
                        <w:i/>
                      </w:rPr>
                    </m:ctrlPr>
                  </m:dPr>
                  <m:e>
                    <m:m>
                      <m:mPr>
                        <m:mcs>
                          <m:mc>
                            <m:mcPr>
                              <m:count m:val="3"/>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σ</m:t>
                              </m:r>
                            </m:e>
                            <m:sub>
                              <m:r>
                                <w:rPr>
                                  <w:rFonts w:ascii="Cambria Math" w:hAnsi="Cambria Math"/>
                                </w:rPr>
                                <m:t>x</m:t>
                              </m:r>
                            </m:sub>
                          </m:sSub>
                        </m:e>
                        <m:e>
                          <m:sSub>
                            <m:sSubPr>
                              <m:ctrlPr>
                                <w:rPr>
                                  <w:rFonts w:ascii="Cambria Math" w:hAnsi="Cambria Math"/>
                                  <w:i/>
                                </w:rPr>
                              </m:ctrlPr>
                            </m:sSubPr>
                            <m:e>
                              <m:r>
                                <w:rPr>
                                  <w:rFonts w:ascii="Cambria Math" w:hAnsi="Cambria Math"/>
                                </w:rPr>
                                <m:t>τ</m:t>
                              </m:r>
                            </m:e>
                            <m:sub>
                              <m:r>
                                <w:rPr>
                                  <w:rFonts w:ascii="Cambria Math" w:hAnsi="Cambria Math"/>
                                </w:rPr>
                                <m:t>xy</m:t>
                              </m:r>
                            </m:sub>
                          </m:sSub>
                        </m:e>
                        <m:e>
                          <m:sSub>
                            <m:sSubPr>
                              <m:ctrlPr>
                                <w:rPr>
                                  <w:rFonts w:ascii="Cambria Math" w:hAnsi="Cambria Math"/>
                                  <w:i/>
                                </w:rPr>
                              </m:ctrlPr>
                            </m:sSubPr>
                            <m:e>
                              <m:r>
                                <w:rPr>
                                  <w:rFonts w:ascii="Cambria Math" w:hAnsi="Cambria Math"/>
                                </w:rPr>
                                <m:t>τ</m:t>
                              </m:r>
                            </m:e>
                            <m:sub>
                              <m:r>
                                <w:rPr>
                                  <w:rFonts w:ascii="Cambria Math" w:hAnsi="Cambria Math"/>
                                </w:rPr>
                                <m:t>xz</m:t>
                              </m:r>
                            </m:sub>
                          </m:sSub>
                        </m:e>
                      </m:mr>
                      <m:mr>
                        <m:e>
                          <m:sSub>
                            <m:sSubPr>
                              <m:ctrlPr>
                                <w:rPr>
                                  <w:rFonts w:ascii="Cambria Math" w:hAnsi="Cambria Math"/>
                                  <w:i/>
                                </w:rPr>
                              </m:ctrlPr>
                            </m:sSubPr>
                            <m:e>
                              <m:r>
                                <w:rPr>
                                  <w:rFonts w:ascii="Cambria Math" w:hAnsi="Cambria Math"/>
                                </w:rPr>
                                <m:t>τ</m:t>
                              </m:r>
                            </m:e>
                            <m:sub>
                              <m:r>
                                <w:rPr>
                                  <w:rFonts w:ascii="Cambria Math" w:hAnsi="Cambria Math"/>
                                </w:rPr>
                                <m:t>xy</m:t>
                              </m:r>
                            </m:sub>
                          </m:sSub>
                        </m:e>
                        <m:e>
                          <m:sSub>
                            <m:sSubPr>
                              <m:ctrlPr>
                                <w:rPr>
                                  <w:rFonts w:ascii="Cambria Math" w:hAnsi="Cambria Math"/>
                                  <w:i/>
                                </w:rPr>
                              </m:ctrlPr>
                            </m:sSubPr>
                            <m:e>
                              <m:r>
                                <w:rPr>
                                  <w:rFonts w:ascii="Cambria Math" w:hAnsi="Cambria Math"/>
                                </w:rPr>
                                <m:t>σ</m:t>
                              </m:r>
                            </m:e>
                            <m:sub>
                              <m:r>
                                <w:rPr>
                                  <w:rFonts w:ascii="Cambria Math" w:hAnsi="Cambria Math"/>
                                </w:rPr>
                                <m:t>y</m:t>
                              </m:r>
                            </m:sub>
                          </m:sSub>
                        </m:e>
                        <m:e>
                          <m:sSub>
                            <m:sSubPr>
                              <m:ctrlPr>
                                <w:rPr>
                                  <w:rFonts w:ascii="Cambria Math" w:hAnsi="Cambria Math"/>
                                  <w:i/>
                                </w:rPr>
                              </m:ctrlPr>
                            </m:sSubPr>
                            <m:e>
                              <m:r>
                                <w:rPr>
                                  <w:rFonts w:ascii="Cambria Math" w:hAnsi="Cambria Math"/>
                                </w:rPr>
                                <m:t>τ</m:t>
                              </m:r>
                            </m:e>
                            <m:sub>
                              <m:r>
                                <w:rPr>
                                  <w:rFonts w:ascii="Cambria Math" w:hAnsi="Cambria Math"/>
                                </w:rPr>
                                <m:t>yz</m:t>
                              </m:r>
                            </m:sub>
                          </m:sSub>
                        </m:e>
                      </m:mr>
                      <m:mr>
                        <m:e>
                          <m:sSub>
                            <m:sSubPr>
                              <m:ctrlPr>
                                <w:rPr>
                                  <w:rFonts w:ascii="Cambria Math" w:hAnsi="Cambria Math"/>
                                  <w:i/>
                                </w:rPr>
                              </m:ctrlPr>
                            </m:sSubPr>
                            <m:e>
                              <m:r>
                                <w:rPr>
                                  <w:rFonts w:ascii="Cambria Math" w:hAnsi="Cambria Math"/>
                                </w:rPr>
                                <m:t>τ</m:t>
                              </m:r>
                            </m:e>
                            <m:sub>
                              <m:r>
                                <w:rPr>
                                  <w:rFonts w:ascii="Cambria Math" w:hAnsi="Cambria Math"/>
                                </w:rPr>
                                <m:t>xz</m:t>
                              </m:r>
                            </m:sub>
                          </m:sSub>
                        </m:e>
                        <m:e>
                          <m:sSub>
                            <m:sSubPr>
                              <m:ctrlPr>
                                <w:rPr>
                                  <w:rFonts w:ascii="Cambria Math" w:hAnsi="Cambria Math"/>
                                  <w:i/>
                                </w:rPr>
                              </m:ctrlPr>
                            </m:sSubPr>
                            <m:e>
                              <m:r>
                                <w:rPr>
                                  <w:rFonts w:ascii="Cambria Math" w:hAnsi="Cambria Math"/>
                                </w:rPr>
                                <m:t>τ</m:t>
                              </m:r>
                            </m:e>
                            <m:sub>
                              <m:r>
                                <w:rPr>
                                  <w:rFonts w:ascii="Cambria Math" w:hAnsi="Cambria Math"/>
                                </w:rPr>
                                <m:t>yz</m:t>
                              </m:r>
                            </m:sub>
                          </m:sSub>
                        </m:e>
                        <m:e>
                          <m:sSub>
                            <m:sSubPr>
                              <m:ctrlPr>
                                <w:rPr>
                                  <w:rFonts w:ascii="Cambria Math" w:hAnsi="Cambria Math"/>
                                  <w:i/>
                                </w:rPr>
                              </m:ctrlPr>
                            </m:sSubPr>
                            <m:e>
                              <m:r>
                                <w:rPr>
                                  <w:rFonts w:ascii="Cambria Math" w:hAnsi="Cambria Math"/>
                                </w:rPr>
                                <m:t>σ</m:t>
                              </m:r>
                            </m:e>
                            <m:sub>
                              <m:r>
                                <w:rPr>
                                  <w:rFonts w:ascii="Cambria Math" w:hAnsi="Cambria Math"/>
                                </w:rPr>
                                <m:t>z</m:t>
                              </m:r>
                            </m:sub>
                          </m:sSub>
                        </m:e>
                      </m:mr>
                    </m:m>
                  </m:e>
                </m:d>
              </m:oMath>
            </m:oMathPara>
          </w:p>
        </w:tc>
        <w:tc>
          <w:tcPr>
            <w:tcW w:w="720" w:type="dxa"/>
            <w:vAlign w:val="bottom"/>
          </w:tcPr>
          <w:p w14:paraId="6E92A847" w14:textId="5ECA77AE" w:rsidR="00F21DDA" w:rsidRPr="00393D6E" w:rsidRDefault="00F21DDA" w:rsidP="00BC23AD">
            <w:pPr>
              <w:pStyle w:val="Caption"/>
            </w:pPr>
            <w:r>
              <w:t>A.6</w:t>
            </w:r>
          </w:p>
        </w:tc>
      </w:tr>
    </w:tbl>
    <w:p w14:paraId="5E3BA87A" w14:textId="3566F23C" w:rsidR="00B74A2F" w:rsidRDefault="00B74A2F" w:rsidP="00B74A2F">
      <w:pPr>
        <w:spacing w:after="240"/>
      </w:pPr>
    </w:p>
    <w:p w14:paraId="0487ED0A" w14:textId="45850820" w:rsidR="00393D6E" w:rsidRDefault="00393D6E" w:rsidP="00BB51C6">
      <w:pPr>
        <w:spacing w:after="240"/>
      </w:pPr>
      <w:r>
        <w:rPr>
          <w:b/>
        </w:rPr>
        <w:t>Principal Stresses</w:t>
      </w:r>
    </w:p>
    <w:p w14:paraId="5C414EF7" w14:textId="29F98C82" w:rsidR="00393D6E" w:rsidRDefault="00393D6E" w:rsidP="00393D6E">
      <w:pPr>
        <w:ind w:firstLine="720"/>
      </w:pPr>
      <w:r w:rsidRPr="00EC7EFC">
        <w:t xml:space="preserve">If the coordinate system is rotated such that the normal stress components of Equation </w:t>
      </w:r>
      <w:r>
        <w:t>A</w:t>
      </w:r>
      <w:r w:rsidRPr="00EC7EFC">
        <w:t>.6 are equal to the maximum and minimum values resulting in the shear stress components being equal to zero, the normal stresses become re-defined as principal stresses</w:t>
      </w:r>
      <w:r w:rsidRPr="001E64C9">
        <w:t xml:space="preserve"> as shown</w:t>
      </w:r>
      <w:r w:rsidRPr="00EC7EFC">
        <w:t xml:space="preserve"> in Equation </w:t>
      </w:r>
      <w:r>
        <w:t>A</w:t>
      </w:r>
      <w:r w:rsidRPr="00EC7EFC">
        <w:t>.7.</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F21DDA" w14:paraId="70EC0D42" w14:textId="77777777" w:rsidTr="0054184B">
        <w:trPr>
          <w:trHeight w:val="576"/>
        </w:trPr>
        <w:tc>
          <w:tcPr>
            <w:tcW w:w="720" w:type="dxa"/>
            <w:vAlign w:val="center"/>
          </w:tcPr>
          <w:p w14:paraId="59764425" w14:textId="77777777" w:rsidR="00F21DDA" w:rsidRDefault="00F21DDA" w:rsidP="0054184B">
            <w:pPr>
              <w:spacing w:line="240" w:lineRule="auto"/>
              <w:jc w:val="center"/>
            </w:pPr>
          </w:p>
        </w:tc>
        <w:tc>
          <w:tcPr>
            <w:tcW w:w="7920" w:type="dxa"/>
            <w:vAlign w:val="center"/>
          </w:tcPr>
          <w:p w14:paraId="29211337" w14:textId="5777E2F6" w:rsidR="00F21DDA" w:rsidRPr="003E4C6A" w:rsidRDefault="00077C0B" w:rsidP="0054184B">
            <w:pPr>
              <w:spacing w:line="240" w:lineRule="auto"/>
              <w:jc w:val="center"/>
            </w:pPr>
            <m:oMathPara>
              <m:oMath>
                <m:d>
                  <m:dPr>
                    <m:begChr m:val="["/>
                    <m:endChr m:val="]"/>
                    <m:ctrlPr>
                      <w:rPr>
                        <w:rFonts w:ascii="Cambria Math" w:hAnsi="Cambria Math"/>
                        <w:i/>
                      </w:rPr>
                    </m:ctrlPr>
                  </m:dPr>
                  <m:e>
                    <m:r>
                      <w:rPr>
                        <w:rFonts w:ascii="Cambria Math" w:hAnsi="Cambria Math"/>
                      </w:rPr>
                      <m:t>σ</m:t>
                    </m:r>
                  </m:e>
                </m:d>
                <m:r>
                  <w:rPr>
                    <w:rFonts w:ascii="Cambria Math" w:hAnsi="Cambria Math"/>
                  </w:rPr>
                  <m:t>=</m:t>
                </m:r>
                <m:d>
                  <m:dPr>
                    <m:begChr m:val="["/>
                    <m:endChr m:val="]"/>
                    <m:ctrlPr>
                      <w:rPr>
                        <w:rFonts w:ascii="Cambria Math" w:hAnsi="Cambria Math"/>
                        <w:i/>
                      </w:rPr>
                    </m:ctrlPr>
                  </m:dPr>
                  <m:e>
                    <m:m>
                      <m:mPr>
                        <m:mcs>
                          <m:mc>
                            <m:mcPr>
                              <m:count m:val="3"/>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σ</m:t>
                              </m:r>
                            </m:e>
                            <m:sub>
                              <m:r>
                                <w:rPr>
                                  <w:rFonts w:ascii="Cambria Math" w:hAnsi="Cambria Math"/>
                                </w:rPr>
                                <m:t>x</m:t>
                              </m:r>
                            </m:sub>
                          </m:sSub>
                        </m:e>
                        <m:e>
                          <m:sSub>
                            <m:sSubPr>
                              <m:ctrlPr>
                                <w:rPr>
                                  <w:rFonts w:ascii="Cambria Math" w:hAnsi="Cambria Math"/>
                                  <w:i/>
                                </w:rPr>
                              </m:ctrlPr>
                            </m:sSubPr>
                            <m:e>
                              <m:r>
                                <w:rPr>
                                  <w:rFonts w:ascii="Cambria Math" w:hAnsi="Cambria Math"/>
                                </w:rPr>
                                <m:t>τ</m:t>
                              </m:r>
                            </m:e>
                            <m:sub>
                              <m:r>
                                <w:rPr>
                                  <w:rFonts w:ascii="Cambria Math" w:hAnsi="Cambria Math"/>
                                </w:rPr>
                                <m:t>xy</m:t>
                              </m:r>
                            </m:sub>
                          </m:sSub>
                        </m:e>
                        <m:e>
                          <m:sSub>
                            <m:sSubPr>
                              <m:ctrlPr>
                                <w:rPr>
                                  <w:rFonts w:ascii="Cambria Math" w:hAnsi="Cambria Math"/>
                                  <w:i/>
                                </w:rPr>
                              </m:ctrlPr>
                            </m:sSubPr>
                            <m:e>
                              <m:r>
                                <w:rPr>
                                  <w:rFonts w:ascii="Cambria Math" w:hAnsi="Cambria Math"/>
                                </w:rPr>
                                <m:t>τ</m:t>
                              </m:r>
                            </m:e>
                            <m:sub>
                              <m:r>
                                <w:rPr>
                                  <w:rFonts w:ascii="Cambria Math" w:hAnsi="Cambria Math"/>
                                </w:rPr>
                                <m:t>xz</m:t>
                              </m:r>
                            </m:sub>
                          </m:sSub>
                        </m:e>
                      </m:mr>
                      <m:mr>
                        <m:e>
                          <m:sSub>
                            <m:sSubPr>
                              <m:ctrlPr>
                                <w:rPr>
                                  <w:rFonts w:ascii="Cambria Math" w:hAnsi="Cambria Math"/>
                                  <w:i/>
                                </w:rPr>
                              </m:ctrlPr>
                            </m:sSubPr>
                            <m:e>
                              <m:r>
                                <w:rPr>
                                  <w:rFonts w:ascii="Cambria Math" w:hAnsi="Cambria Math"/>
                                </w:rPr>
                                <m:t>τ</m:t>
                              </m:r>
                            </m:e>
                            <m:sub>
                              <m:r>
                                <w:rPr>
                                  <w:rFonts w:ascii="Cambria Math" w:hAnsi="Cambria Math"/>
                                </w:rPr>
                                <m:t>xy</m:t>
                              </m:r>
                            </m:sub>
                          </m:sSub>
                        </m:e>
                        <m:e>
                          <m:sSub>
                            <m:sSubPr>
                              <m:ctrlPr>
                                <w:rPr>
                                  <w:rFonts w:ascii="Cambria Math" w:hAnsi="Cambria Math"/>
                                  <w:i/>
                                </w:rPr>
                              </m:ctrlPr>
                            </m:sSubPr>
                            <m:e>
                              <m:r>
                                <w:rPr>
                                  <w:rFonts w:ascii="Cambria Math" w:hAnsi="Cambria Math"/>
                                </w:rPr>
                                <m:t>σ</m:t>
                              </m:r>
                            </m:e>
                            <m:sub>
                              <m:r>
                                <w:rPr>
                                  <w:rFonts w:ascii="Cambria Math" w:hAnsi="Cambria Math"/>
                                </w:rPr>
                                <m:t>y</m:t>
                              </m:r>
                            </m:sub>
                          </m:sSub>
                        </m:e>
                        <m:e>
                          <m:sSub>
                            <m:sSubPr>
                              <m:ctrlPr>
                                <w:rPr>
                                  <w:rFonts w:ascii="Cambria Math" w:hAnsi="Cambria Math"/>
                                  <w:i/>
                                </w:rPr>
                              </m:ctrlPr>
                            </m:sSubPr>
                            <m:e>
                              <m:r>
                                <w:rPr>
                                  <w:rFonts w:ascii="Cambria Math" w:hAnsi="Cambria Math"/>
                                </w:rPr>
                                <m:t>τ</m:t>
                              </m:r>
                            </m:e>
                            <m:sub>
                              <m:r>
                                <w:rPr>
                                  <w:rFonts w:ascii="Cambria Math" w:hAnsi="Cambria Math"/>
                                </w:rPr>
                                <m:t>yz</m:t>
                              </m:r>
                            </m:sub>
                          </m:sSub>
                        </m:e>
                      </m:mr>
                      <m:mr>
                        <m:e>
                          <m:sSub>
                            <m:sSubPr>
                              <m:ctrlPr>
                                <w:rPr>
                                  <w:rFonts w:ascii="Cambria Math" w:hAnsi="Cambria Math"/>
                                  <w:i/>
                                </w:rPr>
                              </m:ctrlPr>
                            </m:sSubPr>
                            <m:e>
                              <m:r>
                                <w:rPr>
                                  <w:rFonts w:ascii="Cambria Math" w:hAnsi="Cambria Math"/>
                                </w:rPr>
                                <m:t>τ</m:t>
                              </m:r>
                            </m:e>
                            <m:sub>
                              <m:r>
                                <w:rPr>
                                  <w:rFonts w:ascii="Cambria Math" w:hAnsi="Cambria Math"/>
                                </w:rPr>
                                <m:t>xz</m:t>
                              </m:r>
                            </m:sub>
                          </m:sSub>
                        </m:e>
                        <m:e>
                          <m:sSub>
                            <m:sSubPr>
                              <m:ctrlPr>
                                <w:rPr>
                                  <w:rFonts w:ascii="Cambria Math" w:hAnsi="Cambria Math"/>
                                  <w:i/>
                                </w:rPr>
                              </m:ctrlPr>
                            </m:sSubPr>
                            <m:e>
                              <m:r>
                                <w:rPr>
                                  <w:rFonts w:ascii="Cambria Math" w:hAnsi="Cambria Math"/>
                                </w:rPr>
                                <m:t>τ</m:t>
                              </m:r>
                            </m:e>
                            <m:sub>
                              <m:r>
                                <w:rPr>
                                  <w:rFonts w:ascii="Cambria Math" w:hAnsi="Cambria Math"/>
                                </w:rPr>
                                <m:t>yz</m:t>
                              </m:r>
                            </m:sub>
                          </m:sSub>
                        </m:e>
                        <m:e>
                          <m:sSub>
                            <m:sSubPr>
                              <m:ctrlPr>
                                <w:rPr>
                                  <w:rFonts w:ascii="Cambria Math" w:hAnsi="Cambria Math"/>
                                  <w:i/>
                                </w:rPr>
                              </m:ctrlPr>
                            </m:sSubPr>
                            <m:e>
                              <m:r>
                                <w:rPr>
                                  <w:rFonts w:ascii="Cambria Math" w:hAnsi="Cambria Math"/>
                                </w:rPr>
                                <m:t>σ</m:t>
                              </m:r>
                            </m:e>
                            <m:sub>
                              <m:r>
                                <w:rPr>
                                  <w:rFonts w:ascii="Cambria Math" w:hAnsi="Cambria Math"/>
                                </w:rPr>
                                <m:t>z</m:t>
                              </m:r>
                            </m:sub>
                          </m:sSub>
                        </m:e>
                      </m:mr>
                    </m:m>
                  </m:e>
                </m:d>
                <m:r>
                  <w:rPr>
                    <w:rFonts w:ascii="Cambria Math" w:hAnsi="Cambria Math"/>
                  </w:rPr>
                  <m:t>→</m:t>
                </m:r>
                <m:d>
                  <m:dPr>
                    <m:begChr m:val="["/>
                    <m:endChr m:val="]"/>
                    <m:ctrlPr>
                      <w:rPr>
                        <w:rFonts w:ascii="Cambria Math" w:hAnsi="Cambria Math"/>
                        <w:i/>
                      </w:rPr>
                    </m:ctrlPr>
                  </m:dPr>
                  <m:e>
                    <m:m>
                      <m:mPr>
                        <m:mcs>
                          <m:mc>
                            <m:mcPr>
                              <m:count m:val="3"/>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σ</m:t>
                              </m:r>
                            </m:e>
                            <m:sub>
                              <m:r>
                                <w:rPr>
                                  <w:rFonts w:ascii="Cambria Math" w:hAnsi="Cambria Math"/>
                                </w:rPr>
                                <m:t>1</m:t>
                              </m:r>
                            </m:sub>
                          </m:sSub>
                        </m:e>
                        <m:e>
                          <m:r>
                            <w:rPr>
                              <w:rFonts w:ascii="Cambria Math" w:hAnsi="Cambria Math"/>
                            </w:rPr>
                            <m:t>0</m:t>
                          </m:r>
                        </m:e>
                        <m:e>
                          <m:r>
                            <w:rPr>
                              <w:rFonts w:ascii="Cambria Math" w:hAnsi="Cambria Math"/>
                            </w:rPr>
                            <m:t>0</m:t>
                          </m:r>
                        </m:e>
                      </m:mr>
                      <m:mr>
                        <m:e>
                          <m:r>
                            <w:rPr>
                              <w:rFonts w:ascii="Cambria Math" w:hAnsi="Cambria Math"/>
                            </w:rPr>
                            <m:t>0</m:t>
                          </m:r>
                        </m:e>
                        <m:e>
                          <m:sSub>
                            <m:sSubPr>
                              <m:ctrlPr>
                                <w:rPr>
                                  <w:rFonts w:ascii="Cambria Math" w:hAnsi="Cambria Math"/>
                                  <w:i/>
                                </w:rPr>
                              </m:ctrlPr>
                            </m:sSubPr>
                            <m:e>
                              <m:r>
                                <w:rPr>
                                  <w:rFonts w:ascii="Cambria Math" w:hAnsi="Cambria Math"/>
                                </w:rPr>
                                <m:t>σ</m:t>
                              </m:r>
                            </m:e>
                            <m:sub>
                              <m:r>
                                <w:rPr>
                                  <w:rFonts w:ascii="Cambria Math" w:hAnsi="Cambria Math"/>
                                </w:rPr>
                                <m:t>2</m:t>
                              </m:r>
                            </m:sub>
                          </m:sSub>
                        </m:e>
                        <m:e>
                          <m:r>
                            <w:rPr>
                              <w:rFonts w:ascii="Cambria Math" w:hAnsi="Cambria Math"/>
                            </w:rPr>
                            <m:t>0</m:t>
                          </m:r>
                        </m:e>
                      </m:mr>
                      <m:mr>
                        <m:e>
                          <m:r>
                            <w:rPr>
                              <w:rFonts w:ascii="Cambria Math" w:hAnsi="Cambria Math"/>
                            </w:rPr>
                            <m:t>0</m:t>
                          </m:r>
                        </m:e>
                        <m:e>
                          <m:r>
                            <w:rPr>
                              <w:rFonts w:ascii="Cambria Math" w:hAnsi="Cambria Math"/>
                            </w:rPr>
                            <m:t>0</m:t>
                          </m:r>
                        </m:e>
                        <m:e>
                          <m:sSub>
                            <m:sSubPr>
                              <m:ctrlPr>
                                <w:rPr>
                                  <w:rFonts w:ascii="Cambria Math" w:hAnsi="Cambria Math"/>
                                  <w:i/>
                                </w:rPr>
                              </m:ctrlPr>
                            </m:sSubPr>
                            <m:e>
                              <m:r>
                                <w:rPr>
                                  <w:rFonts w:ascii="Cambria Math" w:hAnsi="Cambria Math"/>
                                </w:rPr>
                                <m:t>σ</m:t>
                              </m:r>
                            </m:e>
                            <m:sub>
                              <m:r>
                                <w:rPr>
                                  <w:rFonts w:ascii="Cambria Math" w:hAnsi="Cambria Math"/>
                                </w:rPr>
                                <m:t>3</m:t>
                              </m:r>
                            </m:sub>
                          </m:sSub>
                        </m:e>
                      </m:mr>
                    </m:m>
                  </m:e>
                </m:d>
                <m:r>
                  <w:rPr>
                    <w:rFonts w:ascii="Cambria Math" w:hAnsi="Cambria Math"/>
                  </w:rPr>
                  <m:t xml:space="preserve">= </m:t>
                </m:r>
                <m:d>
                  <m:dPr>
                    <m:begChr m:val="["/>
                    <m:endChr m:val="]"/>
                    <m:ctrlPr>
                      <w:rPr>
                        <w:rFonts w:ascii="Cambria Math" w:hAnsi="Cambria Math"/>
                        <w:i/>
                      </w:rPr>
                    </m:ctrlPr>
                  </m:dPr>
                  <m:e>
                    <m:m>
                      <m:mPr>
                        <m:mcs>
                          <m:mc>
                            <m:mcPr>
                              <m:count m:val="3"/>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σ</m:t>
                              </m:r>
                            </m:e>
                            <m:sub>
                              <m:r>
                                <w:rPr>
                                  <w:rFonts w:ascii="Cambria Math" w:hAnsi="Cambria Math"/>
                                </w:rPr>
                                <m:t>v</m:t>
                              </m:r>
                            </m:sub>
                          </m:sSub>
                        </m:e>
                        <m:e>
                          <m:r>
                            <w:rPr>
                              <w:rFonts w:ascii="Cambria Math" w:hAnsi="Cambria Math"/>
                            </w:rPr>
                            <m:t>0</m:t>
                          </m:r>
                        </m:e>
                        <m:e>
                          <m:r>
                            <w:rPr>
                              <w:rFonts w:ascii="Cambria Math" w:hAnsi="Cambria Math"/>
                            </w:rPr>
                            <m:t>0</m:t>
                          </m:r>
                        </m:e>
                      </m:mr>
                      <m:mr>
                        <m:e>
                          <m:r>
                            <w:rPr>
                              <w:rFonts w:ascii="Cambria Math" w:hAnsi="Cambria Math"/>
                            </w:rPr>
                            <m:t>0</m:t>
                          </m:r>
                        </m:e>
                        <m:e>
                          <m:sSub>
                            <m:sSubPr>
                              <m:ctrlPr>
                                <w:rPr>
                                  <w:rFonts w:ascii="Cambria Math" w:hAnsi="Cambria Math"/>
                                  <w:i/>
                                </w:rPr>
                              </m:ctrlPr>
                            </m:sSubPr>
                            <m:e>
                              <m:r>
                                <w:rPr>
                                  <w:rFonts w:ascii="Cambria Math" w:hAnsi="Cambria Math"/>
                                </w:rPr>
                                <m:t>σ</m:t>
                              </m:r>
                            </m:e>
                            <m:sub>
                              <m:r>
                                <w:rPr>
                                  <w:rFonts w:ascii="Cambria Math" w:hAnsi="Cambria Math"/>
                                </w:rPr>
                                <m:t>H</m:t>
                              </m:r>
                            </m:sub>
                          </m:sSub>
                        </m:e>
                        <m:e>
                          <m:r>
                            <w:rPr>
                              <w:rFonts w:ascii="Cambria Math" w:hAnsi="Cambria Math"/>
                            </w:rPr>
                            <m:t>0</m:t>
                          </m:r>
                        </m:e>
                      </m:mr>
                      <m:mr>
                        <m:e>
                          <m:r>
                            <w:rPr>
                              <w:rFonts w:ascii="Cambria Math" w:hAnsi="Cambria Math"/>
                            </w:rPr>
                            <m:t>0</m:t>
                          </m:r>
                        </m:e>
                        <m:e>
                          <m:r>
                            <w:rPr>
                              <w:rFonts w:ascii="Cambria Math" w:hAnsi="Cambria Math"/>
                            </w:rPr>
                            <m:t>0</m:t>
                          </m:r>
                        </m:e>
                        <m:e>
                          <m:sSub>
                            <m:sSubPr>
                              <m:ctrlPr>
                                <w:rPr>
                                  <w:rFonts w:ascii="Cambria Math" w:hAnsi="Cambria Math"/>
                                  <w:i/>
                                </w:rPr>
                              </m:ctrlPr>
                            </m:sSubPr>
                            <m:e>
                              <m:r>
                                <w:rPr>
                                  <w:rFonts w:ascii="Cambria Math" w:hAnsi="Cambria Math"/>
                                </w:rPr>
                                <m:t>σ</m:t>
                              </m:r>
                            </m:e>
                            <m:sub>
                              <m:r>
                                <w:rPr>
                                  <w:rFonts w:ascii="Cambria Math" w:hAnsi="Cambria Math"/>
                                </w:rPr>
                                <m:t>h</m:t>
                              </m:r>
                            </m:sub>
                          </m:sSub>
                        </m:e>
                      </m:mr>
                    </m:m>
                  </m:e>
                </m:d>
              </m:oMath>
            </m:oMathPara>
          </w:p>
        </w:tc>
        <w:tc>
          <w:tcPr>
            <w:tcW w:w="720" w:type="dxa"/>
            <w:vAlign w:val="bottom"/>
          </w:tcPr>
          <w:p w14:paraId="74EADB4D" w14:textId="1CD45571" w:rsidR="00F21DDA" w:rsidRPr="00393D6E" w:rsidRDefault="00F21DDA" w:rsidP="00BC23AD">
            <w:pPr>
              <w:pStyle w:val="Caption"/>
            </w:pPr>
            <w:r>
              <w:t>A.7</w:t>
            </w:r>
          </w:p>
        </w:tc>
      </w:tr>
    </w:tbl>
    <w:p w14:paraId="65901D35" w14:textId="77777777" w:rsidR="00F21DDA" w:rsidRPr="00EC7EFC" w:rsidRDefault="00F21DDA" w:rsidP="00393D6E">
      <w:pPr>
        <w:ind w:firstLine="720"/>
      </w:pPr>
    </w:p>
    <w:p w14:paraId="3CD2E3BA" w14:textId="51E5D0CC" w:rsidR="00393D6E" w:rsidRPr="00EC7EFC" w:rsidRDefault="00393D6E" w:rsidP="00393D6E">
      <w:pPr>
        <w:ind w:firstLine="720"/>
      </w:pPr>
      <w:r w:rsidRPr="00EC7EFC">
        <w:t>Any stress field, in equilibrium, can then be defined with three orthogonal principal stresses where</w:t>
      </w:r>
      <w:r>
        <w:t xml:space="preserve"> no shear stresses will occur. </w:t>
      </w:r>
      <w:r w:rsidRPr="00EC7EFC">
        <w:t xml:space="preserve">These stresses will </w:t>
      </w:r>
      <w:r w:rsidRPr="001E64C9">
        <w:t>be referred</w:t>
      </w:r>
      <w:r>
        <w:t xml:space="preserve"> to as the in-situ stresses. </w:t>
      </w:r>
      <w:r w:rsidRPr="00EC7EFC">
        <w:t>Assuming the seafloor as a free even surface not translating any shear stresses</w:t>
      </w:r>
      <w:r>
        <w:t>,</w:t>
      </w:r>
      <w:r w:rsidRPr="00EC7EFC">
        <w:t xml:space="preserve"> the in-situ stresses </w:t>
      </w:r>
      <w:r w:rsidRPr="001E64C9">
        <w:lastRenderedPageBreak/>
        <w:t>are represented</w:t>
      </w:r>
      <w:r w:rsidRPr="00EC7EFC">
        <w:t xml:space="preserve"> by the overburden stress in the vertical direction (</w:t>
      </w:r>
      <m:oMath>
        <m:sSub>
          <m:sSubPr>
            <m:ctrlPr>
              <w:rPr>
                <w:rFonts w:ascii="Cambria Math" w:hAnsi="Cambria Math"/>
                <w:i/>
              </w:rPr>
            </m:ctrlPr>
          </m:sSubPr>
          <m:e>
            <m:r>
              <w:rPr>
                <w:rFonts w:ascii="Cambria Math" w:hAnsi="Cambria Math"/>
              </w:rPr>
              <m:t>σ</m:t>
            </m:r>
          </m:e>
          <m:sub>
            <m:r>
              <w:rPr>
                <w:rFonts w:ascii="Cambria Math" w:hAnsi="Cambria Math"/>
              </w:rPr>
              <m:t>v</m:t>
            </m:r>
          </m:sub>
        </m:sSub>
      </m:oMath>
      <w:r w:rsidRPr="00EC7EFC">
        <w:t>) and the maximum an</w:t>
      </w:r>
      <w:r w:rsidRPr="00DC733F">
        <w:t>d minimum horizontal stresses (</w:t>
      </w:r>
      <m:oMath>
        <m:sSub>
          <m:sSubPr>
            <m:ctrlPr>
              <w:rPr>
                <w:rFonts w:ascii="Cambria Math" w:hAnsi="Cambria Math"/>
                <w:i/>
              </w:rPr>
            </m:ctrlPr>
          </m:sSubPr>
          <m:e>
            <m:r>
              <w:rPr>
                <w:rFonts w:ascii="Cambria Math" w:hAnsi="Cambria Math"/>
              </w:rPr>
              <m:t>σ</m:t>
            </m:r>
          </m:e>
          <m:sub>
            <m:r>
              <w:rPr>
                <w:rFonts w:ascii="Cambria Math" w:hAnsi="Cambria Math"/>
              </w:rPr>
              <m:t>H</m:t>
            </m:r>
          </m:sub>
        </m:sSub>
      </m:oMath>
      <w:r w:rsidRPr="00EC7EFC">
        <w:t xml:space="preserve"> and </w:t>
      </w:r>
      <m:oMath>
        <m:sSub>
          <m:sSubPr>
            <m:ctrlPr>
              <w:rPr>
                <w:rFonts w:ascii="Cambria Math" w:hAnsi="Cambria Math"/>
                <w:i/>
              </w:rPr>
            </m:ctrlPr>
          </m:sSubPr>
          <m:e>
            <m:r>
              <w:rPr>
                <w:rFonts w:ascii="Cambria Math" w:hAnsi="Cambria Math"/>
              </w:rPr>
              <m:t>σ</m:t>
            </m:r>
          </m:e>
          <m:sub>
            <m:r>
              <w:rPr>
                <w:rFonts w:ascii="Cambria Math" w:hAnsi="Cambria Math"/>
              </w:rPr>
              <m:t>h</m:t>
            </m:r>
          </m:sub>
        </m:sSub>
      </m:oMath>
      <w:r w:rsidRPr="00EC7EFC">
        <w:t xml:space="preserve"> respectively) which a</w:t>
      </w:r>
      <w:r w:rsidRPr="00DC733F">
        <w:t>re orthogonal to the overburden.</w:t>
      </w:r>
      <w:r w:rsidRPr="00780C50">
        <w:t xml:space="preserve"> Given the three in-situ stresses, there are three stress regimes related to the magnitude of the in-situ stresses</w:t>
      </w:r>
      <w:r w:rsidRPr="00FA60CD">
        <w:t xml:space="preserve"> (Anderson, 1951)</w:t>
      </w:r>
      <w:r w:rsidRPr="00EC7EFC">
        <w:t xml:space="preserve">. </w:t>
      </w:r>
    </w:p>
    <w:p w14:paraId="017725EC" w14:textId="24FE9C9E" w:rsidR="00393D6E" w:rsidRPr="00085359" w:rsidRDefault="00393D6E" w:rsidP="00FF2CA0">
      <w:pPr>
        <w:pStyle w:val="ListParagraph"/>
        <w:numPr>
          <w:ilvl w:val="0"/>
          <w:numId w:val="4"/>
        </w:numPr>
        <w:spacing w:after="200" w:line="360" w:lineRule="auto"/>
        <w:rPr>
          <w:lang w:val="nn-NO"/>
        </w:rPr>
      </w:pPr>
      <w:r w:rsidRPr="00085359">
        <w:rPr>
          <w:lang w:val="nn-NO"/>
        </w:rPr>
        <w:t>Normal Faulting:</w:t>
      </w:r>
      <w:r>
        <w:rPr>
          <w:lang w:val="nn-NO"/>
        </w:rPr>
        <w:tab/>
      </w:r>
      <w:r w:rsidRPr="00085359">
        <w:rPr>
          <w:lang w:val="nn-NO"/>
        </w:rPr>
        <w:t xml:space="preserve"> </w:t>
      </w:r>
      <m:oMath>
        <m:sSub>
          <m:sSubPr>
            <m:ctrlPr>
              <w:rPr>
                <w:rFonts w:ascii="Cambria Math" w:hAnsi="Cambria Math"/>
                <w:i/>
              </w:rPr>
            </m:ctrlPr>
          </m:sSubPr>
          <m:e>
            <m:r>
              <w:rPr>
                <w:rFonts w:ascii="Cambria Math" w:hAnsi="Cambria Math"/>
              </w:rPr>
              <m:t>σ</m:t>
            </m:r>
          </m:e>
          <m:sub>
            <m:r>
              <w:rPr>
                <w:rFonts w:ascii="Cambria Math" w:hAnsi="Cambria Math"/>
              </w:rPr>
              <m:t>v</m:t>
            </m:r>
          </m:sub>
        </m:sSub>
        <m:r>
          <w:rPr>
            <w:rFonts w:ascii="Cambria Math" w:hAnsi="Cambria Math"/>
            <w:lang w:val="nn-NO"/>
          </w:rPr>
          <m:t xml:space="preserve">&gt; </m:t>
        </m:r>
        <m:sSub>
          <m:sSubPr>
            <m:ctrlPr>
              <w:rPr>
                <w:rFonts w:ascii="Cambria Math" w:hAnsi="Cambria Math"/>
                <w:i/>
              </w:rPr>
            </m:ctrlPr>
          </m:sSubPr>
          <m:e>
            <m:r>
              <w:rPr>
                <w:rFonts w:ascii="Cambria Math" w:hAnsi="Cambria Math"/>
              </w:rPr>
              <m:t>σ</m:t>
            </m:r>
          </m:e>
          <m:sub>
            <m:r>
              <w:rPr>
                <w:rFonts w:ascii="Cambria Math" w:hAnsi="Cambria Math"/>
              </w:rPr>
              <m:t>H</m:t>
            </m:r>
          </m:sub>
        </m:sSub>
        <m:r>
          <w:rPr>
            <w:rFonts w:ascii="Cambria Math" w:hAnsi="Cambria Math"/>
            <w:lang w:val="nn-NO"/>
          </w:rPr>
          <m:t xml:space="preserve">&gt; </m:t>
        </m:r>
        <m:sSub>
          <m:sSubPr>
            <m:ctrlPr>
              <w:rPr>
                <w:rFonts w:ascii="Cambria Math" w:hAnsi="Cambria Math"/>
                <w:i/>
              </w:rPr>
            </m:ctrlPr>
          </m:sSubPr>
          <m:e>
            <m:r>
              <w:rPr>
                <w:rFonts w:ascii="Cambria Math" w:hAnsi="Cambria Math"/>
              </w:rPr>
              <m:t>σ</m:t>
            </m:r>
          </m:e>
          <m:sub>
            <m:r>
              <w:rPr>
                <w:rFonts w:ascii="Cambria Math" w:hAnsi="Cambria Math"/>
                <w:lang w:val="nn-NO"/>
              </w:rPr>
              <m:t>h</m:t>
            </m:r>
          </m:sub>
        </m:sSub>
      </m:oMath>
      <w:r w:rsidRPr="00085359">
        <w:rPr>
          <w:vertAlign w:val="subscript"/>
          <w:lang w:val="nn-NO"/>
        </w:rPr>
        <w:t xml:space="preserve"> </w:t>
      </w:r>
    </w:p>
    <w:p w14:paraId="52F68FEC" w14:textId="445485F5" w:rsidR="00393D6E" w:rsidRPr="00EC7EFC" w:rsidRDefault="00393D6E" w:rsidP="00FF2CA0">
      <w:pPr>
        <w:pStyle w:val="ListParagraph"/>
        <w:numPr>
          <w:ilvl w:val="0"/>
          <w:numId w:val="4"/>
        </w:numPr>
        <w:spacing w:after="200" w:line="360" w:lineRule="auto"/>
      </w:pPr>
      <w:r w:rsidRPr="00780C50">
        <w:t>Strike-Slip Faulting:</w:t>
      </w:r>
      <w:r>
        <w:tab/>
      </w:r>
      <w:r w:rsidRPr="00780C50">
        <w:t xml:space="preserve"> </w:t>
      </w:r>
      <m:oMath>
        <m:sSub>
          <m:sSubPr>
            <m:ctrlPr>
              <w:rPr>
                <w:rFonts w:ascii="Cambria Math" w:hAnsi="Cambria Math"/>
                <w:i/>
              </w:rPr>
            </m:ctrlPr>
          </m:sSubPr>
          <m:e>
            <m:r>
              <w:rPr>
                <w:rFonts w:ascii="Cambria Math" w:hAnsi="Cambria Math"/>
              </w:rPr>
              <m:t>σ</m:t>
            </m:r>
          </m:e>
          <m:sub>
            <m:r>
              <w:rPr>
                <w:rFonts w:ascii="Cambria Math" w:hAnsi="Cambria Math"/>
              </w:rPr>
              <m:t>H</m:t>
            </m:r>
          </m:sub>
        </m:sSub>
        <m:r>
          <w:rPr>
            <w:rFonts w:ascii="Cambria Math" w:hAnsi="Cambria Math"/>
          </w:rPr>
          <m:t xml:space="preserve">&gt; </m:t>
        </m:r>
        <m:sSub>
          <m:sSubPr>
            <m:ctrlPr>
              <w:rPr>
                <w:rFonts w:ascii="Cambria Math" w:hAnsi="Cambria Math"/>
                <w:i/>
              </w:rPr>
            </m:ctrlPr>
          </m:sSubPr>
          <m:e>
            <m:r>
              <w:rPr>
                <w:rFonts w:ascii="Cambria Math" w:hAnsi="Cambria Math"/>
              </w:rPr>
              <m:t>σ</m:t>
            </m:r>
          </m:e>
          <m:sub>
            <m:r>
              <w:rPr>
                <w:rFonts w:ascii="Cambria Math" w:hAnsi="Cambria Math"/>
              </w:rPr>
              <m:t>v</m:t>
            </m:r>
          </m:sub>
        </m:sSub>
        <m:r>
          <w:rPr>
            <w:rFonts w:ascii="Cambria Math" w:hAnsi="Cambria Math"/>
          </w:rPr>
          <m:t xml:space="preserve">&gt; </m:t>
        </m:r>
        <m:sSub>
          <m:sSubPr>
            <m:ctrlPr>
              <w:rPr>
                <w:rFonts w:ascii="Cambria Math" w:hAnsi="Cambria Math"/>
                <w:i/>
              </w:rPr>
            </m:ctrlPr>
          </m:sSubPr>
          <m:e>
            <m:r>
              <w:rPr>
                <w:rFonts w:ascii="Cambria Math" w:hAnsi="Cambria Math"/>
              </w:rPr>
              <m:t>σ</m:t>
            </m:r>
          </m:e>
          <m:sub>
            <m:r>
              <w:rPr>
                <w:rFonts w:ascii="Cambria Math" w:hAnsi="Cambria Math"/>
              </w:rPr>
              <m:t>h</m:t>
            </m:r>
          </m:sub>
        </m:sSub>
      </m:oMath>
    </w:p>
    <w:p w14:paraId="57FC2B9F" w14:textId="6B9DB42F" w:rsidR="00393D6E" w:rsidRPr="00EC7EFC" w:rsidRDefault="00393D6E" w:rsidP="00FF2CA0">
      <w:pPr>
        <w:pStyle w:val="ListParagraph"/>
        <w:numPr>
          <w:ilvl w:val="0"/>
          <w:numId w:val="4"/>
        </w:numPr>
        <w:spacing w:after="200" w:line="360" w:lineRule="auto"/>
      </w:pPr>
      <w:r w:rsidRPr="00DC733F">
        <w:t>Reverse Faulting:</w:t>
      </w:r>
      <w:r>
        <w:tab/>
      </w:r>
      <w:r w:rsidRPr="00DC733F">
        <w:t xml:space="preserve"> </w:t>
      </w:r>
      <m:oMath>
        <m:sSub>
          <m:sSubPr>
            <m:ctrlPr>
              <w:rPr>
                <w:rFonts w:ascii="Cambria Math" w:hAnsi="Cambria Math"/>
                <w:i/>
              </w:rPr>
            </m:ctrlPr>
          </m:sSubPr>
          <m:e>
            <m:r>
              <w:rPr>
                <w:rFonts w:ascii="Cambria Math" w:hAnsi="Cambria Math"/>
              </w:rPr>
              <m:t>σ</m:t>
            </m:r>
          </m:e>
          <m:sub>
            <m:r>
              <w:rPr>
                <w:rFonts w:ascii="Cambria Math" w:hAnsi="Cambria Math"/>
              </w:rPr>
              <m:t>H</m:t>
            </m:r>
          </m:sub>
        </m:sSub>
        <m:r>
          <w:rPr>
            <w:rFonts w:ascii="Cambria Math" w:hAnsi="Cambria Math"/>
          </w:rPr>
          <m:t xml:space="preserve">&gt; </m:t>
        </m:r>
        <m:sSub>
          <m:sSubPr>
            <m:ctrlPr>
              <w:rPr>
                <w:rFonts w:ascii="Cambria Math" w:hAnsi="Cambria Math"/>
                <w:i/>
              </w:rPr>
            </m:ctrlPr>
          </m:sSubPr>
          <m:e>
            <m:r>
              <w:rPr>
                <w:rFonts w:ascii="Cambria Math" w:hAnsi="Cambria Math"/>
              </w:rPr>
              <m:t>σ</m:t>
            </m:r>
          </m:e>
          <m:sub>
            <m:r>
              <w:rPr>
                <w:rFonts w:ascii="Cambria Math" w:hAnsi="Cambria Math"/>
              </w:rPr>
              <m:t>h</m:t>
            </m:r>
          </m:sub>
        </m:sSub>
        <m:r>
          <w:rPr>
            <w:rFonts w:ascii="Cambria Math" w:hAnsi="Cambria Math"/>
          </w:rPr>
          <m:t xml:space="preserve"> &gt; </m:t>
        </m:r>
        <m:sSub>
          <m:sSubPr>
            <m:ctrlPr>
              <w:rPr>
                <w:rFonts w:ascii="Cambria Math" w:hAnsi="Cambria Math"/>
                <w:i/>
              </w:rPr>
            </m:ctrlPr>
          </m:sSubPr>
          <m:e>
            <m:r>
              <w:rPr>
                <w:rFonts w:ascii="Cambria Math" w:hAnsi="Cambria Math"/>
              </w:rPr>
              <m:t>σ</m:t>
            </m:r>
          </m:e>
          <m:sub>
            <m:r>
              <w:rPr>
                <w:rFonts w:ascii="Cambria Math" w:hAnsi="Cambria Math"/>
              </w:rPr>
              <m:t>v</m:t>
            </m:r>
          </m:sub>
        </m:sSub>
      </m:oMath>
    </w:p>
    <w:p w14:paraId="1CC48717" w14:textId="6A0629BF" w:rsidR="00393D6E" w:rsidRDefault="00393D6E" w:rsidP="00BB51C6">
      <w:pPr>
        <w:spacing w:after="240"/>
        <w:rPr>
          <w:b/>
        </w:rPr>
      </w:pPr>
      <w:r>
        <w:rPr>
          <w:b/>
        </w:rPr>
        <w:t>In-Situ Principal Stress Magnitudes</w:t>
      </w:r>
    </w:p>
    <w:p w14:paraId="0E858B26" w14:textId="2804624F" w:rsidR="00393D6E" w:rsidRDefault="00393D6E" w:rsidP="00393D6E">
      <w:pPr>
        <w:ind w:firstLine="720"/>
      </w:pPr>
      <w:r w:rsidRPr="00780C50">
        <w:t>Many different methods can be used to determine the in-situ stresses for a give</w:t>
      </w:r>
      <w:r w:rsidRPr="00FA60CD">
        <w:t>n region depending on the stress regimes</w:t>
      </w:r>
      <w:r w:rsidRPr="00EC7EFC">
        <w:t>.</w:t>
      </w:r>
      <w:r>
        <w:t xml:space="preserve"> </w:t>
      </w:r>
      <w:r w:rsidRPr="00EC7EFC">
        <w:t xml:space="preserve">For a normal faulting regime, empirical correlations have </w:t>
      </w:r>
      <w:r w:rsidRPr="001E64C9">
        <w:t>been developed</w:t>
      </w:r>
      <w:r w:rsidRPr="00EC7EFC">
        <w:t xml:space="preserve"> and state that if the overburden stress is determined, the maximum and horizontal stresses are ratios of the overburden stress (Finkbeiner et al., 1996)</w:t>
      </w:r>
      <w:r>
        <w:t xml:space="preserve">. </w:t>
      </w:r>
      <w:r w:rsidRPr="00EC7EFC">
        <w:t>Calculating the overburden stress can be done using the following equation:</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F21DDA" w14:paraId="44C0235F" w14:textId="77777777" w:rsidTr="0054184B">
        <w:trPr>
          <w:trHeight w:val="576"/>
        </w:trPr>
        <w:tc>
          <w:tcPr>
            <w:tcW w:w="720" w:type="dxa"/>
            <w:vAlign w:val="center"/>
          </w:tcPr>
          <w:p w14:paraId="57CFF823" w14:textId="77777777" w:rsidR="00F21DDA" w:rsidRDefault="00F21DDA" w:rsidP="0054184B">
            <w:pPr>
              <w:spacing w:line="240" w:lineRule="auto"/>
              <w:jc w:val="center"/>
            </w:pPr>
          </w:p>
        </w:tc>
        <w:tc>
          <w:tcPr>
            <w:tcW w:w="7920" w:type="dxa"/>
            <w:vAlign w:val="center"/>
          </w:tcPr>
          <w:p w14:paraId="606F36EC" w14:textId="1039E09E" w:rsidR="00F21DDA" w:rsidRPr="003E4C6A" w:rsidRDefault="00077C0B" w:rsidP="0054184B">
            <w:pPr>
              <w:spacing w:line="240" w:lineRule="auto"/>
              <w:jc w:val="center"/>
            </w:pPr>
            <m:oMathPara>
              <m:oMath>
                <m:sSub>
                  <m:sSubPr>
                    <m:ctrlPr>
                      <w:rPr>
                        <w:rFonts w:ascii="Cambria Math" w:hAnsi="Cambria Math"/>
                        <w:i/>
                      </w:rPr>
                    </m:ctrlPr>
                  </m:sSubPr>
                  <m:e>
                    <m:r>
                      <w:rPr>
                        <w:rFonts w:ascii="Cambria Math" w:hAnsi="Cambria Math"/>
                      </w:rPr>
                      <m:t>σ</m:t>
                    </m:r>
                  </m:e>
                  <m:sub>
                    <m:r>
                      <w:rPr>
                        <w:rFonts w:ascii="Cambria Math" w:hAnsi="Cambria Math"/>
                      </w:rPr>
                      <m:t>v</m:t>
                    </m:r>
                  </m:sub>
                </m:sSub>
                <m:r>
                  <w:rPr>
                    <w:rFonts w:ascii="Cambria Math" w:hAnsi="Cambria Math"/>
                  </w:rPr>
                  <m:t xml:space="preserve">= </m:t>
                </m:r>
                <m:nary>
                  <m:naryPr>
                    <m:limLoc m:val="subSup"/>
                    <m:ctrlPr>
                      <w:rPr>
                        <w:rFonts w:ascii="Cambria Math" w:hAnsi="Cambria Math"/>
                        <w:i/>
                      </w:rPr>
                    </m:ctrlPr>
                  </m:naryPr>
                  <m:sub>
                    <m:r>
                      <w:rPr>
                        <w:rFonts w:ascii="Cambria Math" w:hAnsi="Cambria Math"/>
                      </w:rPr>
                      <m:t>0</m:t>
                    </m:r>
                  </m:sub>
                  <m:sup>
                    <m:r>
                      <w:rPr>
                        <w:rFonts w:ascii="Cambria Math" w:hAnsi="Cambria Math"/>
                      </w:rPr>
                      <m:t>D</m:t>
                    </m:r>
                  </m:sup>
                  <m:e>
                    <m:r>
                      <w:rPr>
                        <w:rFonts w:ascii="Cambria Math" w:hAnsi="Cambria Math"/>
                      </w:rPr>
                      <m:t>ρ</m:t>
                    </m:r>
                    <m:d>
                      <m:dPr>
                        <m:ctrlPr>
                          <w:rPr>
                            <w:rFonts w:ascii="Cambria Math" w:hAnsi="Cambria Math"/>
                            <w:i/>
                          </w:rPr>
                        </m:ctrlPr>
                      </m:dPr>
                      <m:e>
                        <m:r>
                          <w:rPr>
                            <w:rFonts w:ascii="Cambria Math" w:hAnsi="Cambria Math"/>
                          </w:rPr>
                          <m:t>z</m:t>
                        </m:r>
                      </m:e>
                    </m:d>
                    <m:r>
                      <w:rPr>
                        <w:rFonts w:ascii="Cambria Math" w:hAnsi="Cambria Math"/>
                      </w:rPr>
                      <m:t>gdz</m:t>
                    </m:r>
                  </m:e>
                </m:nary>
              </m:oMath>
            </m:oMathPara>
          </w:p>
        </w:tc>
        <w:tc>
          <w:tcPr>
            <w:tcW w:w="720" w:type="dxa"/>
            <w:vAlign w:val="bottom"/>
          </w:tcPr>
          <w:p w14:paraId="259AF545" w14:textId="2B723941" w:rsidR="00F21DDA" w:rsidRPr="00393D6E" w:rsidRDefault="00F21DDA" w:rsidP="00BC23AD">
            <w:pPr>
              <w:pStyle w:val="Caption"/>
            </w:pPr>
            <w:r>
              <w:t>A.8</w:t>
            </w:r>
          </w:p>
        </w:tc>
      </w:tr>
    </w:tbl>
    <w:p w14:paraId="0C9D6A14" w14:textId="77777777" w:rsidR="00F21DDA" w:rsidRPr="00EC7EFC" w:rsidRDefault="00F21DDA" w:rsidP="00393D6E">
      <w:pPr>
        <w:ind w:firstLine="720"/>
      </w:pPr>
    </w:p>
    <w:p w14:paraId="624E2C85" w14:textId="022F20C6" w:rsidR="00393D6E" w:rsidRPr="00EC7EFC" w:rsidRDefault="00393D6E" w:rsidP="00393D6E">
      <w:pPr>
        <w:ind w:firstLine="720"/>
      </w:pPr>
      <w:r w:rsidRPr="00EC7EFC">
        <w:t xml:space="preserve">Where </w:t>
      </w:r>
      <m:oMath>
        <m:sSub>
          <m:sSubPr>
            <m:ctrlPr>
              <w:rPr>
                <w:rFonts w:ascii="Cambria Math" w:hAnsi="Cambria Math"/>
                <w:i/>
              </w:rPr>
            </m:ctrlPr>
          </m:sSubPr>
          <m:e>
            <m:r>
              <w:rPr>
                <w:rFonts w:ascii="Cambria Math" w:hAnsi="Cambria Math"/>
              </w:rPr>
              <m:t>σ</m:t>
            </m:r>
          </m:e>
          <m:sub>
            <m:r>
              <w:rPr>
                <w:rFonts w:ascii="Cambria Math" w:hAnsi="Cambria Math"/>
              </w:rPr>
              <m:t>v</m:t>
            </m:r>
          </m:sub>
        </m:sSub>
      </m:oMath>
      <w:r w:rsidRPr="00EC7EFC">
        <w:t xml:space="preserve"> is the overburden stress, </w:t>
      </w:r>
      <m:oMath>
        <m:r>
          <w:rPr>
            <w:rFonts w:ascii="Cambria Math" w:hAnsi="Cambria Math"/>
          </w:rPr>
          <m:t>ρ(z)</m:t>
        </m:r>
      </m:oMath>
      <w:r w:rsidRPr="00EC7EFC">
        <w:t xml:space="preserve"> is the bulk density o</w:t>
      </w:r>
      <w:r>
        <w:t xml:space="preserve">f the formation at a depth </w:t>
      </w:r>
      <m:oMath>
        <m:d>
          <m:dPr>
            <m:ctrlPr>
              <w:rPr>
                <w:rFonts w:ascii="Cambria Math" w:hAnsi="Cambria Math"/>
                <w:i/>
              </w:rPr>
            </m:ctrlPr>
          </m:dPr>
          <m:e>
            <m:r>
              <w:rPr>
                <w:rFonts w:ascii="Cambria Math" w:hAnsi="Cambria Math"/>
              </w:rPr>
              <m:t>z</m:t>
            </m:r>
          </m:e>
        </m:d>
        <m:r>
          <w:rPr>
            <w:rFonts w:ascii="Cambria Math" w:hAnsi="Cambria Math"/>
          </w:rPr>
          <m:t>, g</m:t>
        </m:r>
      </m:oMath>
      <w:r w:rsidRPr="00EC7EFC">
        <w:t xml:space="preserve"> is the acceleration due to gravity, and </w:t>
      </w:r>
      <m:oMath>
        <m:r>
          <w:rPr>
            <w:rFonts w:ascii="Cambria Math" w:hAnsi="Cambria Math"/>
          </w:rPr>
          <m:t>dz</m:t>
        </m:r>
      </m:oMath>
      <w:r>
        <w:t xml:space="preserve"> is the depth increment. </w:t>
      </w:r>
      <w:r w:rsidRPr="00EC7EFC">
        <w:t xml:space="preserve">An important note is that for offshore wells, the water density will replace the bulk density </w:t>
      </w:r>
      <w:r>
        <w:t>in</w:t>
      </w:r>
      <w:r w:rsidRPr="00EC7EFC">
        <w:t xml:space="preserve"> the water column and needs to be </w:t>
      </w:r>
      <w:r>
        <w:t>included</w:t>
      </w:r>
      <w:r w:rsidRPr="00EC7EFC">
        <w:t xml:space="preserve">.  </w:t>
      </w:r>
    </w:p>
    <w:p w14:paraId="6C0EDD8E" w14:textId="245D27B7" w:rsidR="00393D6E" w:rsidRDefault="00393D6E" w:rsidP="00393D6E">
      <w:r w:rsidRPr="00EC7EFC">
        <w:tab/>
        <w:t xml:space="preserve">To determine the overburden </w:t>
      </w:r>
      <w:r w:rsidRPr="001E64C9">
        <w:t>stress</w:t>
      </w:r>
      <w:r w:rsidRPr="00EC7EFC">
        <w:t xml:space="preserve"> </w:t>
      </w:r>
      <w:r>
        <w:t>with Equation A</w:t>
      </w:r>
      <w:r w:rsidRPr="00EC7EFC">
        <w:t>.8</w:t>
      </w:r>
      <w:r>
        <w:t>,</w:t>
      </w:r>
      <w:r w:rsidRPr="00EC7EFC">
        <w:t xml:space="preserve"> </w:t>
      </w:r>
      <w:r>
        <w:t>the exact formation depths</w:t>
      </w:r>
      <w:r w:rsidRPr="00EC7EFC">
        <w:t xml:space="preserve"> and the bulk density of the formations from log data is required.  </w:t>
      </w:r>
    </w:p>
    <w:p w14:paraId="24C96EC6" w14:textId="3324E61F" w:rsidR="00546A95" w:rsidRDefault="00546A95" w:rsidP="00393D6E"/>
    <w:p w14:paraId="299CF2E1" w14:textId="77777777" w:rsidR="00546A95" w:rsidRDefault="00546A95" w:rsidP="00393D6E"/>
    <w:p w14:paraId="3214AE92" w14:textId="0E944110" w:rsidR="00393D6E" w:rsidRDefault="00393D6E" w:rsidP="00393D6E">
      <w:r>
        <w:rPr>
          <w:b/>
        </w:rPr>
        <w:lastRenderedPageBreak/>
        <w:t>Effective Stress</w:t>
      </w:r>
    </w:p>
    <w:p w14:paraId="72D30A04" w14:textId="4BB3F930" w:rsidR="00393D6E" w:rsidRDefault="00393D6E" w:rsidP="00393D6E">
      <w:pPr>
        <w:ind w:firstLine="720"/>
      </w:pPr>
      <w:r w:rsidRPr="00FA60CD">
        <w:t>Sedimentary rocks encountered in oil and gas fields are porous</w:t>
      </w:r>
      <w:r w:rsidRPr="00EC7EFC">
        <w:t xml:space="preserve"> rocks filled with connate fluids or hydrocarbons</w:t>
      </w:r>
      <w:r>
        <w:t>.</w:t>
      </w:r>
      <w:r w:rsidRPr="00EC7EFC">
        <w:t xml:space="preserve"> Hardened cement is similar to rocks in that it is also a porous material (Saint-Marc et al., 2008). Porous materials often contain a fluid within the pore spaces thus creating a pore pressure which can offset the in-situ stresses.</w:t>
      </w:r>
      <w:r>
        <w:t xml:space="preserve"> </w:t>
      </w:r>
      <w:r w:rsidRPr="00EC7EFC">
        <w:t>This new stress is called the effective stress (</w:t>
      </w:r>
      <m:oMath>
        <m:sSup>
          <m:sSupPr>
            <m:ctrlPr>
              <w:rPr>
                <w:rFonts w:ascii="Cambria Math" w:hAnsi="Cambria Math"/>
                <w:i/>
              </w:rPr>
            </m:ctrlPr>
          </m:sSupPr>
          <m:e>
            <m:r>
              <w:rPr>
                <w:rFonts w:ascii="Cambria Math" w:hAnsi="Cambria Math"/>
              </w:rPr>
              <m:t>σ</m:t>
            </m:r>
          </m:e>
          <m:sup>
            <m:r>
              <w:rPr>
                <w:rFonts w:ascii="Cambria Math" w:hAnsi="Cambria Math"/>
              </w:rPr>
              <m:t>'</m:t>
            </m:r>
          </m:sup>
        </m:sSup>
      </m:oMath>
      <w:r w:rsidRPr="00EC7EFC">
        <w:t>) a</w:t>
      </w:r>
      <w:r w:rsidRPr="00DC733F">
        <w:t xml:space="preserve">nd </w:t>
      </w:r>
      <w:r w:rsidRPr="001E64C9">
        <w:t>is represented</w:t>
      </w:r>
      <w:r w:rsidRPr="00EC7EFC">
        <w:t xml:space="preserve"> in Equation </w:t>
      </w:r>
      <w:r>
        <w:t>A</w:t>
      </w:r>
      <w:r w:rsidRPr="00EC7EFC">
        <w:t xml:space="preserve">.9.  As shown in Equation </w:t>
      </w:r>
      <w:r>
        <w:t>A</w:t>
      </w:r>
      <w:r w:rsidRPr="00EC7EFC">
        <w:t>.9, the effective stress is related to the compressional in-situ stresses (</w:t>
      </w:r>
      <m:oMath>
        <m:r>
          <w:rPr>
            <w:rFonts w:ascii="Cambria Math" w:hAnsi="Cambria Math"/>
          </w:rPr>
          <m:t>σ</m:t>
        </m:r>
      </m:oMath>
      <w:r w:rsidRPr="00EC7EFC">
        <w:t>) and pore pressure (</w:t>
      </w:r>
      <m:oMath>
        <m:sSub>
          <m:sSubPr>
            <m:ctrlPr>
              <w:rPr>
                <w:rFonts w:ascii="Cambria Math" w:hAnsi="Cambria Math"/>
                <w:i/>
              </w:rPr>
            </m:ctrlPr>
          </m:sSubPr>
          <m:e>
            <m:r>
              <w:rPr>
                <w:rFonts w:ascii="Cambria Math" w:hAnsi="Cambria Math"/>
              </w:rPr>
              <m:t>P</m:t>
            </m:r>
          </m:e>
          <m:sub>
            <m:r>
              <w:rPr>
                <w:rFonts w:ascii="Cambria Math" w:hAnsi="Cambria Math"/>
              </w:rPr>
              <m:t>p</m:t>
            </m:r>
          </m:sub>
        </m:sSub>
      </m:oMath>
      <w:r w:rsidRPr="00EC7EFC">
        <w:t xml:space="preserve">).  </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F21DDA" w14:paraId="39DCA16C" w14:textId="77777777" w:rsidTr="0054184B">
        <w:trPr>
          <w:trHeight w:val="576"/>
        </w:trPr>
        <w:tc>
          <w:tcPr>
            <w:tcW w:w="720" w:type="dxa"/>
            <w:vAlign w:val="center"/>
          </w:tcPr>
          <w:p w14:paraId="43BAD028" w14:textId="77777777" w:rsidR="00F21DDA" w:rsidRDefault="00F21DDA" w:rsidP="0054184B">
            <w:pPr>
              <w:spacing w:line="240" w:lineRule="auto"/>
              <w:jc w:val="center"/>
            </w:pPr>
          </w:p>
        </w:tc>
        <w:tc>
          <w:tcPr>
            <w:tcW w:w="7920" w:type="dxa"/>
            <w:vAlign w:val="center"/>
          </w:tcPr>
          <w:p w14:paraId="70D05A0E" w14:textId="59628615" w:rsidR="00F21DDA" w:rsidRPr="003E4C6A" w:rsidRDefault="00077C0B" w:rsidP="0054184B">
            <w:pPr>
              <w:spacing w:line="240" w:lineRule="auto"/>
              <w:jc w:val="center"/>
            </w:pPr>
            <m:oMathPara>
              <m:oMath>
                <m:sSup>
                  <m:sSupPr>
                    <m:ctrlPr>
                      <w:rPr>
                        <w:rFonts w:ascii="Cambria Math" w:hAnsi="Cambria Math"/>
                        <w:i/>
                      </w:rPr>
                    </m:ctrlPr>
                  </m:sSupPr>
                  <m:e>
                    <m:r>
                      <w:rPr>
                        <w:rFonts w:ascii="Cambria Math" w:hAnsi="Cambria Math"/>
                      </w:rPr>
                      <m:t>σ</m:t>
                    </m:r>
                  </m:e>
                  <m:sup>
                    <m:r>
                      <w:rPr>
                        <w:rFonts w:ascii="Cambria Math" w:hAnsi="Cambria Math"/>
                      </w:rPr>
                      <m:t>'</m:t>
                    </m:r>
                  </m:sup>
                </m:sSup>
                <m:r>
                  <w:rPr>
                    <w:rFonts w:ascii="Cambria Math" w:hAnsi="Cambria Math"/>
                  </w:rPr>
                  <m:t>=σ-Pp</m:t>
                </m:r>
              </m:oMath>
            </m:oMathPara>
          </w:p>
        </w:tc>
        <w:tc>
          <w:tcPr>
            <w:tcW w:w="720" w:type="dxa"/>
            <w:vAlign w:val="bottom"/>
          </w:tcPr>
          <w:p w14:paraId="041BCEE4" w14:textId="20486720" w:rsidR="00F21DDA" w:rsidRPr="00393D6E" w:rsidRDefault="00F21DDA" w:rsidP="00BC23AD">
            <w:pPr>
              <w:pStyle w:val="Caption"/>
            </w:pPr>
            <w:r>
              <w:t>A.9</w:t>
            </w:r>
          </w:p>
        </w:tc>
      </w:tr>
    </w:tbl>
    <w:p w14:paraId="17A9FFB1" w14:textId="77777777" w:rsidR="00F21DDA" w:rsidRDefault="00F21DDA" w:rsidP="00393D6E">
      <w:pPr>
        <w:ind w:firstLine="720"/>
      </w:pPr>
    </w:p>
    <w:p w14:paraId="417860A5" w14:textId="070BEF22" w:rsidR="00F21DDA" w:rsidRDefault="00393D6E" w:rsidP="00F21DDA">
      <w:pPr>
        <w:ind w:firstLine="720"/>
      </w:pPr>
      <w:r>
        <w:t>In the above equation, t</w:t>
      </w:r>
      <w:r w:rsidRPr="00EC7EFC">
        <w:t xml:space="preserve">he pore volume fluid is assumed to have negligible compressibility when compared to the compressibility of the </w:t>
      </w:r>
      <w:r w:rsidRPr="001E64C9">
        <w:t xml:space="preserve">material. </w:t>
      </w:r>
      <w:r w:rsidRPr="00EC7EFC">
        <w:t>The importance of this concept</w:t>
      </w:r>
      <w:r w:rsidRPr="001E64C9">
        <w:t xml:space="preserve"> is that an increased pore pressure will shift the effective stresses closer to the tensile range which may be sufficient enough to cause the rock (or cement) to fail </w:t>
      </w:r>
      <w:r w:rsidRPr="00EC7EFC">
        <w:t>(Terzaghi, 1936</w:t>
      </w:r>
      <w:r w:rsidRPr="001E64C9">
        <w:t>; Terzaghi</w:t>
      </w:r>
      <w:r w:rsidRPr="00EC7EFC">
        <w:t>, 1951).</w:t>
      </w:r>
      <w:r>
        <w:t xml:space="preserve"> A </w:t>
      </w:r>
      <w:r w:rsidRPr="00EC7EFC">
        <w:t>more general definition of effective stress includes Biot’s coefficient (</w:t>
      </w:r>
      <m:oMath>
        <m:r>
          <w:rPr>
            <w:rFonts w:ascii="Cambria Math" w:hAnsi="Cambria Math"/>
          </w:rPr>
          <m:t>γ</m:t>
        </m:r>
      </m:oMath>
      <w:r w:rsidRPr="00EC7EFC">
        <w:t xml:space="preserve">, where </w:t>
      </w:r>
      <m:oMath>
        <m:r>
          <w:rPr>
            <w:rFonts w:ascii="Cambria Math" w:hAnsi="Cambria Math" w:hint="eastAsia"/>
          </w:rPr>
          <m:t>0</m:t>
        </m:r>
        <m:r>
          <w:rPr>
            <w:rFonts w:ascii="Cambria Math" w:hAnsi="Cambria Math" w:hint="eastAsia"/>
          </w:rPr>
          <m:t>≤</m:t>
        </m:r>
        <m:r>
          <w:rPr>
            <w:rFonts w:ascii="Cambria Math" w:hAnsi="Cambria Math"/>
          </w:rPr>
          <m:t>γ</m:t>
        </m:r>
        <m:r>
          <w:rPr>
            <w:rFonts w:ascii="Cambria Math" w:hAnsi="Cambria Math" w:hint="eastAsia"/>
          </w:rPr>
          <m:t>≤</m:t>
        </m:r>
        <m:r>
          <w:rPr>
            <w:rFonts w:ascii="Cambria Math" w:hAnsi="Cambria Math" w:hint="eastAsia"/>
          </w:rPr>
          <m:t>1</m:t>
        </m:r>
      </m:oMath>
      <w:r w:rsidRPr="00EC7EFC">
        <w:t xml:space="preserve">) </w:t>
      </w:r>
      <w:r>
        <w:t xml:space="preserve">which </w:t>
      </w:r>
      <w:r w:rsidRPr="00EC7EFC">
        <w:t>take</w:t>
      </w:r>
      <w:r>
        <w:t>s</w:t>
      </w:r>
      <w:r w:rsidRPr="00EC7EFC">
        <w:t xml:space="preserve"> into </w:t>
      </w:r>
      <w:r>
        <w:t xml:space="preserve">consideration for the bulk rock and grain compressibility of the material and is shown in Equation A.10.  </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F21DDA" w14:paraId="77BD3A92" w14:textId="77777777" w:rsidTr="0054184B">
        <w:trPr>
          <w:trHeight w:val="576"/>
        </w:trPr>
        <w:tc>
          <w:tcPr>
            <w:tcW w:w="720" w:type="dxa"/>
            <w:vAlign w:val="center"/>
          </w:tcPr>
          <w:p w14:paraId="7C19412D" w14:textId="77777777" w:rsidR="00F21DDA" w:rsidRDefault="00F21DDA" w:rsidP="0054184B">
            <w:pPr>
              <w:spacing w:line="240" w:lineRule="auto"/>
              <w:jc w:val="center"/>
            </w:pPr>
          </w:p>
        </w:tc>
        <w:tc>
          <w:tcPr>
            <w:tcW w:w="7920" w:type="dxa"/>
            <w:vAlign w:val="center"/>
          </w:tcPr>
          <w:p w14:paraId="6FE662F7" w14:textId="76F84073" w:rsidR="00F21DDA" w:rsidRPr="003E4C6A" w:rsidRDefault="00077C0B" w:rsidP="0054184B">
            <w:pPr>
              <w:spacing w:line="240" w:lineRule="auto"/>
              <w:jc w:val="center"/>
            </w:pPr>
            <m:oMathPara>
              <m:oMath>
                <m:sSup>
                  <m:sSupPr>
                    <m:ctrlPr>
                      <w:rPr>
                        <w:rFonts w:ascii="Cambria Math" w:hAnsi="Cambria Math"/>
                        <w:i/>
                      </w:rPr>
                    </m:ctrlPr>
                  </m:sSupPr>
                  <m:e>
                    <m:r>
                      <w:rPr>
                        <w:rFonts w:ascii="Cambria Math" w:hAnsi="Cambria Math"/>
                      </w:rPr>
                      <m:t>σ</m:t>
                    </m:r>
                  </m:e>
                  <m:sup>
                    <m:r>
                      <w:rPr>
                        <w:rFonts w:ascii="Cambria Math" w:hAnsi="Cambria Math"/>
                      </w:rPr>
                      <m:t>'</m:t>
                    </m:r>
                  </m:sup>
                </m:sSup>
                <m:r>
                  <w:rPr>
                    <w:rFonts w:ascii="Cambria Math" w:hAnsi="Cambria Math"/>
                  </w:rPr>
                  <m:t>=σ-γPp</m:t>
                </m:r>
              </m:oMath>
            </m:oMathPara>
          </w:p>
        </w:tc>
        <w:tc>
          <w:tcPr>
            <w:tcW w:w="720" w:type="dxa"/>
            <w:vAlign w:val="bottom"/>
          </w:tcPr>
          <w:p w14:paraId="746F953D" w14:textId="156BA94F" w:rsidR="00F21DDA" w:rsidRPr="00393D6E" w:rsidRDefault="00F21DDA" w:rsidP="00BC23AD">
            <w:pPr>
              <w:pStyle w:val="Caption"/>
            </w:pPr>
            <w:r>
              <w:t>A.10</w:t>
            </w:r>
          </w:p>
        </w:tc>
      </w:tr>
    </w:tbl>
    <w:p w14:paraId="2D18A54F" w14:textId="77777777" w:rsidR="00F21DDA" w:rsidRPr="00DC733F" w:rsidRDefault="00F21DDA" w:rsidP="00393D6E">
      <w:pPr>
        <w:ind w:firstLine="720"/>
      </w:pPr>
    </w:p>
    <w:p w14:paraId="2FDEAB78" w14:textId="1C3D72CD" w:rsidR="00393D6E" w:rsidRPr="00EC7EFC" w:rsidRDefault="00393D6E" w:rsidP="00393D6E">
      <w:pPr>
        <w:ind w:firstLine="720"/>
      </w:pPr>
      <w:r>
        <w:t>Equation A.10 represents the generalized effective stress model. In this work the Biot’s coefficient is assumed to be one for both cement and rock materials thus reducing the effective stress model down as given in Equation A.9</w:t>
      </w:r>
      <w:r w:rsidRPr="00EC7EFC">
        <w:t>.</w:t>
      </w:r>
    </w:p>
    <w:p w14:paraId="53DB6C1D" w14:textId="77777777" w:rsidR="00546A95" w:rsidRDefault="00546A95" w:rsidP="00BB51C6">
      <w:pPr>
        <w:rPr>
          <w:b/>
        </w:rPr>
      </w:pPr>
    </w:p>
    <w:p w14:paraId="37D50C72" w14:textId="77777777" w:rsidR="00546A95" w:rsidRDefault="00546A95" w:rsidP="00BB51C6">
      <w:pPr>
        <w:rPr>
          <w:b/>
        </w:rPr>
      </w:pPr>
    </w:p>
    <w:p w14:paraId="61C7F952" w14:textId="718FE1C4" w:rsidR="00393D6E" w:rsidRPr="00393D6E" w:rsidRDefault="00393D6E" w:rsidP="00BB51C6">
      <w:r>
        <w:rPr>
          <w:b/>
        </w:rPr>
        <w:lastRenderedPageBreak/>
        <w:t>Strain</w:t>
      </w:r>
    </w:p>
    <w:p w14:paraId="2EA2C30E" w14:textId="43DE5432" w:rsidR="00393D6E" w:rsidRDefault="00393D6E" w:rsidP="00393D6E">
      <w:pPr>
        <w:ind w:firstLine="720"/>
      </w:pPr>
      <w:r w:rsidRPr="00FA60CD">
        <w:t>The strain of a body</w:t>
      </w:r>
      <w:r w:rsidRPr="00A43576">
        <w:t xml:space="preserve"> is related to the</w:t>
      </w:r>
      <w:r w:rsidRPr="00EC7EFC">
        <w:t xml:space="preserve"> resulting displacement caused </w:t>
      </w:r>
      <w:r w:rsidRPr="001E64C9">
        <w:t>by the force</w:t>
      </w:r>
      <w:r w:rsidRPr="00EC7EFC">
        <w:t xml:space="preserve"> applied to it</w:t>
      </w:r>
      <w:r>
        <w:t xml:space="preserve">. </w:t>
      </w:r>
      <w:r w:rsidRPr="00EC7EFC">
        <w:t xml:space="preserve">The definition of strain is shown in Equation </w:t>
      </w:r>
      <w:r>
        <w:t>A</w:t>
      </w:r>
      <w:r w:rsidRPr="00EC7EFC">
        <w:t>.11 and states that the strain (</w:t>
      </w:r>
      <m:oMath>
        <m:r>
          <w:rPr>
            <w:rFonts w:ascii="Cambria Math" w:hAnsi="Cambria Math"/>
          </w:rPr>
          <m:t>ε</m:t>
        </m:r>
      </m:oMath>
      <w:r w:rsidRPr="00EC7EFC">
        <w:t>, unitless) is equal to the change in length (</w:t>
      </w:r>
      <m:oMath>
        <m:r>
          <w:rPr>
            <w:rFonts w:ascii="Cambria Math" w:hAnsi="Cambria Math"/>
          </w:rPr>
          <m:t>Δu</m:t>
        </m:r>
      </m:oMath>
      <w:r w:rsidRPr="00EC7EFC">
        <w:t>) div</w:t>
      </w:r>
      <w:r w:rsidRPr="00FA60CD">
        <w:t>ided by the original length (</w:t>
      </w:r>
      <m:oMath>
        <m:r>
          <w:rPr>
            <w:rFonts w:ascii="Cambria Math" w:hAnsi="Cambria Math"/>
          </w:rPr>
          <m:t>u</m:t>
        </m:r>
      </m:oMath>
      <w:r w:rsidRPr="00EC7EFC">
        <w:t xml:space="preserve">).  </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F21DDA" w14:paraId="6471F39B" w14:textId="77777777" w:rsidTr="0054184B">
        <w:trPr>
          <w:trHeight w:val="576"/>
        </w:trPr>
        <w:tc>
          <w:tcPr>
            <w:tcW w:w="720" w:type="dxa"/>
            <w:vAlign w:val="center"/>
          </w:tcPr>
          <w:p w14:paraId="607EA89A" w14:textId="77777777" w:rsidR="00F21DDA" w:rsidRDefault="00F21DDA" w:rsidP="0054184B">
            <w:pPr>
              <w:spacing w:line="240" w:lineRule="auto"/>
              <w:jc w:val="center"/>
            </w:pPr>
          </w:p>
        </w:tc>
        <w:tc>
          <w:tcPr>
            <w:tcW w:w="7920" w:type="dxa"/>
            <w:vAlign w:val="center"/>
          </w:tcPr>
          <w:p w14:paraId="761709B6" w14:textId="7F211D0B" w:rsidR="00F21DDA" w:rsidRPr="002D351F" w:rsidRDefault="002D351F" w:rsidP="0054184B">
            <w:pPr>
              <w:spacing w:line="240" w:lineRule="auto"/>
              <w:jc w:val="center"/>
              <w:rPr>
                <w:i/>
              </w:rPr>
            </w:pPr>
            <m:oMathPara>
              <m:oMath>
                <m:r>
                  <w:rPr>
                    <w:rFonts w:ascii="Cambria Math" w:hAnsi="Cambria Math"/>
                  </w:rPr>
                  <m:t>ϵ=</m:t>
                </m:r>
                <m:f>
                  <m:fPr>
                    <m:ctrlPr>
                      <w:rPr>
                        <w:rFonts w:ascii="Cambria Math" w:hAnsi="Cambria Math"/>
                        <w:i/>
                      </w:rPr>
                    </m:ctrlPr>
                  </m:fPr>
                  <m:num>
                    <m:r>
                      <w:rPr>
                        <w:rFonts w:ascii="Cambria Math" w:hAnsi="Cambria Math"/>
                      </w:rPr>
                      <m:t>u-</m:t>
                    </m:r>
                    <m:sSup>
                      <m:sSupPr>
                        <m:ctrlPr>
                          <w:rPr>
                            <w:rFonts w:ascii="Cambria Math" w:hAnsi="Cambria Math"/>
                            <w:i/>
                          </w:rPr>
                        </m:ctrlPr>
                      </m:sSupPr>
                      <m:e>
                        <m:r>
                          <w:rPr>
                            <w:rFonts w:ascii="Cambria Math" w:hAnsi="Cambria Math"/>
                          </w:rPr>
                          <m:t>u</m:t>
                        </m:r>
                      </m:e>
                      <m:sup>
                        <m:r>
                          <w:rPr>
                            <w:rFonts w:ascii="Cambria Math" w:hAnsi="Cambria Math"/>
                          </w:rPr>
                          <m:t>'</m:t>
                        </m:r>
                      </m:sup>
                    </m:sSup>
                  </m:num>
                  <m:den>
                    <m:r>
                      <w:rPr>
                        <w:rFonts w:ascii="Cambria Math" w:hAnsi="Cambria Math"/>
                      </w:rPr>
                      <m:t>u</m:t>
                    </m:r>
                  </m:den>
                </m:f>
                <m:r>
                  <w:rPr>
                    <w:rFonts w:ascii="Cambria Math" w:hAnsi="Cambria Math"/>
                  </w:rPr>
                  <m:t>= -</m:t>
                </m:r>
                <m:f>
                  <m:fPr>
                    <m:ctrlPr>
                      <w:rPr>
                        <w:rFonts w:ascii="Cambria Math" w:hAnsi="Cambria Math"/>
                        <w:i/>
                      </w:rPr>
                    </m:ctrlPr>
                  </m:fPr>
                  <m:num>
                    <m:r>
                      <w:rPr>
                        <w:rFonts w:ascii="Cambria Math" w:hAnsi="Cambria Math"/>
                      </w:rPr>
                      <m:t>Δu</m:t>
                    </m:r>
                  </m:num>
                  <m:den>
                    <m:r>
                      <w:rPr>
                        <w:rFonts w:ascii="Cambria Math" w:hAnsi="Cambria Math"/>
                      </w:rPr>
                      <m:t>u</m:t>
                    </m:r>
                  </m:den>
                </m:f>
              </m:oMath>
            </m:oMathPara>
          </w:p>
        </w:tc>
        <w:tc>
          <w:tcPr>
            <w:tcW w:w="720" w:type="dxa"/>
            <w:vAlign w:val="bottom"/>
          </w:tcPr>
          <w:p w14:paraId="6CDC8F4A" w14:textId="217B7999" w:rsidR="00F21DDA" w:rsidRPr="00393D6E" w:rsidRDefault="00F21DDA" w:rsidP="00BC23AD">
            <w:pPr>
              <w:pStyle w:val="Caption"/>
            </w:pPr>
            <w:r>
              <w:t>A.11</w:t>
            </w:r>
          </w:p>
        </w:tc>
      </w:tr>
    </w:tbl>
    <w:p w14:paraId="3CC633D6" w14:textId="77777777" w:rsidR="00F21DDA" w:rsidRPr="00EC7EFC" w:rsidRDefault="00F21DDA" w:rsidP="00393D6E">
      <w:pPr>
        <w:ind w:firstLine="720"/>
      </w:pPr>
    </w:p>
    <w:p w14:paraId="6C7A58B3" w14:textId="76060B0C" w:rsidR="00393D6E" w:rsidRDefault="00393D6E" w:rsidP="00393D6E">
      <w:pPr>
        <w:ind w:firstLine="720"/>
      </w:pPr>
      <w:r w:rsidRPr="00EC7EFC">
        <w:t xml:space="preserve">Stress and strain </w:t>
      </w:r>
      <w:r w:rsidRPr="001E64C9">
        <w:t>are related</w:t>
      </w:r>
      <w:r w:rsidRPr="00EC7EFC">
        <w:t xml:space="preserve"> through the theory of linear elasticity in which the relationship between the applied stresses and the resulting strains in a linear relationship which is </w:t>
      </w:r>
      <w:r w:rsidRPr="001E64C9">
        <w:t>shown</w:t>
      </w:r>
      <w:r w:rsidRPr="00EC7EFC">
        <w:t xml:space="preserve"> in Hooke’s Law in Equation </w:t>
      </w:r>
      <w:r>
        <w:t>A</w:t>
      </w:r>
      <w:r w:rsidRPr="00EC7EFC">
        <w:t xml:space="preserve">.12.  </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F21DDA" w14:paraId="0D8E96DE" w14:textId="77777777" w:rsidTr="0054184B">
        <w:trPr>
          <w:trHeight w:val="576"/>
        </w:trPr>
        <w:tc>
          <w:tcPr>
            <w:tcW w:w="720" w:type="dxa"/>
            <w:vAlign w:val="center"/>
          </w:tcPr>
          <w:p w14:paraId="3D324AEC" w14:textId="77777777" w:rsidR="00F21DDA" w:rsidRDefault="00F21DDA" w:rsidP="0054184B">
            <w:pPr>
              <w:spacing w:line="240" w:lineRule="auto"/>
              <w:jc w:val="center"/>
            </w:pPr>
          </w:p>
        </w:tc>
        <w:tc>
          <w:tcPr>
            <w:tcW w:w="7920" w:type="dxa"/>
            <w:vAlign w:val="center"/>
          </w:tcPr>
          <w:p w14:paraId="4D7110F5" w14:textId="36754C64" w:rsidR="00F21DDA" w:rsidRPr="003E4C6A" w:rsidRDefault="00077C0B" w:rsidP="0054184B">
            <w:pPr>
              <w:spacing w:line="240" w:lineRule="auto"/>
              <w:jc w:val="center"/>
            </w:pPr>
            <m:oMathPara>
              <m:oMath>
                <m:sSub>
                  <m:sSubPr>
                    <m:ctrlPr>
                      <w:rPr>
                        <w:rFonts w:ascii="Cambria Math" w:hAnsi="Cambria Math"/>
                        <w:i/>
                      </w:rPr>
                    </m:ctrlPr>
                  </m:sSubPr>
                  <m:e>
                    <m:r>
                      <w:rPr>
                        <w:rFonts w:ascii="Cambria Math" w:hAnsi="Cambria Math"/>
                      </w:rPr>
                      <m:t>ϵ</m:t>
                    </m:r>
                  </m:e>
                  <m:sub>
                    <m:r>
                      <w:rPr>
                        <w:rFonts w:ascii="Cambria Math" w:hAnsi="Cambria Math"/>
                      </w:rPr>
                      <m:t>x</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E</m:t>
                    </m:r>
                  </m:den>
                </m:f>
                <m:sSub>
                  <m:sSubPr>
                    <m:ctrlPr>
                      <w:rPr>
                        <w:rFonts w:ascii="Cambria Math" w:hAnsi="Cambria Math"/>
                        <w:i/>
                      </w:rPr>
                    </m:ctrlPr>
                  </m:sSubPr>
                  <m:e>
                    <m:r>
                      <w:rPr>
                        <w:rFonts w:ascii="Cambria Math" w:hAnsi="Cambria Math"/>
                      </w:rPr>
                      <m:t>σ</m:t>
                    </m:r>
                  </m:e>
                  <m:sub>
                    <m:r>
                      <w:rPr>
                        <w:rFonts w:ascii="Cambria Math" w:hAnsi="Cambria Math"/>
                      </w:rPr>
                      <m:t>x</m:t>
                    </m:r>
                  </m:sub>
                </m:sSub>
              </m:oMath>
            </m:oMathPara>
          </w:p>
        </w:tc>
        <w:tc>
          <w:tcPr>
            <w:tcW w:w="720" w:type="dxa"/>
            <w:vAlign w:val="bottom"/>
          </w:tcPr>
          <w:p w14:paraId="05A45CF3" w14:textId="6AF98708" w:rsidR="00F21DDA" w:rsidRPr="00393D6E" w:rsidRDefault="00F21DDA" w:rsidP="00BC23AD">
            <w:pPr>
              <w:pStyle w:val="Caption"/>
            </w:pPr>
            <w:r>
              <w:t>A.12</w:t>
            </w:r>
          </w:p>
        </w:tc>
      </w:tr>
    </w:tbl>
    <w:p w14:paraId="3B716BD3" w14:textId="77777777" w:rsidR="00F21DDA" w:rsidRPr="00EC7EFC" w:rsidRDefault="00F21DDA" w:rsidP="00393D6E">
      <w:pPr>
        <w:ind w:firstLine="720"/>
      </w:pPr>
    </w:p>
    <w:p w14:paraId="04B3588D" w14:textId="2D4775AA" w:rsidR="00393D6E" w:rsidRDefault="00393D6E" w:rsidP="00393D6E">
      <w:pPr>
        <w:ind w:firstLine="720"/>
      </w:pPr>
      <w:r w:rsidRPr="00EC7EFC">
        <w:t>The Poisson’s ratio is the measure of lateral expansion relative to the longitudinal contraction</w:t>
      </w:r>
      <w:r w:rsidRPr="001E64C9">
        <w:t xml:space="preserve"> as shown</w:t>
      </w:r>
      <w:r w:rsidRPr="00EC7EFC">
        <w:t xml:space="preserve"> in Equation </w:t>
      </w:r>
      <w:r>
        <w:t>A</w:t>
      </w:r>
      <w:r w:rsidRPr="00EC7EFC">
        <w:t>.13.</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F21DDA" w14:paraId="5750C585" w14:textId="77777777" w:rsidTr="0054184B">
        <w:trPr>
          <w:trHeight w:val="576"/>
        </w:trPr>
        <w:tc>
          <w:tcPr>
            <w:tcW w:w="720" w:type="dxa"/>
            <w:vAlign w:val="center"/>
          </w:tcPr>
          <w:p w14:paraId="187A17A0" w14:textId="77777777" w:rsidR="00F21DDA" w:rsidRDefault="00F21DDA" w:rsidP="0054184B">
            <w:pPr>
              <w:spacing w:line="240" w:lineRule="auto"/>
              <w:jc w:val="center"/>
            </w:pPr>
          </w:p>
        </w:tc>
        <w:tc>
          <w:tcPr>
            <w:tcW w:w="7920" w:type="dxa"/>
            <w:vAlign w:val="center"/>
          </w:tcPr>
          <w:p w14:paraId="1EE922D4" w14:textId="795AB1E7" w:rsidR="00F21DDA" w:rsidRPr="003E4C6A" w:rsidRDefault="00F21DDA" w:rsidP="0054184B">
            <w:pPr>
              <w:spacing w:line="240" w:lineRule="auto"/>
              <w:jc w:val="center"/>
            </w:pPr>
            <m:oMathPara>
              <m:oMath>
                <m:r>
                  <w:rPr>
                    <w:rFonts w:ascii="Cambria Math" w:hAnsi="Cambria Math"/>
                  </w:rPr>
                  <m:t>ν= -</m:t>
                </m:r>
                <m:f>
                  <m:fPr>
                    <m:ctrlPr>
                      <w:rPr>
                        <w:rFonts w:ascii="Cambria Math" w:hAnsi="Cambria Math"/>
                        <w:i/>
                      </w:rPr>
                    </m:ctrlPr>
                  </m:fPr>
                  <m:num>
                    <m:sSub>
                      <m:sSubPr>
                        <m:ctrlPr>
                          <w:rPr>
                            <w:rFonts w:ascii="Cambria Math" w:hAnsi="Cambria Math"/>
                            <w:i/>
                          </w:rPr>
                        </m:ctrlPr>
                      </m:sSubPr>
                      <m:e>
                        <m:r>
                          <w:rPr>
                            <w:rFonts w:ascii="Cambria Math" w:hAnsi="Cambria Math"/>
                          </w:rPr>
                          <m:t>ϵ</m:t>
                        </m:r>
                      </m:e>
                      <m:sub>
                        <m:r>
                          <w:rPr>
                            <w:rFonts w:ascii="Cambria Math" w:hAnsi="Cambria Math"/>
                          </w:rPr>
                          <m:t>y</m:t>
                        </m:r>
                      </m:sub>
                    </m:sSub>
                  </m:num>
                  <m:den>
                    <m:sSub>
                      <m:sSubPr>
                        <m:ctrlPr>
                          <w:rPr>
                            <w:rFonts w:ascii="Cambria Math" w:hAnsi="Cambria Math"/>
                            <w:i/>
                          </w:rPr>
                        </m:ctrlPr>
                      </m:sSubPr>
                      <m:e>
                        <m:r>
                          <w:rPr>
                            <w:rFonts w:ascii="Cambria Math" w:hAnsi="Cambria Math"/>
                          </w:rPr>
                          <m:t>ϵ</m:t>
                        </m:r>
                      </m:e>
                      <m:sub>
                        <m:r>
                          <w:rPr>
                            <w:rFonts w:ascii="Cambria Math" w:hAnsi="Cambria Math"/>
                          </w:rPr>
                          <m:t>x</m:t>
                        </m:r>
                      </m:sub>
                    </m:sSub>
                  </m:den>
                </m:f>
              </m:oMath>
            </m:oMathPara>
          </w:p>
        </w:tc>
        <w:tc>
          <w:tcPr>
            <w:tcW w:w="720" w:type="dxa"/>
            <w:vAlign w:val="bottom"/>
          </w:tcPr>
          <w:p w14:paraId="70E9E05A" w14:textId="151A32C5" w:rsidR="00F21DDA" w:rsidRPr="00393D6E" w:rsidRDefault="00F21DDA" w:rsidP="00BC23AD">
            <w:pPr>
              <w:pStyle w:val="Caption"/>
            </w:pPr>
            <w:r>
              <w:t>A.13</w:t>
            </w:r>
          </w:p>
        </w:tc>
      </w:tr>
    </w:tbl>
    <w:p w14:paraId="131224BD" w14:textId="5FEDBF6A" w:rsidR="00B919CE" w:rsidRDefault="00B919CE" w:rsidP="00FE241F"/>
    <w:p w14:paraId="3ED53B98" w14:textId="77777777" w:rsidR="00FE241F" w:rsidRDefault="00FE241F" w:rsidP="00FE241F"/>
    <w:p w14:paraId="768E2B10" w14:textId="6054A77B" w:rsidR="00B919CE" w:rsidRDefault="00B919CE" w:rsidP="00B919CE">
      <w:pPr>
        <w:pStyle w:val="Heading1"/>
        <w:numPr>
          <w:ilvl w:val="0"/>
          <w:numId w:val="0"/>
        </w:numPr>
      </w:pPr>
      <w:bookmarkStart w:id="178" w:name="_Toc67566073"/>
      <w:r>
        <w:lastRenderedPageBreak/>
        <w:t xml:space="preserve">Appendix B: </w:t>
      </w:r>
      <w:r w:rsidR="00250C0B">
        <w:t>Wellbore Abandonment Requirements</w:t>
      </w:r>
      <w:bookmarkEnd w:id="178"/>
    </w:p>
    <w:p w14:paraId="67FA3B75" w14:textId="3DF8B1BA" w:rsidR="00250C0B" w:rsidRPr="00250C0B" w:rsidRDefault="00250C0B" w:rsidP="00250C0B">
      <w:pPr>
        <w:spacing w:line="240" w:lineRule="auto"/>
        <w:rPr>
          <w:b/>
          <w:sz w:val="22"/>
        </w:rPr>
      </w:pPr>
      <w:r w:rsidRPr="00250C0B">
        <w:rPr>
          <w:b/>
          <w:sz w:val="22"/>
        </w:rPr>
        <w:t>Table B.1: 30 CFR 250, Subpart Q, Decommissioning Activities, Section §250.1715.</w:t>
      </w:r>
    </w:p>
    <w:tbl>
      <w:tblPr>
        <w:tblStyle w:val="TableGrid"/>
        <w:tblW w:w="9378" w:type="dxa"/>
        <w:tblLook w:val="04A0" w:firstRow="1" w:lastRow="0" w:firstColumn="1" w:lastColumn="0" w:noHBand="0" w:noVBand="1"/>
      </w:tblPr>
      <w:tblGrid>
        <w:gridCol w:w="4689"/>
        <w:gridCol w:w="4689"/>
      </w:tblGrid>
      <w:tr w:rsidR="00250C0B" w:rsidRPr="00250C0B" w14:paraId="43C7DD1B" w14:textId="77777777" w:rsidTr="006F3756">
        <w:trPr>
          <w:trHeight w:val="278"/>
        </w:trPr>
        <w:tc>
          <w:tcPr>
            <w:tcW w:w="4689" w:type="dxa"/>
          </w:tcPr>
          <w:p w14:paraId="1F91473F" w14:textId="77777777" w:rsidR="00250C0B" w:rsidRPr="00250C0B" w:rsidRDefault="00250C0B" w:rsidP="00250C0B">
            <w:pPr>
              <w:spacing w:line="240" w:lineRule="auto"/>
              <w:rPr>
                <w:b/>
                <w:sz w:val="22"/>
              </w:rPr>
            </w:pPr>
            <w:r w:rsidRPr="00250C0B">
              <w:rPr>
                <w:b/>
                <w:sz w:val="22"/>
              </w:rPr>
              <w:t>Condition</w:t>
            </w:r>
          </w:p>
        </w:tc>
        <w:tc>
          <w:tcPr>
            <w:tcW w:w="4689" w:type="dxa"/>
          </w:tcPr>
          <w:p w14:paraId="23670F6F" w14:textId="77777777" w:rsidR="00250C0B" w:rsidRPr="00250C0B" w:rsidRDefault="00250C0B" w:rsidP="00250C0B">
            <w:pPr>
              <w:spacing w:line="240" w:lineRule="auto"/>
              <w:rPr>
                <w:b/>
                <w:sz w:val="22"/>
              </w:rPr>
            </w:pPr>
            <w:r w:rsidRPr="00250C0B">
              <w:rPr>
                <w:b/>
                <w:sz w:val="22"/>
              </w:rPr>
              <w:t>What to do</w:t>
            </w:r>
          </w:p>
        </w:tc>
      </w:tr>
      <w:tr w:rsidR="00250C0B" w:rsidRPr="00250C0B" w14:paraId="58B4368D" w14:textId="77777777" w:rsidTr="006F3756">
        <w:trPr>
          <w:trHeight w:val="263"/>
        </w:trPr>
        <w:tc>
          <w:tcPr>
            <w:tcW w:w="4689" w:type="dxa"/>
          </w:tcPr>
          <w:p w14:paraId="657A2F18" w14:textId="77777777" w:rsidR="00250C0B" w:rsidRPr="00250C0B" w:rsidRDefault="00250C0B" w:rsidP="00FF2CA0">
            <w:pPr>
              <w:pStyle w:val="ListParagraph"/>
              <w:numPr>
                <w:ilvl w:val="0"/>
                <w:numId w:val="10"/>
              </w:numPr>
              <w:spacing w:line="240" w:lineRule="auto"/>
              <w:contextualSpacing w:val="0"/>
              <w:rPr>
                <w:sz w:val="22"/>
              </w:rPr>
            </w:pPr>
            <w:r w:rsidRPr="00250C0B">
              <w:rPr>
                <w:sz w:val="22"/>
              </w:rPr>
              <w:t>Zones in open hole</w:t>
            </w:r>
          </w:p>
        </w:tc>
        <w:tc>
          <w:tcPr>
            <w:tcW w:w="4689" w:type="dxa"/>
          </w:tcPr>
          <w:p w14:paraId="1B6DA734" w14:textId="77777777" w:rsidR="00250C0B" w:rsidRPr="00250C0B" w:rsidRDefault="00250C0B" w:rsidP="00250C0B">
            <w:pPr>
              <w:spacing w:line="240" w:lineRule="auto"/>
              <w:rPr>
                <w:sz w:val="22"/>
              </w:rPr>
            </w:pPr>
            <w:r w:rsidRPr="00250C0B">
              <w:rPr>
                <w:sz w:val="22"/>
              </w:rPr>
              <w:t>Cement plug(s) set from at least 100 feet below the bottom to 100 feet above the top of oil, gas, and fresh-water zones to isolate fluids in the strata.</w:t>
            </w:r>
          </w:p>
        </w:tc>
      </w:tr>
      <w:tr w:rsidR="00250C0B" w:rsidRPr="00250C0B" w14:paraId="0CB95411" w14:textId="77777777" w:rsidTr="006F3756">
        <w:trPr>
          <w:trHeight w:val="278"/>
        </w:trPr>
        <w:tc>
          <w:tcPr>
            <w:tcW w:w="4689" w:type="dxa"/>
          </w:tcPr>
          <w:p w14:paraId="149DB610" w14:textId="77777777" w:rsidR="00250C0B" w:rsidRPr="00250C0B" w:rsidRDefault="00250C0B" w:rsidP="00FF2CA0">
            <w:pPr>
              <w:pStyle w:val="ListParagraph"/>
              <w:numPr>
                <w:ilvl w:val="0"/>
                <w:numId w:val="10"/>
              </w:numPr>
              <w:spacing w:line="240" w:lineRule="auto"/>
              <w:contextualSpacing w:val="0"/>
              <w:rPr>
                <w:sz w:val="22"/>
              </w:rPr>
            </w:pPr>
            <w:r w:rsidRPr="00250C0B">
              <w:rPr>
                <w:sz w:val="22"/>
              </w:rPr>
              <w:t>Open hole below casing</w:t>
            </w:r>
          </w:p>
        </w:tc>
        <w:tc>
          <w:tcPr>
            <w:tcW w:w="4689" w:type="dxa"/>
          </w:tcPr>
          <w:p w14:paraId="015E3A70" w14:textId="77777777" w:rsidR="00250C0B" w:rsidRPr="00250C0B" w:rsidRDefault="00250C0B" w:rsidP="00FF2CA0">
            <w:pPr>
              <w:pStyle w:val="ListParagraph"/>
              <w:numPr>
                <w:ilvl w:val="0"/>
                <w:numId w:val="9"/>
              </w:numPr>
              <w:spacing w:line="240" w:lineRule="auto"/>
              <w:contextualSpacing w:val="0"/>
              <w:rPr>
                <w:sz w:val="22"/>
              </w:rPr>
            </w:pPr>
            <w:r w:rsidRPr="00250C0B">
              <w:rPr>
                <w:sz w:val="22"/>
              </w:rPr>
              <w:t xml:space="preserve">A cement plug, set by the displacement method, at least 100 feet above and below deepest casing shoe; </w:t>
            </w:r>
          </w:p>
          <w:p w14:paraId="16F49E20" w14:textId="77777777" w:rsidR="00250C0B" w:rsidRPr="00250C0B" w:rsidRDefault="00250C0B" w:rsidP="00FF2CA0">
            <w:pPr>
              <w:pStyle w:val="ListParagraph"/>
              <w:numPr>
                <w:ilvl w:val="0"/>
                <w:numId w:val="9"/>
              </w:numPr>
              <w:spacing w:line="240" w:lineRule="auto"/>
              <w:contextualSpacing w:val="0"/>
              <w:rPr>
                <w:sz w:val="22"/>
              </w:rPr>
            </w:pPr>
            <w:r w:rsidRPr="00250C0B">
              <w:rPr>
                <w:sz w:val="22"/>
              </w:rPr>
              <w:t xml:space="preserve">A cement retainer with effective back-pressure control set 50 to 100 feet above the casing shoe, and a cement plug that extends at least 100 feet below the casing shoe and at least 50 feet above the retainer; or </w:t>
            </w:r>
          </w:p>
          <w:p w14:paraId="4162F762" w14:textId="77777777" w:rsidR="00250C0B" w:rsidRPr="00250C0B" w:rsidRDefault="00250C0B" w:rsidP="00FF2CA0">
            <w:pPr>
              <w:pStyle w:val="ListParagraph"/>
              <w:numPr>
                <w:ilvl w:val="0"/>
                <w:numId w:val="9"/>
              </w:numPr>
              <w:spacing w:line="240" w:lineRule="auto"/>
              <w:contextualSpacing w:val="0"/>
              <w:rPr>
                <w:sz w:val="22"/>
              </w:rPr>
            </w:pPr>
            <w:r w:rsidRPr="00250C0B">
              <w:rPr>
                <w:sz w:val="22"/>
              </w:rPr>
              <w:t>A bridge plug set 50 feet to 100 feet above the shoe with 50 feet of cement on top of the bridge plug, for expected or known lost circulation conditions.</w:t>
            </w:r>
          </w:p>
        </w:tc>
      </w:tr>
      <w:tr w:rsidR="00250C0B" w:rsidRPr="00250C0B" w14:paraId="7613B7B9" w14:textId="77777777" w:rsidTr="006F3756">
        <w:trPr>
          <w:trHeight w:val="541"/>
        </w:trPr>
        <w:tc>
          <w:tcPr>
            <w:tcW w:w="4689" w:type="dxa"/>
          </w:tcPr>
          <w:p w14:paraId="3CDAC9B9" w14:textId="77777777" w:rsidR="00250C0B" w:rsidRPr="00250C0B" w:rsidRDefault="00250C0B" w:rsidP="00FF2CA0">
            <w:pPr>
              <w:pStyle w:val="ListParagraph"/>
              <w:numPr>
                <w:ilvl w:val="0"/>
                <w:numId w:val="10"/>
              </w:numPr>
              <w:spacing w:line="240" w:lineRule="auto"/>
              <w:contextualSpacing w:val="0"/>
              <w:rPr>
                <w:sz w:val="22"/>
              </w:rPr>
            </w:pPr>
            <w:r w:rsidRPr="00250C0B">
              <w:rPr>
                <w:sz w:val="22"/>
              </w:rPr>
              <w:t>A perforated zone that is currently open and not previously squeezed or isolated</w:t>
            </w:r>
          </w:p>
        </w:tc>
        <w:tc>
          <w:tcPr>
            <w:tcW w:w="4689" w:type="dxa"/>
          </w:tcPr>
          <w:p w14:paraId="307984DE" w14:textId="77777777" w:rsidR="00250C0B" w:rsidRPr="00250C0B" w:rsidRDefault="00250C0B" w:rsidP="00FF2CA0">
            <w:pPr>
              <w:pStyle w:val="ListParagraph"/>
              <w:numPr>
                <w:ilvl w:val="0"/>
                <w:numId w:val="11"/>
              </w:numPr>
              <w:spacing w:line="240" w:lineRule="auto"/>
              <w:contextualSpacing w:val="0"/>
              <w:rPr>
                <w:sz w:val="22"/>
              </w:rPr>
            </w:pPr>
            <w:r w:rsidRPr="00250C0B">
              <w:rPr>
                <w:sz w:val="22"/>
              </w:rPr>
              <w:t xml:space="preserve"> A method to squeeze cement to all perforations; </w:t>
            </w:r>
          </w:p>
          <w:p w14:paraId="40EAF724" w14:textId="77777777" w:rsidR="00250C0B" w:rsidRPr="00250C0B" w:rsidRDefault="00250C0B" w:rsidP="00FF2CA0">
            <w:pPr>
              <w:pStyle w:val="ListParagraph"/>
              <w:numPr>
                <w:ilvl w:val="0"/>
                <w:numId w:val="11"/>
              </w:numPr>
              <w:spacing w:line="240" w:lineRule="auto"/>
              <w:contextualSpacing w:val="0"/>
              <w:rPr>
                <w:sz w:val="22"/>
              </w:rPr>
            </w:pPr>
            <w:r w:rsidRPr="00250C0B">
              <w:rPr>
                <w:sz w:val="22"/>
              </w:rPr>
              <w:t xml:space="preserve">A cement plug set by the displacement method, at least 100 feet above to 100 feet below the perforated interval, or down to a casing plug, whichever is less; or </w:t>
            </w:r>
          </w:p>
          <w:p w14:paraId="1117E64A" w14:textId="77777777" w:rsidR="00250C0B" w:rsidRPr="00250C0B" w:rsidRDefault="00250C0B" w:rsidP="00FF2CA0">
            <w:pPr>
              <w:pStyle w:val="ListParagraph"/>
              <w:numPr>
                <w:ilvl w:val="0"/>
                <w:numId w:val="11"/>
              </w:numPr>
              <w:spacing w:line="240" w:lineRule="auto"/>
              <w:contextualSpacing w:val="0"/>
              <w:rPr>
                <w:sz w:val="22"/>
              </w:rPr>
            </w:pPr>
            <w:r w:rsidRPr="00250C0B">
              <w:rPr>
                <w:sz w:val="22"/>
              </w:rPr>
              <w:t>If the perforated zones are isolated from the hole below, you may use any of the plugs specified in paragraphs (a)(3)(iii)(A) through (E) of this section instead of those specified in paragraphs (a)(3)(i) and (a)(3)(ii) of this section.</w:t>
            </w:r>
          </w:p>
          <w:p w14:paraId="5CEA5FED" w14:textId="77777777" w:rsidR="00250C0B" w:rsidRPr="00250C0B" w:rsidRDefault="00250C0B" w:rsidP="00FF2CA0">
            <w:pPr>
              <w:pStyle w:val="ListParagraph"/>
              <w:numPr>
                <w:ilvl w:val="1"/>
                <w:numId w:val="11"/>
              </w:numPr>
              <w:spacing w:line="240" w:lineRule="auto"/>
              <w:contextualSpacing w:val="0"/>
              <w:rPr>
                <w:sz w:val="22"/>
              </w:rPr>
            </w:pPr>
            <w:r w:rsidRPr="00250C0B">
              <w:rPr>
                <w:sz w:val="22"/>
              </w:rPr>
              <w:t>A cement retainer with effective back-pressure control set 50 to 100 feet above the top of the perforated interval, and a cement plug that extends at least 100 feet below the bottom of the perforated interval with at least 50 feet of cement above the retainer;</w:t>
            </w:r>
          </w:p>
          <w:p w14:paraId="266EE609" w14:textId="77777777" w:rsidR="00250C0B" w:rsidRPr="00250C0B" w:rsidRDefault="00250C0B" w:rsidP="00FF2CA0">
            <w:pPr>
              <w:pStyle w:val="ListParagraph"/>
              <w:numPr>
                <w:ilvl w:val="1"/>
                <w:numId w:val="11"/>
              </w:numPr>
              <w:spacing w:line="240" w:lineRule="auto"/>
              <w:contextualSpacing w:val="0"/>
              <w:rPr>
                <w:sz w:val="22"/>
              </w:rPr>
            </w:pPr>
            <w:r w:rsidRPr="00250C0B">
              <w:rPr>
                <w:sz w:val="22"/>
              </w:rPr>
              <w:t>A casing bridge plug set 50 to 100 feet above the top of the perforated interval and at least 50 feet of cement on top of the bridge plug;</w:t>
            </w:r>
          </w:p>
          <w:p w14:paraId="077BA012" w14:textId="77777777" w:rsidR="00250C0B" w:rsidRPr="00250C0B" w:rsidRDefault="00250C0B" w:rsidP="00FF2CA0">
            <w:pPr>
              <w:pStyle w:val="ListParagraph"/>
              <w:numPr>
                <w:ilvl w:val="1"/>
                <w:numId w:val="11"/>
              </w:numPr>
              <w:spacing w:line="240" w:lineRule="auto"/>
              <w:contextualSpacing w:val="0"/>
              <w:rPr>
                <w:sz w:val="22"/>
              </w:rPr>
            </w:pPr>
            <w:r w:rsidRPr="00250C0B">
              <w:rPr>
                <w:sz w:val="22"/>
              </w:rPr>
              <w:t>A cement plug at least 200 feet in length, set by the displacement method, with the bottom of the plug no more than 100 feet above the perforated interval;</w:t>
            </w:r>
          </w:p>
          <w:p w14:paraId="2CB879E1" w14:textId="77777777" w:rsidR="00250C0B" w:rsidRPr="00250C0B" w:rsidRDefault="00250C0B" w:rsidP="00FF2CA0">
            <w:pPr>
              <w:pStyle w:val="ListParagraph"/>
              <w:numPr>
                <w:ilvl w:val="1"/>
                <w:numId w:val="11"/>
              </w:numPr>
              <w:spacing w:line="240" w:lineRule="auto"/>
              <w:contextualSpacing w:val="0"/>
              <w:rPr>
                <w:sz w:val="22"/>
              </w:rPr>
            </w:pPr>
            <w:r w:rsidRPr="00250C0B">
              <w:rPr>
                <w:sz w:val="22"/>
              </w:rPr>
              <w:t xml:space="preserve">A through-tubing basket plug set no more than 100 feet above the perforated </w:t>
            </w:r>
            <w:r w:rsidRPr="00250C0B">
              <w:rPr>
                <w:sz w:val="22"/>
              </w:rPr>
              <w:lastRenderedPageBreak/>
              <w:t>interval with at least 50 feet of cement on top of the basket plug; or</w:t>
            </w:r>
          </w:p>
          <w:p w14:paraId="3C286E14" w14:textId="77777777" w:rsidR="00250C0B" w:rsidRPr="00250C0B" w:rsidRDefault="00250C0B" w:rsidP="00FF2CA0">
            <w:pPr>
              <w:pStyle w:val="ListParagraph"/>
              <w:numPr>
                <w:ilvl w:val="1"/>
                <w:numId w:val="11"/>
              </w:numPr>
              <w:spacing w:line="240" w:lineRule="auto"/>
              <w:contextualSpacing w:val="0"/>
              <w:rPr>
                <w:sz w:val="22"/>
              </w:rPr>
            </w:pPr>
            <w:r w:rsidRPr="00250C0B">
              <w:rPr>
                <w:sz w:val="22"/>
              </w:rPr>
              <w:t>A tubing plug set no more than 100 feet above the perforated interval topped with a sufficient volume of cement so as to extend at least 100 feet above the uppermost packer in the wellbore and at least 300 feet of cement in the casing annulus immediately above the packer.</w:t>
            </w:r>
          </w:p>
        </w:tc>
      </w:tr>
      <w:tr w:rsidR="00250C0B" w:rsidRPr="00250C0B" w14:paraId="1162047E" w14:textId="77777777" w:rsidTr="006F3756">
        <w:trPr>
          <w:trHeight w:val="557"/>
        </w:trPr>
        <w:tc>
          <w:tcPr>
            <w:tcW w:w="4689" w:type="dxa"/>
          </w:tcPr>
          <w:p w14:paraId="6D7C38D4" w14:textId="77777777" w:rsidR="00250C0B" w:rsidRPr="00250C0B" w:rsidRDefault="00250C0B" w:rsidP="00FF2CA0">
            <w:pPr>
              <w:pStyle w:val="ListParagraph"/>
              <w:numPr>
                <w:ilvl w:val="0"/>
                <w:numId w:val="10"/>
              </w:numPr>
              <w:spacing w:line="240" w:lineRule="auto"/>
              <w:contextualSpacing w:val="0"/>
              <w:rPr>
                <w:sz w:val="22"/>
              </w:rPr>
            </w:pPr>
            <w:r w:rsidRPr="00250C0B">
              <w:rPr>
                <w:sz w:val="22"/>
              </w:rPr>
              <w:lastRenderedPageBreak/>
              <w:t>A casing stub where the stub end is within the casing</w:t>
            </w:r>
          </w:p>
        </w:tc>
        <w:tc>
          <w:tcPr>
            <w:tcW w:w="4689" w:type="dxa"/>
          </w:tcPr>
          <w:p w14:paraId="519D0A56" w14:textId="77777777" w:rsidR="00250C0B" w:rsidRPr="00250C0B" w:rsidRDefault="00250C0B" w:rsidP="00FF2CA0">
            <w:pPr>
              <w:pStyle w:val="ListParagraph"/>
              <w:numPr>
                <w:ilvl w:val="0"/>
                <w:numId w:val="12"/>
              </w:numPr>
              <w:spacing w:line="240" w:lineRule="auto"/>
              <w:contextualSpacing w:val="0"/>
              <w:rPr>
                <w:sz w:val="22"/>
              </w:rPr>
            </w:pPr>
            <w:r w:rsidRPr="00250C0B">
              <w:rPr>
                <w:sz w:val="22"/>
              </w:rPr>
              <w:t xml:space="preserve">A cement plug set at least 100 feet above and below the stub end; </w:t>
            </w:r>
          </w:p>
          <w:p w14:paraId="10A25FAF" w14:textId="77777777" w:rsidR="00250C0B" w:rsidRPr="00250C0B" w:rsidRDefault="00250C0B" w:rsidP="00FF2CA0">
            <w:pPr>
              <w:pStyle w:val="ListParagraph"/>
              <w:numPr>
                <w:ilvl w:val="0"/>
                <w:numId w:val="12"/>
              </w:numPr>
              <w:spacing w:line="240" w:lineRule="auto"/>
              <w:contextualSpacing w:val="0"/>
              <w:rPr>
                <w:sz w:val="22"/>
              </w:rPr>
            </w:pPr>
            <w:r w:rsidRPr="00250C0B">
              <w:rPr>
                <w:sz w:val="22"/>
              </w:rPr>
              <w:t xml:space="preserve">A cement retainer or bridge plug set at least 50 to 100 feet above the stub end with at least 50 feet of cement on top of the retainer or bridge plug; or </w:t>
            </w:r>
          </w:p>
          <w:p w14:paraId="403D7944" w14:textId="77777777" w:rsidR="00250C0B" w:rsidRPr="00250C0B" w:rsidRDefault="00250C0B" w:rsidP="00FF2CA0">
            <w:pPr>
              <w:pStyle w:val="ListParagraph"/>
              <w:numPr>
                <w:ilvl w:val="0"/>
                <w:numId w:val="12"/>
              </w:numPr>
              <w:spacing w:line="240" w:lineRule="auto"/>
              <w:contextualSpacing w:val="0"/>
              <w:rPr>
                <w:sz w:val="22"/>
              </w:rPr>
            </w:pPr>
            <w:r w:rsidRPr="00250C0B">
              <w:rPr>
                <w:sz w:val="22"/>
              </w:rPr>
              <w:t>A cement plug at least 200 feet long with the bottom of the plug set no more than 100 feet above the stub end.</w:t>
            </w:r>
          </w:p>
        </w:tc>
      </w:tr>
      <w:tr w:rsidR="00250C0B" w:rsidRPr="00250C0B" w14:paraId="39F97EC6" w14:textId="77777777" w:rsidTr="006F3756">
        <w:trPr>
          <w:trHeight w:val="541"/>
        </w:trPr>
        <w:tc>
          <w:tcPr>
            <w:tcW w:w="4689" w:type="dxa"/>
          </w:tcPr>
          <w:p w14:paraId="785300A1" w14:textId="77777777" w:rsidR="00250C0B" w:rsidRPr="00250C0B" w:rsidRDefault="00250C0B" w:rsidP="00FF2CA0">
            <w:pPr>
              <w:pStyle w:val="ListParagraph"/>
              <w:numPr>
                <w:ilvl w:val="0"/>
                <w:numId w:val="10"/>
              </w:numPr>
              <w:spacing w:line="240" w:lineRule="auto"/>
              <w:contextualSpacing w:val="0"/>
              <w:rPr>
                <w:sz w:val="22"/>
              </w:rPr>
            </w:pPr>
            <w:r w:rsidRPr="00250C0B">
              <w:rPr>
                <w:sz w:val="22"/>
              </w:rPr>
              <w:t>A casing stub where the stub end is below the casing</w:t>
            </w:r>
          </w:p>
        </w:tc>
        <w:tc>
          <w:tcPr>
            <w:tcW w:w="4689" w:type="dxa"/>
          </w:tcPr>
          <w:p w14:paraId="234C1CCC" w14:textId="77777777" w:rsidR="00250C0B" w:rsidRPr="00250C0B" w:rsidRDefault="00250C0B" w:rsidP="00250C0B">
            <w:pPr>
              <w:spacing w:line="240" w:lineRule="auto"/>
              <w:rPr>
                <w:sz w:val="22"/>
              </w:rPr>
            </w:pPr>
            <w:r w:rsidRPr="00250C0B">
              <w:rPr>
                <w:sz w:val="22"/>
              </w:rPr>
              <w:t>A plug as specified in paragraph (a)(1) or (a)(2) of this section, as applicable.</w:t>
            </w:r>
          </w:p>
        </w:tc>
      </w:tr>
      <w:tr w:rsidR="00250C0B" w:rsidRPr="00250C0B" w14:paraId="43E2C738" w14:textId="77777777" w:rsidTr="006F3756">
        <w:trPr>
          <w:trHeight w:val="557"/>
        </w:trPr>
        <w:tc>
          <w:tcPr>
            <w:tcW w:w="4689" w:type="dxa"/>
          </w:tcPr>
          <w:p w14:paraId="33814267" w14:textId="22B81E9D" w:rsidR="00250C0B" w:rsidRPr="00250C0B" w:rsidRDefault="00250C0B" w:rsidP="00FF2CA0">
            <w:pPr>
              <w:pStyle w:val="ListParagraph"/>
              <w:numPr>
                <w:ilvl w:val="0"/>
                <w:numId w:val="10"/>
              </w:numPr>
              <w:spacing w:line="240" w:lineRule="auto"/>
              <w:contextualSpacing w:val="0"/>
              <w:rPr>
                <w:sz w:val="22"/>
              </w:rPr>
            </w:pPr>
            <w:r w:rsidRPr="00250C0B">
              <w:rPr>
                <w:sz w:val="22"/>
              </w:rPr>
              <w:t xml:space="preserve">An annular space that communicates with open hole and extends to the </w:t>
            </w:r>
            <w:r w:rsidR="00782634">
              <w:rPr>
                <w:sz w:val="22"/>
              </w:rPr>
              <w:t xml:space="preserve">drilling fluid </w:t>
            </w:r>
            <w:r w:rsidRPr="00250C0B">
              <w:rPr>
                <w:sz w:val="22"/>
              </w:rPr>
              <w:t>line</w:t>
            </w:r>
          </w:p>
        </w:tc>
        <w:tc>
          <w:tcPr>
            <w:tcW w:w="4689" w:type="dxa"/>
          </w:tcPr>
          <w:p w14:paraId="00DD4668" w14:textId="77777777" w:rsidR="00250C0B" w:rsidRPr="00250C0B" w:rsidRDefault="00250C0B" w:rsidP="00250C0B">
            <w:pPr>
              <w:spacing w:line="240" w:lineRule="auto"/>
              <w:rPr>
                <w:sz w:val="22"/>
              </w:rPr>
            </w:pPr>
            <w:r w:rsidRPr="00250C0B">
              <w:rPr>
                <w:sz w:val="22"/>
              </w:rPr>
              <w:t>A cement plug at least 200 feet long set in the annular space. For a well completed above the ocean surface, you must pressure test each casing annulus to verify isolation.</w:t>
            </w:r>
          </w:p>
        </w:tc>
      </w:tr>
      <w:tr w:rsidR="00250C0B" w:rsidRPr="00250C0B" w14:paraId="2C62E75E" w14:textId="77777777" w:rsidTr="006F3756">
        <w:trPr>
          <w:trHeight w:val="263"/>
        </w:trPr>
        <w:tc>
          <w:tcPr>
            <w:tcW w:w="4689" w:type="dxa"/>
          </w:tcPr>
          <w:p w14:paraId="6E01751A" w14:textId="77777777" w:rsidR="00250C0B" w:rsidRPr="00250C0B" w:rsidRDefault="00250C0B" w:rsidP="00FF2CA0">
            <w:pPr>
              <w:pStyle w:val="ListParagraph"/>
              <w:numPr>
                <w:ilvl w:val="0"/>
                <w:numId w:val="10"/>
              </w:numPr>
              <w:spacing w:line="240" w:lineRule="auto"/>
              <w:contextualSpacing w:val="0"/>
              <w:rPr>
                <w:sz w:val="22"/>
              </w:rPr>
            </w:pPr>
            <w:r w:rsidRPr="00250C0B">
              <w:rPr>
                <w:sz w:val="22"/>
              </w:rPr>
              <w:t>A subsea well with unsealed annulus</w:t>
            </w:r>
          </w:p>
        </w:tc>
        <w:tc>
          <w:tcPr>
            <w:tcW w:w="4689" w:type="dxa"/>
          </w:tcPr>
          <w:p w14:paraId="48F64FDF" w14:textId="77777777" w:rsidR="00250C0B" w:rsidRPr="00250C0B" w:rsidRDefault="00250C0B" w:rsidP="00250C0B">
            <w:pPr>
              <w:spacing w:line="240" w:lineRule="auto"/>
              <w:rPr>
                <w:sz w:val="22"/>
              </w:rPr>
            </w:pPr>
            <w:r w:rsidRPr="00250C0B">
              <w:rPr>
                <w:sz w:val="22"/>
              </w:rPr>
              <w:t>A cutter to sever the casing, and you must set a stub plug as specified in paragraphs (a)(4) and (a)(5) of this section.</w:t>
            </w:r>
          </w:p>
        </w:tc>
      </w:tr>
      <w:tr w:rsidR="00250C0B" w:rsidRPr="00250C0B" w14:paraId="30D77640" w14:textId="77777777" w:rsidTr="006F3756">
        <w:trPr>
          <w:trHeight w:val="263"/>
        </w:trPr>
        <w:tc>
          <w:tcPr>
            <w:tcW w:w="4689" w:type="dxa"/>
          </w:tcPr>
          <w:p w14:paraId="6952D451" w14:textId="77777777" w:rsidR="00250C0B" w:rsidRPr="00250C0B" w:rsidRDefault="00250C0B" w:rsidP="00FF2CA0">
            <w:pPr>
              <w:pStyle w:val="ListParagraph"/>
              <w:numPr>
                <w:ilvl w:val="0"/>
                <w:numId w:val="10"/>
              </w:numPr>
              <w:spacing w:line="240" w:lineRule="auto"/>
              <w:contextualSpacing w:val="0"/>
              <w:rPr>
                <w:sz w:val="22"/>
              </w:rPr>
            </w:pPr>
            <w:r w:rsidRPr="00250C0B">
              <w:rPr>
                <w:sz w:val="22"/>
              </w:rPr>
              <w:t>A well with casing</w:t>
            </w:r>
          </w:p>
        </w:tc>
        <w:tc>
          <w:tcPr>
            <w:tcW w:w="4689" w:type="dxa"/>
          </w:tcPr>
          <w:p w14:paraId="29A81918" w14:textId="591A9366" w:rsidR="00250C0B" w:rsidRPr="00250C0B" w:rsidRDefault="00250C0B" w:rsidP="00250C0B">
            <w:pPr>
              <w:spacing w:line="240" w:lineRule="auto"/>
              <w:rPr>
                <w:sz w:val="22"/>
              </w:rPr>
            </w:pPr>
            <w:r w:rsidRPr="00250C0B">
              <w:rPr>
                <w:sz w:val="22"/>
              </w:rPr>
              <w:t xml:space="preserve">A cement surface plug at least 150 feet long set in the smallest casing that extends to the </w:t>
            </w:r>
            <w:r w:rsidR="00782634">
              <w:rPr>
                <w:sz w:val="22"/>
              </w:rPr>
              <w:t xml:space="preserve">drilling fluid </w:t>
            </w:r>
            <w:r w:rsidRPr="00250C0B">
              <w:rPr>
                <w:sz w:val="22"/>
              </w:rPr>
              <w:t xml:space="preserve">line with the top of the plug no more than 150 feet below the </w:t>
            </w:r>
            <w:r w:rsidR="00782634">
              <w:rPr>
                <w:sz w:val="22"/>
              </w:rPr>
              <w:t xml:space="preserve">drilling fluid </w:t>
            </w:r>
            <w:r w:rsidRPr="00250C0B">
              <w:rPr>
                <w:sz w:val="22"/>
              </w:rPr>
              <w:t>line.</w:t>
            </w:r>
          </w:p>
        </w:tc>
      </w:tr>
      <w:tr w:rsidR="00250C0B" w:rsidRPr="00250C0B" w14:paraId="214B3A8E" w14:textId="77777777" w:rsidTr="006F3756">
        <w:trPr>
          <w:trHeight w:val="263"/>
        </w:trPr>
        <w:tc>
          <w:tcPr>
            <w:tcW w:w="4689" w:type="dxa"/>
          </w:tcPr>
          <w:p w14:paraId="54E0487F" w14:textId="77777777" w:rsidR="00250C0B" w:rsidRPr="00250C0B" w:rsidRDefault="00250C0B" w:rsidP="00FF2CA0">
            <w:pPr>
              <w:pStyle w:val="ListParagraph"/>
              <w:numPr>
                <w:ilvl w:val="0"/>
                <w:numId w:val="10"/>
              </w:numPr>
              <w:spacing w:line="240" w:lineRule="auto"/>
              <w:contextualSpacing w:val="0"/>
              <w:rPr>
                <w:sz w:val="22"/>
              </w:rPr>
            </w:pPr>
            <w:r w:rsidRPr="00250C0B">
              <w:rPr>
                <w:sz w:val="22"/>
              </w:rPr>
              <w:t>Fluid left in the hole</w:t>
            </w:r>
          </w:p>
        </w:tc>
        <w:tc>
          <w:tcPr>
            <w:tcW w:w="4689" w:type="dxa"/>
          </w:tcPr>
          <w:p w14:paraId="3B4A0269" w14:textId="77777777" w:rsidR="00250C0B" w:rsidRPr="00250C0B" w:rsidRDefault="00250C0B" w:rsidP="00250C0B">
            <w:pPr>
              <w:spacing w:line="240" w:lineRule="auto"/>
              <w:rPr>
                <w:sz w:val="22"/>
              </w:rPr>
            </w:pPr>
            <w:r w:rsidRPr="00250C0B">
              <w:rPr>
                <w:sz w:val="22"/>
              </w:rPr>
              <w:t>A fluid in the intervals between the plugs that is dense enough to exert a hydrostatic pressure that is greater than the formation pressures in the intervals.</w:t>
            </w:r>
          </w:p>
        </w:tc>
      </w:tr>
      <w:tr w:rsidR="00250C0B" w:rsidRPr="00250C0B" w14:paraId="51CE640C" w14:textId="77777777" w:rsidTr="006F3756">
        <w:trPr>
          <w:trHeight w:val="263"/>
        </w:trPr>
        <w:tc>
          <w:tcPr>
            <w:tcW w:w="4689" w:type="dxa"/>
          </w:tcPr>
          <w:p w14:paraId="5E122D34" w14:textId="3237AE86" w:rsidR="00250C0B" w:rsidRPr="00250C0B" w:rsidRDefault="00250C0B" w:rsidP="00FF2CA0">
            <w:pPr>
              <w:pStyle w:val="ListParagraph"/>
              <w:numPr>
                <w:ilvl w:val="0"/>
                <w:numId w:val="10"/>
              </w:numPr>
              <w:spacing w:line="240" w:lineRule="auto"/>
              <w:contextualSpacing w:val="0"/>
              <w:rPr>
                <w:sz w:val="22"/>
              </w:rPr>
            </w:pPr>
            <w:r w:rsidRPr="00250C0B">
              <w:rPr>
                <w:sz w:val="22"/>
              </w:rPr>
              <w:t>Permafrost areas</w:t>
            </w:r>
          </w:p>
        </w:tc>
        <w:tc>
          <w:tcPr>
            <w:tcW w:w="4689" w:type="dxa"/>
          </w:tcPr>
          <w:p w14:paraId="7A5D1900" w14:textId="77777777" w:rsidR="00250C0B" w:rsidRPr="00250C0B" w:rsidRDefault="00250C0B" w:rsidP="00FF2CA0">
            <w:pPr>
              <w:pStyle w:val="ListParagraph"/>
              <w:numPr>
                <w:ilvl w:val="0"/>
                <w:numId w:val="13"/>
              </w:numPr>
              <w:spacing w:line="240" w:lineRule="auto"/>
              <w:contextualSpacing w:val="0"/>
              <w:rPr>
                <w:sz w:val="22"/>
              </w:rPr>
            </w:pPr>
            <w:r w:rsidRPr="00250C0B">
              <w:rPr>
                <w:sz w:val="22"/>
              </w:rPr>
              <w:t>A fluid to be left in the hole that has a freezing point below the temperature of the permafrost, and a treatment to inhibit corrosion; and</w:t>
            </w:r>
          </w:p>
          <w:p w14:paraId="60951187" w14:textId="77777777" w:rsidR="00250C0B" w:rsidRPr="00250C0B" w:rsidRDefault="00250C0B" w:rsidP="00FF2CA0">
            <w:pPr>
              <w:pStyle w:val="ListParagraph"/>
              <w:numPr>
                <w:ilvl w:val="0"/>
                <w:numId w:val="13"/>
              </w:numPr>
              <w:spacing w:line="240" w:lineRule="auto"/>
              <w:contextualSpacing w:val="0"/>
              <w:rPr>
                <w:sz w:val="22"/>
              </w:rPr>
            </w:pPr>
            <w:r w:rsidRPr="00250C0B">
              <w:rPr>
                <w:sz w:val="22"/>
              </w:rPr>
              <w:t>Cement plugs designed to set before freezing and have a low heat of hydration.</w:t>
            </w:r>
          </w:p>
        </w:tc>
      </w:tr>
      <w:tr w:rsidR="00250C0B" w:rsidRPr="00250C0B" w14:paraId="57E1F18D" w14:textId="77777777" w:rsidTr="006F3756">
        <w:trPr>
          <w:trHeight w:val="263"/>
        </w:trPr>
        <w:tc>
          <w:tcPr>
            <w:tcW w:w="4689" w:type="dxa"/>
          </w:tcPr>
          <w:p w14:paraId="75E111CC" w14:textId="77777777" w:rsidR="00250C0B" w:rsidRPr="00250C0B" w:rsidRDefault="00250C0B" w:rsidP="00FF2CA0">
            <w:pPr>
              <w:pStyle w:val="ListParagraph"/>
              <w:numPr>
                <w:ilvl w:val="0"/>
                <w:numId w:val="10"/>
              </w:numPr>
              <w:spacing w:line="240" w:lineRule="auto"/>
              <w:contextualSpacing w:val="0"/>
              <w:rPr>
                <w:sz w:val="22"/>
              </w:rPr>
            </w:pPr>
            <w:r w:rsidRPr="00250C0B">
              <w:rPr>
                <w:sz w:val="22"/>
              </w:rPr>
              <w:t xml:space="preserve"> Removed the barriers required in §250.420(b)(3) for the well to be completed </w:t>
            </w:r>
          </w:p>
        </w:tc>
        <w:tc>
          <w:tcPr>
            <w:tcW w:w="4689" w:type="dxa"/>
          </w:tcPr>
          <w:p w14:paraId="5674BF76" w14:textId="77777777" w:rsidR="00250C0B" w:rsidRPr="00250C0B" w:rsidRDefault="00250C0B" w:rsidP="00250C0B">
            <w:pPr>
              <w:spacing w:line="240" w:lineRule="auto"/>
              <w:rPr>
                <w:sz w:val="22"/>
              </w:rPr>
            </w:pPr>
            <w:r w:rsidRPr="00250C0B">
              <w:rPr>
                <w:sz w:val="22"/>
              </w:rPr>
              <w:t>Two independent barriers, one of which must be a mechanical barrier, in the center wellbore as described in §250.420(b)(3) once the well is to be placed in a permanent or temporary abandonment.</w:t>
            </w:r>
          </w:p>
        </w:tc>
      </w:tr>
    </w:tbl>
    <w:p w14:paraId="4FC913C8" w14:textId="7272A6CA" w:rsidR="00B919CE" w:rsidRDefault="00B919CE">
      <w:pPr>
        <w:spacing w:after="160" w:line="259" w:lineRule="auto"/>
        <w:jc w:val="left"/>
      </w:pPr>
      <w:r>
        <w:br w:type="page"/>
      </w:r>
    </w:p>
    <w:p w14:paraId="5B9A5C03" w14:textId="0871A11F" w:rsidR="00250C0B" w:rsidRDefault="00250C0B" w:rsidP="00250C0B">
      <w:pPr>
        <w:pStyle w:val="Heading1"/>
        <w:numPr>
          <w:ilvl w:val="0"/>
          <w:numId w:val="0"/>
        </w:numPr>
      </w:pPr>
      <w:bookmarkStart w:id="179" w:name="_Toc67566074"/>
      <w:r>
        <w:lastRenderedPageBreak/>
        <w:t xml:space="preserve">Appendix C: </w:t>
      </w:r>
      <w:r w:rsidR="0047381C">
        <w:t>Parallel Plate Capillary Pressure</w:t>
      </w:r>
      <w:bookmarkEnd w:id="179"/>
    </w:p>
    <w:p w14:paraId="3F0ACFF1" w14:textId="720C7DF5" w:rsidR="0047381C" w:rsidRDefault="0047381C" w:rsidP="00DB7CF8">
      <w:pPr>
        <w:ind w:firstLine="720"/>
      </w:pPr>
      <w:r>
        <w:t>The generalized definition of capillary pressure is described in Equation b in which the capillary pressure is equal to the inverse summation of the radii multiplied by the interfacial tension.</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47381C" w14:paraId="350BD409" w14:textId="77777777" w:rsidTr="00566806">
        <w:trPr>
          <w:trHeight w:val="576"/>
        </w:trPr>
        <w:tc>
          <w:tcPr>
            <w:tcW w:w="720" w:type="dxa"/>
            <w:vAlign w:val="center"/>
          </w:tcPr>
          <w:p w14:paraId="1CD831F6" w14:textId="15B64434" w:rsidR="0047381C" w:rsidRDefault="0047381C" w:rsidP="00566806">
            <w:pPr>
              <w:spacing w:line="240" w:lineRule="auto"/>
              <w:jc w:val="center"/>
            </w:pPr>
          </w:p>
        </w:tc>
        <w:tc>
          <w:tcPr>
            <w:tcW w:w="7920" w:type="dxa"/>
            <w:vAlign w:val="center"/>
          </w:tcPr>
          <w:p w14:paraId="2D0162F1" w14:textId="77777777" w:rsidR="0047381C" w:rsidRPr="003E4C6A" w:rsidRDefault="00077C0B" w:rsidP="00566806">
            <w:pPr>
              <w:spacing w:line="240" w:lineRule="auto"/>
              <w:jc w:val="center"/>
            </w:pPr>
            <m:oMathPara>
              <m:oMath>
                <m:sSub>
                  <m:sSubPr>
                    <m:ctrlPr>
                      <w:rPr>
                        <w:rFonts w:ascii="Cambria Math" w:hAnsi="Cambria Math"/>
                        <w:i/>
                      </w:rPr>
                    </m:ctrlPr>
                  </m:sSubPr>
                  <m:e>
                    <m:r>
                      <w:rPr>
                        <w:rFonts w:ascii="Cambria Math" w:hAnsi="Cambria Math"/>
                      </w:rPr>
                      <m:t>P</m:t>
                    </m:r>
                  </m:e>
                  <m:sub>
                    <m:r>
                      <w:rPr>
                        <w:rFonts w:ascii="Cambria Math" w:hAnsi="Cambria Math"/>
                      </w:rPr>
                      <m:t>c</m:t>
                    </m:r>
                  </m:sub>
                </m:sSub>
                <m:r>
                  <w:rPr>
                    <w:rFonts w:ascii="Cambria Math" w:hAnsi="Cambria Math"/>
                  </w:rPr>
                  <m:t>=σ</m:t>
                </m:r>
                <m:d>
                  <m:dPr>
                    <m:ctrlPr>
                      <w:rPr>
                        <w:rFonts w:ascii="Cambria Math" w:hAnsi="Cambria Math"/>
                        <w:i/>
                      </w:rPr>
                    </m:ctrlPr>
                  </m:dPr>
                  <m:e>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1</m:t>
                            </m:r>
                          </m:sub>
                        </m:sSub>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2</m:t>
                            </m:r>
                          </m:sub>
                        </m:sSub>
                      </m:den>
                    </m:f>
                  </m:e>
                </m:d>
              </m:oMath>
            </m:oMathPara>
          </w:p>
        </w:tc>
        <w:tc>
          <w:tcPr>
            <w:tcW w:w="720" w:type="dxa"/>
            <w:vAlign w:val="bottom"/>
          </w:tcPr>
          <w:p w14:paraId="293D7059" w14:textId="0E27DD54" w:rsidR="0047381C" w:rsidRPr="00470CB5" w:rsidRDefault="00546A95" w:rsidP="00BC23AD">
            <w:pPr>
              <w:pStyle w:val="Caption"/>
              <w:rPr>
                <w:i/>
              </w:rPr>
            </w:pPr>
            <w:r>
              <w:t>C.1</w:t>
            </w:r>
            <w:r w:rsidRPr="00470CB5">
              <w:rPr>
                <w:i/>
              </w:rPr>
              <w:t xml:space="preserve"> </w:t>
            </w:r>
          </w:p>
        </w:tc>
      </w:tr>
    </w:tbl>
    <w:p w14:paraId="21D21E9C" w14:textId="77777777" w:rsidR="0047381C" w:rsidRDefault="0047381C" w:rsidP="0047381C">
      <w:pPr>
        <w:ind w:firstLine="720"/>
      </w:pPr>
    </w:p>
    <w:p w14:paraId="14ED0923" w14:textId="354BDBD7" w:rsidR="0047381C" w:rsidRDefault="0047381C" w:rsidP="0047381C">
      <w:pPr>
        <w:ind w:firstLine="720"/>
      </w:pPr>
      <w:r>
        <w:t xml:space="preserve">Due to the geometry of parallel plates, the radii of the wetting phase is described in </w:t>
      </w:r>
      <w:r w:rsidRPr="00546A95">
        <w:t>Equations C</w:t>
      </w:r>
      <w:r w:rsidR="00546A95" w:rsidRPr="00546A95">
        <w:t>.2</w:t>
      </w:r>
      <w:r w:rsidRPr="00546A95">
        <w:t xml:space="preserve"> and </w:t>
      </w:r>
      <w:r w:rsidR="00546A95" w:rsidRPr="00546A95">
        <w:t>C.3</w:t>
      </w:r>
      <w:r>
        <w:t>.</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47381C" w14:paraId="23DA1386" w14:textId="77777777" w:rsidTr="00566806">
        <w:trPr>
          <w:trHeight w:val="576"/>
        </w:trPr>
        <w:tc>
          <w:tcPr>
            <w:tcW w:w="720" w:type="dxa"/>
            <w:vAlign w:val="center"/>
          </w:tcPr>
          <w:p w14:paraId="64843B9C" w14:textId="1B9B529B" w:rsidR="0047381C" w:rsidRDefault="0047381C" w:rsidP="00566806">
            <w:pPr>
              <w:spacing w:line="240" w:lineRule="auto"/>
              <w:jc w:val="center"/>
            </w:pPr>
          </w:p>
        </w:tc>
        <w:tc>
          <w:tcPr>
            <w:tcW w:w="7920" w:type="dxa"/>
            <w:vAlign w:val="center"/>
          </w:tcPr>
          <w:p w14:paraId="3FEFBCD8" w14:textId="77777777" w:rsidR="0047381C" w:rsidRPr="003E4C6A" w:rsidRDefault="00077C0B" w:rsidP="00566806">
            <w:pPr>
              <w:spacing w:line="240" w:lineRule="auto"/>
              <w:jc w:val="center"/>
            </w:pPr>
            <m:oMathPara>
              <m:oMath>
                <m:sSub>
                  <m:sSubPr>
                    <m:ctrlPr>
                      <w:rPr>
                        <w:rFonts w:ascii="Cambria Math" w:hAnsi="Cambria Math"/>
                        <w:i/>
                      </w:rPr>
                    </m:ctrlPr>
                  </m:sSubPr>
                  <m:e>
                    <m:r>
                      <w:rPr>
                        <w:rFonts w:ascii="Cambria Math" w:hAnsi="Cambria Math"/>
                      </w:rPr>
                      <m:t>r</m:t>
                    </m:r>
                  </m:e>
                  <m:sub>
                    <m:r>
                      <w:rPr>
                        <w:rFonts w:ascii="Cambria Math" w:hAnsi="Cambria Math"/>
                      </w:rPr>
                      <m:t>1</m:t>
                    </m:r>
                  </m:sub>
                </m:sSub>
                <m:r>
                  <w:rPr>
                    <w:rFonts w:ascii="Cambria Math" w:hAnsi="Cambria Math"/>
                  </w:rPr>
                  <m:t>=</m:t>
                </m:r>
                <m:f>
                  <m:fPr>
                    <m:ctrlPr>
                      <w:rPr>
                        <w:rFonts w:ascii="Cambria Math" w:hAnsi="Cambria Math"/>
                        <w:i/>
                      </w:rPr>
                    </m:ctrlPr>
                  </m:fPr>
                  <m:num>
                    <m:r>
                      <w:rPr>
                        <w:rFonts w:ascii="Cambria Math" w:hAnsi="Cambria Math"/>
                      </w:rPr>
                      <m:t>w</m:t>
                    </m:r>
                  </m:num>
                  <m:den>
                    <m:r>
                      <w:rPr>
                        <w:rFonts w:ascii="Cambria Math" w:hAnsi="Cambria Math"/>
                      </w:rPr>
                      <m:t>2</m:t>
                    </m:r>
                    <m:func>
                      <m:funcPr>
                        <m:ctrlPr>
                          <w:rPr>
                            <w:rFonts w:ascii="Cambria Math" w:hAnsi="Cambria Math"/>
                            <w:i/>
                          </w:rPr>
                        </m:ctrlPr>
                      </m:funcPr>
                      <m:fName>
                        <m:r>
                          <m:rPr>
                            <m:sty m:val="p"/>
                          </m:rPr>
                          <w:rPr>
                            <w:rFonts w:ascii="Cambria Math" w:hAnsi="Cambria Math"/>
                          </w:rPr>
                          <m:t>cos</m:t>
                        </m:r>
                      </m:fName>
                      <m:e>
                        <m:r>
                          <w:rPr>
                            <w:rFonts w:ascii="Cambria Math" w:hAnsi="Cambria Math"/>
                          </w:rPr>
                          <m:t>θ</m:t>
                        </m:r>
                      </m:e>
                    </m:func>
                  </m:den>
                </m:f>
              </m:oMath>
            </m:oMathPara>
          </w:p>
        </w:tc>
        <w:tc>
          <w:tcPr>
            <w:tcW w:w="720" w:type="dxa"/>
            <w:vAlign w:val="bottom"/>
          </w:tcPr>
          <w:p w14:paraId="6B2C76E5" w14:textId="232F8E49" w:rsidR="0047381C" w:rsidRPr="00470CB5" w:rsidRDefault="00546A95" w:rsidP="00BC23AD">
            <w:pPr>
              <w:pStyle w:val="Caption"/>
              <w:rPr>
                <w:i/>
              </w:rPr>
            </w:pPr>
            <w:r>
              <w:t>C.2</w:t>
            </w:r>
          </w:p>
        </w:tc>
      </w:tr>
    </w:tbl>
    <w:p w14:paraId="002BB78D" w14:textId="77777777" w:rsidR="0047381C" w:rsidRDefault="0047381C" w:rsidP="0047381C">
      <w:pPr>
        <w:ind w:firstLine="720"/>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47381C" w14:paraId="78FD86D9" w14:textId="77777777" w:rsidTr="00566806">
        <w:trPr>
          <w:trHeight w:val="576"/>
        </w:trPr>
        <w:tc>
          <w:tcPr>
            <w:tcW w:w="720" w:type="dxa"/>
            <w:vAlign w:val="center"/>
          </w:tcPr>
          <w:p w14:paraId="282D54B8" w14:textId="297A1F07" w:rsidR="0047381C" w:rsidRDefault="0047381C" w:rsidP="00566806">
            <w:pPr>
              <w:spacing w:line="240" w:lineRule="auto"/>
              <w:jc w:val="center"/>
            </w:pPr>
          </w:p>
        </w:tc>
        <w:tc>
          <w:tcPr>
            <w:tcW w:w="7920" w:type="dxa"/>
            <w:vAlign w:val="center"/>
          </w:tcPr>
          <w:p w14:paraId="6E17EF09" w14:textId="77777777" w:rsidR="0047381C" w:rsidRPr="003E4C6A" w:rsidRDefault="00077C0B" w:rsidP="00566806">
            <w:pPr>
              <w:spacing w:line="240" w:lineRule="auto"/>
              <w:jc w:val="center"/>
            </w:pPr>
            <m:oMathPara>
              <m:oMath>
                <m:sSub>
                  <m:sSubPr>
                    <m:ctrlPr>
                      <w:rPr>
                        <w:rFonts w:ascii="Cambria Math" w:hAnsi="Cambria Math"/>
                        <w:i/>
                      </w:rPr>
                    </m:ctrlPr>
                  </m:sSubPr>
                  <m:e>
                    <m:r>
                      <w:rPr>
                        <w:rFonts w:ascii="Cambria Math" w:hAnsi="Cambria Math"/>
                      </w:rPr>
                      <m:t>r</m:t>
                    </m:r>
                  </m:e>
                  <m:sub>
                    <m:r>
                      <w:rPr>
                        <w:rFonts w:ascii="Cambria Math" w:hAnsi="Cambria Math"/>
                      </w:rPr>
                      <m:t>2</m:t>
                    </m:r>
                  </m:sub>
                </m:sSub>
                <m:r>
                  <w:rPr>
                    <w:rFonts w:ascii="Cambria Math" w:hAnsi="Cambria Math"/>
                  </w:rPr>
                  <m:t>=∞</m:t>
                </m:r>
              </m:oMath>
            </m:oMathPara>
          </w:p>
        </w:tc>
        <w:tc>
          <w:tcPr>
            <w:tcW w:w="720" w:type="dxa"/>
            <w:vAlign w:val="bottom"/>
          </w:tcPr>
          <w:p w14:paraId="273A0C7B" w14:textId="016905DA" w:rsidR="0047381C" w:rsidRPr="00470CB5" w:rsidRDefault="00546A95" w:rsidP="00BC23AD">
            <w:pPr>
              <w:pStyle w:val="Caption"/>
              <w:rPr>
                <w:i/>
              </w:rPr>
            </w:pPr>
            <w:r>
              <w:t>C.3</w:t>
            </w:r>
          </w:p>
        </w:tc>
      </w:tr>
    </w:tbl>
    <w:p w14:paraId="312B2D91" w14:textId="77777777" w:rsidR="0047381C" w:rsidRDefault="0047381C" w:rsidP="0047381C">
      <w:pPr>
        <w:ind w:firstLine="720"/>
      </w:pPr>
    </w:p>
    <w:p w14:paraId="607FDB88" w14:textId="74FF8E73" w:rsidR="0047381C" w:rsidRDefault="0047381C" w:rsidP="0047381C">
      <w:pPr>
        <w:ind w:firstLine="720"/>
      </w:pPr>
      <w:r>
        <w:t>Substituting Equations C</w:t>
      </w:r>
      <w:r w:rsidR="00546A95">
        <w:t>.2 and C.3 into Equation C.1 results in Equation C.4</w:t>
      </w:r>
      <w:r>
        <w:t xml:space="preserve"> whi</w:t>
      </w:r>
      <w:r w:rsidR="00546A95">
        <w:t>ch is simplified into Equation C.5</w:t>
      </w:r>
      <w:r>
        <w:t>.</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47381C" w14:paraId="7D0B6AE7" w14:textId="77777777" w:rsidTr="00566806">
        <w:trPr>
          <w:trHeight w:val="576"/>
        </w:trPr>
        <w:tc>
          <w:tcPr>
            <w:tcW w:w="720" w:type="dxa"/>
            <w:vAlign w:val="center"/>
          </w:tcPr>
          <w:p w14:paraId="2415D1AA" w14:textId="2AE9B1C3" w:rsidR="0047381C" w:rsidRDefault="0047381C" w:rsidP="00566806">
            <w:pPr>
              <w:spacing w:line="240" w:lineRule="auto"/>
              <w:jc w:val="center"/>
            </w:pPr>
          </w:p>
        </w:tc>
        <w:tc>
          <w:tcPr>
            <w:tcW w:w="7920" w:type="dxa"/>
            <w:vAlign w:val="center"/>
          </w:tcPr>
          <w:p w14:paraId="741937C1" w14:textId="77777777" w:rsidR="0047381C" w:rsidRPr="003E4C6A" w:rsidRDefault="00077C0B" w:rsidP="00566806">
            <w:pPr>
              <w:spacing w:line="240" w:lineRule="auto"/>
              <w:jc w:val="center"/>
            </w:pPr>
            <m:oMathPara>
              <m:oMath>
                <m:sSub>
                  <m:sSubPr>
                    <m:ctrlPr>
                      <w:rPr>
                        <w:rFonts w:ascii="Cambria Math" w:hAnsi="Cambria Math"/>
                        <w:i/>
                      </w:rPr>
                    </m:ctrlPr>
                  </m:sSubPr>
                  <m:e>
                    <m:r>
                      <w:rPr>
                        <w:rFonts w:ascii="Cambria Math" w:hAnsi="Cambria Math"/>
                      </w:rPr>
                      <m:t>P</m:t>
                    </m:r>
                  </m:e>
                  <m:sub>
                    <m:r>
                      <w:rPr>
                        <w:rFonts w:ascii="Cambria Math" w:hAnsi="Cambria Math"/>
                      </w:rPr>
                      <m:t>c</m:t>
                    </m:r>
                  </m:sub>
                </m:sSub>
                <m:r>
                  <w:rPr>
                    <w:rFonts w:ascii="Cambria Math" w:hAnsi="Cambria Math"/>
                  </w:rPr>
                  <m:t>=σ</m:t>
                </m:r>
                <m:d>
                  <m:dPr>
                    <m:ctrlPr>
                      <w:rPr>
                        <w:rFonts w:ascii="Cambria Math" w:hAnsi="Cambria Math"/>
                        <w:i/>
                      </w:rPr>
                    </m:ctrlPr>
                  </m:dPr>
                  <m:e>
                    <m:f>
                      <m:fPr>
                        <m:ctrlPr>
                          <w:rPr>
                            <w:rFonts w:ascii="Cambria Math" w:hAnsi="Cambria Math"/>
                            <w:i/>
                          </w:rPr>
                        </m:ctrlPr>
                      </m:fPr>
                      <m:num>
                        <m:r>
                          <w:rPr>
                            <w:rFonts w:ascii="Cambria Math" w:hAnsi="Cambria Math"/>
                          </w:rPr>
                          <m:t>2</m:t>
                        </m:r>
                        <m:func>
                          <m:funcPr>
                            <m:ctrlPr>
                              <w:rPr>
                                <w:rFonts w:ascii="Cambria Math" w:hAnsi="Cambria Math"/>
                                <w:i/>
                              </w:rPr>
                            </m:ctrlPr>
                          </m:funcPr>
                          <m:fName>
                            <m:r>
                              <m:rPr>
                                <m:sty m:val="p"/>
                              </m:rPr>
                              <w:rPr>
                                <w:rFonts w:ascii="Cambria Math" w:hAnsi="Cambria Math"/>
                              </w:rPr>
                              <m:t>cos</m:t>
                            </m:r>
                          </m:fName>
                          <m:e>
                            <m:r>
                              <w:rPr>
                                <w:rFonts w:ascii="Cambria Math" w:hAnsi="Cambria Math"/>
                              </w:rPr>
                              <m:t>θ</m:t>
                            </m:r>
                          </m:e>
                        </m:func>
                      </m:num>
                      <m:den>
                        <m:r>
                          <w:rPr>
                            <w:rFonts w:ascii="Cambria Math" w:hAnsi="Cambria Math"/>
                          </w:rPr>
                          <m:t>w</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m:t>
                        </m:r>
                      </m:den>
                    </m:f>
                  </m:e>
                </m:d>
              </m:oMath>
            </m:oMathPara>
          </w:p>
        </w:tc>
        <w:tc>
          <w:tcPr>
            <w:tcW w:w="720" w:type="dxa"/>
            <w:vAlign w:val="bottom"/>
          </w:tcPr>
          <w:p w14:paraId="067CCE85" w14:textId="618EDCC6" w:rsidR="0047381C" w:rsidRPr="00470CB5" w:rsidRDefault="00546A95" w:rsidP="00BC23AD">
            <w:pPr>
              <w:pStyle w:val="Caption"/>
              <w:rPr>
                <w:i/>
              </w:rPr>
            </w:pPr>
            <w:r>
              <w:t>C.4</w:t>
            </w:r>
          </w:p>
        </w:tc>
      </w:tr>
    </w:tbl>
    <w:p w14:paraId="3A110EAA" w14:textId="77777777" w:rsidR="0047381C" w:rsidRDefault="0047381C" w:rsidP="0047381C"/>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47381C" w14:paraId="65D09C6F" w14:textId="77777777" w:rsidTr="00566806">
        <w:trPr>
          <w:trHeight w:val="576"/>
        </w:trPr>
        <w:tc>
          <w:tcPr>
            <w:tcW w:w="720" w:type="dxa"/>
            <w:vAlign w:val="center"/>
          </w:tcPr>
          <w:p w14:paraId="3B6C5538" w14:textId="26A9E01C" w:rsidR="0047381C" w:rsidRDefault="0047381C" w:rsidP="00566806">
            <w:pPr>
              <w:spacing w:line="240" w:lineRule="auto"/>
              <w:jc w:val="center"/>
            </w:pPr>
          </w:p>
        </w:tc>
        <w:tc>
          <w:tcPr>
            <w:tcW w:w="7920" w:type="dxa"/>
            <w:vAlign w:val="center"/>
          </w:tcPr>
          <w:p w14:paraId="460E076E" w14:textId="77777777" w:rsidR="0047381C" w:rsidRPr="003E4C6A" w:rsidRDefault="00077C0B" w:rsidP="00566806">
            <w:pPr>
              <w:spacing w:line="240" w:lineRule="auto"/>
              <w:jc w:val="center"/>
            </w:pPr>
            <m:oMathPara>
              <m:oMath>
                <m:sSub>
                  <m:sSubPr>
                    <m:ctrlPr>
                      <w:rPr>
                        <w:rFonts w:ascii="Cambria Math" w:hAnsi="Cambria Math"/>
                        <w:i/>
                      </w:rPr>
                    </m:ctrlPr>
                  </m:sSubPr>
                  <m:e>
                    <m:r>
                      <w:rPr>
                        <w:rFonts w:ascii="Cambria Math" w:hAnsi="Cambria Math"/>
                      </w:rPr>
                      <m:t>P</m:t>
                    </m:r>
                  </m:e>
                  <m:sub>
                    <m:r>
                      <w:rPr>
                        <w:rFonts w:ascii="Cambria Math" w:hAnsi="Cambria Math"/>
                      </w:rPr>
                      <m:t>c</m:t>
                    </m:r>
                  </m:sub>
                </m:sSub>
                <m:r>
                  <w:rPr>
                    <w:rFonts w:ascii="Cambria Math" w:hAnsi="Cambria Math"/>
                  </w:rPr>
                  <m:t>=</m:t>
                </m:r>
                <m:f>
                  <m:fPr>
                    <m:ctrlPr>
                      <w:rPr>
                        <w:rFonts w:ascii="Cambria Math" w:hAnsi="Cambria Math"/>
                        <w:i/>
                      </w:rPr>
                    </m:ctrlPr>
                  </m:fPr>
                  <m:num>
                    <m:r>
                      <w:rPr>
                        <w:rFonts w:ascii="Cambria Math" w:hAnsi="Cambria Math"/>
                      </w:rPr>
                      <m:t>2σ</m:t>
                    </m:r>
                    <m:func>
                      <m:funcPr>
                        <m:ctrlPr>
                          <w:rPr>
                            <w:rFonts w:ascii="Cambria Math" w:hAnsi="Cambria Math"/>
                            <w:i/>
                          </w:rPr>
                        </m:ctrlPr>
                      </m:funcPr>
                      <m:fName>
                        <m:r>
                          <m:rPr>
                            <m:sty m:val="p"/>
                          </m:rPr>
                          <w:rPr>
                            <w:rFonts w:ascii="Cambria Math" w:hAnsi="Cambria Math"/>
                          </w:rPr>
                          <m:t>cos</m:t>
                        </m:r>
                      </m:fName>
                      <m:e>
                        <m:r>
                          <w:rPr>
                            <w:rFonts w:ascii="Cambria Math" w:hAnsi="Cambria Math"/>
                          </w:rPr>
                          <m:t>θ</m:t>
                        </m:r>
                      </m:e>
                    </m:func>
                  </m:num>
                  <m:den>
                    <m:r>
                      <w:rPr>
                        <w:rFonts w:ascii="Cambria Math" w:hAnsi="Cambria Math"/>
                      </w:rPr>
                      <m:t>w</m:t>
                    </m:r>
                  </m:den>
                </m:f>
              </m:oMath>
            </m:oMathPara>
          </w:p>
        </w:tc>
        <w:tc>
          <w:tcPr>
            <w:tcW w:w="720" w:type="dxa"/>
            <w:vAlign w:val="bottom"/>
          </w:tcPr>
          <w:p w14:paraId="233FE8BF" w14:textId="578A223E" w:rsidR="0047381C" w:rsidRPr="00470CB5" w:rsidRDefault="00546A95" w:rsidP="00BC23AD">
            <w:pPr>
              <w:pStyle w:val="Caption"/>
              <w:rPr>
                <w:i/>
              </w:rPr>
            </w:pPr>
            <w:r>
              <w:t>C.5</w:t>
            </w:r>
          </w:p>
        </w:tc>
      </w:tr>
    </w:tbl>
    <w:p w14:paraId="0F0E3F3F" w14:textId="77777777" w:rsidR="0047381C" w:rsidRDefault="0047381C" w:rsidP="0047381C">
      <w:pPr>
        <w:ind w:firstLine="720"/>
      </w:pPr>
    </w:p>
    <w:p w14:paraId="309CFD19" w14:textId="77777777" w:rsidR="0047381C" w:rsidRDefault="0047381C" w:rsidP="0047381C">
      <w:pPr>
        <w:ind w:firstLine="720"/>
        <w:rPr>
          <w:rStyle w:val="Hyperlink"/>
          <w:szCs w:val="24"/>
        </w:rPr>
      </w:pPr>
    </w:p>
    <w:p w14:paraId="0A3ED704" w14:textId="1AAAFCA8" w:rsidR="0047381C" w:rsidRPr="0047381C" w:rsidRDefault="0047381C" w:rsidP="0047381C">
      <w:pPr>
        <w:spacing w:after="160" w:line="259" w:lineRule="auto"/>
        <w:jc w:val="left"/>
        <w:rPr>
          <w:color w:val="0563C1" w:themeColor="hyperlink"/>
          <w:szCs w:val="24"/>
          <w:u w:val="single"/>
        </w:rPr>
      </w:pPr>
      <w:r>
        <w:rPr>
          <w:rStyle w:val="Hyperlink"/>
          <w:szCs w:val="24"/>
        </w:rPr>
        <w:br w:type="page"/>
      </w:r>
    </w:p>
    <w:p w14:paraId="36DD71D0" w14:textId="24E4A2BE" w:rsidR="0047381C" w:rsidRDefault="0047381C" w:rsidP="0047381C">
      <w:pPr>
        <w:pStyle w:val="Heading1"/>
        <w:numPr>
          <w:ilvl w:val="0"/>
          <w:numId w:val="0"/>
        </w:numPr>
      </w:pPr>
      <w:bookmarkStart w:id="180" w:name="_Toc67566075"/>
      <w:r>
        <w:lastRenderedPageBreak/>
        <w:t>Appendix D: Case Well Data</w:t>
      </w:r>
      <w:bookmarkEnd w:id="180"/>
    </w:p>
    <w:p w14:paraId="14711752" w14:textId="77777777" w:rsidR="0047381C" w:rsidRPr="0047381C" w:rsidRDefault="0047381C" w:rsidP="0047381C"/>
    <w:p w14:paraId="7AFABBB6" w14:textId="7722FFFA" w:rsidR="00CC205B" w:rsidRDefault="00CC205B" w:rsidP="00AA7538">
      <w:pPr>
        <w:jc w:val="center"/>
      </w:pPr>
      <w:r w:rsidRPr="00CC205B">
        <w:rPr>
          <w:noProof/>
        </w:rPr>
        <w:lastRenderedPageBreak/>
        <w:drawing>
          <wp:inline distT="0" distB="0" distL="0" distR="0" wp14:anchorId="50C87ECE" wp14:editId="7BE70EC0">
            <wp:extent cx="5943600" cy="8348636"/>
            <wp:effectExtent l="0" t="0" r="0" b="0"/>
            <wp:docPr id="90880" name="Picture 90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5943600" cy="8348636"/>
                    </a:xfrm>
                    <a:prstGeom prst="rect">
                      <a:avLst/>
                    </a:prstGeom>
                  </pic:spPr>
                </pic:pic>
              </a:graphicData>
            </a:graphic>
          </wp:inline>
        </w:drawing>
      </w:r>
      <w:r w:rsidR="00250C0B">
        <w:br w:type="page"/>
      </w:r>
      <w:r w:rsidRPr="00CC205B">
        <w:rPr>
          <w:noProof/>
        </w:rPr>
        <w:lastRenderedPageBreak/>
        <w:drawing>
          <wp:inline distT="0" distB="0" distL="0" distR="0" wp14:anchorId="470C002F" wp14:editId="13BADBCD">
            <wp:extent cx="5943600" cy="8342761"/>
            <wp:effectExtent l="0" t="0" r="0" b="1270"/>
            <wp:docPr id="90881" name="Picture 90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5943600" cy="8342761"/>
                    </a:xfrm>
                    <a:prstGeom prst="rect">
                      <a:avLst/>
                    </a:prstGeom>
                  </pic:spPr>
                </pic:pic>
              </a:graphicData>
            </a:graphic>
          </wp:inline>
        </w:drawing>
      </w:r>
    </w:p>
    <w:p w14:paraId="36AD0261" w14:textId="0D8B5DB6" w:rsidR="00CC205B" w:rsidRDefault="00CC205B" w:rsidP="00AA7538">
      <w:pPr>
        <w:spacing w:after="160" w:line="259" w:lineRule="auto"/>
        <w:jc w:val="center"/>
      </w:pPr>
      <w:r w:rsidRPr="00CC205B">
        <w:rPr>
          <w:noProof/>
        </w:rPr>
        <w:lastRenderedPageBreak/>
        <w:drawing>
          <wp:inline distT="0" distB="0" distL="0" distR="0" wp14:anchorId="103A351C" wp14:editId="13D32546">
            <wp:extent cx="5943600" cy="8364699"/>
            <wp:effectExtent l="0" t="0" r="0" b="0"/>
            <wp:docPr id="90882" name="Picture 90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5943600" cy="8364699"/>
                    </a:xfrm>
                    <a:prstGeom prst="rect">
                      <a:avLst/>
                    </a:prstGeom>
                  </pic:spPr>
                </pic:pic>
              </a:graphicData>
            </a:graphic>
          </wp:inline>
        </w:drawing>
      </w:r>
    </w:p>
    <w:p w14:paraId="04C833BE" w14:textId="7CC9ECA9" w:rsidR="00CC205B" w:rsidRDefault="00CC205B" w:rsidP="00AA7538">
      <w:pPr>
        <w:spacing w:after="160" w:line="259" w:lineRule="auto"/>
        <w:jc w:val="center"/>
      </w:pPr>
      <w:r w:rsidRPr="00CC205B">
        <w:rPr>
          <w:noProof/>
        </w:rPr>
        <w:lastRenderedPageBreak/>
        <w:drawing>
          <wp:inline distT="0" distB="0" distL="0" distR="0" wp14:anchorId="5C3174C1" wp14:editId="654D5495">
            <wp:extent cx="5943600" cy="8360664"/>
            <wp:effectExtent l="0" t="0" r="0" b="2540"/>
            <wp:docPr id="90883" name="Picture 90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5943600" cy="8360664"/>
                    </a:xfrm>
                    <a:prstGeom prst="rect">
                      <a:avLst/>
                    </a:prstGeom>
                  </pic:spPr>
                </pic:pic>
              </a:graphicData>
            </a:graphic>
          </wp:inline>
        </w:drawing>
      </w:r>
    </w:p>
    <w:p w14:paraId="60468BAB" w14:textId="6E89701A" w:rsidR="00CC205B" w:rsidRDefault="00CC205B" w:rsidP="00CC205B">
      <w:pPr>
        <w:spacing w:after="160" w:line="259" w:lineRule="auto"/>
        <w:jc w:val="center"/>
      </w:pPr>
      <w:r w:rsidRPr="00CC205B">
        <w:rPr>
          <w:noProof/>
        </w:rPr>
        <w:lastRenderedPageBreak/>
        <w:drawing>
          <wp:inline distT="0" distB="0" distL="0" distR="0" wp14:anchorId="7E1A2DEF" wp14:editId="6B0E5EE9">
            <wp:extent cx="5943600" cy="8366532"/>
            <wp:effectExtent l="0" t="0" r="0" b="0"/>
            <wp:docPr id="90884" name="Picture 90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stretch>
                      <a:fillRect/>
                    </a:stretch>
                  </pic:blipFill>
                  <pic:spPr>
                    <a:xfrm>
                      <a:off x="0" y="0"/>
                      <a:ext cx="5943600" cy="8366532"/>
                    </a:xfrm>
                    <a:prstGeom prst="rect">
                      <a:avLst/>
                    </a:prstGeom>
                  </pic:spPr>
                </pic:pic>
              </a:graphicData>
            </a:graphic>
          </wp:inline>
        </w:drawing>
      </w:r>
    </w:p>
    <w:p w14:paraId="1776C60F" w14:textId="0EF36302" w:rsidR="00CC205B" w:rsidRDefault="00CC205B" w:rsidP="00CC205B">
      <w:pPr>
        <w:spacing w:after="160" w:line="259" w:lineRule="auto"/>
        <w:jc w:val="center"/>
      </w:pPr>
      <w:r w:rsidRPr="00CC205B">
        <w:rPr>
          <w:noProof/>
        </w:rPr>
        <w:lastRenderedPageBreak/>
        <w:drawing>
          <wp:inline distT="0" distB="0" distL="0" distR="0" wp14:anchorId="1D9EAF12" wp14:editId="0F94EEFA">
            <wp:extent cx="5943600" cy="8346753"/>
            <wp:effectExtent l="0" t="0" r="0" b="0"/>
            <wp:docPr id="90885" name="Picture 90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5943600" cy="8346753"/>
                    </a:xfrm>
                    <a:prstGeom prst="rect">
                      <a:avLst/>
                    </a:prstGeom>
                  </pic:spPr>
                </pic:pic>
              </a:graphicData>
            </a:graphic>
          </wp:inline>
        </w:drawing>
      </w:r>
    </w:p>
    <w:p w14:paraId="78FFAEB8" w14:textId="1F31C447" w:rsidR="00CC205B" w:rsidRDefault="00CC205B" w:rsidP="00CC205B">
      <w:pPr>
        <w:spacing w:after="160" w:line="259" w:lineRule="auto"/>
        <w:jc w:val="center"/>
      </w:pPr>
      <w:r w:rsidRPr="00CC205B">
        <w:rPr>
          <w:noProof/>
        </w:rPr>
        <w:lastRenderedPageBreak/>
        <w:drawing>
          <wp:inline distT="0" distB="0" distL="0" distR="0" wp14:anchorId="20CD95CD" wp14:editId="7A10B61D">
            <wp:extent cx="5943600" cy="7659575"/>
            <wp:effectExtent l="0" t="0" r="0" b="0"/>
            <wp:docPr id="90886" name="Picture 90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stretch>
                      <a:fillRect/>
                    </a:stretch>
                  </pic:blipFill>
                  <pic:spPr>
                    <a:xfrm>
                      <a:off x="0" y="0"/>
                      <a:ext cx="5943600" cy="7659575"/>
                    </a:xfrm>
                    <a:prstGeom prst="rect">
                      <a:avLst/>
                    </a:prstGeom>
                  </pic:spPr>
                </pic:pic>
              </a:graphicData>
            </a:graphic>
          </wp:inline>
        </w:drawing>
      </w:r>
    </w:p>
    <w:p w14:paraId="624A765F" w14:textId="619BB649" w:rsidR="00CC205B" w:rsidRDefault="00CC205B" w:rsidP="00CC205B">
      <w:pPr>
        <w:spacing w:after="160" w:line="259" w:lineRule="auto"/>
        <w:jc w:val="center"/>
      </w:pPr>
    </w:p>
    <w:p w14:paraId="1FF8B522" w14:textId="47B75060" w:rsidR="00CC205B" w:rsidRDefault="00CC205B" w:rsidP="00CC205B">
      <w:pPr>
        <w:spacing w:after="160" w:line="259" w:lineRule="auto"/>
        <w:jc w:val="center"/>
      </w:pPr>
      <w:r w:rsidRPr="00CC205B">
        <w:rPr>
          <w:noProof/>
        </w:rPr>
        <w:lastRenderedPageBreak/>
        <w:drawing>
          <wp:inline distT="0" distB="0" distL="0" distR="0" wp14:anchorId="49CD17FF" wp14:editId="05B44511">
            <wp:extent cx="5943600" cy="7662347"/>
            <wp:effectExtent l="0" t="0" r="0" b="0"/>
            <wp:docPr id="90887" name="Picture 90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stretch>
                      <a:fillRect/>
                    </a:stretch>
                  </pic:blipFill>
                  <pic:spPr>
                    <a:xfrm>
                      <a:off x="0" y="0"/>
                      <a:ext cx="5943600" cy="7662347"/>
                    </a:xfrm>
                    <a:prstGeom prst="rect">
                      <a:avLst/>
                    </a:prstGeom>
                  </pic:spPr>
                </pic:pic>
              </a:graphicData>
            </a:graphic>
          </wp:inline>
        </w:drawing>
      </w:r>
    </w:p>
    <w:p w14:paraId="2B468A27" w14:textId="31D1965D" w:rsidR="00CC205B" w:rsidRDefault="00CC205B" w:rsidP="00CC205B">
      <w:pPr>
        <w:spacing w:after="160" w:line="259" w:lineRule="auto"/>
        <w:jc w:val="center"/>
      </w:pPr>
    </w:p>
    <w:p w14:paraId="3001FA79" w14:textId="59FCC53E" w:rsidR="00CC205B" w:rsidRDefault="00CC205B" w:rsidP="00CC205B">
      <w:pPr>
        <w:spacing w:after="160" w:line="259" w:lineRule="auto"/>
        <w:jc w:val="center"/>
      </w:pPr>
      <w:r w:rsidRPr="00CC205B">
        <w:rPr>
          <w:noProof/>
        </w:rPr>
        <w:lastRenderedPageBreak/>
        <w:drawing>
          <wp:inline distT="0" distB="0" distL="0" distR="0" wp14:anchorId="518AD323" wp14:editId="5D584737">
            <wp:extent cx="5943600" cy="7658286"/>
            <wp:effectExtent l="0" t="0" r="0" b="0"/>
            <wp:docPr id="90888" name="Picture 90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5943600" cy="7658286"/>
                    </a:xfrm>
                    <a:prstGeom prst="rect">
                      <a:avLst/>
                    </a:prstGeom>
                  </pic:spPr>
                </pic:pic>
              </a:graphicData>
            </a:graphic>
          </wp:inline>
        </w:drawing>
      </w:r>
    </w:p>
    <w:p w14:paraId="7CCC2589" w14:textId="3C1F58EE" w:rsidR="00CC205B" w:rsidRDefault="00CC205B" w:rsidP="00CC205B">
      <w:pPr>
        <w:spacing w:after="160" w:line="259" w:lineRule="auto"/>
        <w:jc w:val="center"/>
      </w:pPr>
    </w:p>
    <w:p w14:paraId="26E190B9" w14:textId="29F9B223" w:rsidR="00CC205B" w:rsidRDefault="00CC205B" w:rsidP="00AA7538">
      <w:pPr>
        <w:spacing w:after="160" w:line="259" w:lineRule="auto"/>
        <w:jc w:val="center"/>
      </w:pPr>
      <w:r w:rsidRPr="00CC205B">
        <w:rPr>
          <w:noProof/>
        </w:rPr>
        <w:lastRenderedPageBreak/>
        <w:drawing>
          <wp:inline distT="0" distB="0" distL="0" distR="0" wp14:anchorId="3ACBDACC" wp14:editId="4F943BE0">
            <wp:extent cx="5943600" cy="7667919"/>
            <wp:effectExtent l="0" t="0" r="0" b="9525"/>
            <wp:docPr id="90889" name="Picture 90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a:stretch>
                      <a:fillRect/>
                    </a:stretch>
                  </pic:blipFill>
                  <pic:spPr>
                    <a:xfrm>
                      <a:off x="0" y="0"/>
                      <a:ext cx="5943600" cy="7667919"/>
                    </a:xfrm>
                    <a:prstGeom prst="rect">
                      <a:avLst/>
                    </a:prstGeom>
                  </pic:spPr>
                </pic:pic>
              </a:graphicData>
            </a:graphic>
          </wp:inline>
        </w:drawing>
      </w:r>
    </w:p>
    <w:p w14:paraId="47FFB65E" w14:textId="7372A022" w:rsidR="00CC205B" w:rsidRDefault="00CC205B" w:rsidP="00CC205B">
      <w:pPr>
        <w:spacing w:after="160" w:line="259" w:lineRule="auto"/>
        <w:jc w:val="center"/>
      </w:pPr>
    </w:p>
    <w:p w14:paraId="0F7625C0" w14:textId="151A5CC1" w:rsidR="00CC205B" w:rsidRDefault="00CC205B" w:rsidP="00CC205B">
      <w:pPr>
        <w:spacing w:after="160" w:line="259" w:lineRule="auto"/>
        <w:jc w:val="center"/>
      </w:pPr>
      <w:r w:rsidRPr="00CC205B">
        <w:rPr>
          <w:noProof/>
        </w:rPr>
        <w:lastRenderedPageBreak/>
        <w:drawing>
          <wp:inline distT="0" distB="0" distL="0" distR="0" wp14:anchorId="2F65164E" wp14:editId="769D9A19">
            <wp:extent cx="5943600" cy="7669163"/>
            <wp:effectExtent l="0" t="0" r="0" b="8255"/>
            <wp:docPr id="90890" name="Picture 90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a:stretch>
                      <a:fillRect/>
                    </a:stretch>
                  </pic:blipFill>
                  <pic:spPr>
                    <a:xfrm>
                      <a:off x="0" y="0"/>
                      <a:ext cx="5943600" cy="7669163"/>
                    </a:xfrm>
                    <a:prstGeom prst="rect">
                      <a:avLst/>
                    </a:prstGeom>
                  </pic:spPr>
                </pic:pic>
              </a:graphicData>
            </a:graphic>
          </wp:inline>
        </w:drawing>
      </w:r>
    </w:p>
    <w:p w14:paraId="4D21746B" w14:textId="4F3B51EA" w:rsidR="00CC205B" w:rsidRDefault="00CC205B" w:rsidP="00CC205B">
      <w:pPr>
        <w:spacing w:after="160" w:line="259" w:lineRule="auto"/>
        <w:jc w:val="center"/>
      </w:pPr>
    </w:p>
    <w:p w14:paraId="363F1226" w14:textId="109254C1" w:rsidR="00CC205B" w:rsidRDefault="00CC205B" w:rsidP="00CC205B">
      <w:pPr>
        <w:spacing w:after="160" w:line="259" w:lineRule="auto"/>
        <w:jc w:val="center"/>
      </w:pPr>
      <w:r w:rsidRPr="00CC205B">
        <w:rPr>
          <w:noProof/>
        </w:rPr>
        <w:lastRenderedPageBreak/>
        <w:drawing>
          <wp:inline distT="0" distB="0" distL="0" distR="0" wp14:anchorId="74BA72FD" wp14:editId="092B756A">
            <wp:extent cx="5943600" cy="7640402"/>
            <wp:effectExtent l="0" t="0" r="0" b="0"/>
            <wp:docPr id="90891" name="Picture 90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stretch>
                      <a:fillRect/>
                    </a:stretch>
                  </pic:blipFill>
                  <pic:spPr>
                    <a:xfrm>
                      <a:off x="0" y="0"/>
                      <a:ext cx="5943600" cy="7640402"/>
                    </a:xfrm>
                    <a:prstGeom prst="rect">
                      <a:avLst/>
                    </a:prstGeom>
                  </pic:spPr>
                </pic:pic>
              </a:graphicData>
            </a:graphic>
          </wp:inline>
        </w:drawing>
      </w:r>
    </w:p>
    <w:p w14:paraId="2B018D25" w14:textId="2DD1F9DF" w:rsidR="00CC205B" w:rsidRDefault="00CC205B" w:rsidP="00CC205B">
      <w:pPr>
        <w:spacing w:after="160" w:line="259" w:lineRule="auto"/>
        <w:jc w:val="center"/>
      </w:pPr>
    </w:p>
    <w:p w14:paraId="6B6BBCD8" w14:textId="0D48C368" w:rsidR="00CC205B" w:rsidRDefault="00CC205B" w:rsidP="00CC205B">
      <w:pPr>
        <w:spacing w:after="160" w:line="259" w:lineRule="auto"/>
        <w:jc w:val="center"/>
      </w:pPr>
    </w:p>
    <w:p w14:paraId="680494FE" w14:textId="7170ED3A" w:rsidR="00CC205B" w:rsidRDefault="00CC205B" w:rsidP="00AA7538">
      <w:pPr>
        <w:spacing w:after="160" w:line="259" w:lineRule="auto"/>
        <w:jc w:val="center"/>
      </w:pPr>
      <w:r w:rsidRPr="00CC205B">
        <w:rPr>
          <w:noProof/>
        </w:rPr>
        <w:lastRenderedPageBreak/>
        <w:drawing>
          <wp:inline distT="0" distB="0" distL="0" distR="0" wp14:anchorId="0932237D" wp14:editId="51C3E4FE">
            <wp:extent cx="5943600" cy="7677552"/>
            <wp:effectExtent l="0" t="0" r="0" b="0"/>
            <wp:docPr id="90892" name="Picture 90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a:stretch>
                      <a:fillRect/>
                    </a:stretch>
                  </pic:blipFill>
                  <pic:spPr>
                    <a:xfrm>
                      <a:off x="0" y="0"/>
                      <a:ext cx="5943600" cy="7677552"/>
                    </a:xfrm>
                    <a:prstGeom prst="rect">
                      <a:avLst/>
                    </a:prstGeom>
                  </pic:spPr>
                </pic:pic>
              </a:graphicData>
            </a:graphic>
          </wp:inline>
        </w:drawing>
      </w:r>
    </w:p>
    <w:p w14:paraId="5B7EB02B" w14:textId="0CFF6E5F" w:rsidR="00CC205B" w:rsidRDefault="00CC205B" w:rsidP="00AA7538">
      <w:pPr>
        <w:spacing w:after="160" w:line="259" w:lineRule="auto"/>
        <w:jc w:val="center"/>
      </w:pPr>
      <w:r w:rsidRPr="00CC205B">
        <w:rPr>
          <w:noProof/>
        </w:rPr>
        <w:lastRenderedPageBreak/>
        <w:drawing>
          <wp:inline distT="0" distB="0" distL="0" distR="0" wp14:anchorId="6407CE15" wp14:editId="7C2CDD2B">
            <wp:extent cx="5943600" cy="7655510"/>
            <wp:effectExtent l="0" t="0" r="0" b="3175"/>
            <wp:docPr id="90893" name="Picture 90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a:stretch>
                      <a:fillRect/>
                    </a:stretch>
                  </pic:blipFill>
                  <pic:spPr>
                    <a:xfrm>
                      <a:off x="0" y="0"/>
                      <a:ext cx="5943600" cy="7655510"/>
                    </a:xfrm>
                    <a:prstGeom prst="rect">
                      <a:avLst/>
                    </a:prstGeom>
                  </pic:spPr>
                </pic:pic>
              </a:graphicData>
            </a:graphic>
          </wp:inline>
        </w:drawing>
      </w:r>
    </w:p>
    <w:p w14:paraId="65282913" w14:textId="022E9DAA" w:rsidR="00CC205B" w:rsidRDefault="00CC205B" w:rsidP="00CC205B">
      <w:pPr>
        <w:spacing w:after="160" w:line="259" w:lineRule="auto"/>
        <w:jc w:val="center"/>
      </w:pPr>
      <w:r w:rsidRPr="00CC205B">
        <w:rPr>
          <w:noProof/>
        </w:rPr>
        <w:lastRenderedPageBreak/>
        <w:drawing>
          <wp:inline distT="0" distB="0" distL="0" distR="0" wp14:anchorId="13442D3E" wp14:editId="41304AF9">
            <wp:extent cx="5943600" cy="7671949"/>
            <wp:effectExtent l="0" t="0" r="0" b="5715"/>
            <wp:docPr id="90894" name="Picture 90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5943600" cy="7671949"/>
                    </a:xfrm>
                    <a:prstGeom prst="rect">
                      <a:avLst/>
                    </a:prstGeom>
                  </pic:spPr>
                </pic:pic>
              </a:graphicData>
            </a:graphic>
          </wp:inline>
        </w:drawing>
      </w:r>
    </w:p>
    <w:p w14:paraId="06439D35" w14:textId="0030CB10" w:rsidR="00CC205B" w:rsidRDefault="00CC205B" w:rsidP="00CC205B">
      <w:pPr>
        <w:spacing w:after="160" w:line="259" w:lineRule="auto"/>
        <w:jc w:val="center"/>
      </w:pPr>
    </w:p>
    <w:p w14:paraId="6AEADE35" w14:textId="00F8532E" w:rsidR="00CC205B" w:rsidRDefault="00AA7538" w:rsidP="00CC205B">
      <w:pPr>
        <w:spacing w:after="160" w:line="259" w:lineRule="auto"/>
        <w:jc w:val="center"/>
      </w:pPr>
      <w:r w:rsidRPr="00AA7538">
        <w:rPr>
          <w:noProof/>
        </w:rPr>
        <w:lastRenderedPageBreak/>
        <w:drawing>
          <wp:inline distT="0" distB="0" distL="0" distR="0" wp14:anchorId="318FBFF6" wp14:editId="33EA8B38">
            <wp:extent cx="5943600" cy="7640403"/>
            <wp:effectExtent l="0" t="0" r="0" b="0"/>
            <wp:docPr id="90895" name="Picture 90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stretch>
                      <a:fillRect/>
                    </a:stretch>
                  </pic:blipFill>
                  <pic:spPr>
                    <a:xfrm>
                      <a:off x="0" y="0"/>
                      <a:ext cx="5943600" cy="7640403"/>
                    </a:xfrm>
                    <a:prstGeom prst="rect">
                      <a:avLst/>
                    </a:prstGeom>
                  </pic:spPr>
                </pic:pic>
              </a:graphicData>
            </a:graphic>
          </wp:inline>
        </w:drawing>
      </w:r>
    </w:p>
    <w:p w14:paraId="519BBBF7" w14:textId="3BE876D3" w:rsidR="00AA7538" w:rsidRDefault="00AA7538" w:rsidP="00CC205B">
      <w:pPr>
        <w:spacing w:after="160" w:line="259" w:lineRule="auto"/>
        <w:jc w:val="center"/>
      </w:pPr>
      <w:r w:rsidRPr="00AA7538">
        <w:rPr>
          <w:noProof/>
        </w:rPr>
        <w:lastRenderedPageBreak/>
        <w:drawing>
          <wp:inline distT="0" distB="0" distL="0" distR="0" wp14:anchorId="00415307" wp14:editId="7DF57365">
            <wp:extent cx="5943600" cy="7643143"/>
            <wp:effectExtent l="0" t="0" r="0" b="0"/>
            <wp:docPr id="90896" name="Picture 90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stretch>
                      <a:fillRect/>
                    </a:stretch>
                  </pic:blipFill>
                  <pic:spPr>
                    <a:xfrm>
                      <a:off x="0" y="0"/>
                      <a:ext cx="5943600" cy="7643143"/>
                    </a:xfrm>
                    <a:prstGeom prst="rect">
                      <a:avLst/>
                    </a:prstGeom>
                  </pic:spPr>
                </pic:pic>
              </a:graphicData>
            </a:graphic>
          </wp:inline>
        </w:drawing>
      </w:r>
    </w:p>
    <w:p w14:paraId="6023590A" w14:textId="5BE95A56" w:rsidR="00AA7538" w:rsidRDefault="00AA7538" w:rsidP="00CC205B">
      <w:pPr>
        <w:spacing w:after="160" w:line="259" w:lineRule="auto"/>
        <w:jc w:val="center"/>
      </w:pPr>
      <w:r w:rsidRPr="00AA7538">
        <w:rPr>
          <w:noProof/>
        </w:rPr>
        <w:lastRenderedPageBreak/>
        <w:drawing>
          <wp:inline distT="0" distB="0" distL="0" distR="0" wp14:anchorId="59FE3A83" wp14:editId="10D3DE51">
            <wp:extent cx="5943600" cy="7652745"/>
            <wp:effectExtent l="0" t="0" r="0" b="5715"/>
            <wp:docPr id="90897" name="Picture 90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stretch>
                      <a:fillRect/>
                    </a:stretch>
                  </pic:blipFill>
                  <pic:spPr>
                    <a:xfrm>
                      <a:off x="0" y="0"/>
                      <a:ext cx="5943600" cy="7652745"/>
                    </a:xfrm>
                    <a:prstGeom prst="rect">
                      <a:avLst/>
                    </a:prstGeom>
                  </pic:spPr>
                </pic:pic>
              </a:graphicData>
            </a:graphic>
          </wp:inline>
        </w:drawing>
      </w:r>
    </w:p>
    <w:p w14:paraId="223B7B85" w14:textId="1F64047F" w:rsidR="00AA7538" w:rsidRDefault="00AA7538" w:rsidP="00CC205B">
      <w:pPr>
        <w:spacing w:after="160" w:line="259" w:lineRule="auto"/>
        <w:jc w:val="center"/>
      </w:pPr>
      <w:r w:rsidRPr="00AA7538">
        <w:rPr>
          <w:noProof/>
        </w:rPr>
        <w:lastRenderedPageBreak/>
        <w:drawing>
          <wp:inline distT="0" distB="0" distL="0" distR="0" wp14:anchorId="76E69F73" wp14:editId="29574FCF">
            <wp:extent cx="5943600" cy="7691137"/>
            <wp:effectExtent l="0" t="0" r="0" b="5080"/>
            <wp:docPr id="90898" name="Picture 90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5943600" cy="7691137"/>
                    </a:xfrm>
                    <a:prstGeom prst="rect">
                      <a:avLst/>
                    </a:prstGeom>
                  </pic:spPr>
                </pic:pic>
              </a:graphicData>
            </a:graphic>
          </wp:inline>
        </w:drawing>
      </w:r>
    </w:p>
    <w:p w14:paraId="5B0D415E" w14:textId="7B0FF05F" w:rsidR="00AA7538" w:rsidRDefault="00AA7538" w:rsidP="00CC205B">
      <w:pPr>
        <w:spacing w:after="160" w:line="259" w:lineRule="auto"/>
        <w:jc w:val="center"/>
      </w:pPr>
      <w:r w:rsidRPr="00AA7538">
        <w:rPr>
          <w:noProof/>
        </w:rPr>
        <w:lastRenderedPageBreak/>
        <w:drawing>
          <wp:inline distT="0" distB="0" distL="0" distR="0" wp14:anchorId="56BA018C" wp14:editId="5D7ACAB2">
            <wp:extent cx="5943600" cy="7665128"/>
            <wp:effectExtent l="0" t="0" r="0" b="0"/>
            <wp:docPr id="90899" name="Picture 90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a:stretch>
                      <a:fillRect/>
                    </a:stretch>
                  </pic:blipFill>
                  <pic:spPr>
                    <a:xfrm>
                      <a:off x="0" y="0"/>
                      <a:ext cx="5943600" cy="7665128"/>
                    </a:xfrm>
                    <a:prstGeom prst="rect">
                      <a:avLst/>
                    </a:prstGeom>
                  </pic:spPr>
                </pic:pic>
              </a:graphicData>
            </a:graphic>
          </wp:inline>
        </w:drawing>
      </w:r>
    </w:p>
    <w:p w14:paraId="2D8557BC" w14:textId="0A25ED09" w:rsidR="00AA7538" w:rsidRDefault="00AA7538" w:rsidP="00CC205B">
      <w:pPr>
        <w:spacing w:after="160" w:line="259" w:lineRule="auto"/>
        <w:jc w:val="center"/>
      </w:pPr>
      <w:r w:rsidRPr="00AA7538">
        <w:rPr>
          <w:noProof/>
        </w:rPr>
        <w:lastRenderedPageBreak/>
        <w:drawing>
          <wp:inline distT="0" distB="0" distL="0" distR="0" wp14:anchorId="37DDDA51" wp14:editId="22252CF0">
            <wp:extent cx="5943600" cy="7662347"/>
            <wp:effectExtent l="0" t="0" r="0" b="0"/>
            <wp:docPr id="90900" name="Picture 90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a:stretch>
                      <a:fillRect/>
                    </a:stretch>
                  </pic:blipFill>
                  <pic:spPr>
                    <a:xfrm>
                      <a:off x="0" y="0"/>
                      <a:ext cx="5943600" cy="7662347"/>
                    </a:xfrm>
                    <a:prstGeom prst="rect">
                      <a:avLst/>
                    </a:prstGeom>
                  </pic:spPr>
                </pic:pic>
              </a:graphicData>
            </a:graphic>
          </wp:inline>
        </w:drawing>
      </w:r>
    </w:p>
    <w:p w14:paraId="6C033B52" w14:textId="03D66B63" w:rsidR="00AA7538" w:rsidRDefault="00AA7538" w:rsidP="00CC205B">
      <w:pPr>
        <w:spacing w:after="160" w:line="259" w:lineRule="auto"/>
        <w:jc w:val="center"/>
      </w:pPr>
      <w:r w:rsidRPr="00AA7538">
        <w:rPr>
          <w:noProof/>
        </w:rPr>
        <w:lastRenderedPageBreak/>
        <w:drawing>
          <wp:inline distT="0" distB="0" distL="0" distR="0" wp14:anchorId="3C6AA7E4" wp14:editId="6ECEA4FA">
            <wp:extent cx="5943600" cy="7662347"/>
            <wp:effectExtent l="0" t="0" r="0" b="0"/>
            <wp:docPr id="90901" name="Picture 90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a:stretch>
                      <a:fillRect/>
                    </a:stretch>
                  </pic:blipFill>
                  <pic:spPr>
                    <a:xfrm>
                      <a:off x="0" y="0"/>
                      <a:ext cx="5943600" cy="7662347"/>
                    </a:xfrm>
                    <a:prstGeom prst="rect">
                      <a:avLst/>
                    </a:prstGeom>
                  </pic:spPr>
                </pic:pic>
              </a:graphicData>
            </a:graphic>
          </wp:inline>
        </w:drawing>
      </w:r>
    </w:p>
    <w:p w14:paraId="53E27939" w14:textId="21999D7C" w:rsidR="00AA7538" w:rsidRDefault="00AA7538" w:rsidP="00CC205B">
      <w:pPr>
        <w:spacing w:after="160" w:line="259" w:lineRule="auto"/>
        <w:jc w:val="center"/>
      </w:pPr>
      <w:r w:rsidRPr="00AA7538">
        <w:rPr>
          <w:noProof/>
        </w:rPr>
        <w:lastRenderedPageBreak/>
        <w:drawing>
          <wp:inline distT="0" distB="0" distL="0" distR="0" wp14:anchorId="1D3B5618" wp14:editId="770952B5">
            <wp:extent cx="5943600" cy="7662347"/>
            <wp:effectExtent l="0" t="0" r="0" b="0"/>
            <wp:docPr id="90902" name="Picture 90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0"/>
                    <a:stretch>
                      <a:fillRect/>
                    </a:stretch>
                  </pic:blipFill>
                  <pic:spPr>
                    <a:xfrm>
                      <a:off x="0" y="0"/>
                      <a:ext cx="5943600" cy="7662347"/>
                    </a:xfrm>
                    <a:prstGeom prst="rect">
                      <a:avLst/>
                    </a:prstGeom>
                  </pic:spPr>
                </pic:pic>
              </a:graphicData>
            </a:graphic>
          </wp:inline>
        </w:drawing>
      </w:r>
    </w:p>
    <w:p w14:paraId="32CDA99B" w14:textId="405FF00A" w:rsidR="00CC205B" w:rsidRDefault="00AA7538" w:rsidP="00CC205B">
      <w:pPr>
        <w:spacing w:after="160" w:line="259" w:lineRule="auto"/>
        <w:jc w:val="center"/>
      </w:pPr>
      <w:r w:rsidRPr="00AA7538">
        <w:rPr>
          <w:noProof/>
        </w:rPr>
        <w:lastRenderedPageBreak/>
        <w:drawing>
          <wp:inline distT="0" distB="0" distL="0" distR="0" wp14:anchorId="4C3C7910" wp14:editId="35EA960C">
            <wp:extent cx="5943600" cy="7674745"/>
            <wp:effectExtent l="0" t="0" r="0" b="2540"/>
            <wp:docPr id="90903" name="Picture 90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1"/>
                    <a:stretch>
                      <a:fillRect/>
                    </a:stretch>
                  </pic:blipFill>
                  <pic:spPr>
                    <a:xfrm>
                      <a:off x="0" y="0"/>
                      <a:ext cx="5943600" cy="7674745"/>
                    </a:xfrm>
                    <a:prstGeom prst="rect">
                      <a:avLst/>
                    </a:prstGeom>
                  </pic:spPr>
                </pic:pic>
              </a:graphicData>
            </a:graphic>
          </wp:inline>
        </w:drawing>
      </w:r>
    </w:p>
    <w:p w14:paraId="3B888653" w14:textId="6E130381" w:rsidR="00AA7538" w:rsidRDefault="00AA7538" w:rsidP="00CC205B">
      <w:pPr>
        <w:spacing w:after="160" w:line="259" w:lineRule="auto"/>
        <w:jc w:val="center"/>
      </w:pPr>
      <w:r w:rsidRPr="00AA7538">
        <w:rPr>
          <w:noProof/>
        </w:rPr>
        <w:lastRenderedPageBreak/>
        <w:drawing>
          <wp:inline distT="0" distB="0" distL="0" distR="0" wp14:anchorId="7A021AE7" wp14:editId="4C8790D6">
            <wp:extent cx="5943600" cy="7671949"/>
            <wp:effectExtent l="0" t="0" r="0" b="5715"/>
            <wp:docPr id="90904" name="Picture 90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a:stretch>
                      <a:fillRect/>
                    </a:stretch>
                  </pic:blipFill>
                  <pic:spPr>
                    <a:xfrm>
                      <a:off x="0" y="0"/>
                      <a:ext cx="5943600" cy="7671949"/>
                    </a:xfrm>
                    <a:prstGeom prst="rect">
                      <a:avLst/>
                    </a:prstGeom>
                  </pic:spPr>
                </pic:pic>
              </a:graphicData>
            </a:graphic>
          </wp:inline>
        </w:drawing>
      </w:r>
    </w:p>
    <w:p w14:paraId="6A7A55BC" w14:textId="22A100A8" w:rsidR="00AA7538" w:rsidRDefault="00AA7538" w:rsidP="00CC205B">
      <w:pPr>
        <w:spacing w:after="160" w:line="259" w:lineRule="auto"/>
        <w:jc w:val="center"/>
      </w:pPr>
      <w:r w:rsidRPr="00AA7538">
        <w:rPr>
          <w:noProof/>
        </w:rPr>
        <w:lastRenderedPageBreak/>
        <w:drawing>
          <wp:inline distT="0" distB="0" distL="0" distR="0" wp14:anchorId="0B13229D" wp14:editId="65ED287C">
            <wp:extent cx="7699944" cy="5943600"/>
            <wp:effectExtent l="1588" t="0" r="0" b="0"/>
            <wp:docPr id="90905" name="Picture 90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a:stretch>
                      <a:fillRect/>
                    </a:stretch>
                  </pic:blipFill>
                  <pic:spPr>
                    <a:xfrm rot="16200000">
                      <a:off x="0" y="0"/>
                      <a:ext cx="7699944" cy="5943600"/>
                    </a:xfrm>
                    <a:prstGeom prst="rect">
                      <a:avLst/>
                    </a:prstGeom>
                  </pic:spPr>
                </pic:pic>
              </a:graphicData>
            </a:graphic>
          </wp:inline>
        </w:drawing>
      </w:r>
    </w:p>
    <w:p w14:paraId="15A2FE2E" w14:textId="5EBCE69C" w:rsidR="00AA7538" w:rsidRDefault="00AA7538" w:rsidP="00CC205B">
      <w:pPr>
        <w:spacing w:after="160" w:line="259" w:lineRule="auto"/>
        <w:jc w:val="center"/>
      </w:pPr>
      <w:r w:rsidRPr="00AA7538">
        <w:rPr>
          <w:noProof/>
        </w:rPr>
        <w:lastRenderedPageBreak/>
        <w:drawing>
          <wp:inline distT="0" distB="0" distL="0" distR="0" wp14:anchorId="0FE7C9CA" wp14:editId="161AD531">
            <wp:extent cx="5943600" cy="7649989"/>
            <wp:effectExtent l="0" t="0" r="0" b="8255"/>
            <wp:docPr id="90906" name="Picture 90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stretch>
                      <a:fillRect/>
                    </a:stretch>
                  </pic:blipFill>
                  <pic:spPr>
                    <a:xfrm>
                      <a:off x="0" y="0"/>
                      <a:ext cx="5943600" cy="7649989"/>
                    </a:xfrm>
                    <a:prstGeom prst="rect">
                      <a:avLst/>
                    </a:prstGeom>
                  </pic:spPr>
                </pic:pic>
              </a:graphicData>
            </a:graphic>
          </wp:inline>
        </w:drawing>
      </w:r>
    </w:p>
    <w:p w14:paraId="54D89EE9" w14:textId="6F4BC683" w:rsidR="00CC205B" w:rsidRDefault="00AA7538" w:rsidP="00CC205B">
      <w:pPr>
        <w:spacing w:after="160" w:line="259" w:lineRule="auto"/>
        <w:jc w:val="center"/>
      </w:pPr>
      <w:r w:rsidRPr="00AA7538">
        <w:rPr>
          <w:noProof/>
        </w:rPr>
        <w:lastRenderedPageBreak/>
        <w:drawing>
          <wp:inline distT="0" distB="0" distL="0" distR="0" wp14:anchorId="642D229A" wp14:editId="45B06B9E">
            <wp:extent cx="5943600" cy="7643143"/>
            <wp:effectExtent l="0" t="0" r="0" b="0"/>
            <wp:docPr id="90907" name="Picture 90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a:stretch>
                      <a:fillRect/>
                    </a:stretch>
                  </pic:blipFill>
                  <pic:spPr>
                    <a:xfrm>
                      <a:off x="0" y="0"/>
                      <a:ext cx="5943600" cy="7643143"/>
                    </a:xfrm>
                    <a:prstGeom prst="rect">
                      <a:avLst/>
                    </a:prstGeom>
                  </pic:spPr>
                </pic:pic>
              </a:graphicData>
            </a:graphic>
          </wp:inline>
        </w:drawing>
      </w:r>
    </w:p>
    <w:p w14:paraId="490B7079" w14:textId="146EBF95" w:rsidR="00AA7538" w:rsidRDefault="00AA7538" w:rsidP="00CC205B">
      <w:pPr>
        <w:spacing w:after="160" w:line="259" w:lineRule="auto"/>
        <w:jc w:val="center"/>
      </w:pPr>
      <w:r w:rsidRPr="00AA7538">
        <w:rPr>
          <w:noProof/>
        </w:rPr>
        <w:lastRenderedPageBreak/>
        <w:drawing>
          <wp:inline distT="0" distB="0" distL="0" distR="0" wp14:anchorId="77B86342" wp14:editId="13B610A5">
            <wp:extent cx="7664935" cy="5943600"/>
            <wp:effectExtent l="3175" t="0" r="0" b="0"/>
            <wp:docPr id="90908" name="Picture 90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6"/>
                    <a:stretch>
                      <a:fillRect/>
                    </a:stretch>
                  </pic:blipFill>
                  <pic:spPr>
                    <a:xfrm rot="16200000">
                      <a:off x="0" y="0"/>
                      <a:ext cx="7664935" cy="5943600"/>
                    </a:xfrm>
                    <a:prstGeom prst="rect">
                      <a:avLst/>
                    </a:prstGeom>
                  </pic:spPr>
                </pic:pic>
              </a:graphicData>
            </a:graphic>
          </wp:inline>
        </w:drawing>
      </w:r>
    </w:p>
    <w:p w14:paraId="4F4E2768" w14:textId="7C756B40" w:rsidR="00CC205B" w:rsidRDefault="00CC205B" w:rsidP="00AA7538">
      <w:pPr>
        <w:spacing w:after="160" w:line="259" w:lineRule="auto"/>
      </w:pPr>
    </w:p>
    <w:p w14:paraId="0CB32530" w14:textId="1CF1D09D" w:rsidR="00AD05AF" w:rsidRDefault="00AD05AF" w:rsidP="00BC23AD">
      <w:pPr>
        <w:pStyle w:val="Caption"/>
      </w:pPr>
      <w:r>
        <w:lastRenderedPageBreak/>
        <w:t xml:space="preserve">Table </w:t>
      </w:r>
      <w:r w:rsidR="000C7ED4">
        <w:t>D.1</w:t>
      </w:r>
      <w:r>
        <w:t xml:space="preserve">: 2017atlasOfGulfOfMexicoGasAndOilSandsData.gdb from </w:t>
      </w:r>
      <w:hyperlink r:id="rId177" w:history="1">
        <w:r w:rsidRPr="006D609A">
          <w:rPr>
            <w:rStyle w:val="Hyperlink"/>
          </w:rPr>
          <w:t>https://www.data.boem.gov/Main/GandG.aspx for API 427094116400</w:t>
        </w:r>
      </w:hyperlink>
      <w:r>
        <w:t>.</w:t>
      </w:r>
      <w:r w:rsidR="00E07022">
        <w:t xml:space="preserve"> The definition of the acronyms are found at </w:t>
      </w:r>
      <w:hyperlink r:id="rId178" w:history="1">
        <w:r w:rsidR="00E07022" w:rsidRPr="006D609A">
          <w:rPr>
            <w:rStyle w:val="Hyperlink"/>
          </w:rPr>
          <w:t>https://www.data.boem.gov/Main/HtmlPage.aspx?page=2017sands</w:t>
        </w:r>
      </w:hyperlink>
      <w:r w:rsidR="00E07022">
        <w:t>.</w:t>
      </w:r>
    </w:p>
    <w:tbl>
      <w:tblPr>
        <w:tblW w:w="7085" w:type="dxa"/>
        <w:jc w:val="center"/>
        <w:tblLook w:val="04A0" w:firstRow="1" w:lastRow="0" w:firstColumn="1" w:lastColumn="0" w:noHBand="0" w:noVBand="1"/>
      </w:tblPr>
      <w:tblGrid>
        <w:gridCol w:w="1870"/>
        <w:gridCol w:w="2123"/>
        <w:gridCol w:w="1976"/>
        <w:gridCol w:w="1116"/>
      </w:tblGrid>
      <w:tr w:rsidR="00AD05AF" w:rsidRPr="00AD05AF" w14:paraId="5B8FA715" w14:textId="77777777" w:rsidTr="00AD05AF">
        <w:trPr>
          <w:trHeight w:val="300"/>
          <w:jc w:val="center"/>
        </w:trPr>
        <w:tc>
          <w:tcPr>
            <w:tcW w:w="1870" w:type="dxa"/>
            <w:tcBorders>
              <w:top w:val="single" w:sz="4" w:space="0" w:color="auto"/>
              <w:left w:val="single" w:sz="4" w:space="0" w:color="auto"/>
              <w:bottom w:val="nil"/>
              <w:right w:val="nil"/>
            </w:tcBorders>
            <w:shd w:val="clear" w:color="auto" w:fill="auto"/>
            <w:noWrap/>
            <w:vAlign w:val="bottom"/>
            <w:hideMark/>
          </w:tcPr>
          <w:p w14:paraId="5101F6B4"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SAND_NAME</w:t>
            </w:r>
          </w:p>
        </w:tc>
        <w:tc>
          <w:tcPr>
            <w:tcW w:w="2123" w:type="dxa"/>
            <w:tcBorders>
              <w:top w:val="single" w:sz="4" w:space="0" w:color="auto"/>
              <w:left w:val="nil"/>
              <w:bottom w:val="nil"/>
              <w:right w:val="nil"/>
            </w:tcBorders>
            <w:shd w:val="clear" w:color="auto" w:fill="auto"/>
            <w:vAlign w:val="bottom"/>
            <w:hideMark/>
          </w:tcPr>
          <w:p w14:paraId="53623619"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0981_HI544A_LF1</w:t>
            </w:r>
          </w:p>
        </w:tc>
        <w:tc>
          <w:tcPr>
            <w:tcW w:w="1976" w:type="dxa"/>
            <w:tcBorders>
              <w:top w:val="single" w:sz="4" w:space="0" w:color="auto"/>
              <w:left w:val="single" w:sz="4" w:space="0" w:color="auto"/>
              <w:bottom w:val="nil"/>
              <w:right w:val="nil"/>
            </w:tcBorders>
            <w:shd w:val="clear" w:color="auto" w:fill="auto"/>
            <w:noWrap/>
            <w:vAlign w:val="bottom"/>
            <w:hideMark/>
          </w:tcPr>
          <w:p w14:paraId="79C24DB2"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OVOL</w:t>
            </w:r>
          </w:p>
        </w:tc>
        <w:tc>
          <w:tcPr>
            <w:tcW w:w="1116" w:type="dxa"/>
            <w:tcBorders>
              <w:top w:val="single" w:sz="4" w:space="0" w:color="auto"/>
              <w:left w:val="nil"/>
              <w:bottom w:val="nil"/>
              <w:right w:val="single" w:sz="4" w:space="0" w:color="auto"/>
            </w:tcBorders>
            <w:shd w:val="clear" w:color="auto" w:fill="auto"/>
            <w:vAlign w:val="bottom"/>
            <w:hideMark/>
          </w:tcPr>
          <w:p w14:paraId="2E2BA618"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0</w:t>
            </w:r>
          </w:p>
        </w:tc>
      </w:tr>
      <w:tr w:rsidR="00AD05AF" w:rsidRPr="00AD05AF" w14:paraId="3B3B6147" w14:textId="77777777" w:rsidTr="00AD05AF">
        <w:trPr>
          <w:trHeight w:val="300"/>
          <w:jc w:val="center"/>
        </w:trPr>
        <w:tc>
          <w:tcPr>
            <w:tcW w:w="1870" w:type="dxa"/>
            <w:tcBorders>
              <w:top w:val="nil"/>
              <w:left w:val="single" w:sz="4" w:space="0" w:color="auto"/>
              <w:bottom w:val="nil"/>
              <w:right w:val="nil"/>
            </w:tcBorders>
            <w:shd w:val="clear" w:color="auto" w:fill="auto"/>
            <w:noWrap/>
            <w:vAlign w:val="bottom"/>
            <w:hideMark/>
          </w:tcPr>
          <w:p w14:paraId="3109AB98"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ASSESSED</w:t>
            </w:r>
          </w:p>
        </w:tc>
        <w:tc>
          <w:tcPr>
            <w:tcW w:w="2123" w:type="dxa"/>
            <w:tcBorders>
              <w:top w:val="nil"/>
              <w:left w:val="nil"/>
              <w:bottom w:val="nil"/>
              <w:right w:val="nil"/>
            </w:tcBorders>
            <w:shd w:val="clear" w:color="auto" w:fill="auto"/>
            <w:vAlign w:val="bottom"/>
            <w:hideMark/>
          </w:tcPr>
          <w:p w14:paraId="5B08AD53"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Y</w:t>
            </w:r>
          </w:p>
        </w:tc>
        <w:tc>
          <w:tcPr>
            <w:tcW w:w="1976" w:type="dxa"/>
            <w:tcBorders>
              <w:top w:val="nil"/>
              <w:left w:val="single" w:sz="4" w:space="0" w:color="auto"/>
              <w:bottom w:val="nil"/>
              <w:right w:val="nil"/>
            </w:tcBorders>
            <w:shd w:val="clear" w:color="auto" w:fill="auto"/>
            <w:noWrap/>
            <w:vAlign w:val="bottom"/>
            <w:hideMark/>
          </w:tcPr>
          <w:p w14:paraId="76EE3173"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GTHK</w:t>
            </w:r>
          </w:p>
        </w:tc>
        <w:tc>
          <w:tcPr>
            <w:tcW w:w="1116" w:type="dxa"/>
            <w:tcBorders>
              <w:top w:val="nil"/>
              <w:left w:val="nil"/>
              <w:bottom w:val="nil"/>
              <w:right w:val="single" w:sz="4" w:space="0" w:color="auto"/>
            </w:tcBorders>
            <w:shd w:val="clear" w:color="auto" w:fill="auto"/>
            <w:vAlign w:val="bottom"/>
            <w:hideMark/>
          </w:tcPr>
          <w:p w14:paraId="2AEC02FD"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60.47</w:t>
            </w:r>
          </w:p>
        </w:tc>
      </w:tr>
      <w:tr w:rsidR="00AD05AF" w:rsidRPr="00AD05AF" w14:paraId="12C37933" w14:textId="77777777" w:rsidTr="00AD05AF">
        <w:trPr>
          <w:trHeight w:val="300"/>
          <w:jc w:val="center"/>
        </w:trPr>
        <w:tc>
          <w:tcPr>
            <w:tcW w:w="1870" w:type="dxa"/>
            <w:tcBorders>
              <w:top w:val="nil"/>
              <w:left w:val="single" w:sz="4" w:space="0" w:color="auto"/>
              <w:bottom w:val="nil"/>
              <w:right w:val="nil"/>
            </w:tcBorders>
            <w:shd w:val="clear" w:color="auto" w:fill="auto"/>
            <w:noWrap/>
            <w:vAlign w:val="bottom"/>
            <w:hideMark/>
          </w:tcPr>
          <w:p w14:paraId="700FB190"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SDDATE</w:t>
            </w:r>
          </w:p>
        </w:tc>
        <w:tc>
          <w:tcPr>
            <w:tcW w:w="2123" w:type="dxa"/>
            <w:tcBorders>
              <w:top w:val="nil"/>
              <w:left w:val="nil"/>
              <w:bottom w:val="nil"/>
              <w:right w:val="nil"/>
            </w:tcBorders>
            <w:shd w:val="clear" w:color="auto" w:fill="auto"/>
            <w:vAlign w:val="bottom"/>
            <w:hideMark/>
          </w:tcPr>
          <w:p w14:paraId="251BDA2C"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12/8/2007</w:t>
            </w:r>
          </w:p>
        </w:tc>
        <w:tc>
          <w:tcPr>
            <w:tcW w:w="1976" w:type="dxa"/>
            <w:tcBorders>
              <w:top w:val="nil"/>
              <w:left w:val="single" w:sz="4" w:space="0" w:color="auto"/>
              <w:bottom w:val="nil"/>
              <w:right w:val="nil"/>
            </w:tcBorders>
            <w:shd w:val="clear" w:color="auto" w:fill="auto"/>
            <w:noWrap/>
            <w:vAlign w:val="bottom"/>
            <w:hideMark/>
          </w:tcPr>
          <w:p w14:paraId="388DA360"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GAREA</w:t>
            </w:r>
          </w:p>
        </w:tc>
        <w:tc>
          <w:tcPr>
            <w:tcW w:w="1116" w:type="dxa"/>
            <w:tcBorders>
              <w:top w:val="nil"/>
              <w:left w:val="nil"/>
              <w:bottom w:val="nil"/>
              <w:right w:val="single" w:sz="4" w:space="0" w:color="auto"/>
            </w:tcBorders>
            <w:shd w:val="clear" w:color="auto" w:fill="auto"/>
            <w:vAlign w:val="bottom"/>
            <w:hideMark/>
          </w:tcPr>
          <w:p w14:paraId="2CC1681A"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36</w:t>
            </w:r>
          </w:p>
        </w:tc>
      </w:tr>
      <w:tr w:rsidR="00AD05AF" w:rsidRPr="00AD05AF" w14:paraId="13851712" w14:textId="77777777" w:rsidTr="00AD05AF">
        <w:trPr>
          <w:trHeight w:val="300"/>
          <w:jc w:val="center"/>
        </w:trPr>
        <w:tc>
          <w:tcPr>
            <w:tcW w:w="1870" w:type="dxa"/>
            <w:tcBorders>
              <w:top w:val="nil"/>
              <w:left w:val="single" w:sz="4" w:space="0" w:color="auto"/>
              <w:bottom w:val="nil"/>
              <w:right w:val="nil"/>
            </w:tcBorders>
            <w:shd w:val="clear" w:color="auto" w:fill="auto"/>
            <w:noWrap/>
            <w:vAlign w:val="bottom"/>
            <w:hideMark/>
          </w:tcPr>
          <w:p w14:paraId="700D6581"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SDYEAR</w:t>
            </w:r>
          </w:p>
        </w:tc>
        <w:tc>
          <w:tcPr>
            <w:tcW w:w="2123" w:type="dxa"/>
            <w:tcBorders>
              <w:top w:val="nil"/>
              <w:left w:val="nil"/>
              <w:bottom w:val="nil"/>
              <w:right w:val="nil"/>
            </w:tcBorders>
            <w:shd w:val="clear" w:color="auto" w:fill="auto"/>
            <w:vAlign w:val="bottom"/>
            <w:hideMark/>
          </w:tcPr>
          <w:p w14:paraId="4CFBE6BF"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2007</w:t>
            </w:r>
          </w:p>
        </w:tc>
        <w:tc>
          <w:tcPr>
            <w:tcW w:w="1976" w:type="dxa"/>
            <w:tcBorders>
              <w:top w:val="nil"/>
              <w:left w:val="single" w:sz="4" w:space="0" w:color="auto"/>
              <w:bottom w:val="nil"/>
              <w:right w:val="nil"/>
            </w:tcBorders>
            <w:shd w:val="clear" w:color="auto" w:fill="auto"/>
            <w:noWrap/>
            <w:vAlign w:val="bottom"/>
            <w:hideMark/>
          </w:tcPr>
          <w:p w14:paraId="76D001FA"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GVOL</w:t>
            </w:r>
          </w:p>
        </w:tc>
        <w:tc>
          <w:tcPr>
            <w:tcW w:w="1116" w:type="dxa"/>
            <w:tcBorders>
              <w:top w:val="nil"/>
              <w:left w:val="nil"/>
              <w:bottom w:val="nil"/>
              <w:right w:val="single" w:sz="4" w:space="0" w:color="auto"/>
            </w:tcBorders>
            <w:shd w:val="clear" w:color="auto" w:fill="auto"/>
            <w:vAlign w:val="bottom"/>
            <w:hideMark/>
          </w:tcPr>
          <w:p w14:paraId="24E8D6CC"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2177</w:t>
            </w:r>
          </w:p>
        </w:tc>
      </w:tr>
      <w:tr w:rsidR="00AD05AF" w:rsidRPr="00AD05AF" w14:paraId="1A3BAC63" w14:textId="77777777" w:rsidTr="00AD05AF">
        <w:trPr>
          <w:trHeight w:val="300"/>
          <w:jc w:val="center"/>
        </w:trPr>
        <w:tc>
          <w:tcPr>
            <w:tcW w:w="1870" w:type="dxa"/>
            <w:tcBorders>
              <w:top w:val="nil"/>
              <w:left w:val="single" w:sz="4" w:space="0" w:color="auto"/>
              <w:bottom w:val="nil"/>
              <w:right w:val="nil"/>
            </w:tcBorders>
            <w:shd w:val="clear" w:color="auto" w:fill="auto"/>
            <w:noWrap/>
            <w:vAlign w:val="bottom"/>
            <w:hideMark/>
          </w:tcPr>
          <w:p w14:paraId="73D2C189"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SDDATEH</w:t>
            </w:r>
          </w:p>
        </w:tc>
        <w:tc>
          <w:tcPr>
            <w:tcW w:w="2123" w:type="dxa"/>
            <w:tcBorders>
              <w:top w:val="nil"/>
              <w:left w:val="nil"/>
              <w:bottom w:val="nil"/>
              <w:right w:val="nil"/>
            </w:tcBorders>
            <w:shd w:val="clear" w:color="auto" w:fill="auto"/>
            <w:vAlign w:val="bottom"/>
            <w:hideMark/>
          </w:tcPr>
          <w:p w14:paraId="7757A737"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12/8/2007</w:t>
            </w:r>
          </w:p>
        </w:tc>
        <w:tc>
          <w:tcPr>
            <w:tcW w:w="1976" w:type="dxa"/>
            <w:tcBorders>
              <w:top w:val="nil"/>
              <w:left w:val="single" w:sz="4" w:space="0" w:color="auto"/>
              <w:bottom w:val="nil"/>
              <w:right w:val="nil"/>
            </w:tcBorders>
            <w:shd w:val="clear" w:color="auto" w:fill="auto"/>
            <w:noWrap/>
            <w:vAlign w:val="bottom"/>
            <w:hideMark/>
          </w:tcPr>
          <w:p w14:paraId="78B6F252"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DRIVE</w:t>
            </w:r>
          </w:p>
        </w:tc>
        <w:tc>
          <w:tcPr>
            <w:tcW w:w="1116" w:type="dxa"/>
            <w:tcBorders>
              <w:top w:val="nil"/>
              <w:left w:val="nil"/>
              <w:bottom w:val="nil"/>
              <w:right w:val="single" w:sz="4" w:space="0" w:color="auto"/>
            </w:tcBorders>
            <w:shd w:val="clear" w:color="auto" w:fill="auto"/>
            <w:vAlign w:val="bottom"/>
            <w:hideMark/>
          </w:tcPr>
          <w:p w14:paraId="1D7B320C"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PAR</w:t>
            </w:r>
          </w:p>
        </w:tc>
      </w:tr>
      <w:tr w:rsidR="00AD05AF" w:rsidRPr="00AD05AF" w14:paraId="48A0A4D5" w14:textId="77777777" w:rsidTr="00AD05AF">
        <w:trPr>
          <w:trHeight w:val="300"/>
          <w:jc w:val="center"/>
        </w:trPr>
        <w:tc>
          <w:tcPr>
            <w:tcW w:w="1870" w:type="dxa"/>
            <w:tcBorders>
              <w:top w:val="nil"/>
              <w:left w:val="single" w:sz="4" w:space="0" w:color="auto"/>
              <w:bottom w:val="nil"/>
              <w:right w:val="nil"/>
            </w:tcBorders>
            <w:shd w:val="clear" w:color="auto" w:fill="auto"/>
            <w:noWrap/>
            <w:vAlign w:val="bottom"/>
            <w:hideMark/>
          </w:tcPr>
          <w:p w14:paraId="7E510403"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SDYEARH</w:t>
            </w:r>
          </w:p>
        </w:tc>
        <w:tc>
          <w:tcPr>
            <w:tcW w:w="2123" w:type="dxa"/>
            <w:tcBorders>
              <w:top w:val="nil"/>
              <w:left w:val="nil"/>
              <w:bottom w:val="nil"/>
              <w:right w:val="nil"/>
            </w:tcBorders>
            <w:shd w:val="clear" w:color="auto" w:fill="auto"/>
            <w:vAlign w:val="bottom"/>
            <w:hideMark/>
          </w:tcPr>
          <w:p w14:paraId="0513F42F"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2007</w:t>
            </w:r>
          </w:p>
        </w:tc>
        <w:tc>
          <w:tcPr>
            <w:tcW w:w="1976" w:type="dxa"/>
            <w:tcBorders>
              <w:top w:val="nil"/>
              <w:left w:val="single" w:sz="4" w:space="0" w:color="auto"/>
              <w:bottom w:val="nil"/>
              <w:right w:val="nil"/>
            </w:tcBorders>
            <w:shd w:val="clear" w:color="auto" w:fill="auto"/>
            <w:noWrap/>
            <w:vAlign w:val="bottom"/>
            <w:hideMark/>
          </w:tcPr>
          <w:p w14:paraId="698B63BF"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RESTYP</w:t>
            </w:r>
          </w:p>
        </w:tc>
        <w:tc>
          <w:tcPr>
            <w:tcW w:w="1116" w:type="dxa"/>
            <w:tcBorders>
              <w:top w:val="nil"/>
              <w:left w:val="nil"/>
              <w:bottom w:val="nil"/>
              <w:right w:val="single" w:sz="4" w:space="0" w:color="auto"/>
            </w:tcBorders>
            <w:shd w:val="clear" w:color="auto" w:fill="auto"/>
            <w:vAlign w:val="bottom"/>
            <w:hideMark/>
          </w:tcPr>
          <w:p w14:paraId="237E8AD4"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N</w:t>
            </w:r>
          </w:p>
        </w:tc>
      </w:tr>
      <w:tr w:rsidR="00AD05AF" w:rsidRPr="00AD05AF" w14:paraId="124394BF" w14:textId="77777777" w:rsidTr="00AD05AF">
        <w:trPr>
          <w:trHeight w:val="300"/>
          <w:jc w:val="center"/>
        </w:trPr>
        <w:tc>
          <w:tcPr>
            <w:tcW w:w="1870" w:type="dxa"/>
            <w:tcBorders>
              <w:top w:val="nil"/>
              <w:left w:val="single" w:sz="4" w:space="0" w:color="auto"/>
              <w:bottom w:val="nil"/>
              <w:right w:val="nil"/>
            </w:tcBorders>
            <w:shd w:val="clear" w:color="auto" w:fill="auto"/>
            <w:noWrap/>
            <w:vAlign w:val="bottom"/>
            <w:hideMark/>
          </w:tcPr>
          <w:p w14:paraId="55E05399"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WELLAPI</w:t>
            </w:r>
          </w:p>
        </w:tc>
        <w:tc>
          <w:tcPr>
            <w:tcW w:w="2123" w:type="dxa"/>
            <w:tcBorders>
              <w:top w:val="nil"/>
              <w:left w:val="nil"/>
              <w:bottom w:val="nil"/>
              <w:right w:val="nil"/>
            </w:tcBorders>
            <w:shd w:val="clear" w:color="auto" w:fill="auto"/>
            <w:vAlign w:val="bottom"/>
            <w:hideMark/>
          </w:tcPr>
          <w:p w14:paraId="19F3F4B8"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427094116400</w:t>
            </w:r>
          </w:p>
        </w:tc>
        <w:tc>
          <w:tcPr>
            <w:tcW w:w="1976" w:type="dxa"/>
            <w:tcBorders>
              <w:top w:val="nil"/>
              <w:left w:val="single" w:sz="4" w:space="0" w:color="auto"/>
              <w:bottom w:val="nil"/>
              <w:right w:val="nil"/>
            </w:tcBorders>
            <w:shd w:val="clear" w:color="auto" w:fill="auto"/>
            <w:noWrap/>
            <w:vAlign w:val="bottom"/>
            <w:hideMark/>
          </w:tcPr>
          <w:p w14:paraId="3EFFEC0B"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POROSITY</w:t>
            </w:r>
          </w:p>
        </w:tc>
        <w:tc>
          <w:tcPr>
            <w:tcW w:w="1116" w:type="dxa"/>
            <w:tcBorders>
              <w:top w:val="nil"/>
              <w:left w:val="nil"/>
              <w:bottom w:val="nil"/>
              <w:right w:val="single" w:sz="4" w:space="0" w:color="auto"/>
            </w:tcBorders>
            <w:shd w:val="clear" w:color="auto" w:fill="auto"/>
            <w:vAlign w:val="bottom"/>
            <w:hideMark/>
          </w:tcPr>
          <w:p w14:paraId="7B0F3A7C"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0.31</w:t>
            </w:r>
          </w:p>
        </w:tc>
      </w:tr>
      <w:tr w:rsidR="00AD05AF" w:rsidRPr="00AD05AF" w14:paraId="07A63D5E" w14:textId="77777777" w:rsidTr="00AD05AF">
        <w:trPr>
          <w:trHeight w:val="300"/>
          <w:jc w:val="center"/>
        </w:trPr>
        <w:tc>
          <w:tcPr>
            <w:tcW w:w="1870" w:type="dxa"/>
            <w:tcBorders>
              <w:top w:val="nil"/>
              <w:left w:val="single" w:sz="4" w:space="0" w:color="auto"/>
              <w:bottom w:val="nil"/>
              <w:right w:val="nil"/>
            </w:tcBorders>
            <w:shd w:val="clear" w:color="auto" w:fill="auto"/>
            <w:noWrap/>
            <w:vAlign w:val="bottom"/>
            <w:hideMark/>
          </w:tcPr>
          <w:p w14:paraId="45AE13DE"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BOEM_FIELD</w:t>
            </w:r>
          </w:p>
        </w:tc>
        <w:tc>
          <w:tcPr>
            <w:tcW w:w="2123" w:type="dxa"/>
            <w:tcBorders>
              <w:top w:val="nil"/>
              <w:left w:val="nil"/>
              <w:bottom w:val="nil"/>
              <w:right w:val="nil"/>
            </w:tcBorders>
            <w:shd w:val="clear" w:color="auto" w:fill="auto"/>
            <w:vAlign w:val="bottom"/>
            <w:hideMark/>
          </w:tcPr>
          <w:p w14:paraId="423CF321"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HI544A</w:t>
            </w:r>
          </w:p>
        </w:tc>
        <w:tc>
          <w:tcPr>
            <w:tcW w:w="1976" w:type="dxa"/>
            <w:tcBorders>
              <w:top w:val="nil"/>
              <w:left w:val="single" w:sz="4" w:space="0" w:color="auto"/>
              <w:bottom w:val="nil"/>
              <w:right w:val="nil"/>
            </w:tcBorders>
            <w:shd w:val="clear" w:color="auto" w:fill="auto"/>
            <w:noWrap/>
            <w:vAlign w:val="bottom"/>
            <w:hideMark/>
          </w:tcPr>
          <w:p w14:paraId="37481DC5"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SW</w:t>
            </w:r>
          </w:p>
        </w:tc>
        <w:tc>
          <w:tcPr>
            <w:tcW w:w="1116" w:type="dxa"/>
            <w:tcBorders>
              <w:top w:val="nil"/>
              <w:left w:val="nil"/>
              <w:bottom w:val="nil"/>
              <w:right w:val="single" w:sz="4" w:space="0" w:color="auto"/>
            </w:tcBorders>
            <w:shd w:val="clear" w:color="auto" w:fill="auto"/>
            <w:vAlign w:val="bottom"/>
            <w:hideMark/>
          </w:tcPr>
          <w:p w14:paraId="64AACDCE"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0.1</w:t>
            </w:r>
          </w:p>
        </w:tc>
      </w:tr>
      <w:tr w:rsidR="00AD05AF" w:rsidRPr="00AD05AF" w14:paraId="4D99C392" w14:textId="77777777" w:rsidTr="00AD05AF">
        <w:trPr>
          <w:trHeight w:val="300"/>
          <w:jc w:val="center"/>
        </w:trPr>
        <w:tc>
          <w:tcPr>
            <w:tcW w:w="1870" w:type="dxa"/>
            <w:tcBorders>
              <w:top w:val="nil"/>
              <w:left w:val="single" w:sz="4" w:space="0" w:color="auto"/>
              <w:bottom w:val="nil"/>
              <w:right w:val="nil"/>
            </w:tcBorders>
            <w:shd w:val="clear" w:color="auto" w:fill="auto"/>
            <w:noWrap/>
            <w:vAlign w:val="bottom"/>
            <w:hideMark/>
          </w:tcPr>
          <w:p w14:paraId="0F8CF759"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FCLASS</w:t>
            </w:r>
          </w:p>
        </w:tc>
        <w:tc>
          <w:tcPr>
            <w:tcW w:w="2123" w:type="dxa"/>
            <w:tcBorders>
              <w:top w:val="nil"/>
              <w:left w:val="nil"/>
              <w:bottom w:val="nil"/>
              <w:right w:val="nil"/>
            </w:tcBorders>
            <w:shd w:val="clear" w:color="auto" w:fill="auto"/>
            <w:vAlign w:val="bottom"/>
            <w:hideMark/>
          </w:tcPr>
          <w:p w14:paraId="2DF9CDA7"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PDP</w:t>
            </w:r>
          </w:p>
        </w:tc>
        <w:tc>
          <w:tcPr>
            <w:tcW w:w="1976" w:type="dxa"/>
            <w:tcBorders>
              <w:top w:val="nil"/>
              <w:left w:val="single" w:sz="4" w:space="0" w:color="auto"/>
              <w:bottom w:val="nil"/>
              <w:right w:val="nil"/>
            </w:tcBorders>
            <w:shd w:val="clear" w:color="auto" w:fill="auto"/>
            <w:noWrap/>
            <w:vAlign w:val="bottom"/>
            <w:hideMark/>
          </w:tcPr>
          <w:p w14:paraId="63533B9C"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PERMEABILITY</w:t>
            </w:r>
          </w:p>
        </w:tc>
        <w:tc>
          <w:tcPr>
            <w:tcW w:w="1116" w:type="dxa"/>
            <w:tcBorders>
              <w:top w:val="nil"/>
              <w:left w:val="nil"/>
              <w:bottom w:val="nil"/>
              <w:right w:val="single" w:sz="4" w:space="0" w:color="auto"/>
            </w:tcBorders>
            <w:shd w:val="clear" w:color="auto" w:fill="auto"/>
            <w:vAlign w:val="bottom"/>
            <w:hideMark/>
          </w:tcPr>
          <w:p w14:paraId="0B22B581"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965</w:t>
            </w:r>
          </w:p>
        </w:tc>
      </w:tr>
      <w:tr w:rsidR="00AD05AF" w:rsidRPr="00AD05AF" w14:paraId="4DF71EC0" w14:textId="77777777" w:rsidTr="00AD05AF">
        <w:trPr>
          <w:trHeight w:val="300"/>
          <w:jc w:val="center"/>
        </w:trPr>
        <w:tc>
          <w:tcPr>
            <w:tcW w:w="1870" w:type="dxa"/>
            <w:tcBorders>
              <w:top w:val="nil"/>
              <w:left w:val="single" w:sz="4" w:space="0" w:color="auto"/>
              <w:bottom w:val="nil"/>
              <w:right w:val="nil"/>
            </w:tcBorders>
            <w:shd w:val="clear" w:color="auto" w:fill="auto"/>
            <w:noWrap/>
            <w:vAlign w:val="bottom"/>
            <w:hideMark/>
          </w:tcPr>
          <w:p w14:paraId="1EF08A3D"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FSTAT</w:t>
            </w:r>
          </w:p>
        </w:tc>
        <w:tc>
          <w:tcPr>
            <w:tcW w:w="2123" w:type="dxa"/>
            <w:tcBorders>
              <w:top w:val="nil"/>
              <w:left w:val="nil"/>
              <w:bottom w:val="nil"/>
              <w:right w:val="nil"/>
            </w:tcBorders>
            <w:shd w:val="clear" w:color="auto" w:fill="auto"/>
            <w:vAlign w:val="bottom"/>
            <w:hideMark/>
          </w:tcPr>
          <w:p w14:paraId="0CF4039B"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A</w:t>
            </w:r>
          </w:p>
        </w:tc>
        <w:tc>
          <w:tcPr>
            <w:tcW w:w="1976" w:type="dxa"/>
            <w:tcBorders>
              <w:top w:val="nil"/>
              <w:left w:val="single" w:sz="4" w:space="0" w:color="auto"/>
              <w:bottom w:val="nil"/>
              <w:right w:val="nil"/>
            </w:tcBorders>
            <w:shd w:val="clear" w:color="auto" w:fill="auto"/>
            <w:noWrap/>
            <w:vAlign w:val="bottom"/>
            <w:hideMark/>
          </w:tcPr>
          <w:p w14:paraId="083B02B1"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Pi</w:t>
            </w:r>
          </w:p>
        </w:tc>
        <w:tc>
          <w:tcPr>
            <w:tcW w:w="1116" w:type="dxa"/>
            <w:tcBorders>
              <w:top w:val="nil"/>
              <w:left w:val="nil"/>
              <w:bottom w:val="nil"/>
              <w:right w:val="single" w:sz="4" w:space="0" w:color="auto"/>
            </w:tcBorders>
            <w:shd w:val="clear" w:color="auto" w:fill="auto"/>
            <w:vAlign w:val="bottom"/>
            <w:hideMark/>
          </w:tcPr>
          <w:p w14:paraId="5AE2E850"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6773</w:t>
            </w:r>
          </w:p>
        </w:tc>
      </w:tr>
      <w:tr w:rsidR="00AD05AF" w:rsidRPr="00AD05AF" w14:paraId="1D0AAF0D" w14:textId="77777777" w:rsidTr="00AD05AF">
        <w:trPr>
          <w:trHeight w:val="300"/>
          <w:jc w:val="center"/>
        </w:trPr>
        <w:tc>
          <w:tcPr>
            <w:tcW w:w="1870" w:type="dxa"/>
            <w:tcBorders>
              <w:top w:val="nil"/>
              <w:left w:val="single" w:sz="4" w:space="0" w:color="auto"/>
              <w:bottom w:val="nil"/>
              <w:right w:val="nil"/>
            </w:tcBorders>
            <w:shd w:val="clear" w:color="auto" w:fill="auto"/>
            <w:noWrap/>
            <w:vAlign w:val="bottom"/>
            <w:hideMark/>
          </w:tcPr>
          <w:p w14:paraId="1C6395DA"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FSTRUC</w:t>
            </w:r>
          </w:p>
        </w:tc>
        <w:tc>
          <w:tcPr>
            <w:tcW w:w="2123" w:type="dxa"/>
            <w:tcBorders>
              <w:top w:val="nil"/>
              <w:left w:val="nil"/>
              <w:bottom w:val="nil"/>
              <w:right w:val="nil"/>
            </w:tcBorders>
            <w:shd w:val="clear" w:color="auto" w:fill="auto"/>
            <w:vAlign w:val="bottom"/>
            <w:hideMark/>
          </w:tcPr>
          <w:p w14:paraId="33788777"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B</w:t>
            </w:r>
          </w:p>
        </w:tc>
        <w:tc>
          <w:tcPr>
            <w:tcW w:w="1976" w:type="dxa"/>
            <w:tcBorders>
              <w:top w:val="nil"/>
              <w:left w:val="single" w:sz="4" w:space="0" w:color="auto"/>
              <w:bottom w:val="nil"/>
              <w:right w:val="nil"/>
            </w:tcBorders>
            <w:shd w:val="clear" w:color="auto" w:fill="auto"/>
            <w:noWrap/>
            <w:vAlign w:val="bottom"/>
            <w:hideMark/>
          </w:tcPr>
          <w:p w14:paraId="31F1ADB5"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TI</w:t>
            </w:r>
          </w:p>
        </w:tc>
        <w:tc>
          <w:tcPr>
            <w:tcW w:w="1116" w:type="dxa"/>
            <w:tcBorders>
              <w:top w:val="nil"/>
              <w:left w:val="nil"/>
              <w:bottom w:val="nil"/>
              <w:right w:val="single" w:sz="4" w:space="0" w:color="auto"/>
            </w:tcBorders>
            <w:shd w:val="clear" w:color="auto" w:fill="auto"/>
            <w:vAlign w:val="bottom"/>
            <w:hideMark/>
          </w:tcPr>
          <w:p w14:paraId="1FA1CB8D"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178</w:t>
            </w:r>
          </w:p>
        </w:tc>
      </w:tr>
      <w:tr w:rsidR="00AD05AF" w:rsidRPr="00AD05AF" w14:paraId="15158A93" w14:textId="77777777" w:rsidTr="00AD05AF">
        <w:trPr>
          <w:trHeight w:val="300"/>
          <w:jc w:val="center"/>
        </w:trPr>
        <w:tc>
          <w:tcPr>
            <w:tcW w:w="1870" w:type="dxa"/>
            <w:tcBorders>
              <w:top w:val="nil"/>
              <w:left w:val="single" w:sz="4" w:space="0" w:color="auto"/>
              <w:bottom w:val="nil"/>
              <w:right w:val="nil"/>
            </w:tcBorders>
            <w:shd w:val="clear" w:color="auto" w:fill="auto"/>
            <w:noWrap/>
            <w:vAlign w:val="bottom"/>
            <w:hideMark/>
          </w:tcPr>
          <w:p w14:paraId="3DEA3C7F"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FTRAP1</w:t>
            </w:r>
          </w:p>
        </w:tc>
        <w:tc>
          <w:tcPr>
            <w:tcW w:w="2123" w:type="dxa"/>
            <w:tcBorders>
              <w:top w:val="nil"/>
              <w:left w:val="nil"/>
              <w:bottom w:val="nil"/>
              <w:right w:val="nil"/>
            </w:tcBorders>
            <w:shd w:val="clear" w:color="auto" w:fill="auto"/>
            <w:vAlign w:val="bottom"/>
            <w:hideMark/>
          </w:tcPr>
          <w:p w14:paraId="5E1FA582"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D</w:t>
            </w:r>
          </w:p>
        </w:tc>
        <w:tc>
          <w:tcPr>
            <w:tcW w:w="1976" w:type="dxa"/>
            <w:tcBorders>
              <w:top w:val="nil"/>
              <w:left w:val="single" w:sz="4" w:space="0" w:color="auto"/>
              <w:bottom w:val="nil"/>
              <w:right w:val="nil"/>
            </w:tcBorders>
            <w:shd w:val="clear" w:color="auto" w:fill="auto"/>
            <w:noWrap/>
            <w:vAlign w:val="bottom"/>
            <w:hideMark/>
          </w:tcPr>
          <w:p w14:paraId="7F1D501A"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SDPG</w:t>
            </w:r>
          </w:p>
        </w:tc>
        <w:tc>
          <w:tcPr>
            <w:tcW w:w="1116" w:type="dxa"/>
            <w:tcBorders>
              <w:top w:val="nil"/>
              <w:left w:val="nil"/>
              <w:bottom w:val="nil"/>
              <w:right w:val="single" w:sz="4" w:space="0" w:color="auto"/>
            </w:tcBorders>
            <w:shd w:val="clear" w:color="auto" w:fill="auto"/>
            <w:vAlign w:val="bottom"/>
            <w:hideMark/>
          </w:tcPr>
          <w:p w14:paraId="2296FA85"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0.834</w:t>
            </w:r>
          </w:p>
        </w:tc>
      </w:tr>
      <w:tr w:rsidR="00AD05AF" w:rsidRPr="00AD05AF" w14:paraId="49F11963" w14:textId="77777777" w:rsidTr="00AD05AF">
        <w:trPr>
          <w:trHeight w:val="300"/>
          <w:jc w:val="center"/>
        </w:trPr>
        <w:tc>
          <w:tcPr>
            <w:tcW w:w="1870" w:type="dxa"/>
            <w:tcBorders>
              <w:top w:val="nil"/>
              <w:left w:val="single" w:sz="4" w:space="0" w:color="auto"/>
              <w:bottom w:val="nil"/>
              <w:right w:val="nil"/>
            </w:tcBorders>
            <w:shd w:val="clear" w:color="auto" w:fill="auto"/>
            <w:noWrap/>
            <w:vAlign w:val="bottom"/>
            <w:hideMark/>
          </w:tcPr>
          <w:p w14:paraId="7671DD1A"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FTRAP2</w:t>
            </w:r>
          </w:p>
        </w:tc>
        <w:tc>
          <w:tcPr>
            <w:tcW w:w="2123" w:type="dxa"/>
            <w:tcBorders>
              <w:top w:val="nil"/>
              <w:left w:val="nil"/>
              <w:bottom w:val="nil"/>
              <w:right w:val="nil"/>
            </w:tcBorders>
            <w:shd w:val="clear" w:color="auto" w:fill="auto"/>
            <w:vAlign w:val="bottom"/>
            <w:hideMark/>
          </w:tcPr>
          <w:p w14:paraId="093C1507" w14:textId="77777777" w:rsidR="00AD05AF" w:rsidRPr="00AD05AF" w:rsidRDefault="00AD05AF" w:rsidP="00AD05AF">
            <w:pPr>
              <w:spacing w:line="240" w:lineRule="auto"/>
              <w:jc w:val="center"/>
              <w:rPr>
                <w:rFonts w:eastAsia="Times New Roman" w:cs="Times New Roman"/>
                <w:color w:val="000000"/>
                <w:szCs w:val="24"/>
              </w:rPr>
            </w:pPr>
          </w:p>
        </w:tc>
        <w:tc>
          <w:tcPr>
            <w:tcW w:w="1976" w:type="dxa"/>
            <w:tcBorders>
              <w:top w:val="nil"/>
              <w:left w:val="single" w:sz="4" w:space="0" w:color="auto"/>
              <w:bottom w:val="nil"/>
              <w:right w:val="nil"/>
            </w:tcBorders>
            <w:shd w:val="clear" w:color="auto" w:fill="auto"/>
            <w:noWrap/>
            <w:vAlign w:val="bottom"/>
            <w:hideMark/>
          </w:tcPr>
          <w:p w14:paraId="60FF5447"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SDTG</w:t>
            </w:r>
          </w:p>
        </w:tc>
        <w:tc>
          <w:tcPr>
            <w:tcW w:w="1116" w:type="dxa"/>
            <w:tcBorders>
              <w:top w:val="nil"/>
              <w:left w:val="nil"/>
              <w:bottom w:val="nil"/>
              <w:right w:val="single" w:sz="4" w:space="0" w:color="auto"/>
            </w:tcBorders>
            <w:shd w:val="clear" w:color="auto" w:fill="auto"/>
            <w:vAlign w:val="bottom"/>
            <w:hideMark/>
          </w:tcPr>
          <w:p w14:paraId="3E512479"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1.37</w:t>
            </w:r>
          </w:p>
        </w:tc>
      </w:tr>
      <w:tr w:rsidR="00AD05AF" w:rsidRPr="00AD05AF" w14:paraId="14EAD8E4" w14:textId="77777777" w:rsidTr="00AD05AF">
        <w:trPr>
          <w:trHeight w:val="300"/>
          <w:jc w:val="center"/>
        </w:trPr>
        <w:tc>
          <w:tcPr>
            <w:tcW w:w="1870" w:type="dxa"/>
            <w:tcBorders>
              <w:top w:val="nil"/>
              <w:left w:val="single" w:sz="4" w:space="0" w:color="auto"/>
              <w:bottom w:val="nil"/>
              <w:right w:val="nil"/>
            </w:tcBorders>
            <w:shd w:val="clear" w:color="auto" w:fill="auto"/>
            <w:noWrap/>
            <w:vAlign w:val="bottom"/>
            <w:hideMark/>
          </w:tcPr>
          <w:p w14:paraId="4167C63A"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FDDATE</w:t>
            </w:r>
          </w:p>
        </w:tc>
        <w:tc>
          <w:tcPr>
            <w:tcW w:w="2123" w:type="dxa"/>
            <w:tcBorders>
              <w:top w:val="nil"/>
              <w:left w:val="nil"/>
              <w:bottom w:val="nil"/>
              <w:right w:val="nil"/>
            </w:tcBorders>
            <w:shd w:val="clear" w:color="auto" w:fill="auto"/>
            <w:vAlign w:val="bottom"/>
            <w:hideMark/>
          </w:tcPr>
          <w:p w14:paraId="452C820D"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9/19/1977</w:t>
            </w:r>
          </w:p>
        </w:tc>
        <w:tc>
          <w:tcPr>
            <w:tcW w:w="1976" w:type="dxa"/>
            <w:tcBorders>
              <w:top w:val="nil"/>
              <w:left w:val="single" w:sz="4" w:space="0" w:color="auto"/>
              <w:bottom w:val="nil"/>
              <w:right w:val="nil"/>
            </w:tcBorders>
            <w:shd w:val="clear" w:color="auto" w:fill="auto"/>
            <w:noWrap/>
            <w:vAlign w:val="bottom"/>
            <w:hideMark/>
          </w:tcPr>
          <w:p w14:paraId="5786048A"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RSI</w:t>
            </w:r>
          </w:p>
        </w:tc>
        <w:tc>
          <w:tcPr>
            <w:tcW w:w="1116" w:type="dxa"/>
            <w:tcBorders>
              <w:top w:val="nil"/>
              <w:left w:val="nil"/>
              <w:bottom w:val="nil"/>
              <w:right w:val="single" w:sz="4" w:space="0" w:color="auto"/>
            </w:tcBorders>
            <w:shd w:val="clear" w:color="auto" w:fill="auto"/>
            <w:vAlign w:val="bottom"/>
            <w:hideMark/>
          </w:tcPr>
          <w:p w14:paraId="4B68F77A"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0</w:t>
            </w:r>
          </w:p>
        </w:tc>
      </w:tr>
      <w:tr w:rsidR="00AD05AF" w:rsidRPr="00AD05AF" w14:paraId="514DEA4B" w14:textId="77777777" w:rsidTr="00AD05AF">
        <w:trPr>
          <w:trHeight w:val="300"/>
          <w:jc w:val="center"/>
        </w:trPr>
        <w:tc>
          <w:tcPr>
            <w:tcW w:w="1870" w:type="dxa"/>
            <w:tcBorders>
              <w:top w:val="nil"/>
              <w:left w:val="single" w:sz="4" w:space="0" w:color="auto"/>
              <w:bottom w:val="nil"/>
              <w:right w:val="nil"/>
            </w:tcBorders>
            <w:shd w:val="clear" w:color="auto" w:fill="auto"/>
            <w:noWrap/>
            <w:vAlign w:val="bottom"/>
            <w:hideMark/>
          </w:tcPr>
          <w:p w14:paraId="108F66F1"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FDYEAR</w:t>
            </w:r>
          </w:p>
        </w:tc>
        <w:tc>
          <w:tcPr>
            <w:tcW w:w="2123" w:type="dxa"/>
            <w:tcBorders>
              <w:top w:val="nil"/>
              <w:left w:val="nil"/>
              <w:bottom w:val="nil"/>
              <w:right w:val="nil"/>
            </w:tcBorders>
            <w:shd w:val="clear" w:color="auto" w:fill="auto"/>
            <w:vAlign w:val="bottom"/>
            <w:hideMark/>
          </w:tcPr>
          <w:p w14:paraId="686CE34C"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1977</w:t>
            </w:r>
          </w:p>
        </w:tc>
        <w:tc>
          <w:tcPr>
            <w:tcW w:w="1976" w:type="dxa"/>
            <w:tcBorders>
              <w:top w:val="nil"/>
              <w:left w:val="single" w:sz="4" w:space="0" w:color="auto"/>
              <w:bottom w:val="nil"/>
              <w:right w:val="nil"/>
            </w:tcBorders>
            <w:shd w:val="clear" w:color="auto" w:fill="auto"/>
            <w:noWrap/>
            <w:vAlign w:val="bottom"/>
            <w:hideMark/>
          </w:tcPr>
          <w:p w14:paraId="3458B9D8"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YIELD</w:t>
            </w:r>
          </w:p>
        </w:tc>
        <w:tc>
          <w:tcPr>
            <w:tcW w:w="1116" w:type="dxa"/>
            <w:tcBorders>
              <w:top w:val="nil"/>
              <w:left w:val="nil"/>
              <w:bottom w:val="nil"/>
              <w:right w:val="single" w:sz="4" w:space="0" w:color="auto"/>
            </w:tcBorders>
            <w:shd w:val="clear" w:color="auto" w:fill="auto"/>
            <w:vAlign w:val="bottom"/>
            <w:hideMark/>
          </w:tcPr>
          <w:p w14:paraId="4ADE6823"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2.096</w:t>
            </w:r>
          </w:p>
        </w:tc>
      </w:tr>
      <w:tr w:rsidR="00AD05AF" w:rsidRPr="00AD05AF" w14:paraId="45D4DA0B" w14:textId="77777777" w:rsidTr="00AD05AF">
        <w:trPr>
          <w:trHeight w:val="300"/>
          <w:jc w:val="center"/>
        </w:trPr>
        <w:tc>
          <w:tcPr>
            <w:tcW w:w="1870" w:type="dxa"/>
            <w:tcBorders>
              <w:top w:val="nil"/>
              <w:left w:val="single" w:sz="4" w:space="0" w:color="auto"/>
              <w:bottom w:val="nil"/>
              <w:right w:val="nil"/>
            </w:tcBorders>
            <w:shd w:val="clear" w:color="auto" w:fill="auto"/>
            <w:noWrap/>
            <w:vAlign w:val="bottom"/>
            <w:hideMark/>
          </w:tcPr>
          <w:p w14:paraId="35222872"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EIAID</w:t>
            </w:r>
          </w:p>
        </w:tc>
        <w:tc>
          <w:tcPr>
            <w:tcW w:w="2123" w:type="dxa"/>
            <w:tcBorders>
              <w:top w:val="nil"/>
              <w:left w:val="nil"/>
              <w:bottom w:val="nil"/>
              <w:right w:val="nil"/>
            </w:tcBorders>
            <w:shd w:val="clear" w:color="auto" w:fill="auto"/>
            <w:vAlign w:val="bottom"/>
            <w:hideMark/>
          </w:tcPr>
          <w:p w14:paraId="7A767826"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854544</w:t>
            </w:r>
          </w:p>
        </w:tc>
        <w:tc>
          <w:tcPr>
            <w:tcW w:w="1976" w:type="dxa"/>
            <w:tcBorders>
              <w:top w:val="nil"/>
              <w:left w:val="single" w:sz="4" w:space="0" w:color="auto"/>
              <w:bottom w:val="nil"/>
              <w:right w:val="nil"/>
            </w:tcBorders>
            <w:shd w:val="clear" w:color="auto" w:fill="auto"/>
            <w:noWrap/>
            <w:vAlign w:val="bottom"/>
            <w:hideMark/>
          </w:tcPr>
          <w:p w14:paraId="2DEC48BC"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PROP</w:t>
            </w:r>
          </w:p>
        </w:tc>
        <w:tc>
          <w:tcPr>
            <w:tcW w:w="1116" w:type="dxa"/>
            <w:tcBorders>
              <w:top w:val="nil"/>
              <w:left w:val="nil"/>
              <w:bottom w:val="nil"/>
              <w:right w:val="single" w:sz="4" w:space="0" w:color="auto"/>
            </w:tcBorders>
            <w:shd w:val="clear" w:color="auto" w:fill="auto"/>
            <w:vAlign w:val="bottom"/>
            <w:hideMark/>
          </w:tcPr>
          <w:p w14:paraId="5CAF22BF"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0</w:t>
            </w:r>
          </w:p>
        </w:tc>
      </w:tr>
      <w:tr w:rsidR="00AD05AF" w:rsidRPr="00AD05AF" w14:paraId="5647E256" w14:textId="77777777" w:rsidTr="00AD05AF">
        <w:trPr>
          <w:trHeight w:val="300"/>
          <w:jc w:val="center"/>
        </w:trPr>
        <w:tc>
          <w:tcPr>
            <w:tcW w:w="1870" w:type="dxa"/>
            <w:tcBorders>
              <w:top w:val="nil"/>
              <w:left w:val="single" w:sz="4" w:space="0" w:color="auto"/>
              <w:bottom w:val="nil"/>
              <w:right w:val="nil"/>
            </w:tcBorders>
            <w:shd w:val="clear" w:color="auto" w:fill="auto"/>
            <w:noWrap/>
            <w:vAlign w:val="bottom"/>
            <w:hideMark/>
          </w:tcPr>
          <w:p w14:paraId="11BDBDFA"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PLAREA</w:t>
            </w:r>
          </w:p>
        </w:tc>
        <w:tc>
          <w:tcPr>
            <w:tcW w:w="2123" w:type="dxa"/>
            <w:tcBorders>
              <w:top w:val="nil"/>
              <w:left w:val="nil"/>
              <w:bottom w:val="nil"/>
              <w:right w:val="nil"/>
            </w:tcBorders>
            <w:shd w:val="clear" w:color="auto" w:fill="auto"/>
            <w:vAlign w:val="bottom"/>
            <w:hideMark/>
          </w:tcPr>
          <w:p w14:paraId="372DDB77"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WGM</w:t>
            </w:r>
          </w:p>
        </w:tc>
        <w:tc>
          <w:tcPr>
            <w:tcW w:w="1976" w:type="dxa"/>
            <w:tcBorders>
              <w:top w:val="nil"/>
              <w:left w:val="single" w:sz="4" w:space="0" w:color="auto"/>
              <w:bottom w:val="nil"/>
              <w:right w:val="nil"/>
            </w:tcBorders>
            <w:shd w:val="clear" w:color="auto" w:fill="auto"/>
            <w:noWrap/>
            <w:vAlign w:val="bottom"/>
            <w:hideMark/>
          </w:tcPr>
          <w:p w14:paraId="75492E2F"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GOR</w:t>
            </w:r>
          </w:p>
        </w:tc>
        <w:tc>
          <w:tcPr>
            <w:tcW w:w="1116" w:type="dxa"/>
            <w:tcBorders>
              <w:top w:val="nil"/>
              <w:left w:val="nil"/>
              <w:bottom w:val="nil"/>
              <w:right w:val="single" w:sz="4" w:space="0" w:color="auto"/>
            </w:tcBorders>
            <w:shd w:val="clear" w:color="auto" w:fill="auto"/>
            <w:vAlign w:val="bottom"/>
            <w:hideMark/>
          </w:tcPr>
          <w:p w14:paraId="137DA5A2"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476.998</w:t>
            </w:r>
          </w:p>
        </w:tc>
      </w:tr>
      <w:tr w:rsidR="00AD05AF" w:rsidRPr="00AD05AF" w14:paraId="65EB24FF" w14:textId="77777777" w:rsidTr="00AD05AF">
        <w:trPr>
          <w:trHeight w:val="300"/>
          <w:jc w:val="center"/>
        </w:trPr>
        <w:tc>
          <w:tcPr>
            <w:tcW w:w="1870" w:type="dxa"/>
            <w:tcBorders>
              <w:top w:val="nil"/>
              <w:left w:val="single" w:sz="4" w:space="0" w:color="auto"/>
              <w:bottom w:val="nil"/>
              <w:right w:val="nil"/>
            </w:tcBorders>
            <w:shd w:val="clear" w:color="auto" w:fill="auto"/>
            <w:noWrap/>
            <w:vAlign w:val="bottom"/>
            <w:hideMark/>
          </w:tcPr>
          <w:p w14:paraId="1EC2D6B5"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SAND</w:t>
            </w:r>
          </w:p>
        </w:tc>
        <w:tc>
          <w:tcPr>
            <w:tcW w:w="2123" w:type="dxa"/>
            <w:tcBorders>
              <w:top w:val="nil"/>
              <w:left w:val="nil"/>
              <w:bottom w:val="nil"/>
              <w:right w:val="nil"/>
            </w:tcBorders>
            <w:shd w:val="clear" w:color="auto" w:fill="auto"/>
            <w:vAlign w:val="bottom"/>
            <w:hideMark/>
          </w:tcPr>
          <w:p w14:paraId="33B3B2F3"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LF1</w:t>
            </w:r>
          </w:p>
        </w:tc>
        <w:tc>
          <w:tcPr>
            <w:tcW w:w="1976" w:type="dxa"/>
            <w:tcBorders>
              <w:top w:val="nil"/>
              <w:left w:val="single" w:sz="4" w:space="0" w:color="auto"/>
              <w:bottom w:val="nil"/>
              <w:right w:val="nil"/>
            </w:tcBorders>
            <w:shd w:val="clear" w:color="auto" w:fill="auto"/>
            <w:noWrap/>
            <w:vAlign w:val="bottom"/>
            <w:hideMark/>
          </w:tcPr>
          <w:p w14:paraId="0FE4DBE9"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SPGR</w:t>
            </w:r>
          </w:p>
        </w:tc>
        <w:tc>
          <w:tcPr>
            <w:tcW w:w="1116" w:type="dxa"/>
            <w:tcBorders>
              <w:top w:val="nil"/>
              <w:left w:val="nil"/>
              <w:bottom w:val="nil"/>
              <w:right w:val="single" w:sz="4" w:space="0" w:color="auto"/>
            </w:tcBorders>
            <w:shd w:val="clear" w:color="auto" w:fill="auto"/>
            <w:vAlign w:val="bottom"/>
            <w:hideMark/>
          </w:tcPr>
          <w:p w14:paraId="59D545FF"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0.57</w:t>
            </w:r>
          </w:p>
        </w:tc>
      </w:tr>
      <w:tr w:rsidR="00AD05AF" w:rsidRPr="00AD05AF" w14:paraId="6A51D3B3" w14:textId="77777777" w:rsidTr="00AD05AF">
        <w:trPr>
          <w:trHeight w:val="300"/>
          <w:jc w:val="center"/>
        </w:trPr>
        <w:tc>
          <w:tcPr>
            <w:tcW w:w="1870" w:type="dxa"/>
            <w:tcBorders>
              <w:top w:val="nil"/>
              <w:left w:val="single" w:sz="4" w:space="0" w:color="auto"/>
              <w:bottom w:val="nil"/>
              <w:right w:val="nil"/>
            </w:tcBorders>
            <w:shd w:val="clear" w:color="auto" w:fill="auto"/>
            <w:noWrap/>
            <w:vAlign w:val="bottom"/>
            <w:hideMark/>
          </w:tcPr>
          <w:p w14:paraId="08F730EB"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PLAY_NUM</w:t>
            </w:r>
          </w:p>
        </w:tc>
        <w:tc>
          <w:tcPr>
            <w:tcW w:w="2123" w:type="dxa"/>
            <w:tcBorders>
              <w:top w:val="nil"/>
              <w:left w:val="nil"/>
              <w:bottom w:val="nil"/>
              <w:right w:val="nil"/>
            </w:tcBorders>
            <w:shd w:val="clear" w:color="auto" w:fill="auto"/>
            <w:vAlign w:val="bottom"/>
            <w:hideMark/>
          </w:tcPr>
          <w:p w14:paraId="0E1C5887"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0981</w:t>
            </w:r>
          </w:p>
        </w:tc>
        <w:tc>
          <w:tcPr>
            <w:tcW w:w="1976" w:type="dxa"/>
            <w:tcBorders>
              <w:top w:val="nil"/>
              <w:left w:val="single" w:sz="4" w:space="0" w:color="auto"/>
              <w:bottom w:val="nil"/>
              <w:right w:val="nil"/>
            </w:tcBorders>
            <w:shd w:val="clear" w:color="auto" w:fill="auto"/>
            <w:noWrap/>
            <w:vAlign w:val="bottom"/>
            <w:hideMark/>
          </w:tcPr>
          <w:p w14:paraId="707CEC83"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API</w:t>
            </w:r>
          </w:p>
        </w:tc>
        <w:tc>
          <w:tcPr>
            <w:tcW w:w="1116" w:type="dxa"/>
            <w:tcBorders>
              <w:top w:val="nil"/>
              <w:left w:val="nil"/>
              <w:bottom w:val="nil"/>
              <w:right w:val="single" w:sz="4" w:space="0" w:color="auto"/>
            </w:tcBorders>
            <w:shd w:val="clear" w:color="auto" w:fill="auto"/>
            <w:vAlign w:val="bottom"/>
            <w:hideMark/>
          </w:tcPr>
          <w:p w14:paraId="038A43A5"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0</w:t>
            </w:r>
          </w:p>
        </w:tc>
      </w:tr>
      <w:tr w:rsidR="00AD05AF" w:rsidRPr="00AD05AF" w14:paraId="3484B0FA" w14:textId="77777777" w:rsidTr="00AD05AF">
        <w:trPr>
          <w:trHeight w:val="300"/>
          <w:jc w:val="center"/>
        </w:trPr>
        <w:tc>
          <w:tcPr>
            <w:tcW w:w="1870" w:type="dxa"/>
            <w:tcBorders>
              <w:top w:val="nil"/>
              <w:left w:val="single" w:sz="4" w:space="0" w:color="auto"/>
              <w:bottom w:val="nil"/>
              <w:right w:val="nil"/>
            </w:tcBorders>
            <w:shd w:val="clear" w:color="auto" w:fill="auto"/>
            <w:noWrap/>
            <w:vAlign w:val="bottom"/>
            <w:hideMark/>
          </w:tcPr>
          <w:p w14:paraId="60337429"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PLAY_NAME</w:t>
            </w:r>
          </w:p>
        </w:tc>
        <w:tc>
          <w:tcPr>
            <w:tcW w:w="2123" w:type="dxa"/>
            <w:tcBorders>
              <w:top w:val="nil"/>
              <w:left w:val="nil"/>
              <w:bottom w:val="nil"/>
              <w:right w:val="nil"/>
            </w:tcBorders>
            <w:shd w:val="clear" w:color="auto" w:fill="auto"/>
            <w:vAlign w:val="bottom"/>
            <w:hideMark/>
          </w:tcPr>
          <w:p w14:paraId="30FC2595"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PU_F1</w:t>
            </w:r>
          </w:p>
        </w:tc>
        <w:tc>
          <w:tcPr>
            <w:tcW w:w="1976" w:type="dxa"/>
            <w:tcBorders>
              <w:top w:val="nil"/>
              <w:left w:val="single" w:sz="4" w:space="0" w:color="auto"/>
              <w:bottom w:val="nil"/>
              <w:right w:val="nil"/>
            </w:tcBorders>
            <w:shd w:val="clear" w:color="auto" w:fill="auto"/>
            <w:noWrap/>
            <w:vAlign w:val="bottom"/>
            <w:hideMark/>
          </w:tcPr>
          <w:p w14:paraId="543A930E"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BGI</w:t>
            </w:r>
          </w:p>
        </w:tc>
        <w:tc>
          <w:tcPr>
            <w:tcW w:w="1116" w:type="dxa"/>
            <w:tcBorders>
              <w:top w:val="nil"/>
              <w:left w:val="nil"/>
              <w:bottom w:val="nil"/>
              <w:right w:val="single" w:sz="4" w:space="0" w:color="auto"/>
            </w:tcBorders>
            <w:shd w:val="clear" w:color="auto" w:fill="auto"/>
            <w:vAlign w:val="bottom"/>
            <w:hideMark/>
          </w:tcPr>
          <w:p w14:paraId="66285654"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330.5</w:t>
            </w:r>
          </w:p>
        </w:tc>
      </w:tr>
      <w:tr w:rsidR="00AD05AF" w:rsidRPr="00AD05AF" w14:paraId="6F1438EB" w14:textId="77777777" w:rsidTr="00AD05AF">
        <w:trPr>
          <w:trHeight w:val="300"/>
          <w:jc w:val="center"/>
        </w:trPr>
        <w:tc>
          <w:tcPr>
            <w:tcW w:w="1870" w:type="dxa"/>
            <w:tcBorders>
              <w:top w:val="nil"/>
              <w:left w:val="single" w:sz="4" w:space="0" w:color="auto"/>
              <w:bottom w:val="nil"/>
              <w:right w:val="nil"/>
            </w:tcBorders>
            <w:shd w:val="clear" w:color="auto" w:fill="auto"/>
            <w:noWrap/>
            <w:vAlign w:val="bottom"/>
            <w:hideMark/>
          </w:tcPr>
          <w:p w14:paraId="61864634"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POOL_NAME</w:t>
            </w:r>
          </w:p>
        </w:tc>
        <w:tc>
          <w:tcPr>
            <w:tcW w:w="2123" w:type="dxa"/>
            <w:tcBorders>
              <w:top w:val="nil"/>
              <w:left w:val="nil"/>
              <w:bottom w:val="nil"/>
              <w:right w:val="nil"/>
            </w:tcBorders>
            <w:shd w:val="clear" w:color="auto" w:fill="auto"/>
            <w:vAlign w:val="bottom"/>
            <w:hideMark/>
          </w:tcPr>
          <w:p w14:paraId="77401B7E"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0981_HI544A</w:t>
            </w:r>
          </w:p>
        </w:tc>
        <w:tc>
          <w:tcPr>
            <w:tcW w:w="1976" w:type="dxa"/>
            <w:tcBorders>
              <w:top w:val="nil"/>
              <w:left w:val="single" w:sz="4" w:space="0" w:color="auto"/>
              <w:bottom w:val="nil"/>
              <w:right w:val="nil"/>
            </w:tcBorders>
            <w:shd w:val="clear" w:color="auto" w:fill="auto"/>
            <w:noWrap/>
            <w:vAlign w:val="bottom"/>
            <w:hideMark/>
          </w:tcPr>
          <w:p w14:paraId="716BB279"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BOI</w:t>
            </w:r>
          </w:p>
        </w:tc>
        <w:tc>
          <w:tcPr>
            <w:tcW w:w="1116" w:type="dxa"/>
            <w:tcBorders>
              <w:top w:val="nil"/>
              <w:left w:val="nil"/>
              <w:bottom w:val="nil"/>
              <w:right w:val="single" w:sz="4" w:space="0" w:color="auto"/>
            </w:tcBorders>
            <w:shd w:val="clear" w:color="auto" w:fill="auto"/>
            <w:vAlign w:val="bottom"/>
            <w:hideMark/>
          </w:tcPr>
          <w:p w14:paraId="4BAAB5FB"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0</w:t>
            </w:r>
          </w:p>
        </w:tc>
      </w:tr>
      <w:tr w:rsidR="00AD05AF" w:rsidRPr="00AD05AF" w14:paraId="7FF667BB" w14:textId="77777777" w:rsidTr="00AD05AF">
        <w:trPr>
          <w:trHeight w:val="300"/>
          <w:jc w:val="center"/>
        </w:trPr>
        <w:tc>
          <w:tcPr>
            <w:tcW w:w="1870" w:type="dxa"/>
            <w:tcBorders>
              <w:top w:val="nil"/>
              <w:left w:val="single" w:sz="4" w:space="0" w:color="auto"/>
              <w:bottom w:val="nil"/>
              <w:right w:val="nil"/>
            </w:tcBorders>
            <w:shd w:val="clear" w:color="auto" w:fill="auto"/>
            <w:noWrap/>
            <w:vAlign w:val="bottom"/>
            <w:hideMark/>
          </w:tcPr>
          <w:p w14:paraId="75D88E4C"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CHRONOZONE</w:t>
            </w:r>
          </w:p>
        </w:tc>
        <w:tc>
          <w:tcPr>
            <w:tcW w:w="2123" w:type="dxa"/>
            <w:tcBorders>
              <w:top w:val="nil"/>
              <w:left w:val="nil"/>
              <w:bottom w:val="nil"/>
              <w:right w:val="nil"/>
            </w:tcBorders>
            <w:shd w:val="clear" w:color="auto" w:fill="auto"/>
            <w:vAlign w:val="bottom"/>
            <w:hideMark/>
          </w:tcPr>
          <w:p w14:paraId="0FD7EE6D"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PU</w:t>
            </w:r>
          </w:p>
        </w:tc>
        <w:tc>
          <w:tcPr>
            <w:tcW w:w="1976" w:type="dxa"/>
            <w:tcBorders>
              <w:top w:val="nil"/>
              <w:left w:val="single" w:sz="4" w:space="0" w:color="auto"/>
              <w:bottom w:val="nil"/>
              <w:right w:val="nil"/>
            </w:tcBorders>
            <w:shd w:val="clear" w:color="auto" w:fill="auto"/>
            <w:noWrap/>
            <w:vAlign w:val="bottom"/>
            <w:hideMark/>
          </w:tcPr>
          <w:p w14:paraId="69E285F7"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RECO_AF</w:t>
            </w:r>
          </w:p>
        </w:tc>
        <w:tc>
          <w:tcPr>
            <w:tcW w:w="1116" w:type="dxa"/>
            <w:tcBorders>
              <w:top w:val="nil"/>
              <w:left w:val="nil"/>
              <w:bottom w:val="nil"/>
              <w:right w:val="single" w:sz="4" w:space="0" w:color="auto"/>
            </w:tcBorders>
            <w:shd w:val="clear" w:color="auto" w:fill="auto"/>
            <w:vAlign w:val="bottom"/>
            <w:hideMark/>
          </w:tcPr>
          <w:p w14:paraId="323A41AD"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0</w:t>
            </w:r>
          </w:p>
        </w:tc>
      </w:tr>
      <w:tr w:rsidR="00AD05AF" w:rsidRPr="00AD05AF" w14:paraId="7CDD9BF6" w14:textId="77777777" w:rsidTr="00AD05AF">
        <w:trPr>
          <w:trHeight w:val="300"/>
          <w:jc w:val="center"/>
        </w:trPr>
        <w:tc>
          <w:tcPr>
            <w:tcW w:w="1870" w:type="dxa"/>
            <w:tcBorders>
              <w:top w:val="nil"/>
              <w:left w:val="single" w:sz="4" w:space="0" w:color="auto"/>
              <w:bottom w:val="nil"/>
              <w:right w:val="nil"/>
            </w:tcBorders>
            <w:shd w:val="clear" w:color="auto" w:fill="auto"/>
            <w:noWrap/>
            <w:vAlign w:val="bottom"/>
            <w:hideMark/>
          </w:tcPr>
          <w:p w14:paraId="2AF661A1"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PLAY_TYPE</w:t>
            </w:r>
          </w:p>
        </w:tc>
        <w:tc>
          <w:tcPr>
            <w:tcW w:w="2123" w:type="dxa"/>
            <w:tcBorders>
              <w:top w:val="nil"/>
              <w:left w:val="nil"/>
              <w:bottom w:val="nil"/>
              <w:right w:val="nil"/>
            </w:tcBorders>
            <w:shd w:val="clear" w:color="auto" w:fill="auto"/>
            <w:vAlign w:val="bottom"/>
            <w:hideMark/>
          </w:tcPr>
          <w:p w14:paraId="490C1828"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F1</w:t>
            </w:r>
          </w:p>
        </w:tc>
        <w:tc>
          <w:tcPr>
            <w:tcW w:w="1976" w:type="dxa"/>
            <w:tcBorders>
              <w:top w:val="nil"/>
              <w:left w:val="single" w:sz="4" w:space="0" w:color="auto"/>
              <w:bottom w:val="nil"/>
              <w:right w:val="nil"/>
            </w:tcBorders>
            <w:shd w:val="clear" w:color="auto" w:fill="auto"/>
            <w:noWrap/>
            <w:vAlign w:val="bottom"/>
            <w:hideMark/>
          </w:tcPr>
          <w:p w14:paraId="700798FC"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RECG_AF</w:t>
            </w:r>
          </w:p>
        </w:tc>
        <w:tc>
          <w:tcPr>
            <w:tcW w:w="1116" w:type="dxa"/>
            <w:tcBorders>
              <w:top w:val="nil"/>
              <w:left w:val="nil"/>
              <w:bottom w:val="nil"/>
              <w:right w:val="single" w:sz="4" w:space="0" w:color="auto"/>
            </w:tcBorders>
            <w:shd w:val="clear" w:color="auto" w:fill="auto"/>
            <w:vAlign w:val="bottom"/>
            <w:hideMark/>
          </w:tcPr>
          <w:p w14:paraId="6E84EF4F"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570.995</w:t>
            </w:r>
          </w:p>
        </w:tc>
      </w:tr>
      <w:tr w:rsidR="00AD05AF" w:rsidRPr="00AD05AF" w14:paraId="50FA6ED5" w14:textId="77777777" w:rsidTr="00AD05AF">
        <w:trPr>
          <w:trHeight w:val="300"/>
          <w:jc w:val="center"/>
        </w:trPr>
        <w:tc>
          <w:tcPr>
            <w:tcW w:w="1870" w:type="dxa"/>
            <w:tcBorders>
              <w:top w:val="nil"/>
              <w:left w:val="single" w:sz="4" w:space="0" w:color="auto"/>
              <w:bottom w:val="nil"/>
              <w:right w:val="nil"/>
            </w:tcBorders>
            <w:shd w:val="clear" w:color="auto" w:fill="auto"/>
            <w:noWrap/>
            <w:vAlign w:val="bottom"/>
            <w:hideMark/>
          </w:tcPr>
          <w:p w14:paraId="5CB52CB8"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SD_TYPE</w:t>
            </w:r>
          </w:p>
        </w:tc>
        <w:tc>
          <w:tcPr>
            <w:tcW w:w="2123" w:type="dxa"/>
            <w:tcBorders>
              <w:top w:val="nil"/>
              <w:left w:val="nil"/>
              <w:bottom w:val="nil"/>
              <w:right w:val="nil"/>
            </w:tcBorders>
            <w:shd w:val="clear" w:color="auto" w:fill="auto"/>
            <w:vAlign w:val="bottom"/>
            <w:hideMark/>
          </w:tcPr>
          <w:p w14:paraId="2D816E87"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G</w:t>
            </w:r>
          </w:p>
        </w:tc>
        <w:tc>
          <w:tcPr>
            <w:tcW w:w="1976" w:type="dxa"/>
            <w:tcBorders>
              <w:top w:val="nil"/>
              <w:left w:val="single" w:sz="4" w:space="0" w:color="auto"/>
              <w:bottom w:val="nil"/>
              <w:right w:val="nil"/>
            </w:tcBorders>
            <w:shd w:val="clear" w:color="auto" w:fill="auto"/>
            <w:noWrap/>
            <w:vAlign w:val="bottom"/>
            <w:hideMark/>
          </w:tcPr>
          <w:p w14:paraId="597A0928"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OIP</w:t>
            </w:r>
          </w:p>
        </w:tc>
        <w:tc>
          <w:tcPr>
            <w:tcW w:w="1116" w:type="dxa"/>
            <w:tcBorders>
              <w:top w:val="nil"/>
              <w:left w:val="nil"/>
              <w:bottom w:val="nil"/>
              <w:right w:val="single" w:sz="4" w:space="0" w:color="auto"/>
            </w:tcBorders>
            <w:shd w:val="clear" w:color="auto" w:fill="auto"/>
            <w:vAlign w:val="bottom"/>
            <w:hideMark/>
          </w:tcPr>
          <w:p w14:paraId="39BE34C0"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0</w:t>
            </w:r>
          </w:p>
        </w:tc>
      </w:tr>
      <w:tr w:rsidR="00AD05AF" w:rsidRPr="00AD05AF" w14:paraId="3EE646B7" w14:textId="77777777" w:rsidTr="00AD05AF">
        <w:trPr>
          <w:trHeight w:val="300"/>
          <w:jc w:val="center"/>
        </w:trPr>
        <w:tc>
          <w:tcPr>
            <w:tcW w:w="1870" w:type="dxa"/>
            <w:tcBorders>
              <w:top w:val="nil"/>
              <w:left w:val="single" w:sz="4" w:space="0" w:color="auto"/>
              <w:bottom w:val="nil"/>
              <w:right w:val="nil"/>
            </w:tcBorders>
            <w:shd w:val="clear" w:color="auto" w:fill="auto"/>
            <w:noWrap/>
            <w:vAlign w:val="bottom"/>
            <w:hideMark/>
          </w:tcPr>
          <w:p w14:paraId="327ACD5A"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WDEP</w:t>
            </w:r>
          </w:p>
        </w:tc>
        <w:tc>
          <w:tcPr>
            <w:tcW w:w="2123" w:type="dxa"/>
            <w:tcBorders>
              <w:top w:val="nil"/>
              <w:left w:val="nil"/>
              <w:bottom w:val="nil"/>
              <w:right w:val="nil"/>
            </w:tcBorders>
            <w:shd w:val="clear" w:color="auto" w:fill="auto"/>
            <w:vAlign w:val="bottom"/>
            <w:hideMark/>
          </w:tcPr>
          <w:p w14:paraId="2C24C5B8"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237</w:t>
            </w:r>
          </w:p>
        </w:tc>
        <w:tc>
          <w:tcPr>
            <w:tcW w:w="1976" w:type="dxa"/>
            <w:tcBorders>
              <w:top w:val="nil"/>
              <w:left w:val="single" w:sz="4" w:space="0" w:color="auto"/>
              <w:bottom w:val="nil"/>
              <w:right w:val="nil"/>
            </w:tcBorders>
            <w:shd w:val="clear" w:color="auto" w:fill="auto"/>
            <w:noWrap/>
            <w:vAlign w:val="bottom"/>
            <w:hideMark/>
          </w:tcPr>
          <w:p w14:paraId="19C1FD63"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GIP</w:t>
            </w:r>
          </w:p>
        </w:tc>
        <w:tc>
          <w:tcPr>
            <w:tcW w:w="1116" w:type="dxa"/>
            <w:tcBorders>
              <w:top w:val="nil"/>
              <w:left w:val="nil"/>
              <w:bottom w:val="nil"/>
              <w:right w:val="single" w:sz="4" w:space="0" w:color="auto"/>
            </w:tcBorders>
            <w:shd w:val="clear" w:color="auto" w:fill="auto"/>
            <w:vAlign w:val="bottom"/>
            <w:hideMark/>
          </w:tcPr>
          <w:p w14:paraId="422274C3"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8744238</w:t>
            </w:r>
          </w:p>
        </w:tc>
      </w:tr>
      <w:tr w:rsidR="00AD05AF" w:rsidRPr="00AD05AF" w14:paraId="06644A13" w14:textId="77777777" w:rsidTr="00AD05AF">
        <w:trPr>
          <w:trHeight w:val="300"/>
          <w:jc w:val="center"/>
        </w:trPr>
        <w:tc>
          <w:tcPr>
            <w:tcW w:w="1870" w:type="dxa"/>
            <w:tcBorders>
              <w:top w:val="nil"/>
              <w:left w:val="single" w:sz="4" w:space="0" w:color="auto"/>
              <w:bottom w:val="nil"/>
              <w:right w:val="nil"/>
            </w:tcBorders>
            <w:shd w:val="clear" w:color="auto" w:fill="auto"/>
            <w:noWrap/>
            <w:vAlign w:val="bottom"/>
            <w:hideMark/>
          </w:tcPr>
          <w:p w14:paraId="2333A736"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Original Oil</w:t>
            </w:r>
          </w:p>
        </w:tc>
        <w:tc>
          <w:tcPr>
            <w:tcW w:w="2123" w:type="dxa"/>
            <w:tcBorders>
              <w:top w:val="nil"/>
              <w:left w:val="nil"/>
              <w:bottom w:val="nil"/>
              <w:right w:val="nil"/>
            </w:tcBorders>
            <w:shd w:val="clear" w:color="auto" w:fill="auto"/>
            <w:vAlign w:val="bottom"/>
            <w:hideMark/>
          </w:tcPr>
          <w:p w14:paraId="0FA27619"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2606</w:t>
            </w:r>
          </w:p>
        </w:tc>
        <w:tc>
          <w:tcPr>
            <w:tcW w:w="1976" w:type="dxa"/>
            <w:tcBorders>
              <w:top w:val="nil"/>
              <w:left w:val="single" w:sz="4" w:space="0" w:color="auto"/>
              <w:bottom w:val="nil"/>
              <w:right w:val="nil"/>
            </w:tcBorders>
            <w:shd w:val="clear" w:color="auto" w:fill="auto"/>
            <w:noWrap/>
            <w:vAlign w:val="bottom"/>
            <w:hideMark/>
          </w:tcPr>
          <w:p w14:paraId="66994863"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ORF</w:t>
            </w:r>
          </w:p>
        </w:tc>
        <w:tc>
          <w:tcPr>
            <w:tcW w:w="1116" w:type="dxa"/>
            <w:tcBorders>
              <w:top w:val="nil"/>
              <w:left w:val="nil"/>
              <w:bottom w:val="nil"/>
              <w:right w:val="single" w:sz="4" w:space="0" w:color="auto"/>
            </w:tcBorders>
            <w:shd w:val="clear" w:color="auto" w:fill="auto"/>
            <w:vAlign w:val="bottom"/>
            <w:hideMark/>
          </w:tcPr>
          <w:p w14:paraId="217AFDB8"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0</w:t>
            </w:r>
          </w:p>
        </w:tc>
      </w:tr>
      <w:tr w:rsidR="00AD05AF" w:rsidRPr="00AD05AF" w14:paraId="4D336085" w14:textId="77777777" w:rsidTr="00AD05AF">
        <w:trPr>
          <w:trHeight w:val="300"/>
          <w:jc w:val="center"/>
        </w:trPr>
        <w:tc>
          <w:tcPr>
            <w:tcW w:w="1870" w:type="dxa"/>
            <w:tcBorders>
              <w:top w:val="nil"/>
              <w:left w:val="single" w:sz="4" w:space="0" w:color="auto"/>
              <w:bottom w:val="nil"/>
              <w:right w:val="nil"/>
            </w:tcBorders>
            <w:shd w:val="clear" w:color="auto" w:fill="auto"/>
            <w:noWrap/>
            <w:vAlign w:val="bottom"/>
            <w:hideMark/>
          </w:tcPr>
          <w:p w14:paraId="507A604A"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Original Gas</w:t>
            </w:r>
          </w:p>
        </w:tc>
        <w:tc>
          <w:tcPr>
            <w:tcW w:w="2123" w:type="dxa"/>
            <w:tcBorders>
              <w:top w:val="nil"/>
              <w:left w:val="nil"/>
              <w:bottom w:val="nil"/>
              <w:right w:val="nil"/>
            </w:tcBorders>
            <w:shd w:val="clear" w:color="auto" w:fill="auto"/>
            <w:vAlign w:val="bottom"/>
            <w:hideMark/>
          </w:tcPr>
          <w:p w14:paraId="01CCE93A"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1243057</w:t>
            </w:r>
          </w:p>
        </w:tc>
        <w:tc>
          <w:tcPr>
            <w:tcW w:w="1976" w:type="dxa"/>
            <w:tcBorders>
              <w:top w:val="nil"/>
              <w:left w:val="single" w:sz="4" w:space="0" w:color="auto"/>
              <w:bottom w:val="nil"/>
              <w:right w:val="nil"/>
            </w:tcBorders>
            <w:shd w:val="clear" w:color="auto" w:fill="auto"/>
            <w:noWrap/>
            <w:vAlign w:val="bottom"/>
            <w:hideMark/>
          </w:tcPr>
          <w:p w14:paraId="2D1C1097"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ORECO</w:t>
            </w:r>
          </w:p>
        </w:tc>
        <w:tc>
          <w:tcPr>
            <w:tcW w:w="1116" w:type="dxa"/>
            <w:tcBorders>
              <w:top w:val="nil"/>
              <w:left w:val="nil"/>
              <w:bottom w:val="nil"/>
              <w:right w:val="single" w:sz="4" w:space="0" w:color="auto"/>
            </w:tcBorders>
            <w:shd w:val="clear" w:color="auto" w:fill="auto"/>
            <w:vAlign w:val="bottom"/>
            <w:hideMark/>
          </w:tcPr>
          <w:p w14:paraId="28B54561"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0</w:t>
            </w:r>
          </w:p>
        </w:tc>
      </w:tr>
      <w:tr w:rsidR="00AD05AF" w:rsidRPr="00AD05AF" w14:paraId="4892F067" w14:textId="77777777" w:rsidTr="00AD05AF">
        <w:trPr>
          <w:trHeight w:val="300"/>
          <w:jc w:val="center"/>
        </w:trPr>
        <w:tc>
          <w:tcPr>
            <w:tcW w:w="1870" w:type="dxa"/>
            <w:tcBorders>
              <w:top w:val="nil"/>
              <w:left w:val="single" w:sz="4" w:space="0" w:color="auto"/>
              <w:bottom w:val="nil"/>
              <w:right w:val="nil"/>
            </w:tcBorders>
            <w:shd w:val="clear" w:color="auto" w:fill="auto"/>
            <w:noWrap/>
            <w:vAlign w:val="bottom"/>
            <w:hideMark/>
          </w:tcPr>
          <w:p w14:paraId="470AB6B1"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Original BOE</w:t>
            </w:r>
          </w:p>
        </w:tc>
        <w:tc>
          <w:tcPr>
            <w:tcW w:w="2123" w:type="dxa"/>
            <w:tcBorders>
              <w:top w:val="nil"/>
              <w:left w:val="nil"/>
              <w:bottom w:val="nil"/>
              <w:right w:val="nil"/>
            </w:tcBorders>
            <w:shd w:val="clear" w:color="auto" w:fill="auto"/>
            <w:vAlign w:val="bottom"/>
            <w:hideMark/>
          </w:tcPr>
          <w:p w14:paraId="010F7F1E"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223791</w:t>
            </w:r>
          </w:p>
        </w:tc>
        <w:tc>
          <w:tcPr>
            <w:tcW w:w="1976" w:type="dxa"/>
            <w:tcBorders>
              <w:top w:val="nil"/>
              <w:left w:val="single" w:sz="4" w:space="0" w:color="auto"/>
              <w:bottom w:val="nil"/>
              <w:right w:val="nil"/>
            </w:tcBorders>
            <w:shd w:val="clear" w:color="auto" w:fill="auto"/>
            <w:noWrap/>
            <w:vAlign w:val="bottom"/>
            <w:hideMark/>
          </w:tcPr>
          <w:p w14:paraId="4A8C5B12"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ORECG</w:t>
            </w:r>
          </w:p>
        </w:tc>
        <w:tc>
          <w:tcPr>
            <w:tcW w:w="1116" w:type="dxa"/>
            <w:tcBorders>
              <w:top w:val="nil"/>
              <w:left w:val="nil"/>
              <w:bottom w:val="nil"/>
              <w:right w:val="single" w:sz="4" w:space="0" w:color="auto"/>
            </w:tcBorders>
            <w:shd w:val="clear" w:color="auto" w:fill="auto"/>
            <w:vAlign w:val="bottom"/>
            <w:hideMark/>
          </w:tcPr>
          <w:p w14:paraId="058E8BB9"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0</w:t>
            </w:r>
          </w:p>
        </w:tc>
      </w:tr>
      <w:tr w:rsidR="00AD05AF" w:rsidRPr="00AD05AF" w14:paraId="6391211F" w14:textId="77777777" w:rsidTr="00AD05AF">
        <w:trPr>
          <w:trHeight w:val="300"/>
          <w:jc w:val="center"/>
        </w:trPr>
        <w:tc>
          <w:tcPr>
            <w:tcW w:w="1870" w:type="dxa"/>
            <w:tcBorders>
              <w:top w:val="nil"/>
              <w:left w:val="single" w:sz="4" w:space="0" w:color="auto"/>
              <w:bottom w:val="nil"/>
              <w:right w:val="nil"/>
            </w:tcBorders>
            <w:shd w:val="clear" w:color="auto" w:fill="auto"/>
            <w:noWrap/>
            <w:vAlign w:val="bottom"/>
            <w:hideMark/>
          </w:tcPr>
          <w:p w14:paraId="481D8219"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Cum Oil</w:t>
            </w:r>
          </w:p>
        </w:tc>
        <w:tc>
          <w:tcPr>
            <w:tcW w:w="2123" w:type="dxa"/>
            <w:tcBorders>
              <w:top w:val="nil"/>
              <w:left w:val="nil"/>
              <w:bottom w:val="nil"/>
              <w:right w:val="nil"/>
            </w:tcBorders>
            <w:shd w:val="clear" w:color="auto" w:fill="auto"/>
            <w:vAlign w:val="bottom"/>
            <w:hideMark/>
          </w:tcPr>
          <w:p w14:paraId="2F14DB64"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2606</w:t>
            </w:r>
          </w:p>
        </w:tc>
        <w:tc>
          <w:tcPr>
            <w:tcW w:w="1976" w:type="dxa"/>
            <w:tcBorders>
              <w:top w:val="nil"/>
              <w:left w:val="single" w:sz="4" w:space="0" w:color="auto"/>
              <w:bottom w:val="nil"/>
              <w:right w:val="nil"/>
            </w:tcBorders>
            <w:shd w:val="clear" w:color="auto" w:fill="auto"/>
            <w:noWrap/>
            <w:vAlign w:val="bottom"/>
            <w:hideMark/>
          </w:tcPr>
          <w:p w14:paraId="4E314ACB"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ORP</w:t>
            </w:r>
          </w:p>
        </w:tc>
        <w:tc>
          <w:tcPr>
            <w:tcW w:w="1116" w:type="dxa"/>
            <w:tcBorders>
              <w:top w:val="nil"/>
              <w:left w:val="nil"/>
              <w:bottom w:val="nil"/>
              <w:right w:val="single" w:sz="4" w:space="0" w:color="auto"/>
            </w:tcBorders>
            <w:shd w:val="clear" w:color="auto" w:fill="auto"/>
            <w:vAlign w:val="bottom"/>
            <w:hideMark/>
          </w:tcPr>
          <w:p w14:paraId="540F21D1"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0</w:t>
            </w:r>
          </w:p>
        </w:tc>
      </w:tr>
      <w:tr w:rsidR="00AD05AF" w:rsidRPr="00AD05AF" w14:paraId="452DB9BE" w14:textId="77777777" w:rsidTr="00AD05AF">
        <w:trPr>
          <w:trHeight w:val="300"/>
          <w:jc w:val="center"/>
        </w:trPr>
        <w:tc>
          <w:tcPr>
            <w:tcW w:w="1870" w:type="dxa"/>
            <w:tcBorders>
              <w:top w:val="nil"/>
              <w:left w:val="single" w:sz="4" w:space="0" w:color="auto"/>
              <w:bottom w:val="nil"/>
              <w:right w:val="nil"/>
            </w:tcBorders>
            <w:shd w:val="clear" w:color="auto" w:fill="auto"/>
            <w:noWrap/>
            <w:vAlign w:val="bottom"/>
            <w:hideMark/>
          </w:tcPr>
          <w:p w14:paraId="51B08611"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Cum Gas</w:t>
            </w:r>
          </w:p>
        </w:tc>
        <w:tc>
          <w:tcPr>
            <w:tcW w:w="2123" w:type="dxa"/>
            <w:tcBorders>
              <w:top w:val="nil"/>
              <w:left w:val="nil"/>
              <w:bottom w:val="nil"/>
              <w:right w:val="nil"/>
            </w:tcBorders>
            <w:shd w:val="clear" w:color="auto" w:fill="auto"/>
            <w:vAlign w:val="bottom"/>
            <w:hideMark/>
          </w:tcPr>
          <w:p w14:paraId="7C1411EA"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1243057</w:t>
            </w:r>
          </w:p>
        </w:tc>
        <w:tc>
          <w:tcPr>
            <w:tcW w:w="1976" w:type="dxa"/>
            <w:tcBorders>
              <w:top w:val="nil"/>
              <w:left w:val="single" w:sz="4" w:space="0" w:color="auto"/>
              <w:bottom w:val="nil"/>
              <w:right w:val="nil"/>
            </w:tcBorders>
            <w:shd w:val="clear" w:color="auto" w:fill="auto"/>
            <w:noWrap/>
            <w:vAlign w:val="bottom"/>
            <w:hideMark/>
          </w:tcPr>
          <w:p w14:paraId="290032BF"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GRF</w:t>
            </w:r>
          </w:p>
        </w:tc>
        <w:tc>
          <w:tcPr>
            <w:tcW w:w="1116" w:type="dxa"/>
            <w:tcBorders>
              <w:top w:val="nil"/>
              <w:left w:val="nil"/>
              <w:bottom w:val="nil"/>
              <w:right w:val="single" w:sz="4" w:space="0" w:color="auto"/>
            </w:tcBorders>
            <w:shd w:val="clear" w:color="auto" w:fill="auto"/>
            <w:vAlign w:val="bottom"/>
            <w:hideMark/>
          </w:tcPr>
          <w:p w14:paraId="07A7A33B"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0.14</w:t>
            </w:r>
          </w:p>
        </w:tc>
      </w:tr>
      <w:tr w:rsidR="00AD05AF" w:rsidRPr="00AD05AF" w14:paraId="24F318E9" w14:textId="77777777" w:rsidTr="00AD05AF">
        <w:trPr>
          <w:trHeight w:val="300"/>
          <w:jc w:val="center"/>
        </w:trPr>
        <w:tc>
          <w:tcPr>
            <w:tcW w:w="1870" w:type="dxa"/>
            <w:tcBorders>
              <w:top w:val="nil"/>
              <w:left w:val="single" w:sz="4" w:space="0" w:color="auto"/>
              <w:bottom w:val="nil"/>
              <w:right w:val="nil"/>
            </w:tcBorders>
            <w:shd w:val="clear" w:color="auto" w:fill="auto"/>
            <w:noWrap/>
            <w:vAlign w:val="bottom"/>
            <w:hideMark/>
          </w:tcPr>
          <w:p w14:paraId="063B876B"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Cum BOE</w:t>
            </w:r>
          </w:p>
        </w:tc>
        <w:tc>
          <w:tcPr>
            <w:tcW w:w="2123" w:type="dxa"/>
            <w:tcBorders>
              <w:top w:val="nil"/>
              <w:left w:val="nil"/>
              <w:bottom w:val="nil"/>
              <w:right w:val="nil"/>
            </w:tcBorders>
            <w:shd w:val="clear" w:color="auto" w:fill="auto"/>
            <w:vAlign w:val="bottom"/>
            <w:hideMark/>
          </w:tcPr>
          <w:p w14:paraId="34C6BBBC"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223791</w:t>
            </w:r>
          </w:p>
        </w:tc>
        <w:tc>
          <w:tcPr>
            <w:tcW w:w="1976" w:type="dxa"/>
            <w:tcBorders>
              <w:top w:val="nil"/>
              <w:left w:val="single" w:sz="4" w:space="0" w:color="auto"/>
              <w:bottom w:val="nil"/>
              <w:right w:val="nil"/>
            </w:tcBorders>
            <w:shd w:val="clear" w:color="auto" w:fill="auto"/>
            <w:noWrap/>
            <w:vAlign w:val="bottom"/>
            <w:hideMark/>
          </w:tcPr>
          <w:p w14:paraId="471CE70D"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GRECO</w:t>
            </w:r>
          </w:p>
        </w:tc>
        <w:tc>
          <w:tcPr>
            <w:tcW w:w="1116" w:type="dxa"/>
            <w:tcBorders>
              <w:top w:val="nil"/>
              <w:left w:val="nil"/>
              <w:bottom w:val="nil"/>
              <w:right w:val="single" w:sz="4" w:space="0" w:color="auto"/>
            </w:tcBorders>
            <w:shd w:val="clear" w:color="auto" w:fill="auto"/>
            <w:vAlign w:val="bottom"/>
            <w:hideMark/>
          </w:tcPr>
          <w:p w14:paraId="3AD8A9B3"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2606</w:t>
            </w:r>
          </w:p>
        </w:tc>
      </w:tr>
      <w:tr w:rsidR="00AD05AF" w:rsidRPr="00AD05AF" w14:paraId="2BF8D87A" w14:textId="77777777" w:rsidTr="00AD05AF">
        <w:trPr>
          <w:trHeight w:val="300"/>
          <w:jc w:val="center"/>
        </w:trPr>
        <w:tc>
          <w:tcPr>
            <w:tcW w:w="1870" w:type="dxa"/>
            <w:tcBorders>
              <w:top w:val="nil"/>
              <w:left w:val="single" w:sz="4" w:space="0" w:color="auto"/>
              <w:bottom w:val="nil"/>
              <w:right w:val="nil"/>
            </w:tcBorders>
            <w:shd w:val="clear" w:color="auto" w:fill="auto"/>
            <w:noWrap/>
            <w:vAlign w:val="bottom"/>
            <w:hideMark/>
          </w:tcPr>
          <w:p w14:paraId="1D0F772B"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Oil Reserves</w:t>
            </w:r>
          </w:p>
        </w:tc>
        <w:tc>
          <w:tcPr>
            <w:tcW w:w="2123" w:type="dxa"/>
            <w:tcBorders>
              <w:top w:val="nil"/>
              <w:left w:val="nil"/>
              <w:bottom w:val="nil"/>
              <w:right w:val="nil"/>
            </w:tcBorders>
            <w:shd w:val="clear" w:color="auto" w:fill="auto"/>
            <w:vAlign w:val="bottom"/>
            <w:hideMark/>
          </w:tcPr>
          <w:p w14:paraId="755B5BE6"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0</w:t>
            </w:r>
          </w:p>
        </w:tc>
        <w:tc>
          <w:tcPr>
            <w:tcW w:w="1976" w:type="dxa"/>
            <w:tcBorders>
              <w:top w:val="nil"/>
              <w:left w:val="single" w:sz="4" w:space="0" w:color="auto"/>
              <w:bottom w:val="nil"/>
              <w:right w:val="nil"/>
            </w:tcBorders>
            <w:shd w:val="clear" w:color="auto" w:fill="auto"/>
            <w:noWrap/>
            <w:vAlign w:val="bottom"/>
            <w:hideMark/>
          </w:tcPr>
          <w:p w14:paraId="4CE177FF"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GRECG</w:t>
            </w:r>
          </w:p>
        </w:tc>
        <w:tc>
          <w:tcPr>
            <w:tcW w:w="1116" w:type="dxa"/>
            <w:tcBorders>
              <w:top w:val="nil"/>
              <w:left w:val="nil"/>
              <w:bottom w:val="nil"/>
              <w:right w:val="single" w:sz="4" w:space="0" w:color="auto"/>
            </w:tcBorders>
            <w:shd w:val="clear" w:color="auto" w:fill="auto"/>
            <w:vAlign w:val="bottom"/>
            <w:hideMark/>
          </w:tcPr>
          <w:p w14:paraId="00C54BC8"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1243057</w:t>
            </w:r>
          </w:p>
        </w:tc>
      </w:tr>
      <w:tr w:rsidR="00AD05AF" w:rsidRPr="00AD05AF" w14:paraId="2165EEB6" w14:textId="77777777" w:rsidTr="00AD05AF">
        <w:trPr>
          <w:trHeight w:val="300"/>
          <w:jc w:val="center"/>
        </w:trPr>
        <w:tc>
          <w:tcPr>
            <w:tcW w:w="1870" w:type="dxa"/>
            <w:tcBorders>
              <w:top w:val="nil"/>
              <w:left w:val="single" w:sz="4" w:space="0" w:color="auto"/>
              <w:bottom w:val="nil"/>
              <w:right w:val="nil"/>
            </w:tcBorders>
            <w:shd w:val="clear" w:color="auto" w:fill="auto"/>
            <w:noWrap/>
            <w:vAlign w:val="bottom"/>
            <w:hideMark/>
          </w:tcPr>
          <w:p w14:paraId="0495893B"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Gas Reserves</w:t>
            </w:r>
          </w:p>
        </w:tc>
        <w:tc>
          <w:tcPr>
            <w:tcW w:w="2123" w:type="dxa"/>
            <w:tcBorders>
              <w:top w:val="nil"/>
              <w:left w:val="nil"/>
              <w:bottom w:val="nil"/>
              <w:right w:val="nil"/>
            </w:tcBorders>
            <w:shd w:val="clear" w:color="auto" w:fill="auto"/>
            <w:vAlign w:val="bottom"/>
            <w:hideMark/>
          </w:tcPr>
          <w:p w14:paraId="77BE514B"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0</w:t>
            </w:r>
          </w:p>
        </w:tc>
        <w:tc>
          <w:tcPr>
            <w:tcW w:w="1976" w:type="dxa"/>
            <w:tcBorders>
              <w:top w:val="nil"/>
              <w:left w:val="single" w:sz="4" w:space="0" w:color="auto"/>
              <w:bottom w:val="nil"/>
              <w:right w:val="nil"/>
            </w:tcBorders>
            <w:shd w:val="clear" w:color="auto" w:fill="auto"/>
            <w:noWrap/>
            <w:vAlign w:val="bottom"/>
            <w:hideMark/>
          </w:tcPr>
          <w:p w14:paraId="5B419CEC"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GRP</w:t>
            </w:r>
          </w:p>
        </w:tc>
        <w:tc>
          <w:tcPr>
            <w:tcW w:w="1116" w:type="dxa"/>
            <w:tcBorders>
              <w:top w:val="nil"/>
              <w:left w:val="nil"/>
              <w:bottom w:val="nil"/>
              <w:right w:val="single" w:sz="4" w:space="0" w:color="auto"/>
            </w:tcBorders>
            <w:shd w:val="clear" w:color="auto" w:fill="auto"/>
            <w:vAlign w:val="bottom"/>
            <w:hideMark/>
          </w:tcPr>
          <w:p w14:paraId="7F2DF6E7"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476.998</w:t>
            </w:r>
          </w:p>
        </w:tc>
      </w:tr>
      <w:tr w:rsidR="00AD05AF" w:rsidRPr="00AD05AF" w14:paraId="4A813952" w14:textId="77777777" w:rsidTr="00AD05AF">
        <w:trPr>
          <w:trHeight w:val="300"/>
          <w:jc w:val="center"/>
        </w:trPr>
        <w:tc>
          <w:tcPr>
            <w:tcW w:w="1870" w:type="dxa"/>
            <w:tcBorders>
              <w:top w:val="nil"/>
              <w:left w:val="single" w:sz="4" w:space="0" w:color="auto"/>
              <w:bottom w:val="nil"/>
              <w:right w:val="nil"/>
            </w:tcBorders>
            <w:shd w:val="clear" w:color="auto" w:fill="auto"/>
            <w:noWrap/>
            <w:vAlign w:val="bottom"/>
            <w:hideMark/>
          </w:tcPr>
          <w:p w14:paraId="5E837A15"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BOE Reserves</w:t>
            </w:r>
          </w:p>
        </w:tc>
        <w:tc>
          <w:tcPr>
            <w:tcW w:w="2123" w:type="dxa"/>
            <w:tcBorders>
              <w:top w:val="nil"/>
              <w:left w:val="nil"/>
              <w:bottom w:val="nil"/>
              <w:right w:val="nil"/>
            </w:tcBorders>
            <w:shd w:val="clear" w:color="auto" w:fill="auto"/>
            <w:vAlign w:val="bottom"/>
            <w:hideMark/>
          </w:tcPr>
          <w:p w14:paraId="74EF59C8"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0</w:t>
            </w:r>
          </w:p>
        </w:tc>
        <w:tc>
          <w:tcPr>
            <w:tcW w:w="1976" w:type="dxa"/>
            <w:tcBorders>
              <w:top w:val="nil"/>
              <w:left w:val="single" w:sz="4" w:space="0" w:color="auto"/>
              <w:bottom w:val="nil"/>
              <w:right w:val="nil"/>
            </w:tcBorders>
            <w:shd w:val="clear" w:color="auto" w:fill="auto"/>
            <w:noWrap/>
            <w:vAlign w:val="bottom"/>
            <w:hideMark/>
          </w:tcPr>
          <w:p w14:paraId="1D544BEA"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NCNT</w:t>
            </w:r>
          </w:p>
        </w:tc>
        <w:tc>
          <w:tcPr>
            <w:tcW w:w="1116" w:type="dxa"/>
            <w:tcBorders>
              <w:top w:val="nil"/>
              <w:left w:val="nil"/>
              <w:bottom w:val="nil"/>
              <w:right w:val="single" w:sz="4" w:space="0" w:color="auto"/>
            </w:tcBorders>
            <w:shd w:val="clear" w:color="auto" w:fill="auto"/>
            <w:vAlign w:val="bottom"/>
            <w:hideMark/>
          </w:tcPr>
          <w:p w14:paraId="45F10608"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1</w:t>
            </w:r>
          </w:p>
        </w:tc>
      </w:tr>
      <w:tr w:rsidR="00AD05AF" w:rsidRPr="00AD05AF" w14:paraId="4B5EA49B" w14:textId="77777777" w:rsidTr="00AD05AF">
        <w:trPr>
          <w:trHeight w:val="300"/>
          <w:jc w:val="center"/>
        </w:trPr>
        <w:tc>
          <w:tcPr>
            <w:tcW w:w="1870" w:type="dxa"/>
            <w:tcBorders>
              <w:top w:val="nil"/>
              <w:left w:val="single" w:sz="4" w:space="0" w:color="auto"/>
              <w:bottom w:val="nil"/>
              <w:right w:val="nil"/>
            </w:tcBorders>
            <w:shd w:val="clear" w:color="auto" w:fill="auto"/>
            <w:noWrap/>
            <w:vAlign w:val="bottom"/>
            <w:hideMark/>
          </w:tcPr>
          <w:p w14:paraId="5A80E584"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SS</w:t>
            </w:r>
          </w:p>
        </w:tc>
        <w:tc>
          <w:tcPr>
            <w:tcW w:w="2123" w:type="dxa"/>
            <w:tcBorders>
              <w:top w:val="nil"/>
              <w:left w:val="nil"/>
              <w:bottom w:val="nil"/>
              <w:right w:val="nil"/>
            </w:tcBorders>
            <w:shd w:val="clear" w:color="auto" w:fill="auto"/>
            <w:vAlign w:val="bottom"/>
            <w:hideMark/>
          </w:tcPr>
          <w:p w14:paraId="1DF1D3EB"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8122</w:t>
            </w:r>
          </w:p>
        </w:tc>
        <w:tc>
          <w:tcPr>
            <w:tcW w:w="1976" w:type="dxa"/>
            <w:tcBorders>
              <w:top w:val="nil"/>
              <w:left w:val="single" w:sz="4" w:space="0" w:color="auto"/>
              <w:bottom w:val="nil"/>
              <w:right w:val="nil"/>
            </w:tcBorders>
            <w:shd w:val="clear" w:color="auto" w:fill="auto"/>
            <w:noWrap/>
            <w:vAlign w:val="bottom"/>
            <w:hideMark/>
          </w:tcPr>
          <w:p w14:paraId="615BA57A"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UCNT</w:t>
            </w:r>
          </w:p>
        </w:tc>
        <w:tc>
          <w:tcPr>
            <w:tcW w:w="1116" w:type="dxa"/>
            <w:tcBorders>
              <w:top w:val="nil"/>
              <w:left w:val="nil"/>
              <w:bottom w:val="nil"/>
              <w:right w:val="single" w:sz="4" w:space="0" w:color="auto"/>
            </w:tcBorders>
            <w:shd w:val="clear" w:color="auto" w:fill="auto"/>
            <w:vAlign w:val="bottom"/>
            <w:hideMark/>
          </w:tcPr>
          <w:p w14:paraId="13E821A0"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0</w:t>
            </w:r>
          </w:p>
        </w:tc>
      </w:tr>
      <w:tr w:rsidR="00AD05AF" w:rsidRPr="00AD05AF" w14:paraId="18001510" w14:textId="77777777" w:rsidTr="00AD05AF">
        <w:trPr>
          <w:trHeight w:val="300"/>
          <w:jc w:val="center"/>
        </w:trPr>
        <w:tc>
          <w:tcPr>
            <w:tcW w:w="1870" w:type="dxa"/>
            <w:tcBorders>
              <w:top w:val="nil"/>
              <w:left w:val="single" w:sz="4" w:space="0" w:color="auto"/>
              <w:bottom w:val="nil"/>
              <w:right w:val="nil"/>
            </w:tcBorders>
            <w:shd w:val="clear" w:color="auto" w:fill="auto"/>
            <w:noWrap/>
            <w:vAlign w:val="bottom"/>
            <w:hideMark/>
          </w:tcPr>
          <w:p w14:paraId="08DDB1F8"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THK</w:t>
            </w:r>
          </w:p>
        </w:tc>
        <w:tc>
          <w:tcPr>
            <w:tcW w:w="2123" w:type="dxa"/>
            <w:tcBorders>
              <w:top w:val="nil"/>
              <w:left w:val="nil"/>
              <w:bottom w:val="nil"/>
              <w:right w:val="nil"/>
            </w:tcBorders>
            <w:shd w:val="clear" w:color="auto" w:fill="auto"/>
            <w:vAlign w:val="bottom"/>
            <w:hideMark/>
          </w:tcPr>
          <w:p w14:paraId="3C011A89"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60.47</w:t>
            </w:r>
          </w:p>
        </w:tc>
        <w:tc>
          <w:tcPr>
            <w:tcW w:w="1976" w:type="dxa"/>
            <w:tcBorders>
              <w:top w:val="nil"/>
              <w:left w:val="single" w:sz="4" w:space="0" w:color="auto"/>
              <w:bottom w:val="nil"/>
              <w:right w:val="nil"/>
            </w:tcBorders>
            <w:shd w:val="clear" w:color="auto" w:fill="auto"/>
            <w:noWrap/>
            <w:vAlign w:val="bottom"/>
            <w:hideMark/>
          </w:tcPr>
          <w:p w14:paraId="1163D064"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SCNT</w:t>
            </w:r>
          </w:p>
        </w:tc>
        <w:tc>
          <w:tcPr>
            <w:tcW w:w="1116" w:type="dxa"/>
            <w:tcBorders>
              <w:top w:val="nil"/>
              <w:left w:val="nil"/>
              <w:bottom w:val="nil"/>
              <w:right w:val="single" w:sz="4" w:space="0" w:color="auto"/>
            </w:tcBorders>
            <w:shd w:val="clear" w:color="auto" w:fill="auto"/>
            <w:vAlign w:val="bottom"/>
            <w:hideMark/>
          </w:tcPr>
          <w:p w14:paraId="3D3E3EE8"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0</w:t>
            </w:r>
          </w:p>
        </w:tc>
      </w:tr>
      <w:tr w:rsidR="00AD05AF" w:rsidRPr="00AD05AF" w14:paraId="43CBA182" w14:textId="77777777" w:rsidTr="00AD05AF">
        <w:trPr>
          <w:trHeight w:val="300"/>
          <w:jc w:val="center"/>
        </w:trPr>
        <w:tc>
          <w:tcPr>
            <w:tcW w:w="1870" w:type="dxa"/>
            <w:tcBorders>
              <w:top w:val="nil"/>
              <w:left w:val="single" w:sz="4" w:space="0" w:color="auto"/>
              <w:bottom w:val="nil"/>
              <w:right w:val="nil"/>
            </w:tcBorders>
            <w:shd w:val="clear" w:color="auto" w:fill="auto"/>
            <w:noWrap/>
            <w:vAlign w:val="bottom"/>
            <w:hideMark/>
          </w:tcPr>
          <w:p w14:paraId="5634C4ED"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TAREA</w:t>
            </w:r>
          </w:p>
        </w:tc>
        <w:tc>
          <w:tcPr>
            <w:tcW w:w="2123" w:type="dxa"/>
            <w:tcBorders>
              <w:top w:val="nil"/>
              <w:left w:val="nil"/>
              <w:bottom w:val="nil"/>
              <w:right w:val="nil"/>
            </w:tcBorders>
            <w:shd w:val="clear" w:color="auto" w:fill="auto"/>
            <w:vAlign w:val="bottom"/>
            <w:hideMark/>
          </w:tcPr>
          <w:p w14:paraId="4173A831"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36</w:t>
            </w:r>
          </w:p>
        </w:tc>
        <w:tc>
          <w:tcPr>
            <w:tcW w:w="1976" w:type="dxa"/>
            <w:tcBorders>
              <w:top w:val="nil"/>
              <w:left w:val="single" w:sz="4" w:space="0" w:color="auto"/>
              <w:bottom w:val="nil"/>
              <w:right w:val="nil"/>
            </w:tcBorders>
            <w:shd w:val="clear" w:color="auto" w:fill="auto"/>
            <w:noWrap/>
            <w:vAlign w:val="bottom"/>
            <w:hideMark/>
          </w:tcPr>
          <w:p w14:paraId="0D082F74"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TCNT</w:t>
            </w:r>
          </w:p>
        </w:tc>
        <w:tc>
          <w:tcPr>
            <w:tcW w:w="1116" w:type="dxa"/>
            <w:tcBorders>
              <w:top w:val="nil"/>
              <w:left w:val="nil"/>
              <w:bottom w:val="nil"/>
              <w:right w:val="single" w:sz="4" w:space="0" w:color="auto"/>
            </w:tcBorders>
            <w:shd w:val="clear" w:color="auto" w:fill="auto"/>
            <w:vAlign w:val="bottom"/>
            <w:hideMark/>
          </w:tcPr>
          <w:p w14:paraId="0E112BD7"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1</w:t>
            </w:r>
          </w:p>
        </w:tc>
      </w:tr>
      <w:tr w:rsidR="00AD05AF" w:rsidRPr="00AD05AF" w14:paraId="195BF015" w14:textId="77777777" w:rsidTr="00AD05AF">
        <w:trPr>
          <w:trHeight w:val="300"/>
          <w:jc w:val="center"/>
        </w:trPr>
        <w:tc>
          <w:tcPr>
            <w:tcW w:w="1870" w:type="dxa"/>
            <w:tcBorders>
              <w:top w:val="nil"/>
              <w:left w:val="single" w:sz="4" w:space="0" w:color="auto"/>
              <w:bottom w:val="nil"/>
              <w:right w:val="nil"/>
            </w:tcBorders>
            <w:shd w:val="clear" w:color="auto" w:fill="auto"/>
            <w:noWrap/>
            <w:vAlign w:val="bottom"/>
            <w:hideMark/>
          </w:tcPr>
          <w:p w14:paraId="75FFE039"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TVOL</w:t>
            </w:r>
          </w:p>
        </w:tc>
        <w:tc>
          <w:tcPr>
            <w:tcW w:w="2123" w:type="dxa"/>
            <w:tcBorders>
              <w:top w:val="nil"/>
              <w:left w:val="nil"/>
              <w:bottom w:val="nil"/>
              <w:right w:val="nil"/>
            </w:tcBorders>
            <w:shd w:val="clear" w:color="auto" w:fill="auto"/>
            <w:vAlign w:val="bottom"/>
            <w:hideMark/>
          </w:tcPr>
          <w:p w14:paraId="7449EF67"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2177</w:t>
            </w:r>
          </w:p>
        </w:tc>
        <w:tc>
          <w:tcPr>
            <w:tcW w:w="1976" w:type="dxa"/>
            <w:tcBorders>
              <w:top w:val="nil"/>
              <w:left w:val="single" w:sz="4" w:space="0" w:color="auto"/>
              <w:bottom w:val="nil"/>
              <w:right w:val="nil"/>
            </w:tcBorders>
            <w:shd w:val="clear" w:color="auto" w:fill="auto"/>
            <w:noWrap/>
            <w:vAlign w:val="bottom"/>
            <w:hideMark/>
          </w:tcPr>
          <w:p w14:paraId="537236A2"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BHCOMP</w:t>
            </w:r>
          </w:p>
        </w:tc>
        <w:tc>
          <w:tcPr>
            <w:tcW w:w="1116" w:type="dxa"/>
            <w:tcBorders>
              <w:top w:val="nil"/>
              <w:left w:val="nil"/>
              <w:bottom w:val="nil"/>
              <w:right w:val="single" w:sz="4" w:space="0" w:color="auto"/>
            </w:tcBorders>
            <w:shd w:val="clear" w:color="auto" w:fill="auto"/>
            <w:vAlign w:val="bottom"/>
            <w:hideMark/>
          </w:tcPr>
          <w:p w14:paraId="5FA6B433"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1</w:t>
            </w:r>
          </w:p>
        </w:tc>
      </w:tr>
      <w:tr w:rsidR="00AD05AF" w:rsidRPr="00AD05AF" w14:paraId="4CA7620E" w14:textId="77777777" w:rsidTr="00AD05AF">
        <w:trPr>
          <w:trHeight w:val="300"/>
          <w:jc w:val="center"/>
        </w:trPr>
        <w:tc>
          <w:tcPr>
            <w:tcW w:w="1870" w:type="dxa"/>
            <w:tcBorders>
              <w:top w:val="nil"/>
              <w:left w:val="single" w:sz="4" w:space="0" w:color="auto"/>
              <w:bottom w:val="nil"/>
              <w:right w:val="nil"/>
            </w:tcBorders>
            <w:shd w:val="clear" w:color="auto" w:fill="auto"/>
            <w:noWrap/>
            <w:vAlign w:val="bottom"/>
            <w:hideMark/>
          </w:tcPr>
          <w:p w14:paraId="77160A27"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OTHK</w:t>
            </w:r>
          </w:p>
        </w:tc>
        <w:tc>
          <w:tcPr>
            <w:tcW w:w="2123" w:type="dxa"/>
            <w:tcBorders>
              <w:top w:val="nil"/>
              <w:left w:val="nil"/>
              <w:bottom w:val="nil"/>
              <w:right w:val="nil"/>
            </w:tcBorders>
            <w:shd w:val="clear" w:color="auto" w:fill="auto"/>
            <w:vAlign w:val="bottom"/>
            <w:hideMark/>
          </w:tcPr>
          <w:p w14:paraId="239060AC"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0</w:t>
            </w:r>
          </w:p>
        </w:tc>
        <w:tc>
          <w:tcPr>
            <w:tcW w:w="1976" w:type="dxa"/>
            <w:tcBorders>
              <w:top w:val="nil"/>
              <w:left w:val="single" w:sz="4" w:space="0" w:color="auto"/>
              <w:bottom w:val="nil"/>
              <w:right w:val="nil"/>
            </w:tcBorders>
            <w:shd w:val="clear" w:color="auto" w:fill="auto"/>
            <w:noWrap/>
            <w:vAlign w:val="bottom"/>
            <w:hideMark/>
          </w:tcPr>
          <w:p w14:paraId="74D96C8A"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LAT</w:t>
            </w:r>
          </w:p>
        </w:tc>
        <w:tc>
          <w:tcPr>
            <w:tcW w:w="1116" w:type="dxa"/>
            <w:tcBorders>
              <w:top w:val="nil"/>
              <w:left w:val="nil"/>
              <w:bottom w:val="nil"/>
              <w:right w:val="single" w:sz="4" w:space="0" w:color="auto"/>
            </w:tcBorders>
            <w:shd w:val="clear" w:color="auto" w:fill="auto"/>
            <w:vAlign w:val="bottom"/>
            <w:hideMark/>
          </w:tcPr>
          <w:p w14:paraId="5425E3F7"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28.04494</w:t>
            </w:r>
          </w:p>
        </w:tc>
      </w:tr>
      <w:tr w:rsidR="00AD05AF" w:rsidRPr="00AD05AF" w14:paraId="2B838368" w14:textId="77777777" w:rsidTr="00AD05AF">
        <w:trPr>
          <w:trHeight w:val="300"/>
          <w:jc w:val="center"/>
        </w:trPr>
        <w:tc>
          <w:tcPr>
            <w:tcW w:w="1870" w:type="dxa"/>
            <w:tcBorders>
              <w:top w:val="nil"/>
              <w:left w:val="single" w:sz="4" w:space="0" w:color="auto"/>
              <w:bottom w:val="single" w:sz="4" w:space="0" w:color="auto"/>
              <w:right w:val="nil"/>
            </w:tcBorders>
            <w:shd w:val="clear" w:color="auto" w:fill="auto"/>
            <w:noWrap/>
            <w:vAlign w:val="bottom"/>
            <w:hideMark/>
          </w:tcPr>
          <w:p w14:paraId="4C699F6F"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OAREA</w:t>
            </w:r>
          </w:p>
        </w:tc>
        <w:tc>
          <w:tcPr>
            <w:tcW w:w="2123" w:type="dxa"/>
            <w:tcBorders>
              <w:top w:val="nil"/>
              <w:left w:val="nil"/>
              <w:bottom w:val="single" w:sz="4" w:space="0" w:color="auto"/>
              <w:right w:val="nil"/>
            </w:tcBorders>
            <w:shd w:val="clear" w:color="auto" w:fill="auto"/>
            <w:vAlign w:val="bottom"/>
            <w:hideMark/>
          </w:tcPr>
          <w:p w14:paraId="0B1631D4"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0</w:t>
            </w:r>
          </w:p>
        </w:tc>
        <w:tc>
          <w:tcPr>
            <w:tcW w:w="1976" w:type="dxa"/>
            <w:tcBorders>
              <w:top w:val="nil"/>
              <w:left w:val="single" w:sz="4" w:space="0" w:color="auto"/>
              <w:bottom w:val="single" w:sz="4" w:space="0" w:color="auto"/>
              <w:right w:val="nil"/>
            </w:tcBorders>
            <w:shd w:val="clear" w:color="auto" w:fill="auto"/>
            <w:noWrap/>
            <w:vAlign w:val="bottom"/>
            <w:hideMark/>
          </w:tcPr>
          <w:p w14:paraId="6D8256F2"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LONG</w:t>
            </w:r>
          </w:p>
        </w:tc>
        <w:tc>
          <w:tcPr>
            <w:tcW w:w="1116" w:type="dxa"/>
            <w:tcBorders>
              <w:top w:val="nil"/>
              <w:left w:val="nil"/>
              <w:bottom w:val="single" w:sz="4" w:space="0" w:color="auto"/>
              <w:right w:val="single" w:sz="4" w:space="0" w:color="auto"/>
            </w:tcBorders>
            <w:shd w:val="clear" w:color="auto" w:fill="auto"/>
            <w:vAlign w:val="bottom"/>
            <w:hideMark/>
          </w:tcPr>
          <w:p w14:paraId="3C4E8650" w14:textId="77777777" w:rsidR="00AD05AF" w:rsidRPr="00AD05AF" w:rsidRDefault="00AD05AF" w:rsidP="00AD05AF">
            <w:pPr>
              <w:spacing w:line="240" w:lineRule="auto"/>
              <w:jc w:val="center"/>
              <w:rPr>
                <w:rFonts w:eastAsia="Times New Roman" w:cs="Times New Roman"/>
                <w:color w:val="000000"/>
                <w:szCs w:val="24"/>
              </w:rPr>
            </w:pPr>
            <w:r w:rsidRPr="00AD05AF">
              <w:rPr>
                <w:rFonts w:eastAsia="Times New Roman" w:cs="Times New Roman"/>
                <w:color w:val="000000"/>
                <w:szCs w:val="24"/>
              </w:rPr>
              <w:t>-94.0089</w:t>
            </w:r>
          </w:p>
        </w:tc>
      </w:tr>
    </w:tbl>
    <w:p w14:paraId="7FCBDC7D" w14:textId="7100AFA3" w:rsidR="00B919CE" w:rsidRDefault="0047381C" w:rsidP="00B919CE">
      <w:pPr>
        <w:pStyle w:val="Heading1"/>
        <w:numPr>
          <w:ilvl w:val="0"/>
          <w:numId w:val="0"/>
        </w:numPr>
      </w:pPr>
      <w:bookmarkStart w:id="181" w:name="_Toc67566076"/>
      <w:r>
        <w:lastRenderedPageBreak/>
        <w:t>Appendix E</w:t>
      </w:r>
      <w:r w:rsidR="00B919CE">
        <w:t xml:space="preserve">: </w:t>
      </w:r>
      <w:r w:rsidR="006F3756">
        <w:t>Numerical Model Details</w:t>
      </w:r>
      <w:bookmarkEnd w:id="181"/>
      <w:r w:rsidR="006F3756">
        <w:t xml:space="preserve"> </w:t>
      </w:r>
    </w:p>
    <w:p w14:paraId="6B2CBDBE" w14:textId="094731DF" w:rsidR="00B919CE" w:rsidRDefault="00BC1A8A" w:rsidP="00B919CE">
      <w:pPr>
        <w:ind w:firstLine="720"/>
      </w:pPr>
      <w:r>
        <w:t xml:space="preserve">The following screenshots are coded into ANSYS v19.1 as APDL codes. Figure </w:t>
      </w:r>
      <w:r w:rsidR="00546A95">
        <w:t>E</w:t>
      </w:r>
      <w:r>
        <w:t xml:space="preserve">.1 is for the rock formation initial conditions, Figure </w:t>
      </w:r>
      <w:r w:rsidR="00546A95">
        <w:t>E</w:t>
      </w:r>
      <w:r>
        <w:t xml:space="preserve">.2 is for the cement initial conditions, Figure </w:t>
      </w:r>
      <w:r w:rsidR="00546A95">
        <w:t>E</w:t>
      </w:r>
      <w:r>
        <w:t xml:space="preserve">.3 is for inserting the </w:t>
      </w:r>
      <w:r w:rsidR="00782634">
        <w:t xml:space="preserve">drilling </w:t>
      </w:r>
      <w:r w:rsidR="005707D1">
        <w:t>fluid weight</w:t>
      </w:r>
      <w:r>
        <w:t xml:space="preserve"> into the borehole and casing (pre-completion), Figure </w:t>
      </w:r>
      <w:r w:rsidR="00546A95">
        <w:t>E</w:t>
      </w:r>
      <w:r>
        <w:t xml:space="preserve">.4 is the code for applying pore pressure at the interfaces of the cement, and Figure </w:t>
      </w:r>
      <w:r w:rsidR="00546A95">
        <w:t>E</w:t>
      </w:r>
      <w:r>
        <w:t xml:space="preserve">.5 is for applying the production to the wellbore. </w:t>
      </w:r>
    </w:p>
    <w:p w14:paraId="294552F4" w14:textId="77777777" w:rsidR="0076110E" w:rsidRDefault="0076110E" w:rsidP="00B919CE">
      <w:pPr>
        <w:ind w:firstLine="720"/>
      </w:pPr>
    </w:p>
    <w:p w14:paraId="0C307530" w14:textId="77777777" w:rsidR="00BC1A8A" w:rsidRDefault="00BC1A8A" w:rsidP="00BC23AD">
      <w:pPr>
        <w:pStyle w:val="NoSpacing"/>
      </w:pPr>
      <w:r w:rsidRPr="00BC1A8A">
        <w:rPr>
          <w:noProof/>
        </w:rPr>
        <w:drawing>
          <wp:inline distT="0" distB="0" distL="0" distR="0" wp14:anchorId="534582BA" wp14:editId="23771892">
            <wp:extent cx="3200400" cy="2888857"/>
            <wp:effectExtent l="0" t="0" r="0" b="6985"/>
            <wp:docPr id="90909" name="Picture 90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9"/>
                    <a:stretch>
                      <a:fillRect/>
                    </a:stretch>
                  </pic:blipFill>
                  <pic:spPr>
                    <a:xfrm>
                      <a:off x="0" y="0"/>
                      <a:ext cx="3200400" cy="2888857"/>
                    </a:xfrm>
                    <a:prstGeom prst="rect">
                      <a:avLst/>
                    </a:prstGeom>
                  </pic:spPr>
                </pic:pic>
              </a:graphicData>
            </a:graphic>
          </wp:inline>
        </w:drawing>
      </w:r>
    </w:p>
    <w:p w14:paraId="7A2E60EB" w14:textId="04E5535F" w:rsidR="00BC1A8A" w:rsidRDefault="00546A95" w:rsidP="00BC23AD">
      <w:pPr>
        <w:pStyle w:val="Caption"/>
      </w:pPr>
      <w:r>
        <w:t>Figure E.1</w:t>
      </w:r>
      <w:r w:rsidR="00BC1A8A">
        <w:t xml:space="preserve">: APDL code for the </w:t>
      </w:r>
      <w:r w:rsidR="0076110E">
        <w:t xml:space="preserve">rock formation </w:t>
      </w:r>
      <w:r w:rsidR="00BC1A8A">
        <w:t>initial conditions.</w:t>
      </w:r>
    </w:p>
    <w:p w14:paraId="467117A3" w14:textId="77777777" w:rsidR="00BC1A8A" w:rsidRPr="00BC1A8A" w:rsidRDefault="00BC1A8A" w:rsidP="00BC1A8A"/>
    <w:p w14:paraId="27A6924E" w14:textId="77777777" w:rsidR="00BC1A8A" w:rsidRDefault="00BC1A8A" w:rsidP="00BC23AD">
      <w:pPr>
        <w:pStyle w:val="NoSpacing"/>
      </w:pPr>
      <w:r w:rsidRPr="00BC1A8A">
        <w:rPr>
          <w:noProof/>
        </w:rPr>
        <w:lastRenderedPageBreak/>
        <w:drawing>
          <wp:inline distT="0" distB="0" distL="0" distR="0" wp14:anchorId="248E0F50" wp14:editId="78EE4002">
            <wp:extent cx="3200847" cy="3096057"/>
            <wp:effectExtent l="0" t="0" r="0" b="9525"/>
            <wp:docPr id="90910" name="Picture 90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0"/>
                    <a:stretch>
                      <a:fillRect/>
                    </a:stretch>
                  </pic:blipFill>
                  <pic:spPr>
                    <a:xfrm>
                      <a:off x="0" y="0"/>
                      <a:ext cx="3200847" cy="3096057"/>
                    </a:xfrm>
                    <a:prstGeom prst="rect">
                      <a:avLst/>
                    </a:prstGeom>
                  </pic:spPr>
                </pic:pic>
              </a:graphicData>
            </a:graphic>
          </wp:inline>
        </w:drawing>
      </w:r>
    </w:p>
    <w:p w14:paraId="1FBDF181" w14:textId="35F43E41" w:rsidR="00BC1A8A" w:rsidRDefault="00546A95" w:rsidP="00BC23AD">
      <w:pPr>
        <w:pStyle w:val="Caption"/>
      </w:pPr>
      <w:r>
        <w:t>Figure E.2</w:t>
      </w:r>
      <w:r w:rsidR="00BC1A8A">
        <w:t>: APDL code for the cement initial conditions</w:t>
      </w:r>
      <w:r w:rsidR="0076110E">
        <w:t xml:space="preserve">. </w:t>
      </w:r>
    </w:p>
    <w:p w14:paraId="26645498" w14:textId="77777777" w:rsidR="0076110E" w:rsidRPr="0076110E" w:rsidRDefault="0076110E" w:rsidP="0076110E"/>
    <w:p w14:paraId="6DCC465F" w14:textId="77777777" w:rsidR="00BC1A8A" w:rsidRDefault="00BC1A8A" w:rsidP="00BC23AD">
      <w:pPr>
        <w:pStyle w:val="NoSpacing"/>
      </w:pPr>
      <w:r w:rsidRPr="00BC1A8A">
        <w:rPr>
          <w:noProof/>
        </w:rPr>
        <w:drawing>
          <wp:inline distT="0" distB="0" distL="0" distR="0" wp14:anchorId="46A152C6" wp14:editId="35F14222">
            <wp:extent cx="1810003" cy="1981477"/>
            <wp:effectExtent l="0" t="0" r="0" b="0"/>
            <wp:docPr id="90911" name="Picture 90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1810003" cy="1981477"/>
                    </a:xfrm>
                    <a:prstGeom prst="rect">
                      <a:avLst/>
                    </a:prstGeom>
                  </pic:spPr>
                </pic:pic>
              </a:graphicData>
            </a:graphic>
          </wp:inline>
        </w:drawing>
      </w:r>
    </w:p>
    <w:p w14:paraId="3414B902" w14:textId="5D7A3FE3" w:rsidR="00BC1A8A" w:rsidRDefault="00546A95" w:rsidP="00BC23AD">
      <w:pPr>
        <w:pStyle w:val="Caption"/>
      </w:pPr>
      <w:r>
        <w:t>Figure E.3</w:t>
      </w:r>
      <w:r w:rsidR="0076110E">
        <w:t xml:space="preserve">: APDL code for the </w:t>
      </w:r>
      <w:r w:rsidR="00782634">
        <w:t xml:space="preserve">drilling fluid </w:t>
      </w:r>
      <w:r w:rsidR="0076110E">
        <w:t xml:space="preserve">weight pressure. </w:t>
      </w:r>
    </w:p>
    <w:p w14:paraId="497FB4AB" w14:textId="4A8E8030" w:rsidR="00BC1A8A" w:rsidRDefault="00BC1A8A" w:rsidP="00BC1A8A"/>
    <w:p w14:paraId="54EA7175" w14:textId="77777777" w:rsidR="00BC1A8A" w:rsidRDefault="00BC1A8A" w:rsidP="00BC23AD">
      <w:pPr>
        <w:pStyle w:val="NoSpacing"/>
      </w:pPr>
      <w:r w:rsidRPr="00BC1A8A">
        <w:rPr>
          <w:noProof/>
        </w:rPr>
        <w:lastRenderedPageBreak/>
        <w:drawing>
          <wp:inline distT="0" distB="0" distL="0" distR="0" wp14:anchorId="3DBAF45C" wp14:editId="233BC389">
            <wp:extent cx="1957346" cy="2628899"/>
            <wp:effectExtent l="0" t="0" r="5080" b="635"/>
            <wp:docPr id="90912" name="Picture 90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2"/>
                    <a:srcRect l="1204" r="1"/>
                    <a:stretch/>
                  </pic:blipFill>
                  <pic:spPr bwMode="auto">
                    <a:xfrm>
                      <a:off x="0" y="0"/>
                      <a:ext cx="1957620" cy="2629267"/>
                    </a:xfrm>
                    <a:prstGeom prst="rect">
                      <a:avLst/>
                    </a:prstGeom>
                    <a:ln>
                      <a:noFill/>
                    </a:ln>
                    <a:extLst>
                      <a:ext uri="{53640926-AAD7-44D8-BBD7-CCE9431645EC}">
                        <a14:shadowObscured xmlns:a14="http://schemas.microsoft.com/office/drawing/2010/main"/>
                      </a:ext>
                    </a:extLst>
                  </pic:spPr>
                </pic:pic>
              </a:graphicData>
            </a:graphic>
          </wp:inline>
        </w:drawing>
      </w:r>
    </w:p>
    <w:p w14:paraId="57D89192" w14:textId="6051758E" w:rsidR="00BC1A8A" w:rsidRDefault="00546A95" w:rsidP="00BC23AD">
      <w:pPr>
        <w:pStyle w:val="Caption"/>
      </w:pPr>
      <w:r>
        <w:t>Figure E.4</w:t>
      </w:r>
      <w:r w:rsidR="0076110E">
        <w:t>: APDL code for the pore pressure at the cement interfaces.</w:t>
      </w:r>
    </w:p>
    <w:p w14:paraId="3DA16822" w14:textId="77777777" w:rsidR="0076110E" w:rsidRPr="0076110E" w:rsidRDefault="0076110E" w:rsidP="0076110E"/>
    <w:p w14:paraId="009A8B36" w14:textId="77777777" w:rsidR="00BC1A8A" w:rsidRDefault="00BC1A8A" w:rsidP="00BC23AD">
      <w:pPr>
        <w:pStyle w:val="NoSpacing"/>
      </w:pPr>
      <w:r w:rsidRPr="00BC1A8A">
        <w:rPr>
          <w:noProof/>
        </w:rPr>
        <w:drawing>
          <wp:inline distT="0" distB="0" distL="0" distR="0" wp14:anchorId="6F551C22" wp14:editId="2F25471A">
            <wp:extent cx="1667108" cy="647790"/>
            <wp:effectExtent l="0" t="0" r="9525" b="0"/>
            <wp:docPr id="90913" name="Picture 90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a:stretch>
                      <a:fillRect/>
                    </a:stretch>
                  </pic:blipFill>
                  <pic:spPr>
                    <a:xfrm>
                      <a:off x="0" y="0"/>
                      <a:ext cx="1667108" cy="647790"/>
                    </a:xfrm>
                    <a:prstGeom prst="rect">
                      <a:avLst/>
                    </a:prstGeom>
                  </pic:spPr>
                </pic:pic>
              </a:graphicData>
            </a:graphic>
          </wp:inline>
        </w:drawing>
      </w:r>
    </w:p>
    <w:p w14:paraId="56616440" w14:textId="0802644B" w:rsidR="00BC1A8A" w:rsidRPr="00BC1A8A" w:rsidRDefault="00546A95" w:rsidP="00BC23AD">
      <w:pPr>
        <w:pStyle w:val="Caption"/>
      </w:pPr>
      <w:r>
        <w:t>Figure E.5</w:t>
      </w:r>
      <w:r w:rsidR="0076110E">
        <w:t>: APDL code for the production pressure.</w:t>
      </w:r>
    </w:p>
    <w:p w14:paraId="28D2D3AE" w14:textId="77777777" w:rsidR="00B919CE" w:rsidRDefault="00B919CE">
      <w:pPr>
        <w:spacing w:after="160" w:line="259" w:lineRule="auto"/>
        <w:jc w:val="left"/>
      </w:pPr>
      <w:r>
        <w:br w:type="page"/>
      </w:r>
    </w:p>
    <w:p w14:paraId="12B3C0B8" w14:textId="2705E456" w:rsidR="00B919CE" w:rsidRDefault="006F3756" w:rsidP="00B919CE">
      <w:pPr>
        <w:pStyle w:val="Heading1"/>
        <w:numPr>
          <w:ilvl w:val="0"/>
          <w:numId w:val="0"/>
        </w:numPr>
      </w:pPr>
      <w:bookmarkStart w:id="182" w:name="_Toc67566077"/>
      <w:r>
        <w:lastRenderedPageBreak/>
        <w:t xml:space="preserve">Appendix </w:t>
      </w:r>
      <w:r w:rsidR="0047381C">
        <w:t>F</w:t>
      </w:r>
      <w:r w:rsidR="00B919CE">
        <w:t xml:space="preserve">: </w:t>
      </w:r>
      <w:r w:rsidR="00DB7CF8">
        <w:t>Compressibility Factor Method Verification</w:t>
      </w:r>
      <w:bookmarkEnd w:id="182"/>
    </w:p>
    <w:p w14:paraId="416CDC05" w14:textId="77777777" w:rsidR="00EE1EB1" w:rsidRDefault="00DB7CF8" w:rsidP="00EE1EB1">
      <w:r>
        <w:tab/>
      </w:r>
      <w:r w:rsidR="00EE1EB1">
        <w:t xml:space="preserve">The Peng-Robinson equation of state is shown in </w:t>
      </w:r>
      <w:r w:rsidR="00EE1EB1" w:rsidRPr="00EE1EB1">
        <w:t>Equation F.1</w:t>
      </w:r>
      <w:r w:rsidR="00EE1EB1">
        <w:t xml:space="preserve">. </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EE1EB1" w14:paraId="149BA669" w14:textId="77777777" w:rsidTr="003961E4">
        <w:trPr>
          <w:trHeight w:val="576"/>
        </w:trPr>
        <w:tc>
          <w:tcPr>
            <w:tcW w:w="720" w:type="dxa"/>
            <w:vAlign w:val="center"/>
          </w:tcPr>
          <w:p w14:paraId="08417360" w14:textId="2DABAD30" w:rsidR="00EE1EB1" w:rsidRDefault="00EE1EB1" w:rsidP="003961E4">
            <w:pPr>
              <w:spacing w:line="240" w:lineRule="auto"/>
              <w:jc w:val="center"/>
            </w:pPr>
          </w:p>
        </w:tc>
        <w:tc>
          <w:tcPr>
            <w:tcW w:w="7920" w:type="dxa"/>
            <w:vAlign w:val="center"/>
          </w:tcPr>
          <w:p w14:paraId="51F3EF42" w14:textId="77777777" w:rsidR="00EE1EB1" w:rsidRPr="003E4C6A" w:rsidRDefault="00EE1EB1" w:rsidP="003961E4">
            <w:pPr>
              <w:spacing w:line="240" w:lineRule="auto"/>
              <w:jc w:val="center"/>
            </w:pPr>
            <m:oMathPara>
              <m:oMath>
                <m:r>
                  <w:rPr>
                    <w:rFonts w:ascii="Cambria Math" w:hAnsi="Cambria Math"/>
                  </w:rPr>
                  <m:t>P=</m:t>
                </m:r>
                <m:f>
                  <m:fPr>
                    <m:ctrlPr>
                      <w:rPr>
                        <w:rFonts w:ascii="Cambria Math" w:hAnsi="Cambria Math"/>
                        <w:i/>
                      </w:rPr>
                    </m:ctrlPr>
                  </m:fPr>
                  <m:num>
                    <m:r>
                      <w:rPr>
                        <w:rFonts w:ascii="Cambria Math" w:hAnsi="Cambria Math"/>
                      </w:rPr>
                      <m:t>RT</m:t>
                    </m:r>
                  </m:num>
                  <m:den>
                    <m:r>
                      <w:rPr>
                        <w:rFonts w:ascii="Cambria Math" w:hAnsi="Cambria Math"/>
                      </w:rPr>
                      <m:t>v-b</m:t>
                    </m:r>
                  </m:den>
                </m:f>
                <m:r>
                  <w:rPr>
                    <w:rFonts w:ascii="Cambria Math" w:hAnsi="Cambria Math"/>
                  </w:rPr>
                  <m:t>-</m:t>
                </m:r>
                <m:f>
                  <m:fPr>
                    <m:ctrlPr>
                      <w:rPr>
                        <w:rFonts w:ascii="Cambria Math" w:hAnsi="Cambria Math"/>
                        <w:i/>
                      </w:rPr>
                    </m:ctrlPr>
                  </m:fPr>
                  <m:num>
                    <m:r>
                      <w:rPr>
                        <w:rFonts w:ascii="Cambria Math" w:hAnsi="Cambria Math"/>
                      </w:rPr>
                      <m:t>a</m:t>
                    </m:r>
                  </m:num>
                  <m:den>
                    <m:r>
                      <w:rPr>
                        <w:rFonts w:ascii="Cambria Math" w:hAnsi="Cambria Math"/>
                      </w:rPr>
                      <m:t>v</m:t>
                    </m:r>
                    <m:d>
                      <m:dPr>
                        <m:ctrlPr>
                          <w:rPr>
                            <w:rFonts w:ascii="Cambria Math" w:hAnsi="Cambria Math"/>
                            <w:i/>
                          </w:rPr>
                        </m:ctrlPr>
                      </m:dPr>
                      <m:e>
                        <m:r>
                          <w:rPr>
                            <w:rFonts w:ascii="Cambria Math" w:hAnsi="Cambria Math"/>
                          </w:rPr>
                          <m:t>v+b</m:t>
                        </m:r>
                      </m:e>
                    </m:d>
                    <m:r>
                      <w:rPr>
                        <w:rFonts w:ascii="Cambria Math" w:hAnsi="Cambria Math"/>
                      </w:rPr>
                      <m:t>+b</m:t>
                    </m:r>
                    <m:d>
                      <m:dPr>
                        <m:ctrlPr>
                          <w:rPr>
                            <w:rFonts w:ascii="Cambria Math" w:hAnsi="Cambria Math"/>
                            <w:i/>
                          </w:rPr>
                        </m:ctrlPr>
                      </m:dPr>
                      <m:e>
                        <m:r>
                          <w:rPr>
                            <w:rFonts w:ascii="Cambria Math" w:hAnsi="Cambria Math"/>
                          </w:rPr>
                          <m:t>v-b</m:t>
                        </m:r>
                      </m:e>
                    </m:d>
                  </m:den>
                </m:f>
                <m:r>
                  <w:rPr>
                    <w:rFonts w:ascii="Cambria Math" w:hAnsi="Cambria Math"/>
                  </w:rPr>
                  <m:t xml:space="preserve"> </m:t>
                </m:r>
              </m:oMath>
            </m:oMathPara>
          </w:p>
        </w:tc>
        <w:tc>
          <w:tcPr>
            <w:tcW w:w="720" w:type="dxa"/>
            <w:vAlign w:val="bottom"/>
          </w:tcPr>
          <w:p w14:paraId="162E9876" w14:textId="2C70E173" w:rsidR="00EE1EB1" w:rsidRPr="00EE1EB1" w:rsidRDefault="00EE1EB1" w:rsidP="00BC23AD">
            <w:pPr>
              <w:pStyle w:val="Caption"/>
            </w:pPr>
            <w:r>
              <w:t>F.1</w:t>
            </w:r>
          </w:p>
        </w:tc>
      </w:tr>
    </w:tbl>
    <w:p w14:paraId="324BBED2" w14:textId="77777777" w:rsidR="00EE1EB1" w:rsidRDefault="00EE1EB1" w:rsidP="00EE1EB1"/>
    <w:p w14:paraId="1EE44C5E" w14:textId="77777777" w:rsidR="00EE1EB1" w:rsidRDefault="00EE1EB1" w:rsidP="00EE1EB1">
      <w:r>
        <w:t xml:space="preserve">Where, </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EE1EB1" w14:paraId="543173C8" w14:textId="77777777" w:rsidTr="003961E4">
        <w:trPr>
          <w:trHeight w:val="576"/>
        </w:trPr>
        <w:tc>
          <w:tcPr>
            <w:tcW w:w="720" w:type="dxa"/>
            <w:vAlign w:val="center"/>
          </w:tcPr>
          <w:p w14:paraId="37526FF7" w14:textId="77777777" w:rsidR="00EE1EB1" w:rsidRDefault="00EE1EB1" w:rsidP="003961E4">
            <w:pPr>
              <w:spacing w:line="240" w:lineRule="auto"/>
              <w:jc w:val="center"/>
            </w:pPr>
          </w:p>
        </w:tc>
        <w:tc>
          <w:tcPr>
            <w:tcW w:w="7920" w:type="dxa"/>
            <w:vAlign w:val="center"/>
          </w:tcPr>
          <w:p w14:paraId="709E2AF2" w14:textId="77777777" w:rsidR="00EE1EB1" w:rsidRPr="003E4C6A" w:rsidRDefault="00EE1EB1" w:rsidP="003961E4">
            <w:pPr>
              <w:spacing w:line="240" w:lineRule="auto"/>
              <w:jc w:val="center"/>
            </w:pPr>
            <m:oMathPara>
              <m:oMath>
                <m:r>
                  <w:rPr>
                    <w:rFonts w:ascii="Cambria Math" w:hAnsi="Cambria Math"/>
                  </w:rPr>
                  <m:t>a=</m:t>
                </m:r>
                <m:sSub>
                  <m:sSubPr>
                    <m:ctrlPr>
                      <w:rPr>
                        <w:rFonts w:ascii="Cambria Math" w:hAnsi="Cambria Math"/>
                        <w:i/>
                      </w:rPr>
                    </m:ctrlPr>
                  </m:sSubPr>
                  <m:e>
                    <m:r>
                      <w:rPr>
                        <w:rFonts w:ascii="Cambria Math" w:hAnsi="Cambria Math"/>
                      </w:rPr>
                      <m:t>a</m:t>
                    </m:r>
                  </m:e>
                  <m:sub>
                    <m:r>
                      <w:rPr>
                        <w:rFonts w:ascii="Cambria Math" w:hAnsi="Cambria Math"/>
                      </w:rPr>
                      <m:t>c</m:t>
                    </m:r>
                  </m:sub>
                </m:sSub>
                <m:r>
                  <w:rPr>
                    <w:rFonts w:ascii="Cambria Math" w:hAnsi="Cambria Math"/>
                  </w:rPr>
                  <m:t>∙ϕ</m:t>
                </m:r>
                <m:d>
                  <m:dPr>
                    <m:ctrlPr>
                      <w:rPr>
                        <w:rFonts w:ascii="Cambria Math" w:hAnsi="Cambria Math"/>
                        <w:i/>
                      </w:rPr>
                    </m:ctrlPr>
                  </m:dPr>
                  <m:e>
                    <m:r>
                      <w:rPr>
                        <w:rFonts w:ascii="Cambria Math" w:hAnsi="Cambria Math"/>
                      </w:rPr>
                      <m:t>T</m:t>
                    </m:r>
                  </m:e>
                </m:d>
                <m:r>
                  <w:rPr>
                    <w:rFonts w:ascii="Cambria Math" w:hAnsi="Cambria Math"/>
                  </w:rPr>
                  <m:t xml:space="preserve"> </m:t>
                </m:r>
              </m:oMath>
            </m:oMathPara>
          </w:p>
        </w:tc>
        <w:tc>
          <w:tcPr>
            <w:tcW w:w="720" w:type="dxa"/>
            <w:vAlign w:val="bottom"/>
          </w:tcPr>
          <w:p w14:paraId="7EE28C68" w14:textId="1F932DD7" w:rsidR="00EE1EB1" w:rsidRPr="00470CB5" w:rsidRDefault="00EE1EB1" w:rsidP="00BC23AD">
            <w:pPr>
              <w:pStyle w:val="Caption"/>
              <w:rPr>
                <w:i/>
              </w:rPr>
            </w:pPr>
            <w:r>
              <w:t>F.2</w:t>
            </w:r>
          </w:p>
        </w:tc>
      </w:tr>
    </w:tbl>
    <w:p w14:paraId="08339F32" w14:textId="77777777" w:rsidR="00EE1EB1" w:rsidRDefault="00EE1EB1" w:rsidP="00EE1EB1"/>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EE1EB1" w14:paraId="6456A86C" w14:textId="77777777" w:rsidTr="003961E4">
        <w:trPr>
          <w:trHeight w:val="576"/>
        </w:trPr>
        <w:tc>
          <w:tcPr>
            <w:tcW w:w="720" w:type="dxa"/>
            <w:vAlign w:val="center"/>
          </w:tcPr>
          <w:p w14:paraId="3F6EE4FB" w14:textId="77777777" w:rsidR="00EE1EB1" w:rsidRDefault="00EE1EB1" w:rsidP="003961E4">
            <w:pPr>
              <w:spacing w:line="240" w:lineRule="auto"/>
              <w:jc w:val="center"/>
            </w:pPr>
          </w:p>
        </w:tc>
        <w:tc>
          <w:tcPr>
            <w:tcW w:w="7920" w:type="dxa"/>
            <w:vAlign w:val="center"/>
          </w:tcPr>
          <w:p w14:paraId="1C534448" w14:textId="77777777" w:rsidR="00EE1EB1" w:rsidRPr="003E4C6A" w:rsidRDefault="00EE1EB1" w:rsidP="003961E4">
            <w:pPr>
              <w:spacing w:line="240" w:lineRule="auto"/>
              <w:jc w:val="center"/>
            </w:pPr>
            <m:oMathPara>
              <m:oMath>
                <m:r>
                  <w:rPr>
                    <w:rFonts w:ascii="Cambria Math" w:hAnsi="Cambria Math"/>
                  </w:rPr>
                  <m:t>ϕ</m:t>
                </m:r>
                <m:d>
                  <m:dPr>
                    <m:ctrlPr>
                      <w:rPr>
                        <w:rFonts w:ascii="Cambria Math" w:hAnsi="Cambria Math"/>
                        <w:i/>
                      </w:rPr>
                    </m:ctrlPr>
                  </m:dPr>
                  <m:e>
                    <m:r>
                      <w:rPr>
                        <w:rFonts w:ascii="Cambria Math" w:hAnsi="Cambria Math"/>
                      </w:rPr>
                      <m:t>T</m:t>
                    </m:r>
                  </m:e>
                </m:d>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1+</m:t>
                        </m:r>
                        <m:r>
                          <m:rPr>
                            <m:sty m:val="p"/>
                          </m:rPr>
                          <w:rPr>
                            <w:rFonts w:ascii="Cambria Math" w:hAnsi="Cambria Math"/>
                          </w:rPr>
                          <m:t>φ</m:t>
                        </m:r>
                        <m:d>
                          <m:dPr>
                            <m:ctrlPr>
                              <w:rPr>
                                <w:rFonts w:ascii="Cambria Math" w:hAnsi="Cambria Math"/>
                              </w:rPr>
                            </m:ctrlPr>
                          </m:dPr>
                          <m:e>
                            <m:r>
                              <m:rPr>
                                <m:sty m:val="p"/>
                              </m:rPr>
                              <w:rPr>
                                <w:rFonts w:ascii="Cambria Math" w:hAnsi="Cambria Math"/>
                              </w:rPr>
                              <m:t>1-</m:t>
                            </m:r>
                            <m:rad>
                              <m:radPr>
                                <m:degHide m:val="1"/>
                                <m:ctrlPr>
                                  <w:rPr>
                                    <w:rFonts w:ascii="Cambria Math" w:hAnsi="Cambria Math"/>
                                  </w:rPr>
                                </m:ctrlPr>
                              </m:radPr>
                              <m:deg/>
                              <m:e>
                                <m:f>
                                  <m:fPr>
                                    <m:type m:val="skw"/>
                                    <m:ctrlPr>
                                      <w:rPr>
                                        <w:rFonts w:ascii="Cambria Math" w:hAnsi="Cambria Math"/>
                                        <w:i/>
                                      </w:rPr>
                                    </m:ctrlPr>
                                  </m:fPr>
                                  <m:num>
                                    <m:r>
                                      <w:rPr>
                                        <w:rFonts w:ascii="Cambria Math" w:hAnsi="Cambria Math"/>
                                      </w:rPr>
                                      <m:t>T</m:t>
                                    </m:r>
                                  </m:num>
                                  <m:den>
                                    <m:sSub>
                                      <m:sSubPr>
                                        <m:ctrlPr>
                                          <w:rPr>
                                            <w:rFonts w:ascii="Cambria Math" w:hAnsi="Cambria Math"/>
                                            <w:i/>
                                          </w:rPr>
                                        </m:ctrlPr>
                                      </m:sSubPr>
                                      <m:e>
                                        <m:r>
                                          <w:rPr>
                                            <w:rFonts w:ascii="Cambria Math" w:hAnsi="Cambria Math"/>
                                          </w:rPr>
                                          <m:t>T</m:t>
                                        </m:r>
                                      </m:e>
                                      <m:sub>
                                        <m:r>
                                          <w:rPr>
                                            <w:rFonts w:ascii="Cambria Math" w:hAnsi="Cambria Math"/>
                                          </w:rPr>
                                          <m:t>c</m:t>
                                        </m:r>
                                      </m:sub>
                                    </m:sSub>
                                  </m:den>
                                </m:f>
                              </m:e>
                            </m:rad>
                            <m:ctrlPr>
                              <w:rPr>
                                <w:rFonts w:ascii="Cambria Math" w:hAnsi="Cambria Math"/>
                                <w:i/>
                              </w:rPr>
                            </m:ctrlPr>
                          </m:e>
                        </m:d>
                      </m:e>
                    </m:d>
                  </m:e>
                  <m:sup>
                    <m:r>
                      <w:rPr>
                        <w:rFonts w:ascii="Cambria Math" w:hAnsi="Cambria Math"/>
                      </w:rPr>
                      <m:t>2</m:t>
                    </m:r>
                  </m:sup>
                </m:sSup>
              </m:oMath>
            </m:oMathPara>
          </w:p>
        </w:tc>
        <w:tc>
          <w:tcPr>
            <w:tcW w:w="720" w:type="dxa"/>
            <w:vAlign w:val="bottom"/>
          </w:tcPr>
          <w:p w14:paraId="416F427E" w14:textId="58FA7057" w:rsidR="00EE1EB1" w:rsidRPr="00470CB5" w:rsidRDefault="00EE1EB1" w:rsidP="00BC23AD">
            <w:pPr>
              <w:pStyle w:val="Caption"/>
              <w:rPr>
                <w:i/>
              </w:rPr>
            </w:pPr>
            <w:r>
              <w:t>F.3</w:t>
            </w:r>
          </w:p>
        </w:tc>
      </w:tr>
    </w:tbl>
    <w:p w14:paraId="6B883077" w14:textId="77777777" w:rsidR="00EE1EB1" w:rsidRDefault="00EE1EB1" w:rsidP="00EE1EB1"/>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EE1EB1" w14:paraId="64AFCDB5" w14:textId="77777777" w:rsidTr="003961E4">
        <w:trPr>
          <w:trHeight w:val="576"/>
        </w:trPr>
        <w:tc>
          <w:tcPr>
            <w:tcW w:w="720" w:type="dxa"/>
            <w:vAlign w:val="center"/>
          </w:tcPr>
          <w:p w14:paraId="62B84163" w14:textId="77777777" w:rsidR="00EE1EB1" w:rsidRDefault="00EE1EB1" w:rsidP="003961E4">
            <w:pPr>
              <w:spacing w:line="240" w:lineRule="auto"/>
              <w:jc w:val="center"/>
            </w:pPr>
          </w:p>
        </w:tc>
        <w:tc>
          <w:tcPr>
            <w:tcW w:w="7920" w:type="dxa"/>
            <w:vAlign w:val="center"/>
          </w:tcPr>
          <w:p w14:paraId="51B14C0E" w14:textId="77777777" w:rsidR="00EE1EB1" w:rsidRPr="003E4C6A" w:rsidRDefault="00EE1EB1" w:rsidP="003961E4">
            <w:pPr>
              <w:spacing w:line="240" w:lineRule="auto"/>
              <w:jc w:val="center"/>
            </w:pPr>
            <m:oMathPara>
              <m:oMath>
                <m:r>
                  <w:rPr>
                    <w:rFonts w:ascii="Cambria Math" w:hAnsi="Cambria Math"/>
                  </w:rPr>
                  <m:t>φ=0.37464+1.54226ω-0.26992</m:t>
                </m:r>
                <m:sSup>
                  <m:sSupPr>
                    <m:ctrlPr>
                      <w:rPr>
                        <w:rFonts w:ascii="Cambria Math" w:hAnsi="Cambria Math"/>
                        <w:i/>
                      </w:rPr>
                    </m:ctrlPr>
                  </m:sSupPr>
                  <m:e>
                    <m:r>
                      <w:rPr>
                        <w:rFonts w:ascii="Cambria Math" w:hAnsi="Cambria Math"/>
                      </w:rPr>
                      <m:t>ω</m:t>
                    </m:r>
                  </m:e>
                  <m:sup>
                    <m:r>
                      <w:rPr>
                        <w:rFonts w:ascii="Cambria Math" w:hAnsi="Cambria Math"/>
                      </w:rPr>
                      <m:t>2</m:t>
                    </m:r>
                  </m:sup>
                </m:sSup>
              </m:oMath>
            </m:oMathPara>
          </w:p>
        </w:tc>
        <w:tc>
          <w:tcPr>
            <w:tcW w:w="720" w:type="dxa"/>
            <w:vAlign w:val="bottom"/>
          </w:tcPr>
          <w:p w14:paraId="19BF8DCE" w14:textId="473ED498" w:rsidR="00EE1EB1" w:rsidRPr="00470CB5" w:rsidRDefault="00EE1EB1" w:rsidP="00BC23AD">
            <w:pPr>
              <w:pStyle w:val="Caption"/>
              <w:rPr>
                <w:i/>
              </w:rPr>
            </w:pPr>
            <w:r>
              <w:t>F.4</w:t>
            </w:r>
          </w:p>
        </w:tc>
      </w:tr>
    </w:tbl>
    <w:p w14:paraId="47738999" w14:textId="77777777" w:rsidR="00EE1EB1" w:rsidRDefault="00EE1EB1" w:rsidP="00EE1EB1"/>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EE1EB1" w14:paraId="3A924B13" w14:textId="77777777" w:rsidTr="003961E4">
        <w:trPr>
          <w:trHeight w:val="576"/>
        </w:trPr>
        <w:tc>
          <w:tcPr>
            <w:tcW w:w="720" w:type="dxa"/>
            <w:vAlign w:val="center"/>
          </w:tcPr>
          <w:p w14:paraId="36727B30" w14:textId="77777777" w:rsidR="00EE1EB1" w:rsidRDefault="00EE1EB1" w:rsidP="003961E4">
            <w:pPr>
              <w:spacing w:line="240" w:lineRule="auto"/>
              <w:jc w:val="center"/>
            </w:pPr>
          </w:p>
        </w:tc>
        <w:tc>
          <w:tcPr>
            <w:tcW w:w="7920" w:type="dxa"/>
            <w:vAlign w:val="center"/>
          </w:tcPr>
          <w:p w14:paraId="60ECBAA6" w14:textId="77777777" w:rsidR="00EE1EB1" w:rsidRPr="003E4C6A" w:rsidRDefault="00077C0B" w:rsidP="003961E4">
            <w:pPr>
              <w:spacing w:line="240" w:lineRule="auto"/>
              <w:jc w:val="center"/>
            </w:pPr>
            <m:oMathPara>
              <m:oMath>
                <m:sSub>
                  <m:sSubPr>
                    <m:ctrlPr>
                      <w:rPr>
                        <w:rFonts w:ascii="Cambria Math" w:hAnsi="Cambria Math"/>
                        <w:i/>
                      </w:rPr>
                    </m:ctrlPr>
                  </m:sSubPr>
                  <m:e>
                    <m:r>
                      <w:rPr>
                        <w:rFonts w:ascii="Cambria Math" w:hAnsi="Cambria Math"/>
                      </w:rPr>
                      <m:t>a</m:t>
                    </m:r>
                  </m:e>
                  <m:sub>
                    <m:r>
                      <w:rPr>
                        <w:rFonts w:ascii="Cambria Math" w:hAnsi="Cambria Math"/>
                      </w:rPr>
                      <m:t>c</m:t>
                    </m:r>
                  </m:sub>
                </m:sSub>
                <m:r>
                  <w:rPr>
                    <w:rFonts w:ascii="Cambria Math" w:hAnsi="Cambria Math"/>
                  </w:rPr>
                  <m:t>=0.457235</m:t>
                </m:r>
                <m:sSup>
                  <m:sSupPr>
                    <m:ctrlPr>
                      <w:rPr>
                        <w:rFonts w:ascii="Cambria Math" w:hAnsi="Cambria Math"/>
                        <w:i/>
                      </w:rPr>
                    </m:ctrlPr>
                  </m:sSupPr>
                  <m:e>
                    <m:r>
                      <w:rPr>
                        <w:rFonts w:ascii="Cambria Math" w:hAnsi="Cambria Math"/>
                      </w:rPr>
                      <m:t>R</m:t>
                    </m:r>
                  </m:e>
                  <m:sup>
                    <m:r>
                      <w:rPr>
                        <w:rFonts w:ascii="Cambria Math" w:hAnsi="Cambria Math"/>
                      </w:rPr>
                      <m:t>2</m:t>
                    </m:r>
                  </m:sup>
                </m:sSup>
                <m:f>
                  <m:fPr>
                    <m:ctrlPr>
                      <w:rPr>
                        <w:rFonts w:ascii="Cambria Math" w:hAnsi="Cambria Math"/>
                        <w:i/>
                      </w:rPr>
                    </m:ctrlPr>
                  </m:fPr>
                  <m:num>
                    <m:sSubSup>
                      <m:sSubSupPr>
                        <m:ctrlPr>
                          <w:rPr>
                            <w:rFonts w:ascii="Cambria Math" w:hAnsi="Cambria Math"/>
                            <w:i/>
                          </w:rPr>
                        </m:ctrlPr>
                      </m:sSubSupPr>
                      <m:e>
                        <m:r>
                          <w:rPr>
                            <w:rFonts w:ascii="Cambria Math" w:hAnsi="Cambria Math"/>
                          </w:rPr>
                          <m:t>T</m:t>
                        </m:r>
                      </m:e>
                      <m:sub>
                        <m:r>
                          <w:rPr>
                            <w:rFonts w:ascii="Cambria Math" w:hAnsi="Cambria Math"/>
                          </w:rPr>
                          <m:t>c</m:t>
                        </m:r>
                      </m:sub>
                      <m:sup>
                        <m:r>
                          <w:rPr>
                            <w:rFonts w:ascii="Cambria Math" w:hAnsi="Cambria Math"/>
                          </w:rPr>
                          <m:t>2</m:t>
                        </m:r>
                      </m:sup>
                    </m:sSubSup>
                  </m:num>
                  <m:den>
                    <m:sSub>
                      <m:sSubPr>
                        <m:ctrlPr>
                          <w:rPr>
                            <w:rFonts w:ascii="Cambria Math" w:hAnsi="Cambria Math"/>
                            <w:i/>
                          </w:rPr>
                        </m:ctrlPr>
                      </m:sSubPr>
                      <m:e>
                        <m:r>
                          <w:rPr>
                            <w:rFonts w:ascii="Cambria Math" w:hAnsi="Cambria Math"/>
                          </w:rPr>
                          <m:t>P</m:t>
                        </m:r>
                      </m:e>
                      <m:sub>
                        <m:r>
                          <w:rPr>
                            <w:rFonts w:ascii="Cambria Math" w:hAnsi="Cambria Math"/>
                          </w:rPr>
                          <m:t>c</m:t>
                        </m:r>
                      </m:sub>
                    </m:sSub>
                  </m:den>
                </m:f>
              </m:oMath>
            </m:oMathPara>
          </w:p>
        </w:tc>
        <w:tc>
          <w:tcPr>
            <w:tcW w:w="720" w:type="dxa"/>
            <w:vAlign w:val="bottom"/>
          </w:tcPr>
          <w:p w14:paraId="74C166D1" w14:textId="4C72D9B4" w:rsidR="00EE1EB1" w:rsidRPr="00470CB5" w:rsidRDefault="00EE1EB1" w:rsidP="00BC23AD">
            <w:pPr>
              <w:pStyle w:val="Caption"/>
              <w:rPr>
                <w:i/>
              </w:rPr>
            </w:pPr>
            <w:r>
              <w:t>F.5</w:t>
            </w:r>
          </w:p>
        </w:tc>
      </w:tr>
    </w:tbl>
    <w:p w14:paraId="1956E827" w14:textId="77777777" w:rsidR="00EE1EB1" w:rsidRDefault="00EE1EB1" w:rsidP="00EE1EB1"/>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EE1EB1" w14:paraId="61E76D95" w14:textId="77777777" w:rsidTr="003961E4">
        <w:trPr>
          <w:trHeight w:val="576"/>
        </w:trPr>
        <w:tc>
          <w:tcPr>
            <w:tcW w:w="720" w:type="dxa"/>
            <w:vAlign w:val="center"/>
          </w:tcPr>
          <w:p w14:paraId="3614E840" w14:textId="77777777" w:rsidR="00EE1EB1" w:rsidRDefault="00EE1EB1" w:rsidP="003961E4">
            <w:pPr>
              <w:spacing w:line="240" w:lineRule="auto"/>
              <w:jc w:val="center"/>
            </w:pPr>
          </w:p>
        </w:tc>
        <w:tc>
          <w:tcPr>
            <w:tcW w:w="7920" w:type="dxa"/>
            <w:vAlign w:val="center"/>
          </w:tcPr>
          <w:p w14:paraId="5B1EAF0C" w14:textId="77777777" w:rsidR="00EE1EB1" w:rsidRPr="003E4C6A" w:rsidRDefault="00EE1EB1" w:rsidP="003961E4">
            <w:pPr>
              <w:spacing w:line="240" w:lineRule="auto"/>
              <w:jc w:val="center"/>
            </w:pPr>
            <m:oMathPara>
              <m:oMath>
                <m:r>
                  <w:rPr>
                    <w:rFonts w:ascii="Cambria Math" w:hAnsi="Cambria Math"/>
                  </w:rPr>
                  <m:t>b=0.077796R</m:t>
                </m:r>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c</m:t>
                        </m:r>
                      </m:sub>
                    </m:sSub>
                  </m:num>
                  <m:den>
                    <m:sSub>
                      <m:sSubPr>
                        <m:ctrlPr>
                          <w:rPr>
                            <w:rFonts w:ascii="Cambria Math" w:hAnsi="Cambria Math"/>
                            <w:i/>
                          </w:rPr>
                        </m:ctrlPr>
                      </m:sSubPr>
                      <m:e>
                        <m:r>
                          <w:rPr>
                            <w:rFonts w:ascii="Cambria Math" w:hAnsi="Cambria Math"/>
                          </w:rPr>
                          <m:t>P</m:t>
                        </m:r>
                      </m:e>
                      <m:sub>
                        <m:r>
                          <w:rPr>
                            <w:rFonts w:ascii="Cambria Math" w:hAnsi="Cambria Math"/>
                          </w:rPr>
                          <m:t>c</m:t>
                        </m:r>
                      </m:sub>
                    </m:sSub>
                  </m:den>
                </m:f>
              </m:oMath>
            </m:oMathPara>
          </w:p>
        </w:tc>
        <w:tc>
          <w:tcPr>
            <w:tcW w:w="720" w:type="dxa"/>
            <w:vAlign w:val="bottom"/>
          </w:tcPr>
          <w:p w14:paraId="432E4A5B" w14:textId="2D44833F" w:rsidR="00EE1EB1" w:rsidRPr="00470CB5" w:rsidRDefault="00EE1EB1" w:rsidP="00BC23AD">
            <w:pPr>
              <w:pStyle w:val="Caption"/>
              <w:rPr>
                <w:i/>
              </w:rPr>
            </w:pPr>
            <w:r>
              <w:t>F.6</w:t>
            </w:r>
          </w:p>
        </w:tc>
      </w:tr>
    </w:tbl>
    <w:p w14:paraId="0663D5E2" w14:textId="77777777" w:rsidR="00EE1EB1" w:rsidRDefault="00EE1EB1" w:rsidP="00EE1EB1"/>
    <w:p w14:paraId="3F10F008" w14:textId="52109153" w:rsidR="00EE1EB1" w:rsidRDefault="00EE1EB1" w:rsidP="00EE1EB1">
      <w:r>
        <w:t xml:space="preserve">Where </w:t>
      </w:r>
      <m:oMath>
        <m:r>
          <w:rPr>
            <w:rFonts w:ascii="Cambria Math" w:hAnsi="Cambria Math"/>
          </w:rPr>
          <m:t>P</m:t>
        </m:r>
      </m:oMath>
      <w:r>
        <w:rPr>
          <w:rFonts w:eastAsiaTheme="minorEastAsia"/>
        </w:rPr>
        <w:t xml:space="preserve">, </w:t>
      </w:r>
      <m:oMath>
        <m:r>
          <w:rPr>
            <w:rFonts w:ascii="Cambria Math" w:eastAsiaTheme="minorEastAsia" w:hAnsi="Cambria Math"/>
          </w:rPr>
          <m:t>T</m:t>
        </m:r>
      </m:oMath>
      <w:r>
        <w:rPr>
          <w:rFonts w:eastAsiaTheme="minorEastAsia"/>
        </w:rPr>
        <w:t>,</w:t>
      </w:r>
      <w:r>
        <w:t xml:space="preserve"> </w:t>
      </w:r>
      <m:oMath>
        <m:sSub>
          <m:sSubPr>
            <m:ctrlPr>
              <w:rPr>
                <w:rFonts w:ascii="Cambria Math" w:hAnsi="Cambria Math"/>
                <w:i/>
              </w:rPr>
            </m:ctrlPr>
          </m:sSubPr>
          <m:e>
            <m:r>
              <w:rPr>
                <w:rFonts w:ascii="Cambria Math" w:hAnsi="Cambria Math"/>
              </w:rPr>
              <m:t>P</m:t>
            </m:r>
          </m:e>
          <m:sub>
            <m:r>
              <w:rPr>
                <w:rFonts w:ascii="Cambria Math" w:hAnsi="Cambria Math"/>
              </w:rPr>
              <m:t>c</m:t>
            </m:r>
          </m:sub>
        </m:sSub>
      </m:oMath>
      <w:r>
        <w:t xml:space="preserve">, </w:t>
      </w:r>
      <m:oMath>
        <m:sSub>
          <m:sSubPr>
            <m:ctrlPr>
              <w:rPr>
                <w:rFonts w:ascii="Cambria Math" w:hAnsi="Cambria Math"/>
                <w:i/>
              </w:rPr>
            </m:ctrlPr>
          </m:sSubPr>
          <m:e>
            <m:r>
              <w:rPr>
                <w:rFonts w:ascii="Cambria Math" w:hAnsi="Cambria Math"/>
              </w:rPr>
              <m:t>T</m:t>
            </m:r>
          </m:e>
          <m:sub>
            <m:r>
              <w:rPr>
                <w:rFonts w:ascii="Cambria Math" w:hAnsi="Cambria Math"/>
              </w:rPr>
              <m:t>c</m:t>
            </m:r>
          </m:sub>
        </m:sSub>
      </m:oMath>
      <w:r>
        <w:t xml:space="preserve">, </w:t>
      </w:r>
      <m:oMath>
        <m:r>
          <w:rPr>
            <w:rFonts w:ascii="Cambria Math" w:hAnsi="Cambria Math"/>
          </w:rPr>
          <m:t>R</m:t>
        </m:r>
      </m:oMath>
      <w:r>
        <w:rPr>
          <w:rFonts w:eastAsiaTheme="minorEastAsia"/>
        </w:rPr>
        <w:t>,</w:t>
      </w:r>
      <w:r>
        <w:t xml:space="preserve"> and </w:t>
      </w:r>
      <m:oMath>
        <m:r>
          <w:rPr>
            <w:rFonts w:ascii="Cambria Math" w:hAnsi="Cambria Math"/>
          </w:rPr>
          <m:t>ω</m:t>
        </m:r>
      </m:oMath>
      <w:r>
        <w:t xml:space="preserve"> are the pressure (</w:t>
      </w:r>
      <m:oMath>
        <m:r>
          <w:rPr>
            <w:rFonts w:ascii="Cambria Math" w:hAnsi="Cambria Math"/>
          </w:rPr>
          <m:t>bar</m:t>
        </m:r>
      </m:oMath>
      <w:r>
        <w:t>), temperature (</w:t>
      </w:r>
      <m:oMath>
        <m:r>
          <w:rPr>
            <w:rFonts w:ascii="Cambria Math" w:hAnsi="Cambria Math"/>
          </w:rPr>
          <m:t>K</m:t>
        </m:r>
      </m:oMath>
      <w:r>
        <w:t>), critical pressure (</w:t>
      </w:r>
      <m:oMath>
        <m:r>
          <w:rPr>
            <w:rFonts w:ascii="Cambria Math" w:hAnsi="Cambria Math"/>
          </w:rPr>
          <m:t>bar</m:t>
        </m:r>
      </m:oMath>
      <w:r>
        <w:rPr>
          <w:rFonts w:eastAsiaTheme="minorEastAsia"/>
        </w:rPr>
        <w:t>)</w:t>
      </w:r>
      <w:r>
        <w:t>, critical temperature (</w:t>
      </w:r>
      <m:oMath>
        <m:r>
          <w:rPr>
            <w:rFonts w:ascii="Cambria Math" w:hAnsi="Cambria Math"/>
          </w:rPr>
          <m:t>K</m:t>
        </m:r>
      </m:oMath>
      <w:r>
        <w:t xml:space="preserve">), the universal gas constant </w:t>
      </w:r>
      <m:oMath>
        <m:d>
          <m:dPr>
            <m:ctrlPr>
              <w:rPr>
                <w:rFonts w:ascii="Cambria Math" w:hAnsi="Cambria Math"/>
                <w:i/>
              </w:rPr>
            </m:ctrlPr>
          </m:dPr>
          <m:e>
            <m:f>
              <m:fPr>
                <m:ctrlPr>
                  <w:rPr>
                    <w:rFonts w:ascii="Cambria Math" w:hAnsi="Cambria Math"/>
                    <w:i/>
                  </w:rPr>
                </m:ctrlPr>
              </m:fPr>
              <m:num>
                <m:sSup>
                  <m:sSupPr>
                    <m:ctrlPr>
                      <w:rPr>
                        <w:rFonts w:ascii="Cambria Math" w:hAnsi="Cambria Math"/>
                        <w:i/>
                      </w:rPr>
                    </m:ctrlPr>
                  </m:sSupPr>
                  <m:e>
                    <m:r>
                      <w:rPr>
                        <w:rFonts w:ascii="Cambria Math" w:hAnsi="Cambria Math"/>
                      </w:rPr>
                      <m:t>m</m:t>
                    </m:r>
                  </m:e>
                  <m:sup>
                    <m:r>
                      <w:rPr>
                        <w:rFonts w:ascii="Cambria Math" w:hAnsi="Cambria Math"/>
                      </w:rPr>
                      <m:t>3</m:t>
                    </m:r>
                  </m:sup>
                </m:sSup>
                <m:r>
                  <w:rPr>
                    <w:rFonts w:ascii="Cambria Math" w:hAnsi="Cambria Math"/>
                  </w:rPr>
                  <m:t>∙Pa</m:t>
                </m:r>
              </m:num>
              <m:den>
                <m:r>
                  <w:rPr>
                    <w:rFonts w:ascii="Cambria Math" w:hAnsi="Cambria Math"/>
                  </w:rPr>
                  <m:t>K∙mol</m:t>
                </m:r>
              </m:den>
            </m:f>
            <m:ctrlPr>
              <w:rPr>
                <w:rFonts w:ascii="Cambria Math" w:eastAsiaTheme="minorEastAsia" w:hAnsi="Cambria Math"/>
                <w:i/>
              </w:rPr>
            </m:ctrlPr>
          </m:e>
        </m:d>
      </m:oMath>
      <w:r>
        <w:t xml:space="preserve">, and the acentric factor of the pure gas, respectively. Rearranging </w:t>
      </w:r>
      <w:r w:rsidRPr="00EE1EB1">
        <w:t>Equation F.1</w:t>
      </w:r>
      <w:r>
        <w:t xml:space="preserve"> into polynomial form, and using the relationship of the real gas law (</w:t>
      </w:r>
      <w:r w:rsidRPr="00EE1EB1">
        <w:t>Equation F.7</w:t>
      </w:r>
      <w:r>
        <w:t xml:space="preserve">), results in </w:t>
      </w:r>
      <w:r w:rsidRPr="00EE1EB1">
        <w:t>Equation F.8</w:t>
      </w:r>
      <w:r>
        <w:t>.</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EE1EB1" w14:paraId="09E74AFC" w14:textId="77777777" w:rsidTr="003961E4">
        <w:trPr>
          <w:trHeight w:val="576"/>
        </w:trPr>
        <w:tc>
          <w:tcPr>
            <w:tcW w:w="720" w:type="dxa"/>
            <w:vAlign w:val="center"/>
          </w:tcPr>
          <w:p w14:paraId="07D52DD7" w14:textId="5C0A77AC" w:rsidR="00EE1EB1" w:rsidRDefault="00EE1EB1" w:rsidP="003961E4">
            <w:pPr>
              <w:spacing w:line="240" w:lineRule="auto"/>
              <w:jc w:val="center"/>
            </w:pPr>
          </w:p>
        </w:tc>
        <w:tc>
          <w:tcPr>
            <w:tcW w:w="7920" w:type="dxa"/>
            <w:vAlign w:val="center"/>
          </w:tcPr>
          <w:p w14:paraId="184C36CC" w14:textId="77777777" w:rsidR="00EE1EB1" w:rsidRPr="003E4C6A" w:rsidRDefault="00EE1EB1" w:rsidP="003961E4">
            <w:pPr>
              <w:spacing w:line="240" w:lineRule="auto"/>
              <w:jc w:val="center"/>
            </w:pPr>
            <m:oMathPara>
              <m:oMath>
                <m:r>
                  <w:rPr>
                    <w:rFonts w:ascii="Cambria Math" w:hAnsi="Cambria Math"/>
                  </w:rPr>
                  <m:t>z=</m:t>
                </m:r>
                <m:f>
                  <m:fPr>
                    <m:ctrlPr>
                      <w:rPr>
                        <w:rFonts w:ascii="Cambria Math" w:hAnsi="Cambria Math"/>
                        <w:i/>
                      </w:rPr>
                    </m:ctrlPr>
                  </m:fPr>
                  <m:num>
                    <m:r>
                      <w:rPr>
                        <w:rFonts w:ascii="Cambria Math" w:hAnsi="Cambria Math"/>
                      </w:rPr>
                      <m:t>PV</m:t>
                    </m:r>
                  </m:num>
                  <m:den>
                    <m:r>
                      <w:rPr>
                        <w:rFonts w:ascii="Cambria Math" w:hAnsi="Cambria Math"/>
                      </w:rPr>
                      <m:t>nRT</m:t>
                    </m:r>
                  </m:den>
                </m:f>
              </m:oMath>
            </m:oMathPara>
          </w:p>
        </w:tc>
        <w:tc>
          <w:tcPr>
            <w:tcW w:w="720" w:type="dxa"/>
            <w:vAlign w:val="bottom"/>
          </w:tcPr>
          <w:p w14:paraId="3EDEF199" w14:textId="3690C5B9" w:rsidR="00EE1EB1" w:rsidRPr="00470CB5" w:rsidRDefault="00EE1EB1" w:rsidP="00BC23AD">
            <w:pPr>
              <w:pStyle w:val="Caption"/>
              <w:rPr>
                <w:i/>
              </w:rPr>
            </w:pPr>
            <w:r>
              <w:t>F.7</w:t>
            </w:r>
          </w:p>
        </w:tc>
      </w:tr>
    </w:tbl>
    <w:p w14:paraId="09345534" w14:textId="77777777" w:rsidR="00EE1EB1" w:rsidRDefault="00EE1EB1" w:rsidP="00EE1EB1"/>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EE1EB1" w14:paraId="15977EC8" w14:textId="77777777" w:rsidTr="003961E4">
        <w:trPr>
          <w:trHeight w:val="576"/>
        </w:trPr>
        <w:tc>
          <w:tcPr>
            <w:tcW w:w="720" w:type="dxa"/>
            <w:vAlign w:val="center"/>
          </w:tcPr>
          <w:p w14:paraId="37B57373" w14:textId="1F464069" w:rsidR="00EE1EB1" w:rsidRDefault="00EE1EB1" w:rsidP="003961E4">
            <w:pPr>
              <w:spacing w:line="240" w:lineRule="auto"/>
              <w:jc w:val="center"/>
            </w:pPr>
          </w:p>
        </w:tc>
        <w:tc>
          <w:tcPr>
            <w:tcW w:w="7920" w:type="dxa"/>
            <w:vAlign w:val="center"/>
          </w:tcPr>
          <w:p w14:paraId="471AC829" w14:textId="77777777" w:rsidR="00EE1EB1" w:rsidRPr="003E4C6A" w:rsidRDefault="00077C0B" w:rsidP="003961E4">
            <w:pPr>
              <w:spacing w:line="240" w:lineRule="auto"/>
              <w:jc w:val="center"/>
            </w:pPr>
            <m:oMathPara>
              <m:oMath>
                <m:sSup>
                  <m:sSupPr>
                    <m:ctrlPr>
                      <w:rPr>
                        <w:rFonts w:ascii="Cambria Math" w:hAnsi="Cambria Math"/>
                        <w:i/>
                      </w:rPr>
                    </m:ctrlPr>
                  </m:sSupPr>
                  <m:e>
                    <m:r>
                      <w:rPr>
                        <w:rFonts w:ascii="Cambria Math" w:hAnsi="Cambria Math"/>
                      </w:rPr>
                      <m:t>z</m:t>
                    </m:r>
                  </m:e>
                  <m:sup>
                    <m:r>
                      <w:rPr>
                        <w:rFonts w:ascii="Cambria Math" w:hAnsi="Cambria Math"/>
                      </w:rPr>
                      <m:t>3</m:t>
                    </m:r>
                  </m:sup>
                </m:sSup>
                <m:r>
                  <w:rPr>
                    <w:rFonts w:ascii="Cambria Math" w:hAnsi="Cambria Math"/>
                  </w:rPr>
                  <m:t>+α</m:t>
                </m:r>
                <m:sSup>
                  <m:sSupPr>
                    <m:ctrlPr>
                      <w:rPr>
                        <w:rFonts w:ascii="Cambria Math" w:hAnsi="Cambria Math"/>
                        <w:i/>
                      </w:rPr>
                    </m:ctrlPr>
                  </m:sSupPr>
                  <m:e>
                    <m:r>
                      <w:rPr>
                        <w:rFonts w:ascii="Cambria Math" w:hAnsi="Cambria Math"/>
                      </w:rPr>
                      <m:t>z</m:t>
                    </m:r>
                  </m:e>
                  <m:sup>
                    <m:r>
                      <w:rPr>
                        <w:rFonts w:ascii="Cambria Math" w:hAnsi="Cambria Math"/>
                      </w:rPr>
                      <m:t>2</m:t>
                    </m:r>
                  </m:sup>
                </m:sSup>
                <m:r>
                  <w:rPr>
                    <w:rFonts w:ascii="Cambria Math" w:hAnsi="Cambria Math"/>
                  </w:rPr>
                  <m:t>+βz+γ=0</m:t>
                </m:r>
              </m:oMath>
            </m:oMathPara>
          </w:p>
        </w:tc>
        <w:tc>
          <w:tcPr>
            <w:tcW w:w="720" w:type="dxa"/>
            <w:vAlign w:val="bottom"/>
          </w:tcPr>
          <w:p w14:paraId="697DAE60" w14:textId="6D09A380" w:rsidR="00EE1EB1" w:rsidRPr="00470CB5" w:rsidRDefault="00EE1EB1" w:rsidP="00BC23AD">
            <w:pPr>
              <w:pStyle w:val="Caption"/>
              <w:rPr>
                <w:i/>
              </w:rPr>
            </w:pPr>
            <w:r>
              <w:t>F.8</w:t>
            </w:r>
          </w:p>
        </w:tc>
      </w:tr>
      <w:tr w:rsidR="00EE1EB1" w14:paraId="35ADC940" w14:textId="77777777" w:rsidTr="003961E4">
        <w:trPr>
          <w:trHeight w:val="576"/>
        </w:trPr>
        <w:tc>
          <w:tcPr>
            <w:tcW w:w="720" w:type="dxa"/>
            <w:vAlign w:val="center"/>
          </w:tcPr>
          <w:p w14:paraId="6FE77354" w14:textId="77777777" w:rsidR="00EE1EB1" w:rsidRDefault="00EE1EB1" w:rsidP="003961E4">
            <w:pPr>
              <w:spacing w:line="240" w:lineRule="auto"/>
              <w:jc w:val="center"/>
            </w:pPr>
          </w:p>
        </w:tc>
        <w:tc>
          <w:tcPr>
            <w:tcW w:w="7920" w:type="dxa"/>
            <w:vAlign w:val="center"/>
          </w:tcPr>
          <w:p w14:paraId="1D4051F5" w14:textId="77777777" w:rsidR="00EE1EB1" w:rsidRDefault="00EE1EB1" w:rsidP="003961E4">
            <w:pPr>
              <w:spacing w:line="240" w:lineRule="auto"/>
              <w:jc w:val="center"/>
              <w:rPr>
                <w:rFonts w:eastAsia="Calibri" w:cs="Times New Roman"/>
              </w:rPr>
            </w:pPr>
          </w:p>
        </w:tc>
        <w:tc>
          <w:tcPr>
            <w:tcW w:w="720" w:type="dxa"/>
            <w:vAlign w:val="bottom"/>
          </w:tcPr>
          <w:p w14:paraId="4794E1F8" w14:textId="77777777" w:rsidR="00EE1EB1" w:rsidRDefault="00EE1EB1" w:rsidP="00BC23AD">
            <w:pPr>
              <w:pStyle w:val="Caption"/>
            </w:pPr>
          </w:p>
        </w:tc>
      </w:tr>
      <w:tr w:rsidR="00EE1EB1" w14:paraId="38EC5CC7" w14:textId="77777777" w:rsidTr="003961E4">
        <w:trPr>
          <w:trHeight w:val="576"/>
        </w:trPr>
        <w:tc>
          <w:tcPr>
            <w:tcW w:w="720" w:type="dxa"/>
            <w:vAlign w:val="center"/>
          </w:tcPr>
          <w:p w14:paraId="670E7424" w14:textId="77777777" w:rsidR="00EE1EB1" w:rsidRDefault="00EE1EB1" w:rsidP="003961E4">
            <w:pPr>
              <w:spacing w:line="240" w:lineRule="auto"/>
              <w:jc w:val="center"/>
            </w:pPr>
          </w:p>
        </w:tc>
        <w:tc>
          <w:tcPr>
            <w:tcW w:w="7920" w:type="dxa"/>
            <w:vAlign w:val="center"/>
          </w:tcPr>
          <w:p w14:paraId="308A6564" w14:textId="77777777" w:rsidR="00EE1EB1" w:rsidRPr="003E4C6A" w:rsidRDefault="00EE1EB1" w:rsidP="003961E4">
            <w:pPr>
              <w:spacing w:line="240" w:lineRule="auto"/>
              <w:jc w:val="center"/>
            </w:pPr>
            <m:oMathPara>
              <m:oMath>
                <m:r>
                  <w:rPr>
                    <w:rFonts w:ascii="Cambria Math" w:hAnsi="Cambria Math"/>
                  </w:rPr>
                  <m:t>α=-1+B</m:t>
                </m:r>
              </m:oMath>
            </m:oMathPara>
          </w:p>
        </w:tc>
        <w:tc>
          <w:tcPr>
            <w:tcW w:w="720" w:type="dxa"/>
            <w:vAlign w:val="bottom"/>
          </w:tcPr>
          <w:p w14:paraId="48607EC6" w14:textId="01135E2D" w:rsidR="00EE1EB1" w:rsidRPr="00470CB5" w:rsidRDefault="00EE1EB1" w:rsidP="00BC23AD">
            <w:pPr>
              <w:pStyle w:val="Caption"/>
              <w:rPr>
                <w:i/>
              </w:rPr>
            </w:pPr>
            <w:r>
              <w:t>F.9</w:t>
            </w:r>
          </w:p>
        </w:tc>
      </w:tr>
    </w:tbl>
    <w:p w14:paraId="5EB018E1" w14:textId="77777777" w:rsidR="00EE1EB1" w:rsidRDefault="00EE1EB1" w:rsidP="00EE1EB1"/>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EE1EB1" w14:paraId="4F561A25" w14:textId="77777777" w:rsidTr="003961E4">
        <w:trPr>
          <w:trHeight w:val="576"/>
        </w:trPr>
        <w:tc>
          <w:tcPr>
            <w:tcW w:w="720" w:type="dxa"/>
            <w:vAlign w:val="center"/>
          </w:tcPr>
          <w:p w14:paraId="24B760BB" w14:textId="77777777" w:rsidR="00EE1EB1" w:rsidRDefault="00EE1EB1" w:rsidP="003961E4">
            <w:pPr>
              <w:spacing w:line="240" w:lineRule="auto"/>
              <w:jc w:val="center"/>
            </w:pPr>
          </w:p>
        </w:tc>
        <w:tc>
          <w:tcPr>
            <w:tcW w:w="7920" w:type="dxa"/>
            <w:vAlign w:val="center"/>
          </w:tcPr>
          <w:p w14:paraId="2A06BC7A" w14:textId="77777777" w:rsidR="00EE1EB1" w:rsidRPr="003E4C6A" w:rsidRDefault="00EE1EB1" w:rsidP="003961E4">
            <w:pPr>
              <w:spacing w:line="240" w:lineRule="auto"/>
              <w:jc w:val="center"/>
            </w:pPr>
            <m:oMathPara>
              <m:oMath>
                <m:r>
                  <w:rPr>
                    <w:rFonts w:ascii="Cambria Math" w:hAnsi="Cambria Math"/>
                  </w:rPr>
                  <m:t>β=A-3</m:t>
                </m:r>
                <m:sSup>
                  <m:sSupPr>
                    <m:ctrlPr>
                      <w:rPr>
                        <w:rFonts w:ascii="Cambria Math" w:hAnsi="Cambria Math"/>
                        <w:i/>
                      </w:rPr>
                    </m:ctrlPr>
                  </m:sSupPr>
                  <m:e>
                    <m:r>
                      <w:rPr>
                        <w:rFonts w:ascii="Cambria Math" w:hAnsi="Cambria Math"/>
                      </w:rPr>
                      <m:t>B</m:t>
                    </m:r>
                  </m:e>
                  <m:sup>
                    <m:r>
                      <w:rPr>
                        <w:rFonts w:ascii="Cambria Math" w:hAnsi="Cambria Math"/>
                      </w:rPr>
                      <m:t>2</m:t>
                    </m:r>
                  </m:sup>
                </m:sSup>
                <m:r>
                  <w:rPr>
                    <w:rFonts w:ascii="Cambria Math" w:hAnsi="Cambria Math"/>
                  </w:rPr>
                  <m:t>-2B</m:t>
                </m:r>
              </m:oMath>
            </m:oMathPara>
          </w:p>
        </w:tc>
        <w:tc>
          <w:tcPr>
            <w:tcW w:w="720" w:type="dxa"/>
            <w:vAlign w:val="bottom"/>
          </w:tcPr>
          <w:p w14:paraId="5F79664A" w14:textId="6543D1F6" w:rsidR="00EE1EB1" w:rsidRPr="00470CB5" w:rsidRDefault="00EE1EB1" w:rsidP="00BC23AD">
            <w:pPr>
              <w:pStyle w:val="Caption"/>
              <w:rPr>
                <w:i/>
              </w:rPr>
            </w:pPr>
            <w:r>
              <w:t>F.10</w:t>
            </w:r>
          </w:p>
        </w:tc>
      </w:tr>
    </w:tbl>
    <w:p w14:paraId="3535E18C" w14:textId="77777777" w:rsidR="00EE1EB1" w:rsidRDefault="00EE1EB1" w:rsidP="00EE1EB1"/>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EE1EB1" w14:paraId="140009C7" w14:textId="77777777" w:rsidTr="003961E4">
        <w:trPr>
          <w:trHeight w:val="576"/>
        </w:trPr>
        <w:tc>
          <w:tcPr>
            <w:tcW w:w="720" w:type="dxa"/>
            <w:vAlign w:val="center"/>
          </w:tcPr>
          <w:p w14:paraId="6F1A851C" w14:textId="77777777" w:rsidR="00EE1EB1" w:rsidRDefault="00EE1EB1" w:rsidP="003961E4">
            <w:pPr>
              <w:spacing w:line="240" w:lineRule="auto"/>
              <w:jc w:val="center"/>
            </w:pPr>
          </w:p>
        </w:tc>
        <w:tc>
          <w:tcPr>
            <w:tcW w:w="7920" w:type="dxa"/>
            <w:vAlign w:val="center"/>
          </w:tcPr>
          <w:p w14:paraId="6771676D" w14:textId="77777777" w:rsidR="00EE1EB1" w:rsidRPr="003E4C6A" w:rsidRDefault="00EE1EB1" w:rsidP="003961E4">
            <w:pPr>
              <w:spacing w:line="240" w:lineRule="auto"/>
              <w:jc w:val="center"/>
            </w:pPr>
            <m:oMathPara>
              <m:oMath>
                <m:r>
                  <w:rPr>
                    <w:rFonts w:ascii="Cambria Math" w:hAnsi="Cambria Math"/>
                  </w:rPr>
                  <m:t>γ=-AB+</m:t>
                </m:r>
                <m:sSup>
                  <m:sSupPr>
                    <m:ctrlPr>
                      <w:rPr>
                        <w:rFonts w:ascii="Cambria Math" w:hAnsi="Cambria Math"/>
                        <w:i/>
                      </w:rPr>
                    </m:ctrlPr>
                  </m:sSupPr>
                  <m:e>
                    <m:r>
                      <w:rPr>
                        <w:rFonts w:ascii="Cambria Math" w:hAnsi="Cambria Math"/>
                      </w:rPr>
                      <m:t>B</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B</m:t>
                    </m:r>
                  </m:e>
                  <m:sup>
                    <m:r>
                      <w:rPr>
                        <w:rFonts w:ascii="Cambria Math" w:hAnsi="Cambria Math"/>
                      </w:rPr>
                      <m:t>3</m:t>
                    </m:r>
                  </m:sup>
                </m:sSup>
              </m:oMath>
            </m:oMathPara>
          </w:p>
        </w:tc>
        <w:tc>
          <w:tcPr>
            <w:tcW w:w="720" w:type="dxa"/>
            <w:vAlign w:val="bottom"/>
          </w:tcPr>
          <w:p w14:paraId="04999BF0" w14:textId="5657F04C" w:rsidR="00EE1EB1" w:rsidRPr="00470CB5" w:rsidRDefault="00EE1EB1" w:rsidP="00BC23AD">
            <w:pPr>
              <w:pStyle w:val="Caption"/>
              <w:rPr>
                <w:i/>
              </w:rPr>
            </w:pPr>
            <w:r>
              <w:t>F.11</w:t>
            </w:r>
          </w:p>
        </w:tc>
      </w:tr>
    </w:tbl>
    <w:p w14:paraId="6083C49F" w14:textId="77777777" w:rsidR="00EE1EB1" w:rsidRDefault="00EE1EB1" w:rsidP="00EE1EB1"/>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EE1EB1" w14:paraId="061D2047" w14:textId="77777777" w:rsidTr="003961E4">
        <w:trPr>
          <w:trHeight w:val="576"/>
        </w:trPr>
        <w:tc>
          <w:tcPr>
            <w:tcW w:w="720" w:type="dxa"/>
            <w:vAlign w:val="center"/>
          </w:tcPr>
          <w:p w14:paraId="3A1B03D8" w14:textId="77777777" w:rsidR="00EE1EB1" w:rsidRDefault="00EE1EB1" w:rsidP="003961E4">
            <w:pPr>
              <w:spacing w:line="240" w:lineRule="auto"/>
              <w:jc w:val="center"/>
            </w:pPr>
          </w:p>
        </w:tc>
        <w:tc>
          <w:tcPr>
            <w:tcW w:w="7920" w:type="dxa"/>
            <w:vAlign w:val="center"/>
          </w:tcPr>
          <w:p w14:paraId="396F4784" w14:textId="77777777" w:rsidR="00EE1EB1" w:rsidRPr="003E4C6A" w:rsidRDefault="00EE1EB1" w:rsidP="003961E4">
            <w:pPr>
              <w:spacing w:line="240" w:lineRule="auto"/>
              <w:jc w:val="center"/>
            </w:pPr>
            <m:oMathPara>
              <m:oMath>
                <m:r>
                  <w:rPr>
                    <w:rFonts w:ascii="Cambria Math" w:hAnsi="Cambria Math"/>
                  </w:rPr>
                  <m:t>B=</m:t>
                </m:r>
                <m:f>
                  <m:fPr>
                    <m:ctrlPr>
                      <w:rPr>
                        <w:rFonts w:ascii="Cambria Math" w:hAnsi="Cambria Math"/>
                        <w:i/>
                      </w:rPr>
                    </m:ctrlPr>
                  </m:fPr>
                  <m:num>
                    <m:r>
                      <w:rPr>
                        <w:rFonts w:ascii="Cambria Math" w:hAnsi="Cambria Math"/>
                      </w:rPr>
                      <m:t>Pb</m:t>
                    </m:r>
                  </m:num>
                  <m:den>
                    <m:r>
                      <w:rPr>
                        <w:rFonts w:ascii="Cambria Math" w:hAnsi="Cambria Math"/>
                      </w:rPr>
                      <m:t>RT</m:t>
                    </m:r>
                  </m:den>
                </m:f>
              </m:oMath>
            </m:oMathPara>
          </w:p>
        </w:tc>
        <w:tc>
          <w:tcPr>
            <w:tcW w:w="720" w:type="dxa"/>
            <w:vAlign w:val="bottom"/>
          </w:tcPr>
          <w:p w14:paraId="7D1768D1" w14:textId="0E4C93BA" w:rsidR="00EE1EB1" w:rsidRPr="00470CB5" w:rsidRDefault="00EE1EB1" w:rsidP="00BC23AD">
            <w:pPr>
              <w:pStyle w:val="Caption"/>
              <w:rPr>
                <w:i/>
              </w:rPr>
            </w:pPr>
            <w:r>
              <w:t>F.12</w:t>
            </w:r>
          </w:p>
        </w:tc>
      </w:tr>
    </w:tbl>
    <w:p w14:paraId="266BEB22" w14:textId="77777777" w:rsidR="00EE1EB1" w:rsidRDefault="00EE1EB1" w:rsidP="00EE1EB1"/>
    <w:p w14:paraId="428D19A9" w14:textId="6F96E02F" w:rsidR="00EE1EB1" w:rsidRDefault="00EE1EB1" w:rsidP="00EE1EB1">
      <w:pPr>
        <w:ind w:firstLine="720"/>
      </w:pPr>
      <w:r>
        <w:t xml:space="preserve">For the Peng-Robinson equation of state to be solved, the roots of the polynomial in </w:t>
      </w:r>
      <w:r w:rsidRPr="00EE1EB1">
        <w:t>Equation F.8</w:t>
      </w:r>
      <w:r>
        <w:t xml:space="preserve"> have to be determined.</w:t>
      </w:r>
      <w:r w:rsidR="00562987">
        <w:t xml:space="preserve"> To solve a third degree polynomial, Equation F.13 is used. A limitation of Equation F.13 is that </w:t>
      </w:r>
      <w:r w:rsidR="00AF3DBE">
        <w:t>it</w:t>
      </w:r>
      <w:r w:rsidR="00562987">
        <w:t xml:space="preserve"> can result in complex numbers</w:t>
      </w:r>
      <w:r w:rsidR="00670CED">
        <w:t xml:space="preserve"> resulting in crashing of the FEA model if used explicitly within it</w:t>
      </w:r>
      <w:r w:rsidR="00562987">
        <w:t>.</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gridCol w:w="720"/>
      </w:tblGrid>
      <w:tr w:rsidR="00AF3DBE" w14:paraId="07029AEF" w14:textId="77777777" w:rsidTr="00AF3DBE">
        <w:trPr>
          <w:trHeight w:val="576"/>
        </w:trPr>
        <w:tc>
          <w:tcPr>
            <w:tcW w:w="8640" w:type="dxa"/>
            <w:vAlign w:val="center"/>
          </w:tcPr>
          <w:p w14:paraId="15FAAD7D" w14:textId="09DA5F3B" w:rsidR="00AF3DBE" w:rsidRPr="003E4C6A" w:rsidRDefault="00AF3DBE" w:rsidP="00AF3DBE">
            <w:pPr>
              <w:spacing w:line="240" w:lineRule="auto"/>
              <w:jc w:val="center"/>
            </w:pPr>
            <m:oMathPara>
              <m:oMath>
                <m:r>
                  <w:rPr>
                    <w:rFonts w:ascii="Cambria Math" w:hAnsi="Cambria Math"/>
                  </w:rPr>
                  <m:t>z=</m:t>
                </m:r>
                <m:rad>
                  <m:radPr>
                    <m:ctrlPr>
                      <w:rPr>
                        <w:rFonts w:ascii="Cambria Math" w:eastAsiaTheme="minorEastAsia" w:hAnsi="Cambria Math"/>
                        <w:i/>
                      </w:rPr>
                    </m:ctrlPr>
                  </m:radPr>
                  <m:deg>
                    <m:r>
                      <w:rPr>
                        <w:rFonts w:ascii="Cambria Math" w:hAnsi="Cambria Math"/>
                      </w:rPr>
                      <m:t>3</m:t>
                    </m:r>
                  </m:deg>
                  <m:e>
                    <m:d>
                      <m:dPr>
                        <m:ctrlPr>
                          <w:rPr>
                            <w:rFonts w:ascii="Cambria Math" w:hAnsi="Cambria Math"/>
                            <w:i/>
                          </w:rPr>
                        </m:ctrlPr>
                      </m:dPr>
                      <m:e>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α</m:t>
                                </m:r>
                              </m:e>
                              <m:sup>
                                <m:r>
                                  <w:rPr>
                                    <w:rFonts w:ascii="Cambria Math" w:hAnsi="Cambria Math"/>
                                  </w:rPr>
                                  <m:t>3</m:t>
                                </m:r>
                              </m:sup>
                            </m:sSup>
                          </m:num>
                          <m:den>
                            <m:r>
                              <w:rPr>
                                <w:rFonts w:ascii="Cambria Math" w:hAnsi="Cambria Math"/>
                              </w:rPr>
                              <m:t>27</m:t>
                            </m:r>
                          </m:den>
                        </m:f>
                        <m:r>
                          <w:rPr>
                            <w:rFonts w:ascii="Cambria Math" w:hAnsi="Cambria Math"/>
                          </w:rPr>
                          <m:t>+</m:t>
                        </m:r>
                        <m:f>
                          <m:fPr>
                            <m:ctrlPr>
                              <w:rPr>
                                <w:rFonts w:ascii="Cambria Math" w:hAnsi="Cambria Math"/>
                                <w:i/>
                              </w:rPr>
                            </m:ctrlPr>
                          </m:fPr>
                          <m:num>
                            <m:r>
                              <w:rPr>
                                <w:rFonts w:ascii="Cambria Math" w:hAnsi="Cambria Math"/>
                              </w:rPr>
                              <m:t>αβ</m:t>
                            </m:r>
                          </m:num>
                          <m:den>
                            <m:r>
                              <w:rPr>
                                <w:rFonts w:ascii="Cambria Math" w:hAnsi="Cambria Math"/>
                              </w:rPr>
                              <m:t>6</m:t>
                            </m:r>
                          </m:den>
                        </m:f>
                        <m:r>
                          <w:rPr>
                            <w:rFonts w:ascii="Cambria Math" w:hAnsi="Cambria Math"/>
                          </w:rPr>
                          <m:t>-</m:t>
                        </m:r>
                        <m:f>
                          <m:fPr>
                            <m:ctrlPr>
                              <w:rPr>
                                <w:rFonts w:ascii="Cambria Math" w:hAnsi="Cambria Math"/>
                                <w:i/>
                              </w:rPr>
                            </m:ctrlPr>
                          </m:fPr>
                          <m:num>
                            <m:r>
                              <w:rPr>
                                <w:rFonts w:ascii="Cambria Math" w:hAnsi="Cambria Math"/>
                              </w:rPr>
                              <m:t>γ</m:t>
                            </m:r>
                          </m:num>
                          <m:den>
                            <m:r>
                              <w:rPr>
                                <w:rFonts w:ascii="Cambria Math" w:hAnsi="Cambria Math"/>
                              </w:rPr>
                              <m:t>2</m:t>
                            </m:r>
                          </m:den>
                        </m:f>
                      </m:e>
                    </m:d>
                    <m:r>
                      <w:rPr>
                        <w:rFonts w:ascii="Cambria Math" w:hAnsi="Cambria Math"/>
                      </w:rPr>
                      <m:t>+</m:t>
                    </m:r>
                    <m:rad>
                      <m:radPr>
                        <m:degHide m:val="1"/>
                        <m:ctrlPr>
                          <w:rPr>
                            <w:rFonts w:ascii="Cambria Math" w:eastAsiaTheme="minorEastAsia" w:hAnsi="Cambria Math"/>
                            <w:i/>
                          </w:rPr>
                        </m:ctrlPr>
                      </m:radPr>
                      <m:deg/>
                      <m:e>
                        <m:sSup>
                          <m:sSupPr>
                            <m:ctrlPr>
                              <w:rPr>
                                <w:rFonts w:ascii="Cambria Math" w:hAnsi="Cambria Math"/>
                                <w:i/>
                              </w:rPr>
                            </m:ctrlPr>
                          </m:sSupPr>
                          <m:e>
                            <m:d>
                              <m:dPr>
                                <m:ctrlPr>
                                  <w:rPr>
                                    <w:rFonts w:ascii="Cambria Math" w:hAnsi="Cambria Math"/>
                                    <w:i/>
                                  </w:rPr>
                                </m:ctrlPr>
                              </m:dPr>
                              <m:e>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α</m:t>
                                        </m:r>
                                      </m:e>
                                      <m:sup>
                                        <m:r>
                                          <w:rPr>
                                            <w:rFonts w:ascii="Cambria Math" w:hAnsi="Cambria Math"/>
                                          </w:rPr>
                                          <m:t>3</m:t>
                                        </m:r>
                                      </m:sup>
                                    </m:sSup>
                                  </m:num>
                                  <m:den>
                                    <m:r>
                                      <w:rPr>
                                        <w:rFonts w:ascii="Cambria Math" w:hAnsi="Cambria Math"/>
                                      </w:rPr>
                                      <m:t>27</m:t>
                                    </m:r>
                                  </m:den>
                                </m:f>
                                <m:r>
                                  <w:rPr>
                                    <w:rFonts w:ascii="Cambria Math" w:hAnsi="Cambria Math"/>
                                  </w:rPr>
                                  <m:t>+</m:t>
                                </m:r>
                                <m:f>
                                  <m:fPr>
                                    <m:ctrlPr>
                                      <w:rPr>
                                        <w:rFonts w:ascii="Cambria Math" w:hAnsi="Cambria Math"/>
                                        <w:i/>
                                      </w:rPr>
                                    </m:ctrlPr>
                                  </m:fPr>
                                  <m:num>
                                    <m:r>
                                      <w:rPr>
                                        <w:rFonts w:ascii="Cambria Math" w:hAnsi="Cambria Math"/>
                                      </w:rPr>
                                      <m:t>αβ</m:t>
                                    </m:r>
                                  </m:num>
                                  <m:den>
                                    <m:r>
                                      <w:rPr>
                                        <w:rFonts w:ascii="Cambria Math" w:hAnsi="Cambria Math"/>
                                      </w:rPr>
                                      <m:t>6</m:t>
                                    </m:r>
                                  </m:den>
                                </m:f>
                                <m:r>
                                  <w:rPr>
                                    <w:rFonts w:ascii="Cambria Math" w:hAnsi="Cambria Math"/>
                                  </w:rPr>
                                  <m:t>-</m:t>
                                </m:r>
                                <m:f>
                                  <m:fPr>
                                    <m:ctrlPr>
                                      <w:rPr>
                                        <w:rFonts w:ascii="Cambria Math" w:hAnsi="Cambria Math"/>
                                        <w:i/>
                                      </w:rPr>
                                    </m:ctrlPr>
                                  </m:fPr>
                                  <m:num>
                                    <m:r>
                                      <w:rPr>
                                        <w:rFonts w:ascii="Cambria Math" w:hAnsi="Cambria Math"/>
                                      </w:rPr>
                                      <m:t>γ</m:t>
                                    </m:r>
                                  </m:num>
                                  <m:den>
                                    <m:r>
                                      <w:rPr>
                                        <w:rFonts w:ascii="Cambria Math" w:hAnsi="Cambria Math"/>
                                      </w:rPr>
                                      <m:t>2</m:t>
                                    </m:r>
                                  </m:den>
                                </m:f>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β</m:t>
                                    </m:r>
                                  </m:num>
                                  <m:den>
                                    <m:r>
                                      <w:rPr>
                                        <w:rFonts w:ascii="Cambria Math" w:hAnsi="Cambria Math"/>
                                      </w:rPr>
                                      <m:t>3</m:t>
                                    </m:r>
                                  </m:den>
                                </m:f>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α</m:t>
                                        </m:r>
                                      </m:e>
                                      <m:sup>
                                        <m:r>
                                          <w:rPr>
                                            <w:rFonts w:ascii="Cambria Math" w:hAnsi="Cambria Math"/>
                                          </w:rPr>
                                          <m:t>2</m:t>
                                        </m:r>
                                      </m:sup>
                                    </m:sSup>
                                  </m:num>
                                  <m:den>
                                    <m:r>
                                      <w:rPr>
                                        <w:rFonts w:ascii="Cambria Math" w:hAnsi="Cambria Math"/>
                                      </w:rPr>
                                      <m:t>9</m:t>
                                    </m:r>
                                  </m:den>
                                </m:f>
                              </m:e>
                            </m:d>
                          </m:e>
                          <m:sup>
                            <m:r>
                              <w:rPr>
                                <w:rFonts w:ascii="Cambria Math" w:hAnsi="Cambria Math"/>
                              </w:rPr>
                              <m:t>3</m:t>
                            </m:r>
                          </m:sup>
                        </m:sSup>
                      </m:e>
                    </m:rad>
                  </m:e>
                </m:rad>
                <m:r>
                  <w:rPr>
                    <w:rFonts w:ascii="Cambria Math" w:hAnsi="Cambria Math"/>
                  </w:rPr>
                  <m:t xml:space="preserve">+ </m:t>
                </m:r>
                <m:rad>
                  <m:radPr>
                    <m:ctrlPr>
                      <w:rPr>
                        <w:rFonts w:ascii="Cambria Math" w:eastAsiaTheme="minorEastAsia" w:hAnsi="Cambria Math"/>
                        <w:i/>
                      </w:rPr>
                    </m:ctrlPr>
                  </m:radPr>
                  <m:deg>
                    <m:r>
                      <w:rPr>
                        <w:rFonts w:ascii="Cambria Math" w:hAnsi="Cambria Math"/>
                      </w:rPr>
                      <m:t>3</m:t>
                    </m:r>
                  </m:deg>
                  <m:e>
                    <m:d>
                      <m:dPr>
                        <m:ctrlPr>
                          <w:rPr>
                            <w:rFonts w:ascii="Cambria Math" w:hAnsi="Cambria Math"/>
                            <w:i/>
                          </w:rPr>
                        </m:ctrlPr>
                      </m:dPr>
                      <m:e>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α</m:t>
                                </m:r>
                              </m:e>
                              <m:sup>
                                <m:r>
                                  <w:rPr>
                                    <w:rFonts w:ascii="Cambria Math" w:hAnsi="Cambria Math"/>
                                  </w:rPr>
                                  <m:t>3</m:t>
                                </m:r>
                              </m:sup>
                            </m:sSup>
                          </m:num>
                          <m:den>
                            <m:r>
                              <w:rPr>
                                <w:rFonts w:ascii="Cambria Math" w:hAnsi="Cambria Math"/>
                              </w:rPr>
                              <m:t>27</m:t>
                            </m:r>
                          </m:den>
                        </m:f>
                        <m:r>
                          <w:rPr>
                            <w:rFonts w:ascii="Cambria Math" w:hAnsi="Cambria Math"/>
                          </w:rPr>
                          <m:t>+</m:t>
                        </m:r>
                        <m:f>
                          <m:fPr>
                            <m:ctrlPr>
                              <w:rPr>
                                <w:rFonts w:ascii="Cambria Math" w:hAnsi="Cambria Math"/>
                                <w:i/>
                              </w:rPr>
                            </m:ctrlPr>
                          </m:fPr>
                          <m:num>
                            <m:r>
                              <w:rPr>
                                <w:rFonts w:ascii="Cambria Math" w:hAnsi="Cambria Math"/>
                              </w:rPr>
                              <m:t>αβ</m:t>
                            </m:r>
                          </m:num>
                          <m:den>
                            <m:r>
                              <w:rPr>
                                <w:rFonts w:ascii="Cambria Math" w:hAnsi="Cambria Math"/>
                              </w:rPr>
                              <m:t>6</m:t>
                            </m:r>
                          </m:den>
                        </m:f>
                        <m:r>
                          <w:rPr>
                            <w:rFonts w:ascii="Cambria Math" w:hAnsi="Cambria Math"/>
                          </w:rPr>
                          <m:t>-</m:t>
                        </m:r>
                        <m:f>
                          <m:fPr>
                            <m:ctrlPr>
                              <w:rPr>
                                <w:rFonts w:ascii="Cambria Math" w:hAnsi="Cambria Math"/>
                                <w:i/>
                              </w:rPr>
                            </m:ctrlPr>
                          </m:fPr>
                          <m:num>
                            <m:r>
                              <w:rPr>
                                <w:rFonts w:ascii="Cambria Math" w:hAnsi="Cambria Math"/>
                              </w:rPr>
                              <m:t>γ</m:t>
                            </m:r>
                          </m:num>
                          <m:den>
                            <m:r>
                              <w:rPr>
                                <w:rFonts w:ascii="Cambria Math" w:hAnsi="Cambria Math"/>
                              </w:rPr>
                              <m:t>2</m:t>
                            </m:r>
                          </m:den>
                        </m:f>
                      </m:e>
                    </m:d>
                    <m:r>
                      <w:rPr>
                        <w:rFonts w:ascii="Cambria Math" w:hAnsi="Cambria Math"/>
                      </w:rPr>
                      <m:t>-</m:t>
                    </m:r>
                    <m:rad>
                      <m:radPr>
                        <m:degHide m:val="1"/>
                        <m:ctrlPr>
                          <w:rPr>
                            <w:rFonts w:ascii="Cambria Math" w:eastAsiaTheme="minorEastAsia" w:hAnsi="Cambria Math"/>
                            <w:i/>
                          </w:rPr>
                        </m:ctrlPr>
                      </m:radPr>
                      <m:deg/>
                      <m:e>
                        <m:sSup>
                          <m:sSupPr>
                            <m:ctrlPr>
                              <w:rPr>
                                <w:rFonts w:ascii="Cambria Math" w:hAnsi="Cambria Math"/>
                                <w:i/>
                              </w:rPr>
                            </m:ctrlPr>
                          </m:sSupPr>
                          <m:e>
                            <m:d>
                              <m:dPr>
                                <m:ctrlPr>
                                  <w:rPr>
                                    <w:rFonts w:ascii="Cambria Math" w:hAnsi="Cambria Math"/>
                                    <w:i/>
                                  </w:rPr>
                                </m:ctrlPr>
                              </m:dPr>
                              <m:e>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α</m:t>
                                        </m:r>
                                      </m:e>
                                      <m:sup>
                                        <m:r>
                                          <w:rPr>
                                            <w:rFonts w:ascii="Cambria Math" w:hAnsi="Cambria Math"/>
                                          </w:rPr>
                                          <m:t>3</m:t>
                                        </m:r>
                                      </m:sup>
                                    </m:sSup>
                                  </m:num>
                                  <m:den>
                                    <m:r>
                                      <w:rPr>
                                        <w:rFonts w:ascii="Cambria Math" w:hAnsi="Cambria Math"/>
                                      </w:rPr>
                                      <m:t>27</m:t>
                                    </m:r>
                                  </m:den>
                                </m:f>
                                <m:r>
                                  <w:rPr>
                                    <w:rFonts w:ascii="Cambria Math" w:hAnsi="Cambria Math"/>
                                  </w:rPr>
                                  <m:t>+</m:t>
                                </m:r>
                                <m:f>
                                  <m:fPr>
                                    <m:ctrlPr>
                                      <w:rPr>
                                        <w:rFonts w:ascii="Cambria Math" w:hAnsi="Cambria Math"/>
                                        <w:i/>
                                      </w:rPr>
                                    </m:ctrlPr>
                                  </m:fPr>
                                  <m:num>
                                    <m:r>
                                      <w:rPr>
                                        <w:rFonts w:ascii="Cambria Math" w:hAnsi="Cambria Math"/>
                                      </w:rPr>
                                      <m:t>αβ</m:t>
                                    </m:r>
                                  </m:num>
                                  <m:den>
                                    <m:r>
                                      <w:rPr>
                                        <w:rFonts w:ascii="Cambria Math" w:hAnsi="Cambria Math"/>
                                      </w:rPr>
                                      <m:t>6</m:t>
                                    </m:r>
                                  </m:den>
                                </m:f>
                                <m:r>
                                  <w:rPr>
                                    <w:rFonts w:ascii="Cambria Math" w:hAnsi="Cambria Math"/>
                                  </w:rPr>
                                  <m:t>-</m:t>
                                </m:r>
                                <m:f>
                                  <m:fPr>
                                    <m:ctrlPr>
                                      <w:rPr>
                                        <w:rFonts w:ascii="Cambria Math" w:hAnsi="Cambria Math"/>
                                        <w:i/>
                                      </w:rPr>
                                    </m:ctrlPr>
                                  </m:fPr>
                                  <m:num>
                                    <m:r>
                                      <w:rPr>
                                        <w:rFonts w:ascii="Cambria Math" w:hAnsi="Cambria Math"/>
                                      </w:rPr>
                                      <m:t>γ</m:t>
                                    </m:r>
                                  </m:num>
                                  <m:den>
                                    <m:r>
                                      <w:rPr>
                                        <w:rFonts w:ascii="Cambria Math" w:hAnsi="Cambria Math"/>
                                      </w:rPr>
                                      <m:t>2</m:t>
                                    </m:r>
                                  </m:den>
                                </m:f>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β</m:t>
                                    </m:r>
                                  </m:num>
                                  <m:den>
                                    <m:r>
                                      <w:rPr>
                                        <w:rFonts w:ascii="Cambria Math" w:hAnsi="Cambria Math"/>
                                      </w:rPr>
                                      <m:t>3</m:t>
                                    </m:r>
                                  </m:den>
                                </m:f>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α</m:t>
                                        </m:r>
                                      </m:e>
                                      <m:sup>
                                        <m:r>
                                          <w:rPr>
                                            <w:rFonts w:ascii="Cambria Math" w:hAnsi="Cambria Math"/>
                                          </w:rPr>
                                          <m:t>2</m:t>
                                        </m:r>
                                      </m:sup>
                                    </m:sSup>
                                  </m:num>
                                  <m:den>
                                    <m:r>
                                      <w:rPr>
                                        <w:rFonts w:ascii="Cambria Math" w:hAnsi="Cambria Math"/>
                                      </w:rPr>
                                      <m:t>9</m:t>
                                    </m:r>
                                  </m:den>
                                </m:f>
                              </m:e>
                            </m:d>
                          </m:e>
                          <m:sup>
                            <m:r>
                              <w:rPr>
                                <w:rFonts w:ascii="Cambria Math" w:hAnsi="Cambria Math"/>
                              </w:rPr>
                              <m:t>3</m:t>
                            </m:r>
                          </m:sup>
                        </m:sSup>
                      </m:e>
                    </m:rad>
                  </m:e>
                </m:rad>
                <m:r>
                  <w:rPr>
                    <w:rFonts w:ascii="Cambria Math" w:hAnsi="Cambria Math"/>
                  </w:rPr>
                  <m:t>-</m:t>
                </m:r>
                <m:f>
                  <m:fPr>
                    <m:ctrlPr>
                      <w:rPr>
                        <w:rFonts w:ascii="Cambria Math" w:hAnsi="Cambria Math"/>
                        <w:i/>
                      </w:rPr>
                    </m:ctrlPr>
                  </m:fPr>
                  <m:num>
                    <m:r>
                      <w:rPr>
                        <w:rFonts w:ascii="Cambria Math" w:hAnsi="Cambria Math"/>
                      </w:rPr>
                      <m:t>α</m:t>
                    </m:r>
                  </m:num>
                  <m:den>
                    <m:r>
                      <w:rPr>
                        <w:rFonts w:ascii="Cambria Math" w:hAnsi="Cambria Math"/>
                      </w:rPr>
                      <m:t>3</m:t>
                    </m:r>
                  </m:den>
                </m:f>
              </m:oMath>
            </m:oMathPara>
          </w:p>
        </w:tc>
        <w:tc>
          <w:tcPr>
            <w:tcW w:w="720" w:type="dxa"/>
            <w:vAlign w:val="center"/>
          </w:tcPr>
          <w:p w14:paraId="4CDE4B7B" w14:textId="6404766E" w:rsidR="00AF3DBE" w:rsidRPr="00470CB5" w:rsidRDefault="00AF3DBE" w:rsidP="00BC23AD">
            <w:pPr>
              <w:pStyle w:val="Caption"/>
              <w:rPr>
                <w:i/>
              </w:rPr>
            </w:pPr>
            <w:r>
              <w:t>F.13</w:t>
            </w:r>
          </w:p>
        </w:tc>
      </w:tr>
    </w:tbl>
    <w:p w14:paraId="2FB372D1" w14:textId="77777777" w:rsidR="00562987" w:rsidRDefault="00562987" w:rsidP="00EE1EB1">
      <w:pPr>
        <w:ind w:firstLine="720"/>
      </w:pPr>
    </w:p>
    <w:p w14:paraId="7D86A335" w14:textId="0014C20D" w:rsidR="0090115E" w:rsidRDefault="00DB7CF8" w:rsidP="00EE1EB1">
      <w:pPr>
        <w:ind w:firstLine="720"/>
      </w:pPr>
      <w:r>
        <w:t>The</w:t>
      </w:r>
      <w:r w:rsidR="0090115E">
        <w:t xml:space="preserve"> variables used to compare the</w:t>
      </w:r>
      <w:r>
        <w:t xml:space="preserve"> Peng-Robinson equation </w:t>
      </w:r>
      <w:r w:rsidR="00BA3817">
        <w:t>of state</w:t>
      </w:r>
      <w:r w:rsidR="0090115E">
        <w:t xml:space="preserve"> with </w:t>
      </w:r>
      <w:r w:rsidR="00562987">
        <w:t>method used in this work</w:t>
      </w:r>
      <w:r w:rsidR="003765A6">
        <w:t xml:space="preserve"> (Equation 4.41)</w:t>
      </w:r>
      <w:r w:rsidR="00562987">
        <w:t xml:space="preserve"> are </w:t>
      </w:r>
      <w:r w:rsidR="0090115E">
        <w:t xml:space="preserve">listed in Table </w:t>
      </w:r>
      <w:r w:rsidR="00546A95">
        <w:t>F.</w:t>
      </w:r>
      <w:r w:rsidR="0090115E">
        <w:t>1</w:t>
      </w:r>
      <w:r w:rsidR="003A1BED">
        <w:t xml:space="preserve">, and the results of the z-factor versus depth are shown in Figure </w:t>
      </w:r>
      <w:r w:rsidR="00546A95">
        <w:t>F.</w:t>
      </w:r>
      <w:r w:rsidR="003A1BED">
        <w:t xml:space="preserve">1. Note that the percent difference from </w:t>
      </w:r>
      <w:r w:rsidR="003765A6">
        <w:t xml:space="preserve">Equation 4.41 </w:t>
      </w:r>
      <w:r w:rsidR="003A1BED">
        <w:t xml:space="preserve">to the Peng-Robinson </w:t>
      </w:r>
      <w:r w:rsidR="003A1BED">
        <w:lastRenderedPageBreak/>
        <w:t>equation of state are also on the graph. The average percent difference is 1.4%</w:t>
      </w:r>
      <w:r w:rsidR="0090115E">
        <w:t>.</w:t>
      </w:r>
      <w:r w:rsidR="003A1BED">
        <w:t xml:space="preserve"> Therefore, </w:t>
      </w:r>
      <w:r w:rsidR="003765A6">
        <w:t>Equation 4.41</w:t>
      </w:r>
      <w:r w:rsidR="003A1BED">
        <w:t xml:space="preserve"> is verified for the pressures and temperatures used in the case well study.</w:t>
      </w:r>
      <w:r w:rsidR="00BA3817">
        <w:t xml:space="preserve"> </w:t>
      </w:r>
    </w:p>
    <w:p w14:paraId="046AF621" w14:textId="7958CB8D" w:rsidR="003A1BED" w:rsidRDefault="00546A95" w:rsidP="00BC23AD">
      <w:pPr>
        <w:pStyle w:val="Caption"/>
      </w:pPr>
      <w:r>
        <w:t>Table F.1</w:t>
      </w:r>
      <w:r w:rsidR="003A1BED">
        <w:t>: Variables used in the Peng-Robinson equation of state and/or Shell empirical formula</w:t>
      </w:r>
      <w:r w:rsidR="003765A6">
        <w:t xml:space="preserve"> for methane</w:t>
      </w:r>
      <w:r w:rsidR="003A1BED">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903"/>
      </w:tblGrid>
      <w:tr w:rsidR="003A1BED" w14:paraId="4B6315C4" w14:textId="77777777" w:rsidTr="003A1BED">
        <w:trPr>
          <w:jc w:val="center"/>
        </w:trPr>
        <w:tc>
          <w:tcPr>
            <w:tcW w:w="1296" w:type="dxa"/>
            <w:tcBorders>
              <w:bottom w:val="single" w:sz="4" w:space="0" w:color="auto"/>
            </w:tcBorders>
            <w:vAlign w:val="center"/>
          </w:tcPr>
          <w:p w14:paraId="010020E9" w14:textId="1123DCD6" w:rsidR="003A1BED" w:rsidRDefault="003A1BED" w:rsidP="003A1BED">
            <w:pPr>
              <w:spacing w:line="240" w:lineRule="auto"/>
              <w:jc w:val="center"/>
            </w:pPr>
            <w:r>
              <w:t>Variable</w:t>
            </w:r>
          </w:p>
        </w:tc>
        <w:tc>
          <w:tcPr>
            <w:tcW w:w="903" w:type="dxa"/>
            <w:tcBorders>
              <w:bottom w:val="single" w:sz="4" w:space="0" w:color="auto"/>
            </w:tcBorders>
            <w:vAlign w:val="center"/>
          </w:tcPr>
          <w:p w14:paraId="7CFB2FBB" w14:textId="64696247" w:rsidR="003A1BED" w:rsidRDefault="003A1BED" w:rsidP="003A1BED">
            <w:pPr>
              <w:spacing w:line="240" w:lineRule="auto"/>
              <w:jc w:val="center"/>
            </w:pPr>
            <w:r>
              <w:t>Value</w:t>
            </w:r>
          </w:p>
        </w:tc>
      </w:tr>
      <w:tr w:rsidR="003A1BED" w14:paraId="588AAB52" w14:textId="77777777" w:rsidTr="003A1BED">
        <w:trPr>
          <w:jc w:val="center"/>
        </w:trPr>
        <w:tc>
          <w:tcPr>
            <w:tcW w:w="1296" w:type="dxa"/>
            <w:tcBorders>
              <w:top w:val="single" w:sz="4" w:space="0" w:color="auto"/>
            </w:tcBorders>
            <w:vAlign w:val="center"/>
          </w:tcPr>
          <w:p w14:paraId="3346D6BF" w14:textId="508EE93F" w:rsidR="003A1BED" w:rsidRDefault="003A1BED" w:rsidP="003A1BED">
            <w:pPr>
              <w:spacing w:line="240" w:lineRule="auto"/>
              <w:jc w:val="left"/>
            </w:pPr>
            <m:oMath>
              <m:r>
                <w:rPr>
                  <w:rFonts w:ascii="Cambria Math" w:hAnsi="Cambria Math"/>
                </w:rPr>
                <m:t>R</m:t>
              </m:r>
            </m:oMath>
            <w:r>
              <w:t xml:space="preserve"> </w:t>
            </w:r>
            <m:oMath>
              <m:d>
                <m:dPr>
                  <m:ctrlPr>
                    <w:rPr>
                      <w:rFonts w:ascii="Cambria Math" w:hAnsi="Cambria Math"/>
                      <w:i/>
                    </w:rPr>
                  </m:ctrlPr>
                </m:dPr>
                <m:e>
                  <m:f>
                    <m:fPr>
                      <m:ctrlPr>
                        <w:rPr>
                          <w:rFonts w:ascii="Cambria Math" w:hAnsi="Cambria Math"/>
                        </w:rPr>
                      </m:ctrlPr>
                    </m:fPr>
                    <m:num>
                      <m:sSup>
                        <m:sSupPr>
                          <m:ctrlPr>
                            <w:rPr>
                              <w:rFonts w:ascii="Cambria Math" w:hAnsi="Cambria Math"/>
                            </w:rPr>
                          </m:ctrlPr>
                        </m:sSupPr>
                        <m:e>
                          <m:r>
                            <m:rPr>
                              <m:sty m:val="p"/>
                            </m:rPr>
                            <w:rPr>
                              <w:rFonts w:ascii="Cambria Math" w:hAnsi="Cambria Math"/>
                            </w:rPr>
                            <m:t>m</m:t>
                          </m:r>
                        </m:e>
                        <m:sup>
                          <m:r>
                            <m:rPr>
                              <m:sty m:val="p"/>
                            </m:rPr>
                            <w:rPr>
                              <w:rFonts w:ascii="Cambria Math" w:hAnsi="Cambria Math"/>
                            </w:rPr>
                            <m:t>3</m:t>
                          </m:r>
                        </m:sup>
                      </m:sSup>
                      <m:r>
                        <m:rPr>
                          <m:sty m:val="p"/>
                        </m:rPr>
                        <w:rPr>
                          <w:rFonts w:ascii="Cambria Math" w:hAnsi="Cambria Math"/>
                        </w:rPr>
                        <m:t>∙Pa</m:t>
                      </m:r>
                    </m:num>
                    <m:den>
                      <m:r>
                        <m:rPr>
                          <m:sty m:val="p"/>
                        </m:rPr>
                        <w:rPr>
                          <w:rFonts w:ascii="Cambria Math" w:hAnsi="Cambria Math"/>
                        </w:rPr>
                        <m:t>K∙mol</m:t>
                      </m:r>
                    </m:den>
                  </m:f>
                </m:e>
              </m:d>
            </m:oMath>
          </w:p>
        </w:tc>
        <w:tc>
          <w:tcPr>
            <w:tcW w:w="903" w:type="dxa"/>
            <w:tcBorders>
              <w:top w:val="single" w:sz="4" w:space="0" w:color="auto"/>
            </w:tcBorders>
            <w:vAlign w:val="center"/>
          </w:tcPr>
          <w:p w14:paraId="3FA92F5C" w14:textId="326E766B" w:rsidR="003A1BED" w:rsidRDefault="003A1BED" w:rsidP="003A1BED">
            <w:pPr>
              <w:spacing w:line="240" w:lineRule="auto"/>
              <w:jc w:val="left"/>
            </w:pPr>
            <w:r>
              <w:t>8.3145</w:t>
            </w:r>
          </w:p>
        </w:tc>
      </w:tr>
      <w:tr w:rsidR="003A1BED" w14:paraId="6AFA654D" w14:textId="77777777" w:rsidTr="003A1BED">
        <w:trPr>
          <w:jc w:val="center"/>
        </w:trPr>
        <w:tc>
          <w:tcPr>
            <w:tcW w:w="1296" w:type="dxa"/>
            <w:vAlign w:val="center"/>
          </w:tcPr>
          <w:p w14:paraId="5ADB4CE4" w14:textId="17C0BD23" w:rsidR="003A1BED" w:rsidRDefault="00077C0B" w:rsidP="003A1BED">
            <w:pPr>
              <w:spacing w:line="240" w:lineRule="auto"/>
              <w:jc w:val="left"/>
            </w:pPr>
            <m:oMath>
              <m:sSub>
                <m:sSubPr>
                  <m:ctrlPr>
                    <w:rPr>
                      <w:rFonts w:ascii="Cambria Math" w:hAnsi="Cambria Math"/>
                      <w:i/>
                    </w:rPr>
                  </m:ctrlPr>
                </m:sSubPr>
                <m:e>
                  <m:r>
                    <w:rPr>
                      <w:rFonts w:ascii="Cambria Math" w:hAnsi="Cambria Math"/>
                    </w:rPr>
                    <m:t>P</m:t>
                  </m:r>
                </m:e>
                <m:sub>
                  <m:r>
                    <w:rPr>
                      <w:rFonts w:ascii="Cambria Math" w:hAnsi="Cambria Math"/>
                    </w:rPr>
                    <m:t>c</m:t>
                  </m:r>
                </m:sub>
              </m:sSub>
            </m:oMath>
            <w:r w:rsidR="003A1BED">
              <w:t xml:space="preserve"> (Pa)</w:t>
            </w:r>
          </w:p>
        </w:tc>
        <w:tc>
          <w:tcPr>
            <w:tcW w:w="903" w:type="dxa"/>
            <w:vAlign w:val="center"/>
          </w:tcPr>
          <w:p w14:paraId="2A21BA72" w14:textId="2321CD21" w:rsidR="003A1BED" w:rsidRDefault="003A1BED" w:rsidP="003A1BED">
            <w:pPr>
              <w:spacing w:line="240" w:lineRule="auto"/>
              <w:jc w:val="left"/>
            </w:pPr>
            <w:r>
              <w:t>4.60E6</w:t>
            </w:r>
          </w:p>
        </w:tc>
      </w:tr>
      <w:tr w:rsidR="003A1BED" w14:paraId="68718E1B" w14:textId="77777777" w:rsidTr="003A1BED">
        <w:trPr>
          <w:jc w:val="center"/>
        </w:trPr>
        <w:tc>
          <w:tcPr>
            <w:tcW w:w="1296" w:type="dxa"/>
            <w:vAlign w:val="center"/>
          </w:tcPr>
          <w:p w14:paraId="230D3C87" w14:textId="530144D5" w:rsidR="003A1BED" w:rsidRDefault="00077C0B" w:rsidP="003A1BED">
            <w:pPr>
              <w:spacing w:line="240" w:lineRule="auto"/>
              <w:jc w:val="left"/>
            </w:pPr>
            <m:oMath>
              <m:sSub>
                <m:sSubPr>
                  <m:ctrlPr>
                    <w:rPr>
                      <w:rFonts w:ascii="Cambria Math" w:hAnsi="Cambria Math"/>
                      <w:i/>
                    </w:rPr>
                  </m:ctrlPr>
                </m:sSubPr>
                <m:e>
                  <m:r>
                    <w:rPr>
                      <w:rFonts w:ascii="Cambria Math" w:hAnsi="Cambria Math"/>
                    </w:rPr>
                    <m:t>T</m:t>
                  </m:r>
                </m:e>
                <m:sub>
                  <m:r>
                    <w:rPr>
                      <w:rFonts w:ascii="Cambria Math" w:hAnsi="Cambria Math"/>
                    </w:rPr>
                    <m:t>c</m:t>
                  </m:r>
                </m:sub>
              </m:sSub>
            </m:oMath>
            <w:r w:rsidR="003A1BED">
              <w:t xml:space="preserve"> (K)</w:t>
            </w:r>
          </w:p>
        </w:tc>
        <w:tc>
          <w:tcPr>
            <w:tcW w:w="903" w:type="dxa"/>
            <w:vAlign w:val="center"/>
          </w:tcPr>
          <w:p w14:paraId="4DD7BCC4" w14:textId="0DA711F0" w:rsidR="003A1BED" w:rsidRDefault="003A1BED" w:rsidP="003A1BED">
            <w:pPr>
              <w:spacing w:line="240" w:lineRule="auto"/>
              <w:jc w:val="left"/>
            </w:pPr>
            <w:r>
              <w:t>190.4</w:t>
            </w:r>
          </w:p>
        </w:tc>
      </w:tr>
      <w:tr w:rsidR="003A1BED" w14:paraId="4B785559" w14:textId="77777777" w:rsidTr="003A1BED">
        <w:trPr>
          <w:jc w:val="center"/>
        </w:trPr>
        <w:tc>
          <w:tcPr>
            <w:tcW w:w="1296" w:type="dxa"/>
            <w:vAlign w:val="center"/>
          </w:tcPr>
          <w:p w14:paraId="67659904" w14:textId="4E82F6B1" w:rsidR="003A1BED" w:rsidRDefault="003A1BED" w:rsidP="003A1BED">
            <w:pPr>
              <w:spacing w:line="240" w:lineRule="auto"/>
              <w:jc w:val="left"/>
            </w:pPr>
            <m:oMath>
              <m:r>
                <w:rPr>
                  <w:rFonts w:ascii="Cambria Math" w:hAnsi="Cambria Math"/>
                </w:rPr>
                <m:t>ω</m:t>
              </m:r>
            </m:oMath>
            <w:r>
              <w:rPr>
                <w:rFonts w:eastAsiaTheme="minorEastAsia"/>
              </w:rPr>
              <w:t xml:space="preserve"> </w:t>
            </w:r>
          </w:p>
        </w:tc>
        <w:tc>
          <w:tcPr>
            <w:tcW w:w="903" w:type="dxa"/>
            <w:vAlign w:val="center"/>
          </w:tcPr>
          <w:p w14:paraId="3FAC2E48" w14:textId="63AB0395" w:rsidR="003A1BED" w:rsidRDefault="003A1BED" w:rsidP="003A1BED">
            <w:pPr>
              <w:spacing w:line="240" w:lineRule="auto"/>
              <w:jc w:val="left"/>
            </w:pPr>
            <w:r>
              <w:t>0.011</w:t>
            </w:r>
          </w:p>
        </w:tc>
      </w:tr>
    </w:tbl>
    <w:p w14:paraId="6AFB4E85" w14:textId="4776D3C7" w:rsidR="0090115E" w:rsidRDefault="0090115E" w:rsidP="00F35721"/>
    <w:p w14:paraId="477B3DBB" w14:textId="77777777" w:rsidR="003A1BED" w:rsidRDefault="0090115E" w:rsidP="00BC23AD">
      <w:pPr>
        <w:pStyle w:val="NoSpacing"/>
      </w:pPr>
      <w:r>
        <w:rPr>
          <w:noProof/>
        </w:rPr>
        <w:drawing>
          <wp:inline distT="0" distB="0" distL="0" distR="0" wp14:anchorId="57071FE9" wp14:editId="0B33A256">
            <wp:extent cx="4572635" cy="274955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4572635" cy="2749550"/>
                    </a:xfrm>
                    <a:prstGeom prst="rect">
                      <a:avLst/>
                    </a:prstGeom>
                    <a:noFill/>
                  </pic:spPr>
                </pic:pic>
              </a:graphicData>
            </a:graphic>
          </wp:inline>
        </w:drawing>
      </w:r>
    </w:p>
    <w:p w14:paraId="289D8B8E" w14:textId="1E6C888A" w:rsidR="00BA3817" w:rsidRDefault="00546A95" w:rsidP="00BC23AD">
      <w:pPr>
        <w:pStyle w:val="Caption"/>
      </w:pPr>
      <w:r>
        <w:t>Figure F.1</w:t>
      </w:r>
      <w:r w:rsidR="003A1BED">
        <w:t>: Results for the comparison between the Peng-Robinson equation of state and the Shell empirical formula</w:t>
      </w:r>
      <w:r w:rsidR="003765A6">
        <w:t xml:space="preserve"> (Equation 4.41)</w:t>
      </w:r>
      <w:r w:rsidR="003A1BED">
        <w:t>. The average percent difference is 1.4%.</w:t>
      </w:r>
    </w:p>
    <w:p w14:paraId="06747F0E" w14:textId="77777777" w:rsidR="00DB7CF8" w:rsidRPr="00DB7CF8" w:rsidRDefault="00DB7CF8" w:rsidP="00DB7CF8"/>
    <w:p w14:paraId="33BB0069" w14:textId="4DE4921D" w:rsidR="002447B5" w:rsidRDefault="00491CE5" w:rsidP="002447B5">
      <w:pPr>
        <w:pStyle w:val="Heading1"/>
        <w:numPr>
          <w:ilvl w:val="0"/>
          <w:numId w:val="0"/>
        </w:numPr>
      </w:pPr>
      <w:bookmarkStart w:id="183" w:name="_Toc67566078"/>
      <w:r>
        <w:lastRenderedPageBreak/>
        <w:t>Appendix G</w:t>
      </w:r>
      <w:r w:rsidR="002447B5">
        <w:t xml:space="preserve">: </w:t>
      </w:r>
      <w:r w:rsidR="00F23066">
        <w:t>Riemann Sum Verification</w:t>
      </w:r>
      <w:bookmarkEnd w:id="183"/>
    </w:p>
    <w:p w14:paraId="70CBC627" w14:textId="4329C31C" w:rsidR="00090030" w:rsidRPr="00F57760" w:rsidRDefault="00090030" w:rsidP="00090030">
      <w:pPr>
        <w:ind w:firstLine="720"/>
      </w:pPr>
      <w:r>
        <w:t xml:space="preserve">To determine the summation of the fracture volume </w:t>
      </w:r>
      <m:oMath>
        <m:d>
          <m:dPr>
            <m:ctrlPr>
              <w:rPr>
                <w:rFonts w:ascii="Cambria Math" w:eastAsiaTheme="minorEastAsia" w:hAnsi="Cambria Math"/>
                <w:i/>
              </w:rPr>
            </m:ctrlPr>
          </m:dPr>
          <m:e>
            <m:nary>
              <m:naryPr>
                <m:chr m:val="∑"/>
                <m:limLoc m:val="subSup"/>
                <m:supHide m:val="1"/>
                <m:ctrlPr>
                  <w:rPr>
                    <w:rFonts w:ascii="Cambria Math" w:hAnsi="Cambria Math"/>
                    <w:i/>
                  </w:rPr>
                </m:ctrlPr>
              </m:naryPr>
              <m:sub>
                <m:r>
                  <w:rPr>
                    <w:rFonts w:ascii="Cambria Math" w:hAnsi="Cambria Math"/>
                  </w:rPr>
                  <m:t>i</m:t>
                </m:r>
              </m:sub>
              <m:sup/>
              <m:e>
                <m:r>
                  <m:rPr>
                    <m:sty m:val="p"/>
                  </m:rPr>
                  <w:rPr>
                    <w:rFonts w:ascii="Cambria Math" w:hAnsi="Cambria Math"/>
                  </w:rPr>
                  <m:t>Δ</m:t>
                </m:r>
                <m:sSub>
                  <m:sSubPr>
                    <m:ctrlPr>
                      <w:rPr>
                        <w:rFonts w:ascii="Cambria Math" w:hAnsi="Cambria Math"/>
                        <w:i/>
                      </w:rPr>
                    </m:ctrlPr>
                  </m:sSubPr>
                  <m:e>
                    <m:r>
                      <w:rPr>
                        <w:rFonts w:ascii="Cambria Math" w:hAnsi="Cambria Math"/>
                      </w:rPr>
                      <m:t>L</m:t>
                    </m:r>
                  </m:e>
                  <m:sub>
                    <m:r>
                      <w:rPr>
                        <w:rFonts w:ascii="Cambria Math" w:hAnsi="Cambria Math"/>
                      </w:rPr>
                      <m:t>i</m:t>
                    </m:r>
                  </m:sub>
                </m:sSub>
                <m:sSubSup>
                  <m:sSubSupPr>
                    <m:ctrlPr>
                      <w:rPr>
                        <w:rFonts w:ascii="Cambria Math" w:hAnsi="Cambria Math"/>
                        <w:i/>
                      </w:rPr>
                    </m:ctrlPr>
                  </m:sSubSupPr>
                  <m:e>
                    <m:r>
                      <w:rPr>
                        <w:rFonts w:ascii="Cambria Math" w:hAnsi="Cambria Math"/>
                      </w:rPr>
                      <m:t>w</m:t>
                    </m:r>
                  </m:e>
                  <m:sub>
                    <m:r>
                      <w:rPr>
                        <w:rFonts w:ascii="Cambria Math" w:hAnsi="Cambria Math"/>
                      </w:rPr>
                      <m:t>i</m:t>
                    </m:r>
                  </m:sub>
                  <m:sup>
                    <m:r>
                      <w:rPr>
                        <w:rFonts w:ascii="Cambria Math" w:hAnsi="Cambria Math"/>
                      </w:rPr>
                      <m:t>-3</m:t>
                    </m:r>
                  </m:sup>
                </m:sSubSup>
              </m:e>
            </m:nary>
          </m:e>
        </m:d>
      </m:oMath>
      <w:r>
        <w:t xml:space="preserve"> from the case study well, essentially the total volume is wanted for the microannuli. Since the microannuli gap width is a function of depth (</w:t>
      </w:r>
      <m:oMath>
        <m:r>
          <w:rPr>
            <w:rFonts w:ascii="Cambria Math" w:hAnsi="Cambria Math"/>
          </w:rPr>
          <m:t>f(</m:t>
        </m:r>
        <m:sSubSup>
          <m:sSubSupPr>
            <m:ctrlPr>
              <w:rPr>
                <w:rFonts w:ascii="Cambria Math" w:hAnsi="Cambria Math"/>
                <w:i/>
              </w:rPr>
            </m:ctrlPr>
          </m:sSubSupPr>
          <m:e>
            <m:r>
              <w:rPr>
                <w:rFonts w:ascii="Cambria Math" w:hAnsi="Cambria Math"/>
              </w:rPr>
              <m:t>w</m:t>
            </m:r>
          </m:e>
          <m:sub>
            <m:r>
              <w:rPr>
                <w:rFonts w:ascii="Cambria Math" w:hAnsi="Cambria Math"/>
              </w:rPr>
              <m:t>i</m:t>
            </m:r>
          </m:sub>
          <m:sup>
            <m:r>
              <w:rPr>
                <w:rFonts w:ascii="Cambria Math" w:hAnsi="Cambria Math"/>
              </w:rPr>
              <m:t>-3</m:t>
            </m:r>
          </m:sup>
        </m:sSubSup>
        <m:r>
          <w:rPr>
            <w:rFonts w:ascii="Cambria Math" w:hAnsi="Cambria Math"/>
          </w:rPr>
          <m:t>)</m:t>
        </m:r>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i</m:t>
            </m:r>
          </m:sub>
        </m:sSub>
      </m:oMath>
      <w:r>
        <w:rPr>
          <w:rFonts w:eastAsiaTheme="minorEastAsia"/>
        </w:rPr>
        <w:t xml:space="preserve"> respectively)</w:t>
      </w:r>
      <w:r>
        <w:t xml:space="preserve">, a definite integral of the function can be formulated. But since the integral of the function would be difficult to formulate, the trapezoidal rule (Riemann sum integral) can be used which </w:t>
      </w:r>
      <w:r w:rsidRPr="00F57760">
        <w:t xml:space="preserve">is a technique for approximating a definite integral. The trapezoidal rule for a definite integral is shown in Equation G.1. This methodology will be referred to as the Riemann sum method in the rest of this work.  </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090030" w:rsidRPr="00F57760" w14:paraId="043B8FD0" w14:textId="77777777" w:rsidTr="00F608E2">
        <w:trPr>
          <w:trHeight w:val="576"/>
        </w:trPr>
        <w:tc>
          <w:tcPr>
            <w:tcW w:w="720" w:type="dxa"/>
            <w:vAlign w:val="center"/>
          </w:tcPr>
          <w:p w14:paraId="547DABEB" w14:textId="77777777" w:rsidR="00090030" w:rsidRPr="00F57760" w:rsidRDefault="00090030" w:rsidP="00F608E2">
            <w:pPr>
              <w:spacing w:line="240" w:lineRule="auto"/>
              <w:jc w:val="center"/>
            </w:pPr>
            <w:r w:rsidRPr="00F57760">
              <w:t xml:space="preserve">C </w:t>
            </w:r>
          </w:p>
        </w:tc>
        <w:tc>
          <w:tcPr>
            <w:tcW w:w="7920" w:type="dxa"/>
            <w:vAlign w:val="center"/>
          </w:tcPr>
          <w:p w14:paraId="743949FC" w14:textId="77777777" w:rsidR="00090030" w:rsidRPr="00F57760" w:rsidRDefault="00077C0B" w:rsidP="00F608E2">
            <w:pPr>
              <w:spacing w:line="240" w:lineRule="auto"/>
              <w:jc w:val="center"/>
            </w:pPr>
            <m:oMathPara>
              <m:oMath>
                <m:nary>
                  <m:naryPr>
                    <m:ctrlPr>
                      <w:rPr>
                        <w:rFonts w:ascii="Cambria Math" w:hAnsi="Cambria Math"/>
                        <w:i/>
                        <w:iCs/>
                      </w:rPr>
                    </m:ctrlPr>
                  </m:naryPr>
                  <m:sub>
                    <m:r>
                      <w:rPr>
                        <w:rFonts w:ascii="Cambria Math" w:hAnsi="Cambria Math"/>
                      </w:rPr>
                      <m:t>a</m:t>
                    </m:r>
                  </m:sub>
                  <m:sup>
                    <m:r>
                      <w:rPr>
                        <w:rFonts w:ascii="Cambria Math" w:hAnsi="Cambria Math"/>
                      </w:rPr>
                      <m:t>b</m:t>
                    </m:r>
                  </m:sup>
                  <m:e>
                    <m:r>
                      <w:rPr>
                        <w:rFonts w:ascii="Cambria Math" w:hAnsi="Cambria Math"/>
                      </w:rPr>
                      <m:t>f</m:t>
                    </m:r>
                    <m:d>
                      <m:dPr>
                        <m:ctrlPr>
                          <w:rPr>
                            <w:rFonts w:ascii="Cambria Math" w:hAnsi="Cambria Math"/>
                            <w:i/>
                            <w:iCs/>
                          </w:rPr>
                        </m:ctrlPr>
                      </m:dPr>
                      <m:e>
                        <m:r>
                          <w:rPr>
                            <w:rFonts w:ascii="Cambria Math" w:hAnsi="Cambria Math"/>
                          </w:rPr>
                          <m:t>x</m:t>
                        </m:r>
                      </m:e>
                    </m:d>
                    <m:r>
                      <w:rPr>
                        <w:rFonts w:ascii="Cambria Math" w:hAnsi="Cambria Math"/>
                      </w:rPr>
                      <m:t>dx=</m:t>
                    </m:r>
                    <m:nary>
                      <m:naryPr>
                        <m:chr m:val="∑"/>
                        <m:ctrlPr>
                          <w:rPr>
                            <w:rFonts w:ascii="Cambria Math" w:hAnsi="Cambria Math"/>
                            <w:i/>
                            <w:iCs/>
                          </w:rPr>
                        </m:ctrlPr>
                      </m:naryPr>
                      <m:sub>
                        <m:r>
                          <w:rPr>
                            <w:rFonts w:ascii="Cambria Math" w:hAnsi="Cambria Math"/>
                          </w:rPr>
                          <m:t>i=1</m:t>
                        </m:r>
                      </m:sub>
                      <m:sup>
                        <m:r>
                          <w:rPr>
                            <w:rFonts w:ascii="Cambria Math" w:hAnsi="Cambria Math"/>
                          </w:rPr>
                          <m:t>n</m:t>
                        </m:r>
                      </m:sup>
                      <m:e>
                        <m:r>
                          <w:rPr>
                            <w:rFonts w:ascii="Cambria Math" w:hAnsi="Cambria Math"/>
                          </w:rPr>
                          <m:t>f</m:t>
                        </m:r>
                        <m:d>
                          <m:dPr>
                            <m:ctrlPr>
                              <w:rPr>
                                <w:rFonts w:ascii="Cambria Math" w:hAnsi="Cambria Math"/>
                                <w:i/>
                                <w:iCs/>
                              </w:rPr>
                            </m:ctrlPr>
                          </m:dPr>
                          <m:e>
                            <m:sSubSup>
                              <m:sSubSupPr>
                                <m:ctrlPr>
                                  <w:rPr>
                                    <w:rFonts w:ascii="Cambria Math" w:hAnsi="Cambria Math"/>
                                    <w:i/>
                                    <w:iCs/>
                                  </w:rPr>
                                </m:ctrlPr>
                              </m:sSubSupPr>
                              <m:e>
                                <m:r>
                                  <w:rPr>
                                    <w:rFonts w:ascii="Cambria Math" w:hAnsi="Cambria Math"/>
                                  </w:rPr>
                                  <m:t>x</m:t>
                                </m:r>
                              </m:e>
                              <m:sub>
                                <m:r>
                                  <w:rPr>
                                    <w:rFonts w:ascii="Cambria Math" w:hAnsi="Cambria Math"/>
                                  </w:rPr>
                                  <m:t>i</m:t>
                                </m:r>
                              </m:sub>
                              <m:sup>
                                <m:r>
                                  <w:rPr>
                                    <w:rFonts w:ascii="Cambria Math" w:hAnsi="Cambria Math"/>
                                  </w:rPr>
                                  <m:t>*</m:t>
                                </m:r>
                              </m:sup>
                            </m:sSubSup>
                          </m:e>
                        </m:d>
                        <m:r>
                          <w:rPr>
                            <w:rFonts w:ascii="Cambria Math" w:hAnsi="Cambria Math"/>
                          </w:rPr>
                          <m:t>Δ</m:t>
                        </m:r>
                        <m:sSub>
                          <m:sSubPr>
                            <m:ctrlPr>
                              <w:rPr>
                                <w:rFonts w:ascii="Cambria Math" w:hAnsi="Cambria Math"/>
                                <w:i/>
                                <w:iCs/>
                              </w:rPr>
                            </m:ctrlPr>
                          </m:sSubPr>
                          <m:e>
                            <m:r>
                              <w:rPr>
                                <w:rFonts w:ascii="Cambria Math" w:hAnsi="Cambria Math"/>
                              </w:rPr>
                              <m:t>x</m:t>
                            </m:r>
                          </m:e>
                          <m:sub>
                            <m:r>
                              <w:rPr>
                                <w:rFonts w:ascii="Cambria Math" w:hAnsi="Cambria Math"/>
                              </w:rPr>
                              <m:t>i</m:t>
                            </m:r>
                          </m:sub>
                        </m:sSub>
                      </m:e>
                    </m:nary>
                  </m:e>
                </m:nary>
              </m:oMath>
            </m:oMathPara>
          </w:p>
        </w:tc>
        <w:tc>
          <w:tcPr>
            <w:tcW w:w="720" w:type="dxa"/>
            <w:vAlign w:val="bottom"/>
          </w:tcPr>
          <w:p w14:paraId="54D82CCD" w14:textId="0E64FBE7" w:rsidR="00090030" w:rsidRPr="00F57760" w:rsidRDefault="00090030" w:rsidP="00BC23AD">
            <w:pPr>
              <w:pStyle w:val="Caption"/>
              <w:rPr>
                <w:i/>
              </w:rPr>
            </w:pPr>
            <w:r w:rsidRPr="00F57760">
              <w:t>G.</w:t>
            </w:r>
            <w:r w:rsidR="00077C0B">
              <w:fldChar w:fldCharType="begin"/>
            </w:r>
            <w:r w:rsidR="00077C0B">
              <w:instrText xml:space="preserve"> SEQ Equation \* ARABIC \s 1 </w:instrText>
            </w:r>
            <w:r w:rsidR="00077C0B">
              <w:fldChar w:fldCharType="separate"/>
            </w:r>
            <w:r w:rsidR="0006023A">
              <w:rPr>
                <w:noProof/>
              </w:rPr>
              <w:t>1</w:t>
            </w:r>
            <w:r w:rsidR="00077C0B">
              <w:rPr>
                <w:noProof/>
              </w:rPr>
              <w:fldChar w:fldCharType="end"/>
            </w:r>
          </w:p>
        </w:tc>
      </w:tr>
    </w:tbl>
    <w:p w14:paraId="7C08E225" w14:textId="77777777" w:rsidR="00090030" w:rsidRPr="00F57760" w:rsidRDefault="00090030" w:rsidP="00090030">
      <w:pPr>
        <w:ind w:firstLine="720"/>
      </w:pPr>
    </w:p>
    <w:p w14:paraId="7BD89F7F" w14:textId="4BED2B88" w:rsidR="00090030" w:rsidRDefault="00090030" w:rsidP="00090030">
      <w:pPr>
        <w:ind w:firstLine="720"/>
      </w:pPr>
      <w:r w:rsidRPr="00F57760">
        <w:t>To calculate the total volume from the microannuli determined by the case study well</w:t>
      </w:r>
      <w:r w:rsidR="00A05A1F" w:rsidRPr="00F57760">
        <w:t xml:space="preserve">, the following equation, </w:t>
      </w:r>
      <w:r w:rsidRPr="00F57760">
        <w:t xml:space="preserve">Equation </w:t>
      </w:r>
      <w:r w:rsidR="00A05A1F" w:rsidRPr="00F57760">
        <w:t>G.2,</w:t>
      </w:r>
      <w:r w:rsidRPr="00F57760">
        <w:t xml:space="preserve"> is used which calculates the</w:t>
      </w:r>
      <w:r>
        <w:t xml:space="preserve"> total volume given 1 m (</w:t>
      </w:r>
      <m:oMath>
        <m:r>
          <m:rPr>
            <m:sty m:val="p"/>
          </m:rPr>
          <w:rPr>
            <w:rFonts w:ascii="Cambria Math" w:hAnsi="Cambria Math"/>
          </w:rPr>
          <m:t>Δ</m:t>
        </m:r>
        <m:r>
          <w:rPr>
            <w:rFonts w:ascii="Cambria Math" w:hAnsi="Cambria Math"/>
          </w:rPr>
          <m:t>L=1</m:t>
        </m:r>
      </m:oMath>
      <w:r>
        <w:rPr>
          <w:rFonts w:eastAsiaTheme="minorEastAsia"/>
        </w:rPr>
        <w:t>)</w:t>
      </w:r>
      <w:r>
        <w:t xml:space="preserve"> segments (6,300 ft. – 2,600 ft. = 3,700 ft. </w:t>
      </w:r>
      <m:oMath>
        <m:r>
          <w:rPr>
            <w:rFonts w:ascii="Cambria Math" w:hAnsi="Cambria Math"/>
          </w:rPr>
          <m:t>≈</m:t>
        </m:r>
      </m:oMath>
      <w:r>
        <w:t xml:space="preserve"> 1,127 m)</w:t>
      </w:r>
      <w:r w:rsidRPr="00132A1F">
        <w:t>.</w:t>
      </w:r>
      <w:r>
        <w:t xml:space="preserve"> </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090030" w14:paraId="3806AB3E" w14:textId="77777777" w:rsidTr="00F608E2">
        <w:trPr>
          <w:trHeight w:val="576"/>
        </w:trPr>
        <w:tc>
          <w:tcPr>
            <w:tcW w:w="720" w:type="dxa"/>
            <w:vAlign w:val="center"/>
          </w:tcPr>
          <w:p w14:paraId="406BC74B" w14:textId="77777777" w:rsidR="00090030" w:rsidRDefault="00090030" w:rsidP="00F608E2">
            <w:pPr>
              <w:spacing w:line="240" w:lineRule="auto"/>
              <w:jc w:val="center"/>
            </w:pPr>
            <w:r>
              <w:t>D</w:t>
            </w:r>
          </w:p>
        </w:tc>
        <w:tc>
          <w:tcPr>
            <w:tcW w:w="7920" w:type="dxa"/>
            <w:vAlign w:val="center"/>
          </w:tcPr>
          <w:p w14:paraId="01C96157" w14:textId="77777777" w:rsidR="00090030" w:rsidRPr="003B2EAF" w:rsidRDefault="00077C0B" w:rsidP="00F608E2">
            <w:pPr>
              <w:spacing w:line="240" w:lineRule="auto"/>
              <w:jc w:val="center"/>
            </w:pPr>
            <m:oMathPara>
              <m:oMath>
                <m:nary>
                  <m:naryPr>
                    <m:ctrlPr>
                      <w:rPr>
                        <w:rFonts w:ascii="Cambria Math" w:hAnsi="Cambria Math"/>
                        <w:i/>
                        <w:iCs/>
                      </w:rPr>
                    </m:ctrlPr>
                  </m:naryPr>
                  <m:sub>
                    <m:r>
                      <w:rPr>
                        <w:rFonts w:ascii="Cambria Math" w:hAnsi="Cambria Math"/>
                      </w:rPr>
                      <m:t>TVD</m:t>
                    </m:r>
                  </m:sub>
                  <m:sup>
                    <m:r>
                      <w:rPr>
                        <w:rFonts w:ascii="Cambria Math" w:hAnsi="Cambria Math"/>
                      </w:rPr>
                      <m:t>TOC</m:t>
                    </m:r>
                  </m:sup>
                  <m:e>
                    <m:r>
                      <w:rPr>
                        <w:rFonts w:ascii="Cambria Math" w:hAnsi="Cambria Math"/>
                      </w:rPr>
                      <m:t>f</m:t>
                    </m:r>
                    <m:d>
                      <m:dPr>
                        <m:ctrlPr>
                          <w:rPr>
                            <w:rFonts w:ascii="Cambria Math" w:hAnsi="Cambria Math"/>
                            <w:i/>
                            <w:iCs/>
                          </w:rPr>
                        </m:ctrlPr>
                      </m:dPr>
                      <m:e>
                        <m:sSubSup>
                          <m:sSubSupPr>
                            <m:ctrlPr>
                              <w:rPr>
                                <w:rFonts w:ascii="Cambria Math" w:hAnsi="Cambria Math"/>
                                <w:i/>
                                <w:iCs/>
                              </w:rPr>
                            </m:ctrlPr>
                          </m:sSubSupPr>
                          <m:e>
                            <m:r>
                              <w:rPr>
                                <w:rFonts w:ascii="Cambria Math" w:hAnsi="Cambria Math"/>
                              </w:rPr>
                              <m:t>w</m:t>
                            </m:r>
                          </m:e>
                          <m:sub>
                            <m:r>
                              <w:rPr>
                                <w:rFonts w:ascii="Cambria Math" w:hAnsi="Cambria Math"/>
                              </w:rPr>
                              <m:t>L</m:t>
                            </m:r>
                          </m:sub>
                          <m:sup>
                            <m:r>
                              <w:rPr>
                                <w:rFonts w:ascii="Cambria Math" w:hAnsi="Cambria Math"/>
                              </w:rPr>
                              <m:t>-3</m:t>
                            </m:r>
                          </m:sup>
                        </m:sSubSup>
                      </m:e>
                    </m:d>
                    <m:r>
                      <w:rPr>
                        <w:rFonts w:ascii="Cambria Math" w:hAnsi="Cambria Math"/>
                      </w:rPr>
                      <m:t xml:space="preserve">dL = </m:t>
                    </m:r>
                    <m:nary>
                      <m:naryPr>
                        <m:chr m:val="∑"/>
                        <m:ctrlPr>
                          <w:rPr>
                            <w:rFonts w:ascii="Cambria Math" w:hAnsi="Cambria Math"/>
                            <w:i/>
                            <w:iCs/>
                          </w:rPr>
                        </m:ctrlPr>
                      </m:naryPr>
                      <m:sub>
                        <m:r>
                          <w:rPr>
                            <w:rFonts w:ascii="Cambria Math" w:hAnsi="Cambria Math"/>
                          </w:rPr>
                          <m:t>i=1</m:t>
                        </m:r>
                      </m:sub>
                      <m:sup>
                        <m:r>
                          <w:rPr>
                            <w:rFonts w:ascii="Cambria Math" w:hAnsi="Cambria Math"/>
                          </w:rPr>
                          <m:t>1127</m:t>
                        </m:r>
                      </m:sup>
                      <m:e>
                        <m:f>
                          <m:fPr>
                            <m:ctrlPr>
                              <w:rPr>
                                <w:rFonts w:ascii="Cambria Math" w:hAnsi="Cambria Math"/>
                                <w:i/>
                                <w:iCs/>
                              </w:rPr>
                            </m:ctrlPr>
                          </m:fPr>
                          <m:num>
                            <m:r>
                              <w:rPr>
                                <w:rFonts w:ascii="Cambria Math" w:hAnsi="Cambria Math"/>
                              </w:rPr>
                              <m:t>f</m:t>
                            </m:r>
                            <m:d>
                              <m:dPr>
                                <m:ctrlPr>
                                  <w:rPr>
                                    <w:rFonts w:ascii="Cambria Math" w:hAnsi="Cambria Math"/>
                                    <w:i/>
                                    <w:iCs/>
                                  </w:rPr>
                                </m:ctrlPr>
                              </m:dPr>
                              <m:e>
                                <m:sSubSup>
                                  <m:sSubSupPr>
                                    <m:ctrlPr>
                                      <w:rPr>
                                        <w:rFonts w:ascii="Cambria Math" w:hAnsi="Cambria Math"/>
                                        <w:i/>
                                        <w:iCs/>
                                      </w:rPr>
                                    </m:ctrlPr>
                                  </m:sSubSupPr>
                                  <m:e>
                                    <m:r>
                                      <w:rPr>
                                        <w:rFonts w:ascii="Cambria Math" w:hAnsi="Cambria Math"/>
                                      </w:rPr>
                                      <m:t>w</m:t>
                                    </m:r>
                                  </m:e>
                                  <m:sub>
                                    <m:r>
                                      <w:rPr>
                                        <w:rFonts w:ascii="Cambria Math" w:hAnsi="Cambria Math"/>
                                      </w:rPr>
                                      <m:t>i+1</m:t>
                                    </m:r>
                                  </m:sub>
                                  <m:sup>
                                    <m:r>
                                      <w:rPr>
                                        <w:rFonts w:ascii="Cambria Math" w:hAnsi="Cambria Math"/>
                                      </w:rPr>
                                      <m:t>-3</m:t>
                                    </m:r>
                                  </m:sup>
                                </m:sSubSup>
                              </m:e>
                            </m:d>
                            <m:r>
                              <w:rPr>
                                <w:rFonts w:ascii="Cambria Math" w:hAnsi="Cambria Math"/>
                              </w:rPr>
                              <m:t>+f</m:t>
                            </m:r>
                            <m:d>
                              <m:dPr>
                                <m:ctrlPr>
                                  <w:rPr>
                                    <w:rFonts w:ascii="Cambria Math" w:hAnsi="Cambria Math"/>
                                    <w:i/>
                                    <w:iCs/>
                                  </w:rPr>
                                </m:ctrlPr>
                              </m:dPr>
                              <m:e>
                                <m:sSubSup>
                                  <m:sSubSupPr>
                                    <m:ctrlPr>
                                      <w:rPr>
                                        <w:rFonts w:ascii="Cambria Math" w:hAnsi="Cambria Math"/>
                                        <w:i/>
                                        <w:iCs/>
                                      </w:rPr>
                                    </m:ctrlPr>
                                  </m:sSubSupPr>
                                  <m:e>
                                    <m:r>
                                      <w:rPr>
                                        <w:rFonts w:ascii="Cambria Math" w:hAnsi="Cambria Math"/>
                                      </w:rPr>
                                      <m:t>w</m:t>
                                    </m:r>
                                  </m:e>
                                  <m:sub>
                                    <m:r>
                                      <w:rPr>
                                        <w:rFonts w:ascii="Cambria Math" w:hAnsi="Cambria Math"/>
                                      </w:rPr>
                                      <m:t>i</m:t>
                                    </m:r>
                                  </m:sub>
                                  <m:sup>
                                    <m:r>
                                      <w:rPr>
                                        <w:rFonts w:ascii="Cambria Math" w:hAnsi="Cambria Math"/>
                                      </w:rPr>
                                      <m:t>-3</m:t>
                                    </m:r>
                                  </m:sup>
                                </m:sSubSup>
                              </m:e>
                            </m:d>
                          </m:num>
                          <m:den>
                            <m:r>
                              <w:rPr>
                                <w:rFonts w:ascii="Cambria Math" w:hAnsi="Cambria Math"/>
                              </w:rPr>
                              <m:t>2</m:t>
                            </m:r>
                          </m:den>
                        </m:f>
                        <m:r>
                          <w:rPr>
                            <w:rFonts w:ascii="Cambria Math" w:hAnsi="Cambria Math"/>
                          </w:rPr>
                          <m:t>Δ</m:t>
                        </m:r>
                        <m:sSub>
                          <m:sSubPr>
                            <m:ctrlPr>
                              <w:rPr>
                                <w:rFonts w:ascii="Cambria Math" w:hAnsi="Cambria Math"/>
                                <w:i/>
                                <w:iCs/>
                              </w:rPr>
                            </m:ctrlPr>
                          </m:sSubPr>
                          <m:e>
                            <m:r>
                              <w:rPr>
                                <w:rFonts w:ascii="Cambria Math" w:hAnsi="Cambria Math"/>
                              </w:rPr>
                              <m:t>L</m:t>
                            </m:r>
                          </m:e>
                          <m:sub>
                            <m:r>
                              <w:rPr>
                                <w:rFonts w:ascii="Cambria Math" w:hAnsi="Cambria Math"/>
                              </w:rPr>
                              <m:t>i</m:t>
                            </m:r>
                          </m:sub>
                        </m:sSub>
                      </m:e>
                    </m:nary>
                  </m:e>
                </m:nary>
              </m:oMath>
            </m:oMathPara>
          </w:p>
        </w:tc>
        <w:tc>
          <w:tcPr>
            <w:tcW w:w="720" w:type="dxa"/>
            <w:vAlign w:val="bottom"/>
          </w:tcPr>
          <w:p w14:paraId="25A7F8F6" w14:textId="0C396F54" w:rsidR="00090030" w:rsidRPr="00470CB5" w:rsidRDefault="00090030" w:rsidP="00BC23AD">
            <w:pPr>
              <w:pStyle w:val="Caption"/>
              <w:rPr>
                <w:i/>
              </w:rPr>
            </w:pPr>
            <w:r>
              <w:t>G.</w:t>
            </w:r>
            <w:r w:rsidR="00077C0B">
              <w:fldChar w:fldCharType="begin"/>
            </w:r>
            <w:r w:rsidR="00077C0B">
              <w:instrText xml:space="preserve"> SEQ Equation \* ARABIC \s 1 </w:instrText>
            </w:r>
            <w:r w:rsidR="00077C0B">
              <w:fldChar w:fldCharType="separate"/>
            </w:r>
            <w:r w:rsidR="0006023A">
              <w:rPr>
                <w:noProof/>
              </w:rPr>
              <w:t>2</w:t>
            </w:r>
            <w:r w:rsidR="00077C0B">
              <w:rPr>
                <w:noProof/>
              </w:rPr>
              <w:fldChar w:fldCharType="end"/>
            </w:r>
          </w:p>
        </w:tc>
      </w:tr>
    </w:tbl>
    <w:p w14:paraId="72E44B01" w14:textId="77777777" w:rsidR="00090030" w:rsidRDefault="00090030" w:rsidP="00090030">
      <w:pPr>
        <w:spacing w:after="160" w:line="259" w:lineRule="auto"/>
        <w:jc w:val="left"/>
      </w:pPr>
    </w:p>
    <w:p w14:paraId="280B96A9" w14:textId="42148B18" w:rsidR="002447B5" w:rsidRDefault="00BF5F04" w:rsidP="002447B5">
      <w:pPr>
        <w:ind w:firstLine="720"/>
      </w:pPr>
      <w:r>
        <w:t>To verify the Riemann sum methodology, a simple example is presented</w:t>
      </w:r>
      <w:r w:rsidR="000B3B4A">
        <w:t>.</w:t>
      </w:r>
      <w:r>
        <w:t xml:space="preserve"> For the example, the area between two lines is of question. From Figure G.1, the area between the blue and red curves is wanted. </w:t>
      </w:r>
    </w:p>
    <w:p w14:paraId="2C51D956" w14:textId="6BB1CBE2" w:rsidR="00BF5F04" w:rsidRDefault="00BF5F04" w:rsidP="00BC23AD">
      <w:pPr>
        <w:pStyle w:val="NoSpacing"/>
      </w:pPr>
      <w:r>
        <w:rPr>
          <w:noProof/>
        </w:rPr>
        <w:lastRenderedPageBreak/>
        <w:drawing>
          <wp:inline distT="0" distB="0" distL="0" distR="0" wp14:anchorId="29A89024" wp14:editId="4B21D33E">
            <wp:extent cx="4578350" cy="274320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4578350" cy="2743200"/>
                    </a:xfrm>
                    <a:prstGeom prst="rect">
                      <a:avLst/>
                    </a:prstGeom>
                    <a:noFill/>
                  </pic:spPr>
                </pic:pic>
              </a:graphicData>
            </a:graphic>
          </wp:inline>
        </w:drawing>
      </w:r>
    </w:p>
    <w:p w14:paraId="1544166B" w14:textId="0E61A3DE" w:rsidR="00BF5F04" w:rsidRDefault="00BF5F04" w:rsidP="00BC23AD">
      <w:pPr>
        <w:pStyle w:val="Caption"/>
      </w:pPr>
      <w:r>
        <w:t>Figure G.1: Graphical representation of the example to verify the Riemann sum methodology.</w:t>
      </w:r>
    </w:p>
    <w:p w14:paraId="26FB3CB1" w14:textId="5FB70BD5" w:rsidR="00BF5F04" w:rsidRDefault="00BF5F04">
      <w:pPr>
        <w:spacing w:after="160" w:line="259" w:lineRule="auto"/>
        <w:jc w:val="left"/>
      </w:pPr>
      <w:r>
        <w:t>The integral formula is represented as follows:</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A05A1F" w14:paraId="12937DB4" w14:textId="77777777" w:rsidTr="00F608E2">
        <w:trPr>
          <w:trHeight w:val="576"/>
        </w:trPr>
        <w:tc>
          <w:tcPr>
            <w:tcW w:w="720" w:type="dxa"/>
            <w:vAlign w:val="center"/>
          </w:tcPr>
          <w:p w14:paraId="7F49490E" w14:textId="30E7C679" w:rsidR="00A05A1F" w:rsidRDefault="00A05A1F" w:rsidP="00F608E2">
            <w:pPr>
              <w:spacing w:line="240" w:lineRule="auto"/>
              <w:jc w:val="center"/>
            </w:pPr>
          </w:p>
        </w:tc>
        <w:tc>
          <w:tcPr>
            <w:tcW w:w="7920" w:type="dxa"/>
            <w:vAlign w:val="center"/>
          </w:tcPr>
          <w:p w14:paraId="39849D9D" w14:textId="521F4038" w:rsidR="00A05A1F" w:rsidRPr="003B2EAF" w:rsidRDefault="00A05A1F" w:rsidP="00F608E2">
            <w:pPr>
              <w:spacing w:line="240" w:lineRule="auto"/>
              <w:jc w:val="center"/>
            </w:pPr>
            <m:oMathPara>
              <m:oMath>
                <m:r>
                  <w:rPr>
                    <w:rFonts w:ascii="Cambria Math" w:hAnsi="Cambria Math"/>
                  </w:rPr>
                  <m:t>Area= </m:t>
                </m:r>
                <m:nary>
                  <m:naryPr>
                    <m:ctrlPr>
                      <w:rPr>
                        <w:rFonts w:ascii="Cambria Math" w:hAnsi="Cambria Math"/>
                        <w:i/>
                        <w:iCs/>
                      </w:rPr>
                    </m:ctrlPr>
                  </m:naryPr>
                  <m:sub>
                    <m:r>
                      <w:rPr>
                        <w:rFonts w:ascii="Cambria Math" w:hAnsi="Cambria Math"/>
                      </w:rPr>
                      <m:t>1</m:t>
                    </m:r>
                  </m:sub>
                  <m:sup>
                    <m:r>
                      <w:rPr>
                        <w:rFonts w:ascii="Cambria Math" w:hAnsi="Cambria Math"/>
                      </w:rPr>
                      <m:t>10</m:t>
                    </m:r>
                  </m:sup>
                  <m:e>
                    <m:r>
                      <w:rPr>
                        <w:rFonts w:ascii="Cambria Math" w:hAnsi="Cambria Math"/>
                      </w:rPr>
                      <m:t>0.5 dx -</m:t>
                    </m:r>
                  </m:e>
                </m:nary>
                <m:nary>
                  <m:naryPr>
                    <m:ctrlPr>
                      <w:rPr>
                        <w:rFonts w:ascii="Cambria Math" w:hAnsi="Cambria Math"/>
                        <w:i/>
                        <w:iCs/>
                      </w:rPr>
                    </m:ctrlPr>
                  </m:naryPr>
                  <m:sub>
                    <m:r>
                      <w:rPr>
                        <w:rFonts w:ascii="Cambria Math" w:hAnsi="Cambria Math"/>
                      </w:rPr>
                      <m:t>1</m:t>
                    </m:r>
                  </m:sub>
                  <m:sup>
                    <m:r>
                      <w:rPr>
                        <w:rFonts w:ascii="Cambria Math" w:hAnsi="Cambria Math"/>
                      </w:rPr>
                      <m:t>10</m:t>
                    </m:r>
                  </m:sup>
                  <m:e>
                    <m:r>
                      <w:rPr>
                        <w:rFonts w:ascii="Cambria Math" w:hAnsi="Cambria Math"/>
                      </w:rPr>
                      <m:t>0.25 dx=4.5 -2.5=2.25</m:t>
                    </m:r>
                  </m:e>
                </m:nary>
              </m:oMath>
            </m:oMathPara>
          </w:p>
        </w:tc>
        <w:tc>
          <w:tcPr>
            <w:tcW w:w="720" w:type="dxa"/>
            <w:vAlign w:val="bottom"/>
          </w:tcPr>
          <w:p w14:paraId="2F9F6FDF" w14:textId="4F80A9ED" w:rsidR="00A05A1F" w:rsidRPr="00470CB5" w:rsidRDefault="00A05A1F" w:rsidP="00BC23AD">
            <w:pPr>
              <w:pStyle w:val="Caption"/>
              <w:rPr>
                <w:i/>
              </w:rPr>
            </w:pPr>
            <w:r>
              <w:t>G.</w:t>
            </w:r>
            <w:r w:rsidR="00077C0B">
              <w:fldChar w:fldCharType="begin"/>
            </w:r>
            <w:r w:rsidR="00077C0B">
              <w:instrText xml:space="preserve"> SEQ Equation \* ARABIC \s 1 </w:instrText>
            </w:r>
            <w:r w:rsidR="00077C0B">
              <w:fldChar w:fldCharType="separate"/>
            </w:r>
            <w:r w:rsidR="0006023A">
              <w:rPr>
                <w:noProof/>
              </w:rPr>
              <w:t>3</w:t>
            </w:r>
            <w:r w:rsidR="00077C0B">
              <w:rPr>
                <w:noProof/>
              </w:rPr>
              <w:fldChar w:fldCharType="end"/>
            </w:r>
          </w:p>
        </w:tc>
      </w:tr>
    </w:tbl>
    <w:p w14:paraId="7B6C3FE3" w14:textId="2F33BE61" w:rsidR="00BF5F04" w:rsidRDefault="00BF5F04" w:rsidP="00A05A1F">
      <w:pPr>
        <w:spacing w:after="160" w:line="259" w:lineRule="auto"/>
        <w:rPr>
          <w:rFonts w:eastAsiaTheme="minorEastAsia"/>
          <w:iCs/>
        </w:rPr>
      </w:pPr>
    </w:p>
    <w:p w14:paraId="5FBBD76E" w14:textId="6A0F63ED" w:rsidR="00BF5F04" w:rsidRDefault="00BF5F04" w:rsidP="00BF5F04">
      <w:r>
        <w:t>The geometric formula is represented as follows:</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A05A1F" w14:paraId="2ECC6469" w14:textId="77777777" w:rsidTr="00F608E2">
        <w:trPr>
          <w:trHeight w:val="576"/>
        </w:trPr>
        <w:tc>
          <w:tcPr>
            <w:tcW w:w="720" w:type="dxa"/>
            <w:vAlign w:val="center"/>
          </w:tcPr>
          <w:p w14:paraId="20C22811" w14:textId="77777777" w:rsidR="00A05A1F" w:rsidRDefault="00A05A1F" w:rsidP="00F608E2">
            <w:pPr>
              <w:spacing w:line="240" w:lineRule="auto"/>
              <w:jc w:val="center"/>
            </w:pPr>
          </w:p>
        </w:tc>
        <w:tc>
          <w:tcPr>
            <w:tcW w:w="7920" w:type="dxa"/>
            <w:vAlign w:val="center"/>
          </w:tcPr>
          <w:p w14:paraId="5387D92F" w14:textId="3A5AF4AE" w:rsidR="00A05A1F" w:rsidRPr="003B2EAF" w:rsidRDefault="00A05A1F" w:rsidP="00F608E2">
            <w:pPr>
              <w:spacing w:line="240" w:lineRule="auto"/>
              <w:jc w:val="center"/>
            </w:pPr>
            <m:oMathPara>
              <m:oMath>
                <m:r>
                  <w:rPr>
                    <w:rFonts w:ascii="Cambria Math" w:hAnsi="Cambria Math"/>
                  </w:rPr>
                  <m:t>Area=</m:t>
                </m:r>
                <m:sSub>
                  <m:sSubPr>
                    <m:ctrlPr>
                      <w:rPr>
                        <w:rFonts w:ascii="Cambria Math" w:hAnsi="Cambria Math"/>
                        <w:i/>
                        <w:iCs/>
                      </w:rPr>
                    </m:ctrlPr>
                  </m:sSubPr>
                  <m:e>
                    <m:d>
                      <m:dPr>
                        <m:ctrlPr>
                          <w:rPr>
                            <w:rFonts w:ascii="Cambria Math" w:hAnsi="Cambria Math"/>
                            <w:i/>
                            <w:iCs/>
                          </w:rPr>
                        </m:ctrlPr>
                      </m:dPr>
                      <m:e>
                        <m:r>
                          <w:rPr>
                            <w:rFonts w:ascii="Cambria Math" w:hAnsi="Cambria Math"/>
                          </w:rPr>
                          <m:t>Base ∙Height</m:t>
                        </m:r>
                      </m:e>
                    </m:d>
                  </m:e>
                  <m:sub>
                    <m:r>
                      <w:rPr>
                        <w:rFonts w:ascii="Cambria Math" w:hAnsi="Cambria Math"/>
                      </w:rPr>
                      <m:t>blue</m:t>
                    </m:r>
                  </m:sub>
                </m:sSub>
                <m:r>
                  <w:rPr>
                    <w:rFonts w:ascii="Cambria Math" w:hAnsi="Cambria Math"/>
                  </w:rPr>
                  <m:t> -</m:t>
                </m:r>
                <m:sSub>
                  <m:sSubPr>
                    <m:ctrlPr>
                      <w:rPr>
                        <w:rFonts w:ascii="Cambria Math" w:hAnsi="Cambria Math"/>
                        <w:i/>
                        <w:iCs/>
                      </w:rPr>
                    </m:ctrlPr>
                  </m:sSubPr>
                  <m:e>
                    <m:d>
                      <m:dPr>
                        <m:ctrlPr>
                          <w:rPr>
                            <w:rFonts w:ascii="Cambria Math" w:hAnsi="Cambria Math"/>
                            <w:i/>
                            <w:iCs/>
                          </w:rPr>
                        </m:ctrlPr>
                      </m:dPr>
                      <m:e>
                        <m:r>
                          <w:rPr>
                            <w:rFonts w:ascii="Cambria Math" w:hAnsi="Cambria Math"/>
                          </w:rPr>
                          <m:t>Base ∙Height</m:t>
                        </m:r>
                      </m:e>
                    </m:d>
                  </m:e>
                  <m:sub>
                    <m:r>
                      <w:rPr>
                        <w:rFonts w:ascii="Cambria Math" w:hAnsi="Cambria Math"/>
                      </w:rPr>
                      <m:t>red</m:t>
                    </m:r>
                  </m:sub>
                </m:sSub>
              </m:oMath>
            </m:oMathPara>
          </w:p>
        </w:tc>
        <w:tc>
          <w:tcPr>
            <w:tcW w:w="720" w:type="dxa"/>
            <w:vAlign w:val="bottom"/>
          </w:tcPr>
          <w:p w14:paraId="1DA3C514" w14:textId="7E1FF871" w:rsidR="00A05A1F" w:rsidRPr="00470CB5" w:rsidRDefault="00A05A1F" w:rsidP="00BC23AD">
            <w:pPr>
              <w:pStyle w:val="Caption"/>
              <w:rPr>
                <w:i/>
              </w:rPr>
            </w:pPr>
            <w:r>
              <w:t>G.</w:t>
            </w:r>
            <w:r w:rsidR="00077C0B">
              <w:fldChar w:fldCharType="begin"/>
            </w:r>
            <w:r w:rsidR="00077C0B">
              <w:instrText xml:space="preserve"> SEQ Equation \* ARABIC \s 1 </w:instrText>
            </w:r>
            <w:r w:rsidR="00077C0B">
              <w:fldChar w:fldCharType="separate"/>
            </w:r>
            <w:r w:rsidR="0006023A">
              <w:rPr>
                <w:noProof/>
              </w:rPr>
              <w:t>4</w:t>
            </w:r>
            <w:r w:rsidR="00077C0B">
              <w:rPr>
                <w:noProof/>
              </w:rPr>
              <w:fldChar w:fldCharType="end"/>
            </w:r>
          </w:p>
        </w:tc>
      </w:tr>
    </w:tbl>
    <w:p w14:paraId="6B797C1F" w14:textId="2B7882A6" w:rsidR="00A05A1F" w:rsidRDefault="00A05A1F" w:rsidP="00BF5F04"/>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A05A1F" w14:paraId="3E64342F" w14:textId="77777777" w:rsidTr="00F608E2">
        <w:trPr>
          <w:trHeight w:val="576"/>
        </w:trPr>
        <w:tc>
          <w:tcPr>
            <w:tcW w:w="720" w:type="dxa"/>
            <w:vAlign w:val="center"/>
          </w:tcPr>
          <w:p w14:paraId="61CEF7F6" w14:textId="77777777" w:rsidR="00A05A1F" w:rsidRDefault="00A05A1F" w:rsidP="00F608E2">
            <w:pPr>
              <w:spacing w:line="240" w:lineRule="auto"/>
              <w:jc w:val="center"/>
            </w:pPr>
          </w:p>
        </w:tc>
        <w:tc>
          <w:tcPr>
            <w:tcW w:w="7920" w:type="dxa"/>
            <w:vAlign w:val="center"/>
          </w:tcPr>
          <w:p w14:paraId="5C0B8649" w14:textId="54F60998" w:rsidR="00A05A1F" w:rsidRPr="003B2EAF" w:rsidRDefault="00A05A1F" w:rsidP="00F608E2">
            <w:pPr>
              <w:spacing w:line="240" w:lineRule="auto"/>
              <w:jc w:val="center"/>
            </w:pPr>
            <m:oMathPara>
              <m:oMath>
                <m:r>
                  <w:rPr>
                    <w:rFonts w:ascii="Cambria Math" w:hAnsi="Cambria Math"/>
                  </w:rPr>
                  <m:t>Area=</m:t>
                </m:r>
                <m:d>
                  <m:dPr>
                    <m:ctrlPr>
                      <w:rPr>
                        <w:rFonts w:ascii="Cambria Math" w:hAnsi="Cambria Math"/>
                        <w:i/>
                        <w:iCs/>
                      </w:rPr>
                    </m:ctrlPr>
                  </m:dPr>
                  <m:e>
                    <m:r>
                      <w:rPr>
                        <w:rFonts w:ascii="Cambria Math" w:hAnsi="Cambria Math"/>
                      </w:rPr>
                      <m:t>9∙0.5</m:t>
                    </m:r>
                  </m:e>
                </m:d>
                <m:r>
                  <w:rPr>
                    <w:rFonts w:ascii="Cambria Math" w:hAnsi="Cambria Math"/>
                  </w:rPr>
                  <m:t>-</m:t>
                </m:r>
                <m:d>
                  <m:dPr>
                    <m:ctrlPr>
                      <w:rPr>
                        <w:rFonts w:ascii="Cambria Math" w:hAnsi="Cambria Math"/>
                        <w:i/>
                        <w:iCs/>
                      </w:rPr>
                    </m:ctrlPr>
                  </m:dPr>
                  <m:e>
                    <m:r>
                      <w:rPr>
                        <w:rFonts w:ascii="Cambria Math" w:hAnsi="Cambria Math"/>
                      </w:rPr>
                      <m:t>9∙0.25</m:t>
                    </m:r>
                  </m:e>
                </m:d>
                <m:r>
                  <w:rPr>
                    <w:rFonts w:ascii="Cambria Math" w:hAnsi="Cambria Math"/>
                  </w:rPr>
                  <m:t>=2.25</m:t>
                </m:r>
              </m:oMath>
            </m:oMathPara>
          </w:p>
        </w:tc>
        <w:tc>
          <w:tcPr>
            <w:tcW w:w="720" w:type="dxa"/>
            <w:vAlign w:val="bottom"/>
          </w:tcPr>
          <w:p w14:paraId="412B8A44" w14:textId="5A4A33C0" w:rsidR="00A05A1F" w:rsidRPr="00470CB5" w:rsidRDefault="00A05A1F" w:rsidP="00BC23AD">
            <w:pPr>
              <w:pStyle w:val="Caption"/>
              <w:rPr>
                <w:i/>
              </w:rPr>
            </w:pPr>
            <w:r>
              <w:t>G.</w:t>
            </w:r>
            <w:r w:rsidR="00077C0B">
              <w:fldChar w:fldCharType="begin"/>
            </w:r>
            <w:r w:rsidR="00077C0B">
              <w:instrText xml:space="preserve"> SEQ Equation \* ARABIC \s 1 </w:instrText>
            </w:r>
            <w:r w:rsidR="00077C0B">
              <w:fldChar w:fldCharType="separate"/>
            </w:r>
            <w:r w:rsidR="0006023A">
              <w:rPr>
                <w:noProof/>
              </w:rPr>
              <w:t>5</w:t>
            </w:r>
            <w:r w:rsidR="00077C0B">
              <w:rPr>
                <w:noProof/>
              </w:rPr>
              <w:fldChar w:fldCharType="end"/>
            </w:r>
          </w:p>
        </w:tc>
      </w:tr>
    </w:tbl>
    <w:p w14:paraId="4938D679" w14:textId="77777777" w:rsidR="00A05A1F" w:rsidRDefault="00A05A1F" w:rsidP="00BF5F04"/>
    <w:p w14:paraId="6D7DBE9C" w14:textId="2618ABBE" w:rsidR="00F23066" w:rsidRDefault="00BF5F04" w:rsidP="00BF5F04">
      <w:r>
        <w:t>The Riemann sum using the trapezoidal rule is as follows:</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A05A1F" w14:paraId="1750EE90" w14:textId="77777777" w:rsidTr="00F608E2">
        <w:trPr>
          <w:trHeight w:val="576"/>
        </w:trPr>
        <w:tc>
          <w:tcPr>
            <w:tcW w:w="720" w:type="dxa"/>
            <w:vAlign w:val="center"/>
          </w:tcPr>
          <w:p w14:paraId="429850E6" w14:textId="77777777" w:rsidR="00A05A1F" w:rsidRDefault="00A05A1F" w:rsidP="00F608E2">
            <w:pPr>
              <w:spacing w:line="240" w:lineRule="auto"/>
              <w:jc w:val="center"/>
            </w:pPr>
          </w:p>
        </w:tc>
        <w:tc>
          <w:tcPr>
            <w:tcW w:w="7920" w:type="dxa"/>
            <w:vAlign w:val="center"/>
          </w:tcPr>
          <w:p w14:paraId="68647193" w14:textId="088EBA25" w:rsidR="00A05A1F" w:rsidRPr="003B2EAF" w:rsidRDefault="00A05A1F" w:rsidP="00F608E2">
            <w:pPr>
              <w:spacing w:line="240" w:lineRule="auto"/>
              <w:jc w:val="center"/>
            </w:pPr>
            <m:oMathPara>
              <m:oMath>
                <m:r>
                  <w:rPr>
                    <w:rFonts w:ascii="Cambria Math" w:eastAsiaTheme="minorEastAsia" w:hAnsi="Cambria Math"/>
                  </w:rPr>
                  <m:t>Area=</m:t>
                </m:r>
                <m:nary>
                  <m:naryPr>
                    <m:chr m:val="∑"/>
                    <m:limLoc m:val="undOvr"/>
                    <m:ctrlPr>
                      <w:rPr>
                        <w:rFonts w:ascii="Cambria Math" w:eastAsiaTheme="minorEastAsia" w:hAnsi="Cambria Math"/>
                        <w:i/>
                        <w:iCs/>
                      </w:rPr>
                    </m:ctrlPr>
                  </m:naryPr>
                  <m:sub>
                    <m:r>
                      <w:rPr>
                        <w:rFonts w:ascii="Cambria Math" w:eastAsiaTheme="minorEastAsia" w:hAnsi="Cambria Math"/>
                      </w:rPr>
                      <m:t>i=1</m:t>
                    </m:r>
                  </m:sub>
                  <m:sup>
                    <m:r>
                      <w:rPr>
                        <w:rFonts w:ascii="Cambria Math" w:eastAsiaTheme="minorEastAsia" w:hAnsi="Cambria Math"/>
                      </w:rPr>
                      <m:t>10</m:t>
                    </m:r>
                  </m:sup>
                  <m:e>
                    <m:sSub>
                      <m:sSubPr>
                        <m:ctrlPr>
                          <w:rPr>
                            <w:rFonts w:ascii="Cambria Math" w:eastAsiaTheme="minorEastAsia" w:hAnsi="Cambria Math"/>
                            <w:i/>
                            <w:iCs/>
                          </w:rPr>
                        </m:ctrlPr>
                      </m:sSubPr>
                      <m:e>
                        <m:d>
                          <m:dPr>
                            <m:begChr m:val="["/>
                            <m:endChr m:val="]"/>
                            <m:ctrlPr>
                              <w:rPr>
                                <w:rFonts w:ascii="Cambria Math" w:eastAsiaTheme="minorEastAsia" w:hAnsi="Cambria Math"/>
                                <w:i/>
                                <w:iCs/>
                              </w:rPr>
                            </m:ctrlPr>
                          </m:dPr>
                          <m:e>
                            <m:d>
                              <m:dPr>
                                <m:ctrlPr>
                                  <w:rPr>
                                    <w:rFonts w:ascii="Cambria Math" w:eastAsiaTheme="minorEastAsia" w:hAnsi="Cambria Math"/>
                                    <w:i/>
                                    <w:iCs/>
                                  </w:rPr>
                                </m:ctrlPr>
                              </m:dPr>
                              <m:e>
                                <m:f>
                                  <m:fPr>
                                    <m:ctrlPr>
                                      <w:rPr>
                                        <w:rFonts w:ascii="Cambria Math" w:eastAsiaTheme="minorEastAsia" w:hAnsi="Cambria Math"/>
                                        <w:i/>
                                        <w:iCs/>
                                      </w:rPr>
                                    </m:ctrlPr>
                                  </m:fPr>
                                  <m:num>
                                    <m:sSub>
                                      <m:sSubPr>
                                        <m:ctrlPr>
                                          <w:rPr>
                                            <w:rFonts w:ascii="Cambria Math" w:eastAsiaTheme="minorEastAsia" w:hAnsi="Cambria Math"/>
                                            <w:i/>
                                            <w:iCs/>
                                          </w:rPr>
                                        </m:ctrlPr>
                                      </m:sSubPr>
                                      <m:e>
                                        <m:r>
                                          <w:rPr>
                                            <w:rFonts w:ascii="Cambria Math" w:eastAsiaTheme="minorEastAsia" w:hAnsi="Cambria Math"/>
                                          </w:rPr>
                                          <m:t>y</m:t>
                                        </m:r>
                                      </m:e>
                                      <m:sub>
                                        <m:r>
                                          <w:rPr>
                                            <w:rFonts w:ascii="Cambria Math" w:eastAsiaTheme="minorEastAsia" w:hAnsi="Cambria Math"/>
                                          </w:rPr>
                                          <m:t>i</m:t>
                                        </m:r>
                                      </m:sub>
                                    </m:sSub>
                                    <m: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rPr>
                                          <m:t>y</m:t>
                                        </m:r>
                                      </m:e>
                                      <m:sub>
                                        <m:r>
                                          <w:rPr>
                                            <w:rFonts w:ascii="Cambria Math" w:eastAsiaTheme="minorEastAsia" w:hAnsi="Cambria Math"/>
                                          </w:rPr>
                                          <m:t>i+1</m:t>
                                        </m:r>
                                      </m:sub>
                                    </m:sSub>
                                  </m:num>
                                  <m:den>
                                    <m:r>
                                      <w:rPr>
                                        <w:rFonts w:ascii="Cambria Math" w:eastAsiaTheme="minorEastAsia" w:hAnsi="Cambria Math"/>
                                      </w:rPr>
                                      <m:t>2</m:t>
                                    </m:r>
                                  </m:den>
                                </m:f>
                              </m:e>
                            </m:d>
                            <m:r>
                              <w:rPr>
                                <w:rFonts w:ascii="Cambria Math" w:eastAsiaTheme="minorEastAsia" w:hAnsi="Cambria Math"/>
                              </w:rPr>
                              <m:t>∙</m:t>
                            </m:r>
                            <m:d>
                              <m:dPr>
                                <m:ctrlPr>
                                  <w:rPr>
                                    <w:rFonts w:ascii="Cambria Math" w:eastAsiaTheme="minorEastAsia" w:hAnsi="Cambria Math"/>
                                    <w:i/>
                                    <w:iCs/>
                                  </w:rPr>
                                </m:ctrlPr>
                              </m:dPr>
                              <m:e>
                                <m:sSub>
                                  <m:sSubPr>
                                    <m:ctrlPr>
                                      <w:rPr>
                                        <w:rFonts w:ascii="Cambria Math" w:eastAsiaTheme="minorEastAsia" w:hAnsi="Cambria Math"/>
                                        <w:i/>
                                        <w:iCs/>
                                      </w:rPr>
                                    </m:ctrlPr>
                                  </m:sSubPr>
                                  <m:e>
                                    <m:r>
                                      <w:rPr>
                                        <w:rFonts w:ascii="Cambria Math" w:eastAsiaTheme="minorEastAsia" w:hAnsi="Cambria Math"/>
                                      </w:rPr>
                                      <m:t>x</m:t>
                                    </m:r>
                                  </m:e>
                                  <m:sub>
                                    <m:r>
                                      <w:rPr>
                                        <w:rFonts w:ascii="Cambria Math" w:eastAsiaTheme="minorEastAsia" w:hAnsi="Cambria Math"/>
                                      </w:rPr>
                                      <m:t>i+1</m:t>
                                    </m:r>
                                  </m:sub>
                                </m:sSub>
                                <m: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rPr>
                                      <m:t>x</m:t>
                                    </m:r>
                                  </m:e>
                                  <m:sub>
                                    <m:r>
                                      <w:rPr>
                                        <w:rFonts w:ascii="Cambria Math" w:eastAsiaTheme="minorEastAsia" w:hAnsi="Cambria Math"/>
                                      </w:rPr>
                                      <m:t>i</m:t>
                                    </m:r>
                                  </m:sub>
                                </m:sSub>
                              </m:e>
                            </m:d>
                          </m:e>
                        </m:d>
                      </m:e>
                      <m:sub>
                        <m:r>
                          <w:rPr>
                            <w:rFonts w:ascii="Cambria Math" w:eastAsiaTheme="minorEastAsia" w:hAnsi="Cambria Math"/>
                          </w:rPr>
                          <m:t>blue</m:t>
                        </m:r>
                      </m:sub>
                    </m:sSub>
                    <m:r>
                      <w:rPr>
                        <w:rFonts w:ascii="Cambria Math" w:eastAsiaTheme="minorEastAsia" w:hAnsi="Cambria Math"/>
                      </w:rPr>
                      <m:t>-</m:t>
                    </m:r>
                    <m:sSub>
                      <m:sSubPr>
                        <m:ctrlPr>
                          <w:rPr>
                            <w:rFonts w:ascii="Cambria Math" w:eastAsiaTheme="minorEastAsia" w:hAnsi="Cambria Math"/>
                            <w:i/>
                            <w:iCs/>
                          </w:rPr>
                        </m:ctrlPr>
                      </m:sSubPr>
                      <m:e>
                        <m:d>
                          <m:dPr>
                            <m:begChr m:val="["/>
                            <m:endChr m:val="]"/>
                            <m:ctrlPr>
                              <w:rPr>
                                <w:rFonts w:ascii="Cambria Math" w:eastAsiaTheme="minorEastAsia" w:hAnsi="Cambria Math"/>
                                <w:i/>
                                <w:iCs/>
                              </w:rPr>
                            </m:ctrlPr>
                          </m:dPr>
                          <m:e>
                            <m:d>
                              <m:dPr>
                                <m:ctrlPr>
                                  <w:rPr>
                                    <w:rFonts w:ascii="Cambria Math" w:eastAsiaTheme="minorEastAsia" w:hAnsi="Cambria Math"/>
                                    <w:i/>
                                    <w:iCs/>
                                  </w:rPr>
                                </m:ctrlPr>
                              </m:dPr>
                              <m:e>
                                <m:f>
                                  <m:fPr>
                                    <m:ctrlPr>
                                      <w:rPr>
                                        <w:rFonts w:ascii="Cambria Math" w:eastAsiaTheme="minorEastAsia" w:hAnsi="Cambria Math"/>
                                        <w:i/>
                                        <w:iCs/>
                                      </w:rPr>
                                    </m:ctrlPr>
                                  </m:fPr>
                                  <m:num>
                                    <m:sSub>
                                      <m:sSubPr>
                                        <m:ctrlPr>
                                          <w:rPr>
                                            <w:rFonts w:ascii="Cambria Math" w:eastAsiaTheme="minorEastAsia" w:hAnsi="Cambria Math"/>
                                            <w:i/>
                                            <w:iCs/>
                                          </w:rPr>
                                        </m:ctrlPr>
                                      </m:sSubPr>
                                      <m:e>
                                        <m:r>
                                          <w:rPr>
                                            <w:rFonts w:ascii="Cambria Math" w:eastAsiaTheme="minorEastAsia" w:hAnsi="Cambria Math"/>
                                          </w:rPr>
                                          <m:t>y</m:t>
                                        </m:r>
                                      </m:e>
                                      <m:sub>
                                        <m:r>
                                          <w:rPr>
                                            <w:rFonts w:ascii="Cambria Math" w:eastAsiaTheme="minorEastAsia" w:hAnsi="Cambria Math"/>
                                          </w:rPr>
                                          <m:t>i</m:t>
                                        </m:r>
                                      </m:sub>
                                    </m:sSub>
                                    <m: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rPr>
                                          <m:t>y</m:t>
                                        </m:r>
                                      </m:e>
                                      <m:sub>
                                        <m:r>
                                          <w:rPr>
                                            <w:rFonts w:ascii="Cambria Math" w:eastAsiaTheme="minorEastAsia" w:hAnsi="Cambria Math"/>
                                          </w:rPr>
                                          <m:t>i+1</m:t>
                                        </m:r>
                                      </m:sub>
                                    </m:sSub>
                                  </m:num>
                                  <m:den>
                                    <m:r>
                                      <w:rPr>
                                        <w:rFonts w:ascii="Cambria Math" w:eastAsiaTheme="minorEastAsia" w:hAnsi="Cambria Math"/>
                                      </w:rPr>
                                      <m:t>2</m:t>
                                    </m:r>
                                  </m:den>
                                </m:f>
                              </m:e>
                            </m:d>
                            <m:r>
                              <w:rPr>
                                <w:rFonts w:ascii="Cambria Math" w:eastAsiaTheme="minorEastAsia" w:hAnsi="Cambria Math"/>
                              </w:rPr>
                              <m:t>∙</m:t>
                            </m:r>
                            <m:d>
                              <m:dPr>
                                <m:ctrlPr>
                                  <w:rPr>
                                    <w:rFonts w:ascii="Cambria Math" w:eastAsiaTheme="minorEastAsia" w:hAnsi="Cambria Math"/>
                                    <w:i/>
                                    <w:iCs/>
                                  </w:rPr>
                                </m:ctrlPr>
                              </m:dPr>
                              <m:e>
                                <m:sSub>
                                  <m:sSubPr>
                                    <m:ctrlPr>
                                      <w:rPr>
                                        <w:rFonts w:ascii="Cambria Math" w:eastAsiaTheme="minorEastAsia" w:hAnsi="Cambria Math"/>
                                        <w:i/>
                                        <w:iCs/>
                                      </w:rPr>
                                    </m:ctrlPr>
                                  </m:sSubPr>
                                  <m:e>
                                    <m:r>
                                      <w:rPr>
                                        <w:rFonts w:ascii="Cambria Math" w:eastAsiaTheme="minorEastAsia" w:hAnsi="Cambria Math"/>
                                      </w:rPr>
                                      <m:t>x</m:t>
                                    </m:r>
                                  </m:e>
                                  <m:sub>
                                    <m:r>
                                      <w:rPr>
                                        <w:rFonts w:ascii="Cambria Math" w:eastAsiaTheme="minorEastAsia" w:hAnsi="Cambria Math"/>
                                      </w:rPr>
                                      <m:t>i+1</m:t>
                                    </m:r>
                                  </m:sub>
                                </m:sSub>
                                <m: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rPr>
                                      <m:t>x</m:t>
                                    </m:r>
                                  </m:e>
                                  <m:sub>
                                    <m:r>
                                      <w:rPr>
                                        <w:rFonts w:ascii="Cambria Math" w:eastAsiaTheme="minorEastAsia" w:hAnsi="Cambria Math"/>
                                      </w:rPr>
                                      <m:t>i</m:t>
                                    </m:r>
                                  </m:sub>
                                </m:sSub>
                              </m:e>
                            </m:d>
                          </m:e>
                        </m:d>
                      </m:e>
                      <m:sub>
                        <m:r>
                          <w:rPr>
                            <w:rFonts w:ascii="Cambria Math" w:eastAsiaTheme="minorEastAsia" w:hAnsi="Cambria Math"/>
                          </w:rPr>
                          <m:t>red</m:t>
                        </m:r>
                      </m:sub>
                    </m:sSub>
                  </m:e>
                </m:nary>
              </m:oMath>
            </m:oMathPara>
          </w:p>
        </w:tc>
        <w:tc>
          <w:tcPr>
            <w:tcW w:w="720" w:type="dxa"/>
            <w:vAlign w:val="bottom"/>
          </w:tcPr>
          <w:p w14:paraId="7066156D" w14:textId="731C7C24" w:rsidR="00A05A1F" w:rsidRPr="00470CB5" w:rsidRDefault="00A05A1F" w:rsidP="00BC23AD">
            <w:pPr>
              <w:pStyle w:val="Caption"/>
              <w:rPr>
                <w:i/>
              </w:rPr>
            </w:pPr>
            <w:r>
              <w:t>G.</w:t>
            </w:r>
            <w:r w:rsidR="00077C0B">
              <w:fldChar w:fldCharType="begin"/>
            </w:r>
            <w:r w:rsidR="00077C0B">
              <w:instrText xml:space="preserve"> SEQ Equation \* ARABIC \s 1 </w:instrText>
            </w:r>
            <w:r w:rsidR="00077C0B">
              <w:fldChar w:fldCharType="separate"/>
            </w:r>
            <w:r w:rsidR="0006023A">
              <w:rPr>
                <w:noProof/>
              </w:rPr>
              <w:t>6</w:t>
            </w:r>
            <w:r w:rsidR="00077C0B">
              <w:rPr>
                <w:noProof/>
              </w:rPr>
              <w:fldChar w:fldCharType="end"/>
            </w:r>
          </w:p>
        </w:tc>
      </w:tr>
    </w:tbl>
    <w:p w14:paraId="1B815578" w14:textId="77777777" w:rsidR="00A05A1F" w:rsidRDefault="00A05A1F" w:rsidP="00BF5F04"/>
    <w:p w14:paraId="16F50917" w14:textId="73C102D9" w:rsidR="00BF5F04" w:rsidRDefault="00BF5F04" w:rsidP="00A05A1F">
      <w:pPr>
        <w:ind w:firstLine="720"/>
        <w:rPr>
          <w:rFonts w:eastAsiaTheme="minorEastAsia"/>
        </w:rPr>
      </w:pPr>
      <w:r>
        <w:rPr>
          <w:rFonts w:eastAsiaTheme="minorEastAsia"/>
        </w:rPr>
        <w:t>Breaking the Riemann sum into 10 segments, results in Table G.1 which each segment equals the area of that segment. Summing the segments results in the total area between the curves which matches the integral and geometric methods.</w:t>
      </w:r>
    </w:p>
    <w:p w14:paraId="66310AA6" w14:textId="58BC31C0" w:rsidR="00BF5F04" w:rsidRDefault="00546A95" w:rsidP="00BC23AD">
      <w:pPr>
        <w:pStyle w:val="Caption"/>
      </w:pPr>
      <w:r>
        <w:lastRenderedPageBreak/>
        <w:t>Table G.1</w:t>
      </w:r>
      <w:r w:rsidR="00BF5F04">
        <w:t xml:space="preserve">: Riemann sum calculations for the area between the curves for with 10 segments. </w:t>
      </w:r>
    </w:p>
    <w:p w14:paraId="4E973F1C" w14:textId="4EECFC5B" w:rsidR="00BF5F04" w:rsidRPr="00BF5F04" w:rsidRDefault="00BF5F04" w:rsidP="00BC23AD">
      <w:pPr>
        <w:pStyle w:val="NoSpacing"/>
      </w:pPr>
      <w:r>
        <w:rPr>
          <w:noProof/>
        </w:rPr>
        <w:drawing>
          <wp:inline distT="0" distB="0" distL="0" distR="0" wp14:anchorId="0A8EA0D6" wp14:editId="215F8589">
            <wp:extent cx="4572000" cy="377148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4572000" cy="3771481"/>
                    </a:xfrm>
                    <a:prstGeom prst="rect">
                      <a:avLst/>
                    </a:prstGeom>
                    <a:noFill/>
                  </pic:spPr>
                </pic:pic>
              </a:graphicData>
            </a:graphic>
          </wp:inline>
        </w:drawing>
      </w:r>
    </w:p>
    <w:p w14:paraId="5882D88D" w14:textId="781CD47B" w:rsidR="00F23066" w:rsidRDefault="00546A95" w:rsidP="00F23066">
      <w:pPr>
        <w:pStyle w:val="Heading1"/>
        <w:numPr>
          <w:ilvl w:val="0"/>
          <w:numId w:val="0"/>
        </w:numPr>
      </w:pPr>
      <w:bookmarkStart w:id="184" w:name="_Toc67566079"/>
      <w:r>
        <w:lastRenderedPageBreak/>
        <w:t>Appendix H</w:t>
      </w:r>
      <w:r w:rsidR="00F23066">
        <w:t xml:space="preserve">: </w:t>
      </w:r>
      <w:r w:rsidR="003F4911">
        <w:t>Mesh Sensitivity Analysis</w:t>
      </w:r>
      <w:bookmarkEnd w:id="184"/>
    </w:p>
    <w:p w14:paraId="2EBA7550" w14:textId="7BF897A6" w:rsidR="00F23066" w:rsidRDefault="003F4911" w:rsidP="00F23066">
      <w:pPr>
        <w:ind w:firstLine="720"/>
      </w:pPr>
      <w:r>
        <w:t xml:space="preserve">The mesh sensitivity analysis for the cement, casing, and rock formation are shown in Figures H.1-3, respectively. The element circumference size, face element size, and height size are all varied to determine the optimum mesh density in terms of percent difference in microannuli size and computational time. The red data points are the original mesh size while the green data point are the updated size. </w:t>
      </w:r>
    </w:p>
    <w:p w14:paraId="2949FADB" w14:textId="24E197ED" w:rsidR="003F4911" w:rsidRDefault="003F4911" w:rsidP="00BC23AD">
      <w:pPr>
        <w:pStyle w:val="NoSpacing"/>
      </w:pPr>
      <w:r>
        <w:rPr>
          <w:noProof/>
        </w:rPr>
        <w:drawing>
          <wp:inline distT="0" distB="0" distL="0" distR="0" wp14:anchorId="31F4C730" wp14:editId="1761FADC">
            <wp:extent cx="4572635" cy="27432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536670F2" w14:textId="36E7DF35" w:rsidR="003F4911" w:rsidRDefault="003F4911" w:rsidP="00BC23AD">
      <w:pPr>
        <w:pStyle w:val="Caption"/>
      </w:pPr>
      <w:r>
        <w:t>Figure H.1: Mesh size versus microannuli gap width for the cement sheath elements.</w:t>
      </w:r>
    </w:p>
    <w:p w14:paraId="3413303F" w14:textId="77777777" w:rsidR="003F4911" w:rsidRPr="003F4911" w:rsidRDefault="003F4911" w:rsidP="003F4911"/>
    <w:p w14:paraId="16ADBD8B" w14:textId="77777777" w:rsidR="003F4911" w:rsidRDefault="003F4911" w:rsidP="00BC23AD">
      <w:pPr>
        <w:pStyle w:val="NoSpacing"/>
      </w:pPr>
      <w:r>
        <w:rPr>
          <w:noProof/>
        </w:rPr>
        <w:lastRenderedPageBreak/>
        <w:drawing>
          <wp:inline distT="0" distB="0" distL="0" distR="0" wp14:anchorId="4BC0F201" wp14:editId="7D7AB9B1">
            <wp:extent cx="4572635" cy="27432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1145EC5E" w14:textId="30852A80" w:rsidR="003F4911" w:rsidRDefault="003F4911" w:rsidP="00BC23AD">
      <w:pPr>
        <w:pStyle w:val="Caption"/>
      </w:pPr>
      <w:r>
        <w:t>Figure H.2:  Mesh size versus microannuli gap width for the casing elements.</w:t>
      </w:r>
    </w:p>
    <w:p w14:paraId="524EA5FE" w14:textId="3AA84BE8" w:rsidR="003F4911" w:rsidRDefault="003F4911" w:rsidP="00BC23AD">
      <w:pPr>
        <w:pStyle w:val="NoSpacing"/>
      </w:pPr>
      <w:r>
        <w:rPr>
          <w:noProof/>
        </w:rPr>
        <w:drawing>
          <wp:inline distT="0" distB="0" distL="0" distR="0" wp14:anchorId="5568DC32" wp14:editId="75FE5FA6">
            <wp:extent cx="4572635" cy="27432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58286146" w14:textId="61952C64" w:rsidR="003F4911" w:rsidRPr="003F4911" w:rsidRDefault="003F4911" w:rsidP="00BC23AD">
      <w:pPr>
        <w:pStyle w:val="Caption"/>
      </w:pPr>
      <w:r>
        <w:t>Figure H.3: Mesh size versus microannuli gap width for the rock formation elements.</w:t>
      </w:r>
    </w:p>
    <w:p w14:paraId="35A8D0AF" w14:textId="1B5D10F2" w:rsidR="003F4911" w:rsidRDefault="003F4911" w:rsidP="00F23066">
      <w:pPr>
        <w:ind w:firstLine="720"/>
      </w:pPr>
      <w:r>
        <w:t>The results of the mesh sensitivity analysis show that</w:t>
      </w:r>
      <w:r w:rsidR="002D0EB8">
        <w:t xml:space="preserve"> the element circumference and the face element size have little effect (&lt;0.4%) on the microannuli size. However, the cement sheath element height has a 4.1% effect. For the casing elements, all three dimensions have less than 0.2% change in microannuli size. Therefore, the casing elements do not need optimized. For the rock formation, the element circumference and face element size have zero effect on the microannuli size whereas the element height has a 4.1% effect. Since the height of the cement and rock </w:t>
      </w:r>
      <w:r w:rsidR="002D0EB8">
        <w:lastRenderedPageBreak/>
        <w:t>formation elements has an effect, do both need to be optimized or does it matter? Table H.1 shows the results of optimizing the cement and rock formation elements versus just the cement elements.</w:t>
      </w:r>
    </w:p>
    <w:p w14:paraId="38B192E2" w14:textId="5D81C4B7" w:rsidR="002D0EB8" w:rsidRDefault="002D0EB8" w:rsidP="00BC23AD">
      <w:pPr>
        <w:pStyle w:val="Caption"/>
      </w:pPr>
      <w:r>
        <w:t>Table H.1: Cement and rock formation element optimization versus only the cement element optimization.</w:t>
      </w:r>
    </w:p>
    <w:tbl>
      <w:tblPr>
        <w:tblStyle w:val="TableGrid"/>
        <w:tblW w:w="892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4"/>
        <w:gridCol w:w="4032"/>
        <w:gridCol w:w="2592"/>
      </w:tblGrid>
      <w:tr w:rsidR="002D0EB8" w14:paraId="0D8D4B07" w14:textId="77777777" w:rsidTr="002D0EB8">
        <w:trPr>
          <w:jc w:val="center"/>
        </w:trPr>
        <w:tc>
          <w:tcPr>
            <w:tcW w:w="2304" w:type="dxa"/>
            <w:vAlign w:val="center"/>
          </w:tcPr>
          <w:p w14:paraId="1E40B197" w14:textId="77777777" w:rsidR="002D0EB8" w:rsidRDefault="002D0EB8" w:rsidP="002D0EB8">
            <w:pPr>
              <w:spacing w:line="240" w:lineRule="auto"/>
              <w:jc w:val="right"/>
            </w:pPr>
          </w:p>
        </w:tc>
        <w:tc>
          <w:tcPr>
            <w:tcW w:w="4032" w:type="dxa"/>
            <w:tcBorders>
              <w:bottom w:val="single" w:sz="4" w:space="0" w:color="auto"/>
            </w:tcBorders>
            <w:vAlign w:val="center"/>
          </w:tcPr>
          <w:p w14:paraId="32E9AE12" w14:textId="51615A3A" w:rsidR="002D0EB8" w:rsidRDefault="002D0EB8" w:rsidP="002D0EB8">
            <w:pPr>
              <w:spacing w:line="240" w:lineRule="auto"/>
              <w:jc w:val="center"/>
            </w:pPr>
            <w:r>
              <w:t>Cement and Rock Formation Elements</w:t>
            </w:r>
          </w:p>
        </w:tc>
        <w:tc>
          <w:tcPr>
            <w:tcW w:w="2592" w:type="dxa"/>
            <w:tcBorders>
              <w:bottom w:val="single" w:sz="4" w:space="0" w:color="auto"/>
            </w:tcBorders>
            <w:vAlign w:val="center"/>
          </w:tcPr>
          <w:p w14:paraId="49C7B591" w14:textId="5D432E95" w:rsidR="002D0EB8" w:rsidRDefault="002D0EB8" w:rsidP="002D0EB8">
            <w:pPr>
              <w:spacing w:line="240" w:lineRule="auto"/>
              <w:jc w:val="center"/>
            </w:pPr>
            <w:r>
              <w:t>Only Cement Elements</w:t>
            </w:r>
          </w:p>
        </w:tc>
      </w:tr>
      <w:tr w:rsidR="002D0EB8" w14:paraId="40A97F45" w14:textId="77777777" w:rsidTr="002D0EB8">
        <w:trPr>
          <w:jc w:val="center"/>
        </w:trPr>
        <w:tc>
          <w:tcPr>
            <w:tcW w:w="2304" w:type="dxa"/>
            <w:vAlign w:val="center"/>
          </w:tcPr>
          <w:p w14:paraId="00840CBC" w14:textId="7770AB3B" w:rsidR="002D0EB8" w:rsidRDefault="002D0EB8" w:rsidP="002D0EB8">
            <w:pPr>
              <w:spacing w:line="240" w:lineRule="auto"/>
              <w:jc w:val="right"/>
            </w:pPr>
            <w:r>
              <w:t>Time:</w:t>
            </w:r>
          </w:p>
        </w:tc>
        <w:tc>
          <w:tcPr>
            <w:tcW w:w="4032" w:type="dxa"/>
            <w:tcBorders>
              <w:top w:val="single" w:sz="4" w:space="0" w:color="auto"/>
            </w:tcBorders>
            <w:vAlign w:val="center"/>
          </w:tcPr>
          <w:p w14:paraId="64E93CD2" w14:textId="5DD6848F" w:rsidR="002D0EB8" w:rsidRDefault="002D0EB8" w:rsidP="002D0EB8">
            <w:pPr>
              <w:spacing w:line="240" w:lineRule="auto"/>
              <w:jc w:val="center"/>
            </w:pPr>
            <w:r>
              <w:t>6 min 46 sec</w:t>
            </w:r>
          </w:p>
        </w:tc>
        <w:tc>
          <w:tcPr>
            <w:tcW w:w="2592" w:type="dxa"/>
            <w:tcBorders>
              <w:top w:val="single" w:sz="4" w:space="0" w:color="auto"/>
            </w:tcBorders>
            <w:vAlign w:val="center"/>
          </w:tcPr>
          <w:p w14:paraId="62CF2ACA" w14:textId="0B4D6B18" w:rsidR="002D0EB8" w:rsidRDefault="002D0EB8" w:rsidP="002D0EB8">
            <w:pPr>
              <w:spacing w:line="240" w:lineRule="auto"/>
              <w:jc w:val="center"/>
            </w:pPr>
            <w:r>
              <w:t>4 min 46 sec</w:t>
            </w:r>
          </w:p>
        </w:tc>
      </w:tr>
      <w:tr w:rsidR="002D0EB8" w14:paraId="0E4BF834" w14:textId="77777777" w:rsidTr="002D0EB8">
        <w:trPr>
          <w:jc w:val="center"/>
        </w:trPr>
        <w:tc>
          <w:tcPr>
            <w:tcW w:w="2304" w:type="dxa"/>
            <w:vAlign w:val="center"/>
          </w:tcPr>
          <w:p w14:paraId="41844585" w14:textId="7865FF08" w:rsidR="002D0EB8" w:rsidRDefault="002D0EB8" w:rsidP="002D0EB8">
            <w:pPr>
              <w:spacing w:line="240" w:lineRule="auto"/>
              <w:jc w:val="right"/>
            </w:pPr>
            <w:r>
              <w:t>Elements:</w:t>
            </w:r>
          </w:p>
        </w:tc>
        <w:tc>
          <w:tcPr>
            <w:tcW w:w="4032" w:type="dxa"/>
            <w:vAlign w:val="center"/>
          </w:tcPr>
          <w:p w14:paraId="0A6BD5CA" w14:textId="10DDCB34" w:rsidR="002D0EB8" w:rsidRDefault="002D0EB8" w:rsidP="002D0EB8">
            <w:pPr>
              <w:spacing w:line="240" w:lineRule="auto"/>
              <w:jc w:val="center"/>
            </w:pPr>
            <w:r>
              <w:t>14,464</w:t>
            </w:r>
          </w:p>
        </w:tc>
        <w:tc>
          <w:tcPr>
            <w:tcW w:w="2592" w:type="dxa"/>
            <w:vAlign w:val="center"/>
          </w:tcPr>
          <w:p w14:paraId="65F54B05" w14:textId="3EA71084" w:rsidR="002D0EB8" w:rsidRDefault="002D0EB8" w:rsidP="002D0EB8">
            <w:pPr>
              <w:spacing w:line="240" w:lineRule="auto"/>
              <w:jc w:val="center"/>
            </w:pPr>
            <w:r>
              <w:t>11,304</w:t>
            </w:r>
          </w:p>
        </w:tc>
      </w:tr>
      <w:tr w:rsidR="002D0EB8" w14:paraId="5FEDF633" w14:textId="77777777" w:rsidTr="002D0EB8">
        <w:trPr>
          <w:jc w:val="center"/>
        </w:trPr>
        <w:tc>
          <w:tcPr>
            <w:tcW w:w="2304" w:type="dxa"/>
            <w:vAlign w:val="center"/>
          </w:tcPr>
          <w:p w14:paraId="137DA043" w14:textId="71A310EF" w:rsidR="002D0EB8" w:rsidRDefault="002D0EB8" w:rsidP="002D0EB8">
            <w:pPr>
              <w:spacing w:line="240" w:lineRule="auto"/>
              <w:jc w:val="right"/>
            </w:pPr>
            <w:r>
              <w:t>Before Optimization:</w:t>
            </w:r>
          </w:p>
        </w:tc>
        <w:tc>
          <w:tcPr>
            <w:tcW w:w="4032" w:type="dxa"/>
            <w:vAlign w:val="center"/>
          </w:tcPr>
          <w:p w14:paraId="5579D4C0" w14:textId="7186DCDE" w:rsidR="002D0EB8" w:rsidRDefault="002D0EB8" w:rsidP="002D0EB8">
            <w:pPr>
              <w:spacing w:line="240" w:lineRule="auto"/>
              <w:jc w:val="center"/>
            </w:pPr>
            <w:r>
              <w:t>10.23 μm</w:t>
            </w:r>
          </w:p>
        </w:tc>
        <w:tc>
          <w:tcPr>
            <w:tcW w:w="2592" w:type="dxa"/>
            <w:vAlign w:val="center"/>
          </w:tcPr>
          <w:p w14:paraId="3DE39C3F" w14:textId="6321F130" w:rsidR="002D0EB8" w:rsidRDefault="002D0EB8" w:rsidP="002D0EB8">
            <w:pPr>
              <w:spacing w:line="240" w:lineRule="auto"/>
              <w:jc w:val="center"/>
            </w:pPr>
            <w:r>
              <w:t>10.23 μm</w:t>
            </w:r>
          </w:p>
        </w:tc>
      </w:tr>
      <w:tr w:rsidR="002D0EB8" w14:paraId="25B9AEF8" w14:textId="77777777" w:rsidTr="002D0EB8">
        <w:trPr>
          <w:jc w:val="center"/>
        </w:trPr>
        <w:tc>
          <w:tcPr>
            <w:tcW w:w="2304" w:type="dxa"/>
            <w:vAlign w:val="center"/>
          </w:tcPr>
          <w:p w14:paraId="470AF026" w14:textId="62A98AB0" w:rsidR="002D0EB8" w:rsidRDefault="002D0EB8" w:rsidP="002D0EB8">
            <w:pPr>
              <w:spacing w:line="240" w:lineRule="auto"/>
              <w:jc w:val="right"/>
            </w:pPr>
            <w:r>
              <w:t>After Optimization:</w:t>
            </w:r>
          </w:p>
        </w:tc>
        <w:tc>
          <w:tcPr>
            <w:tcW w:w="4032" w:type="dxa"/>
            <w:vAlign w:val="center"/>
          </w:tcPr>
          <w:p w14:paraId="09ABB1AF" w14:textId="454B0C37" w:rsidR="002D0EB8" w:rsidRDefault="002D0EB8" w:rsidP="002D0EB8">
            <w:pPr>
              <w:spacing w:line="240" w:lineRule="auto"/>
              <w:jc w:val="center"/>
            </w:pPr>
            <w:r>
              <w:t>9.85 μm</w:t>
            </w:r>
          </w:p>
        </w:tc>
        <w:tc>
          <w:tcPr>
            <w:tcW w:w="2592" w:type="dxa"/>
            <w:vAlign w:val="center"/>
          </w:tcPr>
          <w:p w14:paraId="1ACC2BD1" w14:textId="282E98BA" w:rsidR="002D0EB8" w:rsidRDefault="002D0EB8" w:rsidP="002D0EB8">
            <w:pPr>
              <w:spacing w:line="240" w:lineRule="auto"/>
              <w:jc w:val="center"/>
            </w:pPr>
            <w:r>
              <w:t>9.85 μm</w:t>
            </w:r>
          </w:p>
        </w:tc>
      </w:tr>
      <w:tr w:rsidR="002D0EB8" w14:paraId="2CFF96E4" w14:textId="77777777" w:rsidTr="002D0EB8">
        <w:trPr>
          <w:jc w:val="center"/>
        </w:trPr>
        <w:tc>
          <w:tcPr>
            <w:tcW w:w="2304" w:type="dxa"/>
            <w:vAlign w:val="center"/>
          </w:tcPr>
          <w:p w14:paraId="5F7A22DA" w14:textId="17F33F6C" w:rsidR="002D0EB8" w:rsidRDefault="002D0EB8" w:rsidP="002D0EB8">
            <w:pPr>
              <w:spacing w:line="240" w:lineRule="auto"/>
              <w:jc w:val="right"/>
            </w:pPr>
            <w:r>
              <w:t>% Difference:</w:t>
            </w:r>
          </w:p>
        </w:tc>
        <w:tc>
          <w:tcPr>
            <w:tcW w:w="4032" w:type="dxa"/>
            <w:vAlign w:val="center"/>
          </w:tcPr>
          <w:p w14:paraId="6B97FF53" w14:textId="489BD73C" w:rsidR="002D0EB8" w:rsidRDefault="002D0EB8" w:rsidP="002D0EB8">
            <w:pPr>
              <w:spacing w:line="240" w:lineRule="auto"/>
              <w:jc w:val="center"/>
            </w:pPr>
            <w:r>
              <w:t>3.84%</w:t>
            </w:r>
          </w:p>
        </w:tc>
        <w:tc>
          <w:tcPr>
            <w:tcW w:w="2592" w:type="dxa"/>
            <w:vAlign w:val="center"/>
          </w:tcPr>
          <w:p w14:paraId="412B1634" w14:textId="1EA5ECB1" w:rsidR="002D0EB8" w:rsidRDefault="002D0EB8" w:rsidP="002D0EB8">
            <w:pPr>
              <w:spacing w:line="240" w:lineRule="auto"/>
              <w:jc w:val="center"/>
            </w:pPr>
            <w:r>
              <w:t>3.84%</w:t>
            </w:r>
          </w:p>
        </w:tc>
      </w:tr>
    </w:tbl>
    <w:p w14:paraId="5C5FD21A" w14:textId="3E08724E" w:rsidR="002D0EB8" w:rsidRDefault="002D0EB8" w:rsidP="00F23066">
      <w:pPr>
        <w:ind w:firstLine="720"/>
      </w:pPr>
    </w:p>
    <w:p w14:paraId="6515E7A9" w14:textId="0FC997FD" w:rsidR="002D0EB8" w:rsidRDefault="002D0EB8" w:rsidP="00F23066">
      <w:pPr>
        <w:ind w:firstLine="720"/>
      </w:pPr>
      <w:r>
        <w:t>From Table H.1, the optimization of both the cement and rock formation elements resulted in a total microannuli reduction of 3.84%. The optimization of only the cement elements resulted in a total microannuli reduction of 3.84%. However, the cement and rock formation optimization took two minutes longer for the simulation to converge compared to the total run time on only optimizing the cement elements. Therefore, only the cement elements were optimized based on the mesh size versus microannuli gap width.</w:t>
      </w:r>
    </w:p>
    <w:p w14:paraId="60F2B41E" w14:textId="653C1F6A" w:rsidR="003F4911" w:rsidRDefault="003F4911" w:rsidP="00F23066">
      <w:pPr>
        <w:ind w:firstLine="720"/>
      </w:pPr>
    </w:p>
    <w:p w14:paraId="4E8E0F9B" w14:textId="77777777" w:rsidR="003F4911" w:rsidRDefault="003F4911" w:rsidP="00F23066">
      <w:pPr>
        <w:ind w:firstLine="720"/>
        <w:rPr>
          <w:rStyle w:val="Hyperlink"/>
          <w:szCs w:val="24"/>
        </w:rPr>
      </w:pPr>
    </w:p>
    <w:p w14:paraId="7600BBE8" w14:textId="77777777" w:rsidR="00F23066" w:rsidRDefault="00F23066" w:rsidP="002447B5">
      <w:pPr>
        <w:ind w:firstLine="720"/>
        <w:rPr>
          <w:rStyle w:val="Hyperlink"/>
          <w:szCs w:val="24"/>
        </w:rPr>
      </w:pPr>
    </w:p>
    <w:p w14:paraId="5C3AC941" w14:textId="7D6A5295" w:rsidR="005D1748" w:rsidRDefault="005D1748" w:rsidP="00401B88">
      <w:pPr>
        <w:spacing w:after="60" w:line="360" w:lineRule="auto"/>
        <w:ind w:left="360" w:hanging="360"/>
        <w:rPr>
          <w:rStyle w:val="Hyperlink"/>
          <w:szCs w:val="24"/>
        </w:rPr>
      </w:pPr>
    </w:p>
    <w:p w14:paraId="72EF1902" w14:textId="678347FC" w:rsidR="003F4911" w:rsidRDefault="003F4911">
      <w:pPr>
        <w:spacing w:after="160" w:line="259" w:lineRule="auto"/>
        <w:jc w:val="left"/>
        <w:rPr>
          <w:rStyle w:val="Hyperlink"/>
          <w:szCs w:val="24"/>
        </w:rPr>
      </w:pPr>
      <w:r>
        <w:rPr>
          <w:rStyle w:val="Hyperlink"/>
          <w:szCs w:val="24"/>
        </w:rPr>
        <w:br w:type="page"/>
      </w:r>
    </w:p>
    <w:p w14:paraId="75CE8434" w14:textId="6694D418" w:rsidR="003F4911" w:rsidRDefault="003F4911" w:rsidP="003F4911">
      <w:pPr>
        <w:pStyle w:val="Heading1"/>
        <w:numPr>
          <w:ilvl w:val="0"/>
          <w:numId w:val="0"/>
        </w:numPr>
      </w:pPr>
      <w:bookmarkStart w:id="185" w:name="_Toc67566080"/>
      <w:r>
        <w:lastRenderedPageBreak/>
        <w:t xml:space="preserve">Appendix I: </w:t>
      </w:r>
      <w:r w:rsidR="00971B27">
        <w:t>Staged Poro-Elastic FEA Stress</w:t>
      </w:r>
      <w:r w:rsidR="00590B95">
        <w:t xml:space="preserve"> Continuum</w:t>
      </w:r>
      <w:r w:rsidR="00971B27">
        <w:t xml:space="preserve"> Model Results</w:t>
      </w:r>
      <w:bookmarkEnd w:id="185"/>
      <w:r w:rsidR="00971B27">
        <w:t xml:space="preserve"> </w:t>
      </w:r>
    </w:p>
    <w:p w14:paraId="326D8289" w14:textId="4E582064" w:rsidR="00971B27" w:rsidRDefault="00971B27" w:rsidP="003F4911">
      <w:pPr>
        <w:ind w:firstLine="720"/>
      </w:pPr>
      <w:r>
        <w:t xml:space="preserve">The results from the staged poro-elastic FEA stress model, </w:t>
      </w:r>
      <w:r w:rsidR="00530CFF">
        <w:t>published in Wise et al. (2019)</w:t>
      </w:r>
      <w:r>
        <w:t>, is shown in three sections. Section 1 contains the results of comparing a staged FEA model versus a not staged model. Section 2 presents the results for the base wellbores, and Section 3 contains the parametric analysis for the three wells.</w:t>
      </w:r>
    </w:p>
    <w:p w14:paraId="25DF69E1" w14:textId="77777777" w:rsidR="00F57760" w:rsidRDefault="00F57760" w:rsidP="003F4911">
      <w:pPr>
        <w:ind w:firstLine="720"/>
      </w:pPr>
    </w:p>
    <w:p w14:paraId="76F7CEF8" w14:textId="5E7DFBAF" w:rsidR="00971B27" w:rsidRDefault="00971B27" w:rsidP="00971B27">
      <w:pPr>
        <w:rPr>
          <w:b/>
        </w:rPr>
      </w:pPr>
      <w:r>
        <w:rPr>
          <w:b/>
        </w:rPr>
        <w:t>Staged FEA</w:t>
      </w:r>
    </w:p>
    <w:p w14:paraId="67F44986" w14:textId="6807D5F3" w:rsidR="00971B27" w:rsidRDefault="00971B27" w:rsidP="00971B27">
      <w:r>
        <w:tab/>
      </w:r>
      <w:r w:rsidRPr="00971B27">
        <w:t>Modeling the well cycle requires a staged finite element approach which allows the stress and deformations to be m</w:t>
      </w:r>
      <w:r>
        <w:t xml:space="preserve">onitored in each loading step. Figure I.1 </w:t>
      </w:r>
      <w:r w:rsidRPr="00971B27">
        <w:t xml:space="preserve">shows two model wellbores with each depicting the hoop and radial stress </w:t>
      </w:r>
      <w:r>
        <w:t xml:space="preserve">throughout the cement sheath. </w:t>
      </w:r>
      <w:r w:rsidRPr="00971B27">
        <w:t xml:space="preserve">The model on top is a staged model following the load steps described previously while the lower model is not staged and has the far field stresses, cement framework stress, and internal casing pressure applied in a single time step. </w:t>
      </w:r>
      <w:r>
        <w:t xml:space="preserve">Figure I.1 </w:t>
      </w:r>
      <w:r w:rsidRPr="00971B27">
        <w:t xml:space="preserve">shows that when all the load steps and initial conditions are put in a single step, the resulting stress patterns do not accurately depict the stresses at the interfaces for the radial stress. The cement/rock formation interface’s radial stresses are not constant throughout the cement and do not match between the interfaces of the casing/cement </w:t>
      </w:r>
      <w:r>
        <w:t xml:space="preserve">and the cement/rock formation. </w:t>
      </w:r>
      <w:r w:rsidRPr="00971B27">
        <w:t xml:space="preserve">The cement sheath along the cement/rock formation interface violates Newton’s Third Law as marked on </w:t>
      </w:r>
      <w:r>
        <w:t>Figure I.1.</w:t>
      </w:r>
      <w:r w:rsidRPr="00971B27">
        <w:t xml:space="preserve"> No external force is applied to the cement or casing, therefore, the radial stress should be equal throughout the cement sheath along both </w:t>
      </w:r>
      <w:r>
        <w:t xml:space="preserve">interfaces (Weideman 2014). </w:t>
      </w:r>
    </w:p>
    <w:p w14:paraId="56344258" w14:textId="77777777" w:rsidR="00971B27" w:rsidRDefault="00971B27" w:rsidP="00971B27">
      <w:r>
        <w:tab/>
        <w:t>Instead, the effective radial stress is less in the marked section of the cement sheath along the casing/cement interface than the cement along the cement/rock interface. The hoop stress in the cement sheath shows a similar pattern for the non-staged model. The hoop stress changes in the cement sheath when it should be constant throughout.</w:t>
      </w:r>
    </w:p>
    <w:p w14:paraId="09120150" w14:textId="77777777" w:rsidR="00971B27" w:rsidRDefault="00971B27" w:rsidP="00BC23AD">
      <w:pPr>
        <w:pStyle w:val="NoSpacing"/>
      </w:pPr>
      <w:r w:rsidRPr="006C3C73">
        <w:rPr>
          <w:noProof/>
        </w:rPr>
        <w:lastRenderedPageBreak/>
        <w:drawing>
          <wp:inline distT="0" distB="0" distL="0" distR="0" wp14:anchorId="69DEFA0E" wp14:editId="4ECDB7F2">
            <wp:extent cx="5943600" cy="297942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5943600" cy="2979420"/>
                    </a:xfrm>
                    <a:prstGeom prst="rect">
                      <a:avLst/>
                    </a:prstGeom>
                    <a:noFill/>
                  </pic:spPr>
                </pic:pic>
              </a:graphicData>
            </a:graphic>
          </wp:inline>
        </w:drawing>
      </w:r>
    </w:p>
    <w:p w14:paraId="12C8FEC8" w14:textId="596EC085" w:rsidR="00971B27" w:rsidRDefault="00971B27" w:rsidP="00BC23AD">
      <w:pPr>
        <w:pStyle w:val="Caption"/>
      </w:pPr>
      <w:r>
        <w:t>Figure I.1: Staged FEA (top) compared to the non-staged FEA (bottom).</w:t>
      </w:r>
    </w:p>
    <w:p w14:paraId="662816BB" w14:textId="77777777" w:rsidR="00CB4719" w:rsidRDefault="00CB4719" w:rsidP="00CB4719">
      <w:pPr>
        <w:rPr>
          <w:b/>
        </w:rPr>
      </w:pPr>
    </w:p>
    <w:p w14:paraId="77067CF6" w14:textId="77777777" w:rsidR="00CB4719" w:rsidRDefault="00CB4719" w:rsidP="00CB4719">
      <w:pPr>
        <w:rPr>
          <w:b/>
        </w:rPr>
      </w:pPr>
      <w:r>
        <w:rPr>
          <w:b/>
        </w:rPr>
        <w:t>Base Case Wellbores</w:t>
      </w:r>
    </w:p>
    <w:p w14:paraId="2366457B" w14:textId="0CC5E0E8" w:rsidR="00CB4719" w:rsidRDefault="00CB4719" w:rsidP="00CB4719">
      <w:r>
        <w:tab/>
        <w:t>For the first part of the results analysis regarding potential cement sheath debonding and cement fracturing, three base case wellbores were simulated. The effective stresses (hoop and radial) of the cement sheath is presented for the casing/cement and cement/rock formation interfaces.</w:t>
      </w:r>
    </w:p>
    <w:p w14:paraId="1E51C9BF" w14:textId="58E5D00F" w:rsidR="00A67F1C" w:rsidRDefault="00A67F1C" w:rsidP="00A67F1C">
      <w:pPr>
        <w:ind w:firstLine="720"/>
      </w:pPr>
      <w:r w:rsidRPr="00A67F1C">
        <w:t xml:space="preserve">The effective stress results for the base case parameters of the three wells are represented in </w:t>
      </w:r>
      <w:r>
        <w:t xml:space="preserve">Table I.1. </w:t>
      </w:r>
      <w:r w:rsidRPr="00A67F1C">
        <w:t>The medium depth well results are considered the standard and the shallow and deep depths are</w:t>
      </w:r>
      <w:r>
        <w:t xml:space="preserve"> normalized to the medium well.</w:t>
      </w:r>
      <w:r w:rsidRPr="00A67F1C">
        <w:t xml:space="preserve"> The shadowed coloring indicates tensile stresses while the others are compressive. The base results show that the medium and deep wells are experiencing tensile stresses in the radial directions which indicate debonding.</w:t>
      </w:r>
      <w:r>
        <w:t xml:space="preserve"> </w:t>
      </w:r>
      <w:r w:rsidRPr="00A67F1C">
        <w:t>The medium depth well is debonding at both the casing/cement and cement/rock interfaces while the deep well is only debonding at the casing/cement interface. The shallow depth well is not experiencing any tensile stresses, but it should be noted that the effective stresses are close</w:t>
      </w:r>
      <w:r>
        <w:t xml:space="preserve"> to the tensile range. Disking of </w:t>
      </w:r>
      <w:r>
        <w:lastRenderedPageBreak/>
        <w:t xml:space="preserve">the cement sheath is not a concern for the three wells since the effective vertical stresses are all compressive. </w:t>
      </w:r>
    </w:p>
    <w:p w14:paraId="61603B23" w14:textId="4BAEC723" w:rsidR="00A67F1C" w:rsidRDefault="00A67F1C" w:rsidP="00BC23AD">
      <w:pPr>
        <w:pStyle w:val="Caption"/>
      </w:pPr>
      <w:r>
        <w:t>Table I.1: Cement sheath effective stress results for the base case parameters for the three case studies. The shallow and deep well are normalized to the medium well.</w:t>
      </w:r>
    </w:p>
    <w:tbl>
      <w:tblPr>
        <w:tblW w:w="6375" w:type="dxa"/>
        <w:jc w:val="center"/>
        <w:tblLook w:val="04A0" w:firstRow="1" w:lastRow="0" w:firstColumn="1" w:lastColumn="0" w:noHBand="0" w:noVBand="1"/>
      </w:tblPr>
      <w:tblGrid>
        <w:gridCol w:w="1517"/>
        <w:gridCol w:w="1490"/>
        <w:gridCol w:w="28"/>
        <w:gridCol w:w="277"/>
        <w:gridCol w:w="717"/>
        <w:gridCol w:w="305"/>
        <w:gridCol w:w="218"/>
        <w:gridCol w:w="558"/>
        <w:gridCol w:w="305"/>
        <w:gridCol w:w="655"/>
        <w:gridCol w:w="305"/>
      </w:tblGrid>
      <w:tr w:rsidR="00A67F1C" w:rsidRPr="00A67F1C" w14:paraId="16D22BDD" w14:textId="77777777" w:rsidTr="00A67F1C">
        <w:trPr>
          <w:gridAfter w:val="1"/>
          <w:wAfter w:w="305" w:type="dxa"/>
          <w:trHeight w:val="300"/>
          <w:jc w:val="center"/>
        </w:trPr>
        <w:tc>
          <w:tcPr>
            <w:tcW w:w="3007" w:type="dxa"/>
            <w:gridSpan w:val="2"/>
            <w:tcBorders>
              <w:top w:val="nil"/>
              <w:left w:val="nil"/>
              <w:bottom w:val="nil"/>
              <w:right w:val="nil"/>
            </w:tcBorders>
            <w:shd w:val="clear" w:color="000000" w:fill="FFFFFF"/>
            <w:noWrap/>
            <w:vAlign w:val="center"/>
            <w:hideMark/>
          </w:tcPr>
          <w:p w14:paraId="0424471F" w14:textId="77777777" w:rsidR="00A67F1C" w:rsidRPr="00A67F1C" w:rsidRDefault="00A67F1C" w:rsidP="00A67F1C">
            <w:pPr>
              <w:spacing w:line="240" w:lineRule="auto"/>
            </w:pPr>
            <w:r w:rsidRPr="00A67F1C">
              <w:t> </w:t>
            </w:r>
          </w:p>
        </w:tc>
        <w:tc>
          <w:tcPr>
            <w:tcW w:w="1022" w:type="dxa"/>
            <w:gridSpan w:val="3"/>
            <w:tcBorders>
              <w:top w:val="nil"/>
              <w:left w:val="nil"/>
              <w:bottom w:val="nil"/>
              <w:right w:val="nil"/>
            </w:tcBorders>
            <w:shd w:val="clear" w:color="000000" w:fill="FFFFFF"/>
            <w:noWrap/>
            <w:vAlign w:val="center"/>
            <w:hideMark/>
          </w:tcPr>
          <w:p w14:paraId="7EC91426" w14:textId="77777777" w:rsidR="00A67F1C" w:rsidRPr="00A67F1C" w:rsidRDefault="00A67F1C" w:rsidP="00A67F1C">
            <w:pPr>
              <w:spacing w:line="240" w:lineRule="auto"/>
            </w:pPr>
            <w:r w:rsidRPr="00A67F1C">
              <w:t> </w:t>
            </w:r>
          </w:p>
        </w:tc>
        <w:tc>
          <w:tcPr>
            <w:tcW w:w="1081" w:type="dxa"/>
            <w:gridSpan w:val="3"/>
            <w:tcBorders>
              <w:top w:val="nil"/>
              <w:left w:val="nil"/>
              <w:bottom w:val="nil"/>
              <w:right w:val="nil"/>
            </w:tcBorders>
            <w:shd w:val="clear" w:color="000000" w:fill="FFFFFF"/>
            <w:noWrap/>
            <w:vAlign w:val="center"/>
            <w:hideMark/>
          </w:tcPr>
          <w:p w14:paraId="0316F63C" w14:textId="77777777" w:rsidR="00A67F1C" w:rsidRPr="00A67F1C" w:rsidRDefault="00A67F1C" w:rsidP="00A67F1C">
            <w:pPr>
              <w:spacing w:line="240" w:lineRule="auto"/>
              <w:jc w:val="center"/>
            </w:pPr>
            <w:r w:rsidRPr="00A67F1C">
              <w:t>Well</w:t>
            </w:r>
          </w:p>
        </w:tc>
        <w:tc>
          <w:tcPr>
            <w:tcW w:w="960" w:type="dxa"/>
            <w:gridSpan w:val="2"/>
            <w:tcBorders>
              <w:top w:val="nil"/>
              <w:left w:val="nil"/>
              <w:bottom w:val="nil"/>
              <w:right w:val="nil"/>
            </w:tcBorders>
            <w:shd w:val="clear" w:color="000000" w:fill="FFFFFF"/>
            <w:noWrap/>
            <w:vAlign w:val="center"/>
            <w:hideMark/>
          </w:tcPr>
          <w:p w14:paraId="22F11C2A" w14:textId="19477ECC" w:rsidR="00A67F1C" w:rsidRPr="00A67F1C" w:rsidRDefault="00A67F1C" w:rsidP="00A67F1C">
            <w:pPr>
              <w:spacing w:line="240" w:lineRule="auto"/>
              <w:jc w:val="center"/>
            </w:pPr>
          </w:p>
        </w:tc>
      </w:tr>
      <w:tr w:rsidR="00A67F1C" w:rsidRPr="00A67F1C" w14:paraId="4DFD86BF" w14:textId="77777777" w:rsidTr="00A67F1C">
        <w:trPr>
          <w:trHeight w:val="300"/>
          <w:jc w:val="center"/>
        </w:trPr>
        <w:tc>
          <w:tcPr>
            <w:tcW w:w="3312" w:type="dxa"/>
            <w:gridSpan w:val="4"/>
            <w:vMerge w:val="restart"/>
            <w:tcBorders>
              <w:top w:val="nil"/>
              <w:left w:val="nil"/>
              <w:bottom w:val="single" w:sz="4" w:space="0" w:color="000000"/>
              <w:right w:val="nil"/>
            </w:tcBorders>
            <w:shd w:val="clear" w:color="000000" w:fill="FFFFFF"/>
            <w:noWrap/>
            <w:vAlign w:val="center"/>
            <w:hideMark/>
          </w:tcPr>
          <w:p w14:paraId="17E97509" w14:textId="77777777" w:rsidR="00A67F1C" w:rsidRPr="00A67F1C" w:rsidRDefault="00A67F1C" w:rsidP="00A67F1C">
            <w:pPr>
              <w:spacing w:line="240" w:lineRule="auto"/>
            </w:pPr>
            <w:r w:rsidRPr="00A67F1C">
              <w:t>Effective Interface Stresses</w:t>
            </w:r>
          </w:p>
        </w:tc>
        <w:tc>
          <w:tcPr>
            <w:tcW w:w="1022" w:type="dxa"/>
            <w:gridSpan w:val="2"/>
            <w:tcBorders>
              <w:top w:val="nil"/>
              <w:left w:val="nil"/>
              <w:bottom w:val="nil"/>
              <w:right w:val="nil"/>
            </w:tcBorders>
            <w:shd w:val="clear" w:color="000000" w:fill="FFFFFF"/>
            <w:vAlign w:val="center"/>
            <w:hideMark/>
          </w:tcPr>
          <w:p w14:paraId="723B9323" w14:textId="77777777" w:rsidR="00A67F1C" w:rsidRPr="00A67F1C" w:rsidRDefault="00A67F1C" w:rsidP="00A67F1C">
            <w:pPr>
              <w:spacing w:line="240" w:lineRule="auto"/>
              <w:jc w:val="center"/>
            </w:pPr>
            <w:r w:rsidRPr="00A67F1C">
              <w:t>Shallow</w:t>
            </w:r>
          </w:p>
        </w:tc>
        <w:tc>
          <w:tcPr>
            <w:tcW w:w="1081" w:type="dxa"/>
            <w:gridSpan w:val="3"/>
            <w:tcBorders>
              <w:top w:val="nil"/>
              <w:left w:val="nil"/>
              <w:bottom w:val="nil"/>
              <w:right w:val="nil"/>
            </w:tcBorders>
            <w:shd w:val="clear" w:color="000000" w:fill="FFFFFF"/>
            <w:vAlign w:val="center"/>
            <w:hideMark/>
          </w:tcPr>
          <w:p w14:paraId="7288A0BF" w14:textId="77777777" w:rsidR="00A67F1C" w:rsidRPr="00A67F1C" w:rsidRDefault="00A67F1C" w:rsidP="00A67F1C">
            <w:pPr>
              <w:spacing w:line="240" w:lineRule="auto"/>
              <w:jc w:val="center"/>
            </w:pPr>
            <w:r w:rsidRPr="00A67F1C">
              <w:t>Medium</w:t>
            </w:r>
          </w:p>
        </w:tc>
        <w:tc>
          <w:tcPr>
            <w:tcW w:w="960" w:type="dxa"/>
            <w:gridSpan w:val="2"/>
            <w:tcBorders>
              <w:top w:val="nil"/>
              <w:left w:val="nil"/>
              <w:bottom w:val="nil"/>
              <w:right w:val="nil"/>
            </w:tcBorders>
            <w:shd w:val="clear" w:color="000000" w:fill="FFFFFF"/>
            <w:vAlign w:val="center"/>
            <w:hideMark/>
          </w:tcPr>
          <w:p w14:paraId="7E8BA31D" w14:textId="77777777" w:rsidR="00A67F1C" w:rsidRPr="00A67F1C" w:rsidRDefault="00A67F1C" w:rsidP="00A67F1C">
            <w:pPr>
              <w:spacing w:line="240" w:lineRule="auto"/>
              <w:jc w:val="center"/>
            </w:pPr>
            <w:r w:rsidRPr="00A67F1C">
              <w:t>Deep</w:t>
            </w:r>
          </w:p>
        </w:tc>
      </w:tr>
      <w:tr w:rsidR="00A67F1C" w:rsidRPr="00A67F1C" w14:paraId="2BB483DA" w14:textId="77777777" w:rsidTr="00A67F1C">
        <w:trPr>
          <w:trHeight w:val="300"/>
          <w:jc w:val="center"/>
        </w:trPr>
        <w:tc>
          <w:tcPr>
            <w:tcW w:w="3312" w:type="dxa"/>
            <w:gridSpan w:val="4"/>
            <w:vMerge/>
            <w:tcBorders>
              <w:top w:val="nil"/>
              <w:left w:val="nil"/>
              <w:bottom w:val="single" w:sz="4" w:space="0" w:color="000000"/>
              <w:right w:val="nil"/>
            </w:tcBorders>
            <w:vAlign w:val="center"/>
            <w:hideMark/>
          </w:tcPr>
          <w:p w14:paraId="122726EE" w14:textId="77777777" w:rsidR="00A67F1C" w:rsidRPr="00A67F1C" w:rsidRDefault="00A67F1C" w:rsidP="00A67F1C">
            <w:pPr>
              <w:spacing w:line="240" w:lineRule="auto"/>
            </w:pPr>
          </w:p>
        </w:tc>
        <w:tc>
          <w:tcPr>
            <w:tcW w:w="3063" w:type="dxa"/>
            <w:gridSpan w:val="7"/>
            <w:tcBorders>
              <w:top w:val="nil"/>
              <w:left w:val="nil"/>
              <w:bottom w:val="single" w:sz="4" w:space="0" w:color="auto"/>
              <w:right w:val="nil"/>
            </w:tcBorders>
            <w:shd w:val="clear" w:color="000000" w:fill="FFFFFF"/>
            <w:noWrap/>
            <w:vAlign w:val="center"/>
            <w:hideMark/>
          </w:tcPr>
          <w:p w14:paraId="030D2E43" w14:textId="77777777" w:rsidR="00A67F1C" w:rsidRPr="00A67F1C" w:rsidRDefault="00A67F1C" w:rsidP="00A67F1C">
            <w:pPr>
              <w:spacing w:line="240" w:lineRule="auto"/>
              <w:jc w:val="center"/>
            </w:pPr>
            <w:r w:rsidRPr="00A67F1C">
              <w:t>MPa</w:t>
            </w:r>
          </w:p>
        </w:tc>
      </w:tr>
      <w:tr w:rsidR="00A67F1C" w:rsidRPr="00A67F1C" w14:paraId="1B86C5B9" w14:textId="77777777" w:rsidTr="00A67F1C">
        <w:trPr>
          <w:trHeight w:val="64"/>
          <w:jc w:val="center"/>
        </w:trPr>
        <w:tc>
          <w:tcPr>
            <w:tcW w:w="3312" w:type="dxa"/>
            <w:gridSpan w:val="4"/>
            <w:tcBorders>
              <w:top w:val="nil"/>
              <w:left w:val="nil"/>
              <w:bottom w:val="nil"/>
              <w:right w:val="single" w:sz="4" w:space="0" w:color="auto"/>
            </w:tcBorders>
            <w:shd w:val="clear" w:color="000000" w:fill="FFFFFF"/>
            <w:vAlign w:val="center"/>
            <w:hideMark/>
          </w:tcPr>
          <w:p w14:paraId="47330EED" w14:textId="77777777" w:rsidR="00A67F1C" w:rsidRPr="00A67F1C" w:rsidRDefault="00A67F1C" w:rsidP="00A67F1C">
            <w:pPr>
              <w:spacing w:line="240" w:lineRule="auto"/>
            </w:pPr>
            <w:r w:rsidRPr="00A67F1C">
              <w:t xml:space="preserve">Hoop Stress Casing/Cement </w:t>
            </w:r>
          </w:p>
        </w:tc>
        <w:tc>
          <w:tcPr>
            <w:tcW w:w="1022" w:type="dxa"/>
            <w:gridSpan w:val="2"/>
            <w:tcBorders>
              <w:top w:val="nil"/>
              <w:left w:val="nil"/>
              <w:bottom w:val="nil"/>
              <w:right w:val="nil"/>
            </w:tcBorders>
            <w:shd w:val="clear" w:color="000000" w:fill="FFFFFF"/>
            <w:vAlign w:val="center"/>
            <w:hideMark/>
          </w:tcPr>
          <w:p w14:paraId="0CD06494" w14:textId="77777777" w:rsidR="00A67F1C" w:rsidRPr="00A67F1C" w:rsidRDefault="00A67F1C" w:rsidP="00A67F1C">
            <w:pPr>
              <w:spacing w:line="240" w:lineRule="auto"/>
              <w:jc w:val="center"/>
            </w:pPr>
            <w:r w:rsidRPr="00A67F1C">
              <w:t>-84%</w:t>
            </w:r>
          </w:p>
        </w:tc>
        <w:tc>
          <w:tcPr>
            <w:tcW w:w="1081" w:type="dxa"/>
            <w:gridSpan w:val="3"/>
            <w:tcBorders>
              <w:top w:val="nil"/>
              <w:left w:val="nil"/>
              <w:bottom w:val="nil"/>
              <w:right w:val="nil"/>
            </w:tcBorders>
            <w:shd w:val="clear" w:color="000000" w:fill="FFFFFF"/>
            <w:vAlign w:val="center"/>
            <w:hideMark/>
          </w:tcPr>
          <w:p w14:paraId="31AF4A5F" w14:textId="77777777" w:rsidR="00A67F1C" w:rsidRPr="00A67F1C" w:rsidRDefault="00A67F1C" w:rsidP="00A67F1C">
            <w:pPr>
              <w:spacing w:line="240" w:lineRule="auto"/>
              <w:jc w:val="center"/>
            </w:pPr>
            <w:r w:rsidRPr="00A67F1C">
              <w:t>5.70</w:t>
            </w:r>
          </w:p>
        </w:tc>
        <w:tc>
          <w:tcPr>
            <w:tcW w:w="960" w:type="dxa"/>
            <w:gridSpan w:val="2"/>
            <w:tcBorders>
              <w:top w:val="nil"/>
              <w:left w:val="nil"/>
              <w:bottom w:val="nil"/>
              <w:right w:val="nil"/>
            </w:tcBorders>
            <w:shd w:val="clear" w:color="000000" w:fill="FFFFFF"/>
            <w:vAlign w:val="center"/>
            <w:hideMark/>
          </w:tcPr>
          <w:p w14:paraId="2CC4F8BA" w14:textId="77777777" w:rsidR="00A67F1C" w:rsidRPr="00A67F1C" w:rsidRDefault="00A67F1C" w:rsidP="00A67F1C">
            <w:pPr>
              <w:spacing w:line="240" w:lineRule="auto"/>
              <w:jc w:val="center"/>
            </w:pPr>
            <w:r w:rsidRPr="00A67F1C">
              <w:t>167%</w:t>
            </w:r>
          </w:p>
        </w:tc>
      </w:tr>
      <w:tr w:rsidR="00A67F1C" w:rsidRPr="00A67F1C" w14:paraId="3B0229CF" w14:textId="77777777" w:rsidTr="00A67F1C">
        <w:trPr>
          <w:trHeight w:val="74"/>
          <w:jc w:val="center"/>
        </w:trPr>
        <w:tc>
          <w:tcPr>
            <w:tcW w:w="3312" w:type="dxa"/>
            <w:gridSpan w:val="4"/>
            <w:tcBorders>
              <w:top w:val="nil"/>
              <w:left w:val="nil"/>
              <w:bottom w:val="nil"/>
              <w:right w:val="single" w:sz="4" w:space="0" w:color="auto"/>
            </w:tcBorders>
            <w:shd w:val="clear" w:color="000000" w:fill="FFFFFF"/>
            <w:vAlign w:val="center"/>
            <w:hideMark/>
          </w:tcPr>
          <w:p w14:paraId="1C5C0EFE" w14:textId="77777777" w:rsidR="00A67F1C" w:rsidRPr="00A67F1C" w:rsidRDefault="00A67F1C" w:rsidP="00A67F1C">
            <w:pPr>
              <w:spacing w:line="240" w:lineRule="auto"/>
            </w:pPr>
            <w:r w:rsidRPr="00A67F1C">
              <w:t xml:space="preserve">Hoop Stress Cement/Rock </w:t>
            </w:r>
          </w:p>
        </w:tc>
        <w:tc>
          <w:tcPr>
            <w:tcW w:w="1022" w:type="dxa"/>
            <w:gridSpan w:val="2"/>
            <w:tcBorders>
              <w:top w:val="nil"/>
              <w:left w:val="nil"/>
              <w:bottom w:val="nil"/>
              <w:right w:val="nil"/>
            </w:tcBorders>
            <w:shd w:val="clear" w:color="000000" w:fill="FFFFFF"/>
            <w:vAlign w:val="center"/>
            <w:hideMark/>
          </w:tcPr>
          <w:p w14:paraId="12B7F660" w14:textId="77777777" w:rsidR="00A67F1C" w:rsidRPr="00A67F1C" w:rsidRDefault="00A67F1C" w:rsidP="00A67F1C">
            <w:pPr>
              <w:spacing w:line="240" w:lineRule="auto"/>
              <w:jc w:val="center"/>
            </w:pPr>
            <w:r w:rsidRPr="00A67F1C">
              <w:t>-78%</w:t>
            </w:r>
          </w:p>
        </w:tc>
        <w:tc>
          <w:tcPr>
            <w:tcW w:w="1081" w:type="dxa"/>
            <w:gridSpan w:val="3"/>
            <w:tcBorders>
              <w:top w:val="nil"/>
              <w:left w:val="nil"/>
              <w:bottom w:val="nil"/>
              <w:right w:val="nil"/>
            </w:tcBorders>
            <w:shd w:val="clear" w:color="000000" w:fill="FFFFFF"/>
            <w:vAlign w:val="center"/>
            <w:hideMark/>
          </w:tcPr>
          <w:p w14:paraId="36737B05" w14:textId="77777777" w:rsidR="00A67F1C" w:rsidRPr="00A67F1C" w:rsidRDefault="00A67F1C" w:rsidP="00A67F1C">
            <w:pPr>
              <w:spacing w:line="240" w:lineRule="auto"/>
              <w:jc w:val="center"/>
            </w:pPr>
            <w:r w:rsidRPr="00A67F1C">
              <w:t>3.70</w:t>
            </w:r>
          </w:p>
        </w:tc>
        <w:tc>
          <w:tcPr>
            <w:tcW w:w="960" w:type="dxa"/>
            <w:gridSpan w:val="2"/>
            <w:tcBorders>
              <w:top w:val="nil"/>
              <w:left w:val="nil"/>
              <w:bottom w:val="nil"/>
              <w:right w:val="nil"/>
            </w:tcBorders>
            <w:shd w:val="clear" w:color="000000" w:fill="FFFFFF"/>
            <w:vAlign w:val="center"/>
            <w:hideMark/>
          </w:tcPr>
          <w:p w14:paraId="074346DC" w14:textId="77777777" w:rsidR="00A67F1C" w:rsidRPr="00A67F1C" w:rsidRDefault="00A67F1C" w:rsidP="00A67F1C">
            <w:pPr>
              <w:spacing w:line="240" w:lineRule="auto"/>
              <w:jc w:val="center"/>
            </w:pPr>
            <w:r w:rsidRPr="00A67F1C">
              <w:t>242%</w:t>
            </w:r>
          </w:p>
        </w:tc>
      </w:tr>
      <w:tr w:rsidR="00A67F1C" w:rsidRPr="00A67F1C" w14:paraId="21C67CD1" w14:textId="77777777" w:rsidTr="00A67F1C">
        <w:trPr>
          <w:trHeight w:val="74"/>
          <w:jc w:val="center"/>
        </w:trPr>
        <w:tc>
          <w:tcPr>
            <w:tcW w:w="3312" w:type="dxa"/>
            <w:gridSpan w:val="4"/>
            <w:tcBorders>
              <w:top w:val="nil"/>
              <w:left w:val="nil"/>
              <w:bottom w:val="nil"/>
              <w:right w:val="single" w:sz="4" w:space="0" w:color="auto"/>
            </w:tcBorders>
            <w:shd w:val="clear" w:color="000000" w:fill="FFFFFF"/>
            <w:vAlign w:val="center"/>
            <w:hideMark/>
          </w:tcPr>
          <w:p w14:paraId="5D0AB367" w14:textId="77777777" w:rsidR="00A67F1C" w:rsidRPr="00A67F1C" w:rsidRDefault="00A67F1C" w:rsidP="00A67F1C">
            <w:pPr>
              <w:spacing w:line="240" w:lineRule="auto"/>
            </w:pPr>
            <w:r w:rsidRPr="00A67F1C">
              <w:t>Radial Stress Casing/Cement</w:t>
            </w:r>
          </w:p>
        </w:tc>
        <w:tc>
          <w:tcPr>
            <w:tcW w:w="1022" w:type="dxa"/>
            <w:gridSpan w:val="2"/>
            <w:tcBorders>
              <w:top w:val="nil"/>
              <w:left w:val="nil"/>
              <w:bottom w:val="nil"/>
              <w:right w:val="nil"/>
            </w:tcBorders>
            <w:shd w:val="clear" w:color="000000" w:fill="FFFFFF"/>
            <w:vAlign w:val="center"/>
            <w:hideMark/>
          </w:tcPr>
          <w:p w14:paraId="7E916203" w14:textId="77777777" w:rsidR="00A67F1C" w:rsidRPr="00A67F1C" w:rsidRDefault="00A67F1C" w:rsidP="00A67F1C">
            <w:pPr>
              <w:spacing w:line="240" w:lineRule="auto"/>
              <w:jc w:val="center"/>
            </w:pPr>
            <w:r w:rsidRPr="00A67F1C">
              <w:t>-121%</w:t>
            </w:r>
          </w:p>
        </w:tc>
        <w:tc>
          <w:tcPr>
            <w:tcW w:w="1081" w:type="dxa"/>
            <w:gridSpan w:val="3"/>
            <w:tcBorders>
              <w:top w:val="nil"/>
              <w:left w:val="nil"/>
              <w:bottom w:val="nil"/>
              <w:right w:val="nil"/>
            </w:tcBorders>
            <w:shd w:val="clear" w:color="auto" w:fill="D9D9D9" w:themeFill="background1" w:themeFillShade="D9"/>
            <w:vAlign w:val="center"/>
            <w:hideMark/>
          </w:tcPr>
          <w:p w14:paraId="2A6A0700" w14:textId="77777777" w:rsidR="00A67F1C" w:rsidRPr="00A67F1C" w:rsidRDefault="00A67F1C" w:rsidP="00A67F1C">
            <w:pPr>
              <w:spacing w:line="240" w:lineRule="auto"/>
              <w:jc w:val="center"/>
            </w:pPr>
            <w:r w:rsidRPr="00A67F1C">
              <w:t>-2.75</w:t>
            </w:r>
          </w:p>
        </w:tc>
        <w:tc>
          <w:tcPr>
            <w:tcW w:w="960" w:type="dxa"/>
            <w:gridSpan w:val="2"/>
            <w:tcBorders>
              <w:top w:val="nil"/>
              <w:left w:val="nil"/>
              <w:bottom w:val="nil"/>
              <w:right w:val="nil"/>
            </w:tcBorders>
            <w:shd w:val="clear" w:color="auto" w:fill="D9D9D9" w:themeFill="background1" w:themeFillShade="D9"/>
            <w:vAlign w:val="center"/>
            <w:hideMark/>
          </w:tcPr>
          <w:p w14:paraId="409B52DB" w14:textId="77777777" w:rsidR="00A67F1C" w:rsidRPr="00A67F1C" w:rsidRDefault="00A67F1C" w:rsidP="00A67F1C">
            <w:pPr>
              <w:spacing w:line="240" w:lineRule="auto"/>
              <w:jc w:val="center"/>
            </w:pPr>
            <w:r w:rsidRPr="00A67F1C">
              <w:t>-59%</w:t>
            </w:r>
          </w:p>
        </w:tc>
      </w:tr>
      <w:tr w:rsidR="00A67F1C" w:rsidRPr="00A67F1C" w14:paraId="112D6C2D" w14:textId="77777777" w:rsidTr="00A67F1C">
        <w:trPr>
          <w:trHeight w:val="74"/>
          <w:jc w:val="center"/>
        </w:trPr>
        <w:tc>
          <w:tcPr>
            <w:tcW w:w="3312" w:type="dxa"/>
            <w:gridSpan w:val="4"/>
            <w:tcBorders>
              <w:top w:val="nil"/>
              <w:left w:val="nil"/>
              <w:bottom w:val="nil"/>
              <w:right w:val="single" w:sz="4" w:space="0" w:color="auto"/>
            </w:tcBorders>
            <w:shd w:val="clear" w:color="000000" w:fill="FFFFFF"/>
            <w:vAlign w:val="center"/>
            <w:hideMark/>
          </w:tcPr>
          <w:p w14:paraId="56AF2EEC" w14:textId="77777777" w:rsidR="00A67F1C" w:rsidRPr="00A67F1C" w:rsidRDefault="00A67F1C" w:rsidP="00A67F1C">
            <w:pPr>
              <w:spacing w:line="240" w:lineRule="auto"/>
            </w:pPr>
            <w:r w:rsidRPr="00A67F1C">
              <w:t>Radial Stress Cement/Rock</w:t>
            </w:r>
          </w:p>
        </w:tc>
        <w:tc>
          <w:tcPr>
            <w:tcW w:w="1022" w:type="dxa"/>
            <w:gridSpan w:val="2"/>
            <w:tcBorders>
              <w:top w:val="nil"/>
              <w:left w:val="nil"/>
              <w:bottom w:val="nil"/>
              <w:right w:val="nil"/>
            </w:tcBorders>
            <w:shd w:val="clear" w:color="000000" w:fill="FFFFFF"/>
            <w:vAlign w:val="center"/>
            <w:hideMark/>
          </w:tcPr>
          <w:p w14:paraId="19A7FB23" w14:textId="77777777" w:rsidR="00A67F1C" w:rsidRPr="00A67F1C" w:rsidRDefault="00A67F1C" w:rsidP="00A67F1C">
            <w:pPr>
              <w:spacing w:line="240" w:lineRule="auto"/>
              <w:jc w:val="center"/>
            </w:pPr>
            <w:r w:rsidRPr="00A67F1C">
              <w:t>-174%</w:t>
            </w:r>
          </w:p>
        </w:tc>
        <w:tc>
          <w:tcPr>
            <w:tcW w:w="1081" w:type="dxa"/>
            <w:gridSpan w:val="3"/>
            <w:tcBorders>
              <w:top w:val="nil"/>
              <w:left w:val="nil"/>
              <w:bottom w:val="nil"/>
              <w:right w:val="nil"/>
            </w:tcBorders>
            <w:shd w:val="clear" w:color="auto" w:fill="D9D9D9" w:themeFill="background1" w:themeFillShade="D9"/>
            <w:vAlign w:val="center"/>
            <w:hideMark/>
          </w:tcPr>
          <w:p w14:paraId="5C5A3AAA" w14:textId="77777777" w:rsidR="00A67F1C" w:rsidRPr="00A67F1C" w:rsidRDefault="00A67F1C" w:rsidP="00A67F1C">
            <w:pPr>
              <w:spacing w:line="240" w:lineRule="auto"/>
              <w:jc w:val="center"/>
            </w:pPr>
            <w:r w:rsidRPr="00A67F1C">
              <w:t>-0.84</w:t>
            </w:r>
          </w:p>
        </w:tc>
        <w:tc>
          <w:tcPr>
            <w:tcW w:w="960" w:type="dxa"/>
            <w:gridSpan w:val="2"/>
            <w:tcBorders>
              <w:top w:val="nil"/>
              <w:left w:val="nil"/>
              <w:bottom w:val="nil"/>
              <w:right w:val="nil"/>
            </w:tcBorders>
            <w:shd w:val="clear" w:color="000000" w:fill="FFFFFF"/>
            <w:vAlign w:val="center"/>
            <w:hideMark/>
          </w:tcPr>
          <w:p w14:paraId="0C897A81" w14:textId="77777777" w:rsidR="00A67F1C" w:rsidRPr="00A67F1C" w:rsidRDefault="00A67F1C" w:rsidP="00A67F1C">
            <w:pPr>
              <w:spacing w:line="240" w:lineRule="auto"/>
              <w:jc w:val="center"/>
            </w:pPr>
            <w:r w:rsidRPr="00A67F1C">
              <w:t>-390%</w:t>
            </w:r>
          </w:p>
        </w:tc>
      </w:tr>
      <w:tr w:rsidR="00A67F1C" w:rsidRPr="00A67F1C" w14:paraId="5FEA6F05" w14:textId="77777777" w:rsidTr="00A67F1C">
        <w:trPr>
          <w:trHeight w:val="74"/>
          <w:jc w:val="center"/>
        </w:trPr>
        <w:tc>
          <w:tcPr>
            <w:tcW w:w="3312" w:type="dxa"/>
            <w:gridSpan w:val="4"/>
            <w:tcBorders>
              <w:top w:val="nil"/>
              <w:left w:val="nil"/>
              <w:bottom w:val="nil"/>
              <w:right w:val="single" w:sz="4" w:space="0" w:color="auto"/>
            </w:tcBorders>
            <w:shd w:val="clear" w:color="000000" w:fill="FFFFFF"/>
            <w:vAlign w:val="center"/>
            <w:hideMark/>
          </w:tcPr>
          <w:p w14:paraId="169BAE80" w14:textId="77777777" w:rsidR="00A67F1C" w:rsidRPr="00A67F1C" w:rsidRDefault="00A67F1C" w:rsidP="00A67F1C">
            <w:pPr>
              <w:spacing w:line="240" w:lineRule="auto"/>
            </w:pPr>
            <w:r w:rsidRPr="00A67F1C">
              <w:t>Vertical Stress Casing/Cement</w:t>
            </w:r>
          </w:p>
        </w:tc>
        <w:tc>
          <w:tcPr>
            <w:tcW w:w="1022" w:type="dxa"/>
            <w:gridSpan w:val="2"/>
            <w:tcBorders>
              <w:top w:val="nil"/>
              <w:left w:val="nil"/>
              <w:bottom w:val="nil"/>
              <w:right w:val="nil"/>
            </w:tcBorders>
            <w:shd w:val="clear" w:color="000000" w:fill="FFFFFF"/>
            <w:vAlign w:val="center"/>
            <w:hideMark/>
          </w:tcPr>
          <w:p w14:paraId="6D822828" w14:textId="77777777" w:rsidR="00A67F1C" w:rsidRPr="00A67F1C" w:rsidRDefault="00A67F1C" w:rsidP="00A67F1C">
            <w:pPr>
              <w:spacing w:line="240" w:lineRule="auto"/>
              <w:jc w:val="center"/>
            </w:pPr>
            <w:r w:rsidRPr="00A67F1C">
              <w:t>-70%</w:t>
            </w:r>
          </w:p>
        </w:tc>
        <w:tc>
          <w:tcPr>
            <w:tcW w:w="1081" w:type="dxa"/>
            <w:gridSpan w:val="3"/>
            <w:tcBorders>
              <w:top w:val="nil"/>
              <w:left w:val="nil"/>
              <w:bottom w:val="nil"/>
              <w:right w:val="nil"/>
            </w:tcBorders>
            <w:shd w:val="clear" w:color="000000" w:fill="FFFFFF"/>
            <w:noWrap/>
            <w:vAlign w:val="center"/>
            <w:hideMark/>
          </w:tcPr>
          <w:p w14:paraId="354B878F" w14:textId="77777777" w:rsidR="00A67F1C" w:rsidRPr="00A67F1C" w:rsidRDefault="00A67F1C" w:rsidP="00A67F1C">
            <w:pPr>
              <w:spacing w:line="240" w:lineRule="auto"/>
              <w:jc w:val="center"/>
            </w:pPr>
            <w:r w:rsidRPr="00A67F1C">
              <w:t>3.03</w:t>
            </w:r>
          </w:p>
        </w:tc>
        <w:tc>
          <w:tcPr>
            <w:tcW w:w="960" w:type="dxa"/>
            <w:gridSpan w:val="2"/>
            <w:tcBorders>
              <w:top w:val="nil"/>
              <w:left w:val="nil"/>
              <w:bottom w:val="nil"/>
              <w:right w:val="nil"/>
            </w:tcBorders>
            <w:shd w:val="clear" w:color="000000" w:fill="FFFFFF"/>
            <w:vAlign w:val="center"/>
            <w:hideMark/>
          </w:tcPr>
          <w:p w14:paraId="2D9C4AB3" w14:textId="77777777" w:rsidR="00A67F1C" w:rsidRPr="00A67F1C" w:rsidRDefault="00A67F1C" w:rsidP="00A67F1C">
            <w:pPr>
              <w:spacing w:line="240" w:lineRule="auto"/>
              <w:jc w:val="center"/>
            </w:pPr>
            <w:r w:rsidRPr="00A67F1C">
              <w:t>276%</w:t>
            </w:r>
          </w:p>
        </w:tc>
      </w:tr>
      <w:tr w:rsidR="00A67F1C" w:rsidRPr="00A67F1C" w14:paraId="318C2D4B" w14:textId="77777777" w:rsidTr="00A67F1C">
        <w:trPr>
          <w:trHeight w:val="74"/>
          <w:jc w:val="center"/>
        </w:trPr>
        <w:tc>
          <w:tcPr>
            <w:tcW w:w="3312" w:type="dxa"/>
            <w:gridSpan w:val="4"/>
            <w:tcBorders>
              <w:top w:val="nil"/>
              <w:left w:val="nil"/>
              <w:right w:val="single" w:sz="4" w:space="0" w:color="auto"/>
            </w:tcBorders>
            <w:shd w:val="clear" w:color="000000" w:fill="FFFFFF"/>
            <w:vAlign w:val="center"/>
            <w:hideMark/>
          </w:tcPr>
          <w:p w14:paraId="3FB20349" w14:textId="77777777" w:rsidR="00A67F1C" w:rsidRPr="00A67F1C" w:rsidRDefault="00A67F1C" w:rsidP="00A67F1C">
            <w:pPr>
              <w:spacing w:line="240" w:lineRule="auto"/>
            </w:pPr>
            <w:r w:rsidRPr="00A67F1C">
              <w:t>Vertical Stress Cement/Rock</w:t>
            </w:r>
          </w:p>
        </w:tc>
        <w:tc>
          <w:tcPr>
            <w:tcW w:w="1022" w:type="dxa"/>
            <w:gridSpan w:val="2"/>
            <w:tcBorders>
              <w:top w:val="nil"/>
              <w:left w:val="nil"/>
              <w:right w:val="nil"/>
            </w:tcBorders>
            <w:shd w:val="clear" w:color="000000" w:fill="FFFFFF"/>
            <w:vAlign w:val="center"/>
            <w:hideMark/>
          </w:tcPr>
          <w:p w14:paraId="2B34D3A6" w14:textId="77777777" w:rsidR="00A67F1C" w:rsidRPr="00A67F1C" w:rsidRDefault="00A67F1C" w:rsidP="00A67F1C">
            <w:pPr>
              <w:spacing w:line="240" w:lineRule="auto"/>
              <w:jc w:val="center"/>
            </w:pPr>
            <w:r w:rsidRPr="00A67F1C">
              <w:t>-71%</w:t>
            </w:r>
          </w:p>
        </w:tc>
        <w:tc>
          <w:tcPr>
            <w:tcW w:w="1081" w:type="dxa"/>
            <w:gridSpan w:val="3"/>
            <w:tcBorders>
              <w:top w:val="nil"/>
              <w:left w:val="nil"/>
              <w:right w:val="nil"/>
            </w:tcBorders>
            <w:shd w:val="clear" w:color="000000" w:fill="FFFFFF"/>
            <w:noWrap/>
            <w:vAlign w:val="center"/>
            <w:hideMark/>
          </w:tcPr>
          <w:p w14:paraId="24A84FC3" w14:textId="77777777" w:rsidR="00A67F1C" w:rsidRPr="00A67F1C" w:rsidRDefault="00A67F1C" w:rsidP="00A67F1C">
            <w:pPr>
              <w:spacing w:line="240" w:lineRule="auto"/>
              <w:jc w:val="center"/>
            </w:pPr>
            <w:r w:rsidRPr="00A67F1C">
              <w:t>3.01</w:t>
            </w:r>
          </w:p>
        </w:tc>
        <w:tc>
          <w:tcPr>
            <w:tcW w:w="960" w:type="dxa"/>
            <w:gridSpan w:val="2"/>
            <w:tcBorders>
              <w:top w:val="nil"/>
              <w:left w:val="nil"/>
              <w:right w:val="nil"/>
            </w:tcBorders>
            <w:shd w:val="clear" w:color="000000" w:fill="FFFFFF"/>
            <w:vAlign w:val="center"/>
            <w:hideMark/>
          </w:tcPr>
          <w:p w14:paraId="6808B81D" w14:textId="77777777" w:rsidR="00A67F1C" w:rsidRPr="00A67F1C" w:rsidRDefault="00A67F1C" w:rsidP="00A67F1C">
            <w:pPr>
              <w:spacing w:line="240" w:lineRule="auto"/>
              <w:jc w:val="center"/>
            </w:pPr>
            <w:r w:rsidRPr="00A67F1C">
              <w:t>287%</w:t>
            </w:r>
          </w:p>
        </w:tc>
      </w:tr>
      <w:tr w:rsidR="00A67F1C" w:rsidRPr="00A67F1C" w14:paraId="4B0B9A06" w14:textId="77777777" w:rsidTr="00A67F1C">
        <w:trPr>
          <w:gridAfter w:val="1"/>
          <w:wAfter w:w="305" w:type="dxa"/>
          <w:trHeight w:val="74"/>
          <w:jc w:val="center"/>
        </w:trPr>
        <w:tc>
          <w:tcPr>
            <w:tcW w:w="3007" w:type="dxa"/>
            <w:gridSpan w:val="2"/>
            <w:tcBorders>
              <w:top w:val="nil"/>
              <w:left w:val="nil"/>
              <w:bottom w:val="nil"/>
            </w:tcBorders>
            <w:shd w:val="clear" w:color="000000" w:fill="FFFFFF"/>
            <w:vAlign w:val="center"/>
          </w:tcPr>
          <w:p w14:paraId="69B25A47" w14:textId="77777777" w:rsidR="00A67F1C" w:rsidRPr="00A67F1C" w:rsidRDefault="00A67F1C" w:rsidP="00A67F1C">
            <w:pPr>
              <w:spacing w:line="240" w:lineRule="auto"/>
            </w:pPr>
          </w:p>
        </w:tc>
        <w:tc>
          <w:tcPr>
            <w:tcW w:w="1022" w:type="dxa"/>
            <w:gridSpan w:val="3"/>
            <w:tcBorders>
              <w:top w:val="nil"/>
              <w:bottom w:val="nil"/>
            </w:tcBorders>
            <w:shd w:val="clear" w:color="000000" w:fill="FFFFFF"/>
            <w:vAlign w:val="center"/>
          </w:tcPr>
          <w:p w14:paraId="7A3E534B" w14:textId="77777777" w:rsidR="00A67F1C" w:rsidRPr="00A67F1C" w:rsidRDefault="00A67F1C" w:rsidP="00A67F1C">
            <w:pPr>
              <w:spacing w:line="240" w:lineRule="auto"/>
            </w:pPr>
          </w:p>
        </w:tc>
        <w:tc>
          <w:tcPr>
            <w:tcW w:w="1081" w:type="dxa"/>
            <w:gridSpan w:val="3"/>
            <w:tcBorders>
              <w:top w:val="nil"/>
              <w:bottom w:val="nil"/>
            </w:tcBorders>
            <w:shd w:val="clear" w:color="000000" w:fill="FFFFFF"/>
            <w:noWrap/>
            <w:vAlign w:val="center"/>
          </w:tcPr>
          <w:p w14:paraId="440E6DF7" w14:textId="77777777" w:rsidR="00A67F1C" w:rsidRPr="00A67F1C" w:rsidRDefault="00A67F1C" w:rsidP="00A67F1C">
            <w:pPr>
              <w:spacing w:line="240" w:lineRule="auto"/>
            </w:pPr>
          </w:p>
        </w:tc>
        <w:tc>
          <w:tcPr>
            <w:tcW w:w="960" w:type="dxa"/>
            <w:gridSpan w:val="2"/>
            <w:tcBorders>
              <w:top w:val="nil"/>
              <w:bottom w:val="nil"/>
              <w:right w:val="nil"/>
            </w:tcBorders>
            <w:shd w:val="clear" w:color="000000" w:fill="FFFFFF"/>
            <w:vAlign w:val="center"/>
          </w:tcPr>
          <w:p w14:paraId="789D712C" w14:textId="77777777" w:rsidR="00A67F1C" w:rsidRPr="00A67F1C" w:rsidRDefault="00A67F1C" w:rsidP="00A67F1C">
            <w:pPr>
              <w:spacing w:line="240" w:lineRule="auto"/>
            </w:pPr>
          </w:p>
        </w:tc>
      </w:tr>
      <w:tr w:rsidR="00A67F1C" w:rsidRPr="00A67F1C" w14:paraId="24B466CA" w14:textId="77777777" w:rsidTr="00A67F1C">
        <w:trPr>
          <w:gridAfter w:val="1"/>
          <w:wAfter w:w="305" w:type="dxa"/>
          <w:trHeight w:val="74"/>
          <w:jc w:val="center"/>
        </w:trPr>
        <w:tc>
          <w:tcPr>
            <w:tcW w:w="1517" w:type="dxa"/>
            <w:tcBorders>
              <w:top w:val="nil"/>
              <w:left w:val="nil"/>
              <w:bottom w:val="nil"/>
              <w:right w:val="single" w:sz="4" w:space="0" w:color="auto"/>
            </w:tcBorders>
            <w:shd w:val="clear" w:color="000000" w:fill="FFFFFF"/>
            <w:vAlign w:val="center"/>
          </w:tcPr>
          <w:p w14:paraId="71A65110" w14:textId="20BB14BA" w:rsidR="00A67F1C" w:rsidRPr="00A67F1C" w:rsidRDefault="00A67F1C" w:rsidP="00A67F1C">
            <w:pPr>
              <w:spacing w:line="240" w:lineRule="auto"/>
            </w:pPr>
          </w:p>
        </w:tc>
        <w:tc>
          <w:tcPr>
            <w:tcW w:w="151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29422C5" w14:textId="16FD48C0" w:rsidR="00A67F1C" w:rsidRPr="00A67F1C" w:rsidRDefault="00A67F1C" w:rsidP="00A67F1C">
            <w:pPr>
              <w:spacing w:line="240" w:lineRule="auto"/>
              <w:jc w:val="center"/>
            </w:pPr>
            <w:r>
              <w:t>Compressive</w:t>
            </w:r>
          </w:p>
        </w:tc>
        <w:tc>
          <w:tcPr>
            <w:tcW w:w="151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184354" w14:textId="77777777" w:rsidR="00A67F1C" w:rsidRPr="00A67F1C" w:rsidRDefault="00A67F1C" w:rsidP="00A67F1C">
            <w:pPr>
              <w:spacing w:line="240" w:lineRule="auto"/>
              <w:jc w:val="center"/>
            </w:pPr>
            <w:r>
              <w:t>Tensile</w:t>
            </w:r>
          </w:p>
        </w:tc>
        <w:tc>
          <w:tcPr>
            <w:tcW w:w="1518" w:type="dxa"/>
            <w:gridSpan w:val="3"/>
            <w:tcBorders>
              <w:top w:val="nil"/>
              <w:left w:val="single" w:sz="4" w:space="0" w:color="auto"/>
              <w:bottom w:val="nil"/>
            </w:tcBorders>
            <w:shd w:val="clear" w:color="000000" w:fill="FFFFFF"/>
            <w:vAlign w:val="center"/>
          </w:tcPr>
          <w:p w14:paraId="32D807EA" w14:textId="4CF2CFBC" w:rsidR="00A67F1C" w:rsidRPr="00A67F1C" w:rsidRDefault="00A67F1C" w:rsidP="00A67F1C">
            <w:pPr>
              <w:spacing w:line="240" w:lineRule="auto"/>
            </w:pPr>
          </w:p>
        </w:tc>
      </w:tr>
    </w:tbl>
    <w:p w14:paraId="036BC1B8" w14:textId="77777777" w:rsidR="00A67F1C" w:rsidRPr="00A67F1C" w:rsidRDefault="00A67F1C" w:rsidP="00A67F1C">
      <w:pPr>
        <w:ind w:firstLine="720"/>
      </w:pPr>
    </w:p>
    <w:p w14:paraId="451AAA80" w14:textId="5A3ED1D5" w:rsidR="00CB4719" w:rsidRDefault="00A67F1C" w:rsidP="00A67F1C">
      <w:r>
        <w:t>To analyze the potential of shear failure, a Mohr-Coulomb graph was used to evaluate whether the shear stresses were in failure as shown in Figure I.2. Figure I.2 shows that all three wells are far from being in shear failure. The deepest well proves closest to shear failure, but the gap between its Mohr circle and the failure envelope is significant. An interesting observation is that the shear stresses in the shallow well are not significant. The stresses are barely visible when compared to the medium and deep wells let alone the failure envelope. Another observation is that Figure I.2 shows that the medium well has tensile stresses at both interfaces and the deep well has tensile stresses at the casing/cement interface as shown by their respective Mohr circles crossing the tensile cutoff.</w:t>
      </w:r>
    </w:p>
    <w:p w14:paraId="473C57BE" w14:textId="77777777" w:rsidR="00A67F1C" w:rsidRDefault="00A67F1C" w:rsidP="00BC23AD">
      <w:pPr>
        <w:pStyle w:val="NoSpacing"/>
      </w:pPr>
      <w:r>
        <w:rPr>
          <w:noProof/>
        </w:rPr>
        <w:lastRenderedPageBreak/>
        <w:drawing>
          <wp:inline distT="0" distB="0" distL="0" distR="0" wp14:anchorId="6256980D" wp14:editId="3CAD6335">
            <wp:extent cx="4572635" cy="4779645"/>
            <wp:effectExtent l="0" t="0" r="0" b="190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4572635" cy="4779645"/>
                    </a:xfrm>
                    <a:prstGeom prst="rect">
                      <a:avLst/>
                    </a:prstGeom>
                    <a:noFill/>
                  </pic:spPr>
                </pic:pic>
              </a:graphicData>
            </a:graphic>
          </wp:inline>
        </w:drawing>
      </w:r>
    </w:p>
    <w:p w14:paraId="3704B07F" w14:textId="4C82CF15" w:rsidR="00A67F1C" w:rsidRDefault="00A67F1C" w:rsidP="00BC23AD">
      <w:pPr>
        <w:pStyle w:val="Caption"/>
      </w:pPr>
      <w:r>
        <w:t>Figure I.2: Shear failure envelope of cement compared to the cement sheath for the three base case wells.</w:t>
      </w:r>
    </w:p>
    <w:p w14:paraId="514F3145" w14:textId="3232EF23" w:rsidR="00A67F1C" w:rsidRDefault="00A67F1C" w:rsidP="00A67F1C">
      <w:pPr>
        <w:ind w:firstLine="720"/>
      </w:pPr>
      <w:r>
        <w:t>Figure I.3 depicts the graphical results of the base case cement sheaths for the three wells. The effective radial stresses are depicted on the left, and the effective hoop stresses are shown on the right. The inner radius of the sheath is the casing/cement interface while the outer radius is the cement/rock formation interface.</w:t>
      </w:r>
    </w:p>
    <w:p w14:paraId="4209D653" w14:textId="77777777" w:rsidR="006076ED" w:rsidRDefault="006076ED" w:rsidP="00BC23AD">
      <w:pPr>
        <w:pStyle w:val="NoSpacing"/>
      </w:pPr>
      <w:r w:rsidRPr="00DF3996">
        <w:rPr>
          <w:noProof/>
        </w:rPr>
        <w:lastRenderedPageBreak/>
        <w:drawing>
          <wp:inline distT="0" distB="0" distL="0" distR="0" wp14:anchorId="2F6873DA" wp14:editId="5531509B">
            <wp:extent cx="3017520" cy="7101778"/>
            <wp:effectExtent l="0" t="0" r="0" b="444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3017520" cy="7101778"/>
                    </a:xfrm>
                    <a:prstGeom prst="rect">
                      <a:avLst/>
                    </a:prstGeom>
                    <a:noFill/>
                    <a:ln>
                      <a:noFill/>
                    </a:ln>
                  </pic:spPr>
                </pic:pic>
              </a:graphicData>
            </a:graphic>
          </wp:inline>
        </w:drawing>
      </w:r>
    </w:p>
    <w:p w14:paraId="670CCD95" w14:textId="66E4E767" w:rsidR="00A67F1C" w:rsidRDefault="006076ED" w:rsidP="00BC23AD">
      <w:pPr>
        <w:pStyle w:val="Caption"/>
      </w:pPr>
      <w:r>
        <w:t>Figure I.3: Graphical results of the base case stress values shown in Table I.1 for the three case studies; shallow, medium, and deep wells.</w:t>
      </w:r>
    </w:p>
    <w:p w14:paraId="48C10CB3" w14:textId="01851024" w:rsidR="00A67F1C" w:rsidRDefault="00A67F1C" w:rsidP="00A67F1C">
      <w:pPr>
        <w:ind w:firstLine="720"/>
      </w:pPr>
    </w:p>
    <w:p w14:paraId="68C8E40E" w14:textId="13EA1F09" w:rsidR="00A67F1C" w:rsidRDefault="00A67F1C" w:rsidP="00A67F1C">
      <w:pPr>
        <w:ind w:firstLine="720"/>
      </w:pPr>
    </w:p>
    <w:p w14:paraId="1C71E13F" w14:textId="77777777" w:rsidR="006076ED" w:rsidRDefault="006076ED" w:rsidP="006076ED">
      <w:pPr>
        <w:ind w:firstLine="720"/>
      </w:pPr>
      <w:r w:rsidRPr="006076ED">
        <w:lastRenderedPageBreak/>
        <w:t>For the shallow well, the maximum effective stress is 1 MPa and is not expe</w:t>
      </w:r>
      <w:r>
        <w:t xml:space="preserve">riencing any tensile stresses. </w:t>
      </w:r>
      <w:r w:rsidRPr="006076ED">
        <w:t>The medium well is experiencing tensile radial stress throughout</w:t>
      </w:r>
      <w:r>
        <w:t xml:space="preserve"> the cement sheath, and the magnitude is higher along the casing/cement interface implying that the resulting debonding gap would be greater than along the cement/rock interface. </w:t>
      </w:r>
      <w:r w:rsidRPr="00EC7EFC">
        <w:t xml:space="preserve">The deep well is only experiencing debonding along the casing/cement interface as indicated in </w:t>
      </w:r>
      <w:r>
        <w:t>Table I.1</w:t>
      </w:r>
      <w:r w:rsidRPr="00EC7EFC">
        <w:t xml:space="preserve"> and </w:t>
      </w:r>
      <w:r>
        <w:t xml:space="preserve">Figure I.3. </w:t>
      </w:r>
      <w:r w:rsidRPr="00EC7EFC">
        <w:t xml:space="preserve">It is important to note that the effective hoop stresses have variances due to the anisotropic in-situ stresses but </w:t>
      </w:r>
      <w:r w:rsidRPr="006C3C73">
        <w:t xml:space="preserve">is masked </w:t>
      </w:r>
      <w:r>
        <w:t>in Figure I.3</w:t>
      </w:r>
      <w:r w:rsidRPr="00EC7EFC">
        <w:t xml:space="preserve"> due to the scale resolution.</w:t>
      </w:r>
      <w:r>
        <w:t xml:space="preserve"> </w:t>
      </w:r>
      <w:r w:rsidRPr="00EC7EFC">
        <w:t xml:space="preserve">The effective hoop stresses for the medium and deep wells are not close to the tensile range, (therefore not resulting in </w:t>
      </w:r>
      <w:r w:rsidRPr="00DC733F">
        <w:t>radial cracks) and consequently not of interest to this discussion</w:t>
      </w:r>
      <w:r>
        <w:t xml:space="preserve">. </w:t>
      </w:r>
    </w:p>
    <w:p w14:paraId="17B54BA1" w14:textId="153704E6" w:rsidR="00CB4719" w:rsidRDefault="006076ED" w:rsidP="006076ED">
      <w:pPr>
        <w:ind w:firstLine="720"/>
      </w:pPr>
      <w:r w:rsidRPr="00EC7EFC">
        <w:t>The results of the medium and deep well base case simulations are in agreement with an analysis from the literature. These two wells experienced debonding after the production step when the mud weight pressure inside the casing changed to a production pressure. Previous studies have documented that changes in thermal cycling can cause cement sheath debonding (Lavrov et al.</w:t>
      </w:r>
      <w:r w:rsidRPr="00DC733F">
        <w:t>, 2015; Zhang et al., 2017) while Nygaard et al. (2014) concluded that debonding at the casing/cement interface occurs as a result of thermal and pressure changes.</w:t>
      </w:r>
      <w:r w:rsidRPr="006C3C73">
        <w:t xml:space="preserve"> It should be noted that Zhang et al. (2017) observed debonding as a result of t</w:t>
      </w:r>
      <w:r>
        <w:t>hermal cycling of cooling fluid</w:t>
      </w:r>
      <w:r w:rsidRPr="006C3C73">
        <w:t xml:space="preserve"> at the cement/rock interface whereas the results shown here conclude that debonding is occurring at the casing/cement interface</w:t>
      </w:r>
      <w:r>
        <w:t>.</w:t>
      </w:r>
    </w:p>
    <w:p w14:paraId="7AC3AADE" w14:textId="77777777" w:rsidR="00F57760" w:rsidRDefault="00F57760" w:rsidP="006076ED">
      <w:pPr>
        <w:ind w:firstLine="720"/>
      </w:pPr>
    </w:p>
    <w:p w14:paraId="4D74030A" w14:textId="2745E251" w:rsidR="006076ED" w:rsidRDefault="006076ED" w:rsidP="006076ED">
      <w:r>
        <w:rPr>
          <w:b/>
        </w:rPr>
        <w:t xml:space="preserve">Parametric Analysis </w:t>
      </w:r>
    </w:p>
    <w:p w14:paraId="7A5B6924" w14:textId="0D29222C" w:rsidR="006076ED" w:rsidRDefault="006076ED" w:rsidP="006076ED">
      <w:pPr>
        <w:ind w:firstLine="720"/>
      </w:pPr>
      <w:r>
        <w:t xml:space="preserve">The second part of this study </w:t>
      </w:r>
      <w:r w:rsidRPr="006C3C73">
        <w:t xml:space="preserve">is the parametric study of the base case wells to rank the stress contributing factors. The interpretation of the results are shown in </w:t>
      </w:r>
      <w:r>
        <w:t>Figures I.4-I.6</w:t>
      </w:r>
      <w:r w:rsidRPr="00EC7EFC">
        <w:t xml:space="preserve"> for the shallow, medium, and deep well respectively. The maximum and minimum normalized effective stress </w:t>
      </w:r>
      <w:r w:rsidRPr="00EC7EFC">
        <w:lastRenderedPageBreak/>
        <w:t>values from the three well</w:t>
      </w:r>
      <w:r>
        <w:t>s</w:t>
      </w:r>
      <w:r w:rsidRPr="00EC7EFC">
        <w:t xml:space="preserve"> </w:t>
      </w:r>
      <w:r w:rsidRPr="006C3C73">
        <w:t>are shown. The parameters are ranked from largest to smallest percent change with respect to the effective radial stress at the cement/rock formation interface.</w:t>
      </w:r>
      <w:r>
        <w:t xml:space="preserve"> </w:t>
      </w:r>
      <w:r w:rsidRPr="006C3C73">
        <w:t xml:space="preserve">Due to the large variation of the parameters, log scales were used for the x-axis. The solid bars represent a positive percent change while the checkered bars represent a negative percent change.  </w:t>
      </w:r>
    </w:p>
    <w:p w14:paraId="1408CF16" w14:textId="77777777" w:rsidR="006076ED" w:rsidRDefault="006076ED" w:rsidP="00BC23AD">
      <w:pPr>
        <w:pStyle w:val="NoSpacing"/>
      </w:pPr>
      <w:r>
        <w:rPr>
          <w:noProof/>
        </w:rPr>
        <w:drawing>
          <wp:inline distT="0" distB="0" distL="0" distR="0" wp14:anchorId="002526AB" wp14:editId="05A7BBBF">
            <wp:extent cx="4938395" cy="3706495"/>
            <wp:effectExtent l="0" t="0" r="0" b="825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4938395" cy="3706495"/>
                    </a:xfrm>
                    <a:prstGeom prst="rect">
                      <a:avLst/>
                    </a:prstGeom>
                    <a:noFill/>
                  </pic:spPr>
                </pic:pic>
              </a:graphicData>
            </a:graphic>
          </wp:inline>
        </w:drawing>
      </w:r>
    </w:p>
    <w:p w14:paraId="4010978A" w14:textId="48162A39" w:rsidR="006076ED" w:rsidRDefault="006076ED" w:rsidP="00BC23AD">
      <w:pPr>
        <w:pStyle w:val="Caption"/>
      </w:pPr>
      <w:r>
        <w:t>Figure I.4: Results of the parametric study ranking the parameters with the largest impact on stress development for the shallow well in the Eugene Island OPD.</w:t>
      </w:r>
    </w:p>
    <w:p w14:paraId="155EA5F3" w14:textId="77777777" w:rsidR="006076ED" w:rsidRPr="006076ED" w:rsidRDefault="006076ED" w:rsidP="006076ED"/>
    <w:p w14:paraId="36B612AD" w14:textId="77777777" w:rsidR="006076ED" w:rsidRDefault="006076ED" w:rsidP="00BC23AD">
      <w:pPr>
        <w:pStyle w:val="NoSpacing"/>
      </w:pPr>
      <w:r>
        <w:rPr>
          <w:noProof/>
        </w:rPr>
        <w:lastRenderedPageBreak/>
        <w:drawing>
          <wp:inline distT="0" distB="0" distL="0" distR="0" wp14:anchorId="51E81044" wp14:editId="758EADD4">
            <wp:extent cx="4938395" cy="3651885"/>
            <wp:effectExtent l="0" t="0" r="0" b="571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4938395" cy="3651885"/>
                    </a:xfrm>
                    <a:prstGeom prst="rect">
                      <a:avLst/>
                    </a:prstGeom>
                    <a:noFill/>
                  </pic:spPr>
                </pic:pic>
              </a:graphicData>
            </a:graphic>
          </wp:inline>
        </w:drawing>
      </w:r>
    </w:p>
    <w:p w14:paraId="61AA1F61" w14:textId="3E6BBE6F" w:rsidR="006076ED" w:rsidRDefault="006076ED" w:rsidP="00BC23AD">
      <w:pPr>
        <w:pStyle w:val="Caption"/>
      </w:pPr>
      <w:r>
        <w:t xml:space="preserve">Figure I.5: </w:t>
      </w:r>
      <w:r w:rsidRPr="006076ED">
        <w:t>Results of the parametric study ranking the parameters with the largest impact on stress development for the medium well in the Eugene Isl</w:t>
      </w:r>
      <w:r>
        <w:t>d</w:t>
      </w:r>
      <w:r w:rsidRPr="006076ED">
        <w:t>and OPD</w:t>
      </w:r>
      <w:r>
        <w:t>.</w:t>
      </w:r>
    </w:p>
    <w:p w14:paraId="69D73FBA" w14:textId="77777777" w:rsidR="006076ED" w:rsidRDefault="006076ED" w:rsidP="00BC23AD">
      <w:pPr>
        <w:pStyle w:val="NoSpacing"/>
      </w:pPr>
      <w:r>
        <w:rPr>
          <w:noProof/>
        </w:rPr>
        <w:drawing>
          <wp:inline distT="0" distB="0" distL="0" distR="0" wp14:anchorId="3B1D6BAA" wp14:editId="51A084BA">
            <wp:extent cx="4938395" cy="3706495"/>
            <wp:effectExtent l="0" t="0" r="0" b="825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4938395" cy="3706495"/>
                    </a:xfrm>
                    <a:prstGeom prst="rect">
                      <a:avLst/>
                    </a:prstGeom>
                    <a:noFill/>
                  </pic:spPr>
                </pic:pic>
              </a:graphicData>
            </a:graphic>
          </wp:inline>
        </w:drawing>
      </w:r>
    </w:p>
    <w:p w14:paraId="6BC260B9" w14:textId="23E93596" w:rsidR="006076ED" w:rsidRDefault="006076ED" w:rsidP="00BC23AD">
      <w:pPr>
        <w:pStyle w:val="Caption"/>
      </w:pPr>
      <w:r>
        <w:t xml:space="preserve">Figure I.6: </w:t>
      </w:r>
      <w:r w:rsidRPr="006076ED">
        <w:t xml:space="preserve">Results of the parametric study ranking the parameters with the largest impact on stress development for the </w:t>
      </w:r>
      <w:r>
        <w:t xml:space="preserve">deep </w:t>
      </w:r>
      <w:r w:rsidRPr="006076ED">
        <w:t>well in the Eugene Island OPD</w:t>
      </w:r>
      <w:r>
        <w:t xml:space="preserve"> </w:t>
      </w:r>
    </w:p>
    <w:p w14:paraId="7AC9C7B2" w14:textId="2E65FACF" w:rsidR="006076ED" w:rsidRPr="006C3C73" w:rsidRDefault="006076ED" w:rsidP="006076ED">
      <w:pPr>
        <w:ind w:firstLine="720"/>
      </w:pPr>
      <w:r>
        <w:lastRenderedPageBreak/>
        <w:t>Figures I.4-I.6</w:t>
      </w:r>
      <w:r w:rsidRPr="00EC7EFC">
        <w:t xml:space="preserve"> show that the ranking of the parameters </w:t>
      </w:r>
      <w:r w:rsidRPr="006C3C73">
        <w:t>are not</w:t>
      </w:r>
      <w:r>
        <w:t xml:space="preserve"> the same for all three wells. </w:t>
      </w:r>
      <w:r w:rsidRPr="006C3C73">
        <w:t xml:space="preserve">All three wells have cement </w:t>
      </w:r>
      <m:oMath>
        <m:r>
          <w:rPr>
            <w:rFonts w:ascii="Cambria Math" w:hAnsi="Cambria Math"/>
          </w:rPr>
          <m:t>Pp</m:t>
        </m:r>
      </m:oMath>
      <w:r w:rsidRPr="006C3C73">
        <w:t xml:space="preserve"> listed as the most important contributing factor, but the ranking of the</w:t>
      </w:r>
      <w:r>
        <w:t xml:space="preserve"> parameters after that change. </w:t>
      </w:r>
      <w:r w:rsidRPr="006C3C73">
        <w:t>The medium and deep well are the most similar; both have the same order of paramet</w:t>
      </w:r>
      <w:r>
        <w:t>ers until the in-situ stresses.</w:t>
      </w:r>
      <w:r w:rsidRPr="006C3C73">
        <w:t xml:space="preserve"> For the shallow well, the setting stress of the cement is more critical than the internal casing pressure, and</w:t>
      </w:r>
      <w:r>
        <w:t xml:space="preserve"> the </w:t>
      </w:r>
      <w:r w:rsidRPr="00EC7EFC">
        <w:t>mechanical properties of the surround</w:t>
      </w:r>
      <w:r w:rsidRPr="00DC733F">
        <w:t>ing rock formation and cement are different from the other two wells. Overall, the general interpretation of the three figures (</w:t>
      </w:r>
      <w:r>
        <w:t>Figures I.4-I.6</w:t>
      </w:r>
      <w:r w:rsidRPr="00EC7EFC">
        <w:t xml:space="preserve">) </w:t>
      </w:r>
      <w:r w:rsidRPr="006C3C73">
        <w:t xml:space="preserve">are similar for all three wells: the cement hydration parameters and the internal casing pressure are the most critical parameters in the stress development of the </w:t>
      </w:r>
      <w:r w:rsidR="00145750" w:rsidRPr="006C3C73">
        <w:t>cement sheath</w:t>
      </w:r>
      <w:r w:rsidRPr="006C3C73">
        <w:t>, followed by the mechanical properties of the rock and cement, and lastly, the in-situ stresses have little impact on the st</w:t>
      </w:r>
      <w:r>
        <w:t>ress development in the sheath.</w:t>
      </w:r>
      <w:r w:rsidRPr="006C3C73">
        <w:t xml:space="preserve"> Another observation is that the radial stresses are more sensitive to parameter changes than the hoop stresses which indicates that variation of parameters are more likely to lead to tensile debonding than radial cracks.</w:t>
      </w:r>
    </w:p>
    <w:p w14:paraId="29FEFD43" w14:textId="5F711EE9" w:rsidR="006076ED" w:rsidRPr="006C3C73" w:rsidRDefault="006076ED" w:rsidP="006076ED">
      <w:pPr>
        <w:ind w:firstLine="720"/>
      </w:pPr>
      <w:r w:rsidRPr="006C3C73">
        <w:t>The results of this study are in ag</w:t>
      </w:r>
      <w:r>
        <w:t>reement with Bois et al. (2011)</w:t>
      </w:r>
      <w:r w:rsidRPr="006C3C73">
        <w:t xml:space="preserve"> in which the authors state that the two most critical aspects of cement sheath integrity are the cement hydration parameters and changes in pressure in the wellbore. The changes in internal casing pressure have already been proven in the literature to be a major cause of cement sheath debonding and will not be discussed further, yet the cement hydration parameters</w:t>
      </w:r>
      <w:r>
        <w:t xml:space="preserve"> (setting stress and pore pressure development)</w:t>
      </w:r>
      <w:r w:rsidRPr="006C3C73">
        <w:t xml:space="preserve"> have not been studied as intensely. Simulating the setting stress from the maximum possible value (</w:t>
      </w:r>
      <m:oMath>
        <m:sSub>
          <m:sSubPr>
            <m:ctrlPr>
              <w:rPr>
                <w:rFonts w:ascii="Cambria Math" w:hAnsi="Cambria Math"/>
                <w:i/>
              </w:rPr>
            </m:ctrlPr>
          </m:sSubPr>
          <m:e>
            <m:r>
              <w:rPr>
                <w:rFonts w:ascii="Cambria Math" w:hAnsi="Cambria Math"/>
              </w:rPr>
              <m:t>P</m:t>
            </m:r>
          </m:e>
          <m:sub>
            <m:r>
              <w:rPr>
                <w:rFonts w:ascii="Cambria Math" w:hAnsi="Cambria Math"/>
              </w:rPr>
              <m:t>Frac</m:t>
            </m:r>
          </m:sub>
        </m:sSub>
      </m:oMath>
      <w:r w:rsidRPr="006C3C73">
        <w:t>) to the lowest possible scenario (zero effective stress) significantly affects the cement sheath stress by 100% in both the radial</w:t>
      </w:r>
      <w:r>
        <w:t xml:space="preserve"> and hoop stresses.</w:t>
      </w:r>
      <w:r w:rsidRPr="006C3C73">
        <w:t xml:space="preserve"> The change in effective stresses is significant enough to take the cement sheath from compressive to tensile and vice versa. The cement </w:t>
      </w:r>
      <m:oMath>
        <m:sSub>
          <m:sSubPr>
            <m:ctrlPr>
              <w:rPr>
                <w:rFonts w:ascii="Cambria Math" w:hAnsi="Cambria Math"/>
                <w:i/>
              </w:rPr>
            </m:ctrlPr>
          </m:sSubPr>
          <m:e>
            <m:r>
              <w:rPr>
                <w:rFonts w:ascii="Cambria Math" w:hAnsi="Cambria Math"/>
              </w:rPr>
              <m:t>P</m:t>
            </m:r>
          </m:e>
          <m:sub>
            <m:r>
              <w:rPr>
                <w:rFonts w:ascii="Cambria Math" w:hAnsi="Cambria Math"/>
              </w:rPr>
              <m:t>P</m:t>
            </m:r>
          </m:sub>
        </m:sSub>
      </m:oMath>
      <w:r>
        <w:t xml:space="preserve"> acts</w:t>
      </w:r>
      <w:r w:rsidRPr="006C3C73">
        <w:t xml:space="preserve"> the same way. A maximum </w:t>
      </w:r>
      <m:oMath>
        <m:sSub>
          <m:sSubPr>
            <m:ctrlPr>
              <w:rPr>
                <w:rFonts w:ascii="Cambria Math" w:hAnsi="Cambria Math"/>
                <w:i/>
              </w:rPr>
            </m:ctrlPr>
          </m:sSubPr>
          <m:e>
            <m:r>
              <w:rPr>
                <w:rFonts w:ascii="Cambria Math" w:hAnsi="Cambria Math"/>
              </w:rPr>
              <m:t>P</m:t>
            </m:r>
          </m:e>
          <m:sub>
            <m:r>
              <w:rPr>
                <w:rFonts w:ascii="Cambria Math" w:hAnsi="Cambria Math"/>
              </w:rPr>
              <m:t>P</m:t>
            </m:r>
          </m:sub>
        </m:sSub>
      </m:oMath>
      <w:r w:rsidRPr="006C3C73">
        <w:t xml:space="preserve"> (equal to the setting stress resulting in an effective stress of zero) </w:t>
      </w:r>
      <w:r w:rsidRPr="006C3C73">
        <w:lastRenderedPageBreak/>
        <w:t>and a minimum</w:t>
      </w:r>
      <w:r>
        <w:t xml:space="preserve"> </w:t>
      </w:r>
      <m:oMath>
        <m:sSub>
          <m:sSubPr>
            <m:ctrlPr>
              <w:rPr>
                <w:rFonts w:ascii="Cambria Math" w:hAnsi="Cambria Math"/>
                <w:i/>
              </w:rPr>
            </m:ctrlPr>
          </m:sSubPr>
          <m:e>
            <m:r>
              <w:rPr>
                <w:rFonts w:ascii="Cambria Math" w:hAnsi="Cambria Math"/>
              </w:rPr>
              <m:t>P</m:t>
            </m:r>
          </m:e>
          <m:sub>
            <m:r>
              <w:rPr>
                <w:rFonts w:ascii="Cambria Math" w:hAnsi="Cambria Math"/>
              </w:rPr>
              <m:t>P</m:t>
            </m:r>
          </m:sub>
        </m:sSub>
      </m:oMath>
      <w:r w:rsidRPr="006C3C73">
        <w:t xml:space="preserve"> (zero</w:t>
      </w:r>
      <w:r>
        <w:t xml:space="preserve"> </w:t>
      </w:r>
      <m:oMath>
        <m:sSub>
          <m:sSubPr>
            <m:ctrlPr>
              <w:rPr>
                <w:rFonts w:ascii="Cambria Math" w:hAnsi="Cambria Math"/>
                <w:i/>
              </w:rPr>
            </m:ctrlPr>
          </m:sSubPr>
          <m:e>
            <m:r>
              <w:rPr>
                <w:rFonts w:ascii="Cambria Math" w:hAnsi="Cambria Math"/>
              </w:rPr>
              <m:t>P</m:t>
            </m:r>
          </m:e>
          <m:sub>
            <m:r>
              <w:rPr>
                <w:rFonts w:ascii="Cambria Math" w:hAnsi="Cambria Math"/>
              </w:rPr>
              <m:t>P</m:t>
            </m:r>
          </m:sub>
        </m:sSub>
      </m:oMath>
      <w:r w:rsidRPr="006C3C73">
        <w:t xml:space="preserve">) affects the cement stress from 100% to greater than 1,000% in some instances. Both of these parameters are critical in the development of the hydration of cement, but they are not well understood. The upper and lower ranges for both parameters presented in this paper are realistic, but the variation has dramatic results. Therefore, cement hydration should be investigated further to develop a better understanding of how the cement setting stress and </w:t>
      </w:r>
      <m:oMath>
        <m:sSub>
          <m:sSubPr>
            <m:ctrlPr>
              <w:rPr>
                <w:rFonts w:ascii="Cambria Math" w:hAnsi="Cambria Math"/>
                <w:i/>
              </w:rPr>
            </m:ctrlPr>
          </m:sSubPr>
          <m:e>
            <m:r>
              <w:rPr>
                <w:rFonts w:ascii="Cambria Math" w:hAnsi="Cambria Math"/>
              </w:rPr>
              <m:t>P</m:t>
            </m:r>
          </m:e>
          <m:sub>
            <m:r>
              <w:rPr>
                <w:rFonts w:ascii="Cambria Math" w:hAnsi="Cambria Math"/>
              </w:rPr>
              <m:t>P</m:t>
            </m:r>
          </m:sub>
        </m:sSub>
      </m:oMath>
      <w:r w:rsidRPr="006C3C73">
        <w:t xml:space="preserve"> develop during cement hydration.</w:t>
      </w:r>
    </w:p>
    <w:p w14:paraId="3646C816" w14:textId="0C6AD2C7" w:rsidR="006076ED" w:rsidRPr="006C3C73" w:rsidRDefault="006076ED" w:rsidP="006076ED">
      <w:pPr>
        <w:ind w:firstLine="720"/>
      </w:pPr>
      <w:r w:rsidRPr="006C3C73">
        <w:t xml:space="preserve">When designing a </w:t>
      </w:r>
      <w:r>
        <w:t>cementing job</w:t>
      </w:r>
      <w:r w:rsidRPr="006C3C73">
        <w:t xml:space="preserve"> </w:t>
      </w:r>
      <w:r>
        <w:t xml:space="preserve">to complete </w:t>
      </w:r>
      <w:r w:rsidRPr="006C3C73">
        <w:t>a</w:t>
      </w:r>
      <w:r>
        <w:t xml:space="preserve"> well, many factors go into it. </w:t>
      </w:r>
      <w:r w:rsidRPr="006C3C73">
        <w:t>The cement density is arguably the most critical factor, but the structural properties of hardened cement should also be</w:t>
      </w:r>
      <w:r>
        <w:t xml:space="preserve"> considered.</w:t>
      </w:r>
      <w:r w:rsidRPr="006C3C73">
        <w:t xml:space="preserve"> The only changeable parameters for the cement job are the cement composition which directly affects the mechanical properties</w:t>
      </w:r>
      <w:r>
        <w:t>, such as E, PR, UCS, and bonding strength</w:t>
      </w:r>
      <w:r w:rsidRPr="006C3C73">
        <w:t xml:space="preserve">. From the results of this study, the mechanical parameters have </w:t>
      </w:r>
      <w:r>
        <w:t xml:space="preserve">less </w:t>
      </w:r>
      <w:r w:rsidRPr="006C3C73">
        <w:t xml:space="preserve">effect on cement sheath integrity. The effective radial and hoop stresses were less sensitive to changes in the mechanical properties of cement. The maximum change in one of said parameters is approximately 20% (except for a few instances with the deep well) which </w:t>
      </w:r>
      <w:r>
        <w:t>will</w:t>
      </w:r>
      <w:r w:rsidRPr="006C3C73">
        <w:t xml:space="preserve"> not change of any of the baseline effective stresses results in </w:t>
      </w:r>
      <w:r>
        <w:t xml:space="preserve">Table I.1 </w:t>
      </w:r>
      <w:r w:rsidRPr="00EC7EFC">
        <w:t>from being in compressive to tensile or vice versa. Therefore, changing cement compositions to develop enhanced structural properties is not dominant in cement sheath integrity in terms of radial cracks, disking, or tensile debonding. Thi</w:t>
      </w:r>
      <w:r w:rsidRPr="00DC733F">
        <w:t xml:space="preserve">s result is not in agreement with Fleckenstein et al. (2001) in which they concluded that ductile </w:t>
      </w:r>
      <w:r w:rsidRPr="006C3C73">
        <w:t>cements (high PR &amp; low E) would “significantly” reduce tangential (hoop) tensile stresses, but the authors did not take into account pore pressure of the cement. The results of this paper do appear to agree with Nygaard et al. (2014) in which the mechanical properties of the intact cement do not affect the radial stresses dramatically.</w:t>
      </w:r>
    </w:p>
    <w:p w14:paraId="5476B82D" w14:textId="585A90B8" w:rsidR="006076ED" w:rsidRPr="006C3C73" w:rsidRDefault="006076ED" w:rsidP="006076ED">
      <w:pPr>
        <w:ind w:firstLine="720"/>
      </w:pPr>
      <w:r w:rsidRPr="006C3C73">
        <w:lastRenderedPageBreak/>
        <w:t xml:space="preserve">Another trend seen </w:t>
      </w:r>
      <w:r w:rsidRPr="00EC7EFC">
        <w:t>for all three wells is that</w:t>
      </w:r>
      <w:r>
        <w:t xml:space="preserve"> changing</w:t>
      </w:r>
      <w:r w:rsidRPr="00EC7EFC">
        <w:t xml:space="preserve"> the in-situ stresses have less than 1% effect on the stress development in the cement sheath. This indicates that the geologic location of the well has little impact regarding the potential failure of the cement sheath</w:t>
      </w:r>
      <w:r>
        <w:t xml:space="preserve"> in vertical wells</w:t>
      </w:r>
      <w:r w:rsidRPr="00EC7EFC">
        <w:t xml:space="preserve"> for normal faulting stress regimes although the changes of in-situ stresses due to compaction and subsidence, which </w:t>
      </w:r>
      <w:r w:rsidRPr="006C3C73">
        <w:t>was not addressed in this study, have been shown to play a factor in casing shear as described by Dusseault et al. (2001).</w:t>
      </w:r>
    </w:p>
    <w:p w14:paraId="3F080206" w14:textId="7B727240" w:rsidR="006076ED" w:rsidRPr="006076ED" w:rsidRDefault="006076ED" w:rsidP="006076ED">
      <w:pPr>
        <w:ind w:firstLine="720"/>
      </w:pPr>
      <w:r w:rsidRPr="006C3C73">
        <w:t>A final result, that is not as obvious and is not explicitly shown from the parametric study, is how the depth of the well affects cement sheath stress. The shallow well is not experiencing debonding at either interface, but both the medium and deep wells are experiencing at least one interface debonding. The medium well is experiencing debonding at both interfaces while the deep well is only debonding at one interface implying that there is a depth in which the cement sheath will be at</w:t>
      </w:r>
      <w:r>
        <w:t xml:space="preserve"> a higher risk to develop gaps.</w:t>
      </w:r>
      <w:r w:rsidRPr="006C3C73">
        <w:t xml:space="preserve"> This depth versus risk of debonding curve may look similar to a bell curve as seen with the three wells presented in this paper. There may be an “optimum” depth that puts wells at a higher risk for debonding, but above and below that depth have less prime conditions. This reasoning would explain why the medium depth well appears to be debonding at both interfaces, but the deep well is only debonding at one interface. This phenomenon was described by Gray et al. (2009) in which they concluded that debonding does not always occur at the deepest locations within a wellbore</w:t>
      </w:r>
      <w:r>
        <w:t>.</w:t>
      </w:r>
    </w:p>
    <w:p w14:paraId="1FF3BE5B" w14:textId="183FF25C" w:rsidR="00971B27" w:rsidRDefault="00FE241F" w:rsidP="00971B27">
      <w:pPr>
        <w:pStyle w:val="Heading1"/>
        <w:numPr>
          <w:ilvl w:val="0"/>
          <w:numId w:val="0"/>
        </w:numPr>
      </w:pPr>
      <w:bookmarkStart w:id="186" w:name="_Toc67566081"/>
      <w:r>
        <w:lastRenderedPageBreak/>
        <w:t xml:space="preserve">Appendix J: Rock </w:t>
      </w:r>
      <w:r w:rsidR="00D308C1">
        <w:t>Formation Failure Mechanism</w:t>
      </w:r>
      <w:bookmarkEnd w:id="186"/>
      <w:r w:rsidR="00D308C1">
        <w:t xml:space="preserve"> </w:t>
      </w:r>
    </w:p>
    <w:p w14:paraId="2F855042" w14:textId="10FA2140" w:rsidR="00FE241F" w:rsidRDefault="00FE241F" w:rsidP="00FE241F">
      <w:pPr>
        <w:ind w:firstLine="720"/>
      </w:pPr>
      <w:r>
        <w:t xml:space="preserve">Drilling fluid weight is used when drilling wells for multiple reasons including stability issues. The drilling fluid weight is used to balance the stresses in the borehole between compressive (or shear) failure and tensile failure. Compressive or shear failure occurs when the drilling fluid weight pressure is too low and results in breakouts. Tensile failure from collapsing (too low of drilling fluid weight), and from fracturing (too high of drilling fluid weight). </w:t>
      </w:r>
    </w:p>
    <w:p w14:paraId="2864BE28" w14:textId="488E90B8" w:rsidR="00FE241F" w:rsidRDefault="00FE241F" w:rsidP="00FE241F">
      <w:pPr>
        <w:ind w:firstLine="720"/>
      </w:pPr>
      <w:r>
        <w:t>The most common shear failure criteria for rocks is Mohr-Coulomb. This theory states that the failure of material is due to the combination of normal and shear stresses. The normal and shear stresses are determined by only the minimum (</w:t>
      </w:r>
      <m:oMath>
        <m:sSub>
          <m:sSubPr>
            <m:ctrlPr>
              <w:rPr>
                <w:rFonts w:ascii="Cambria Math" w:hAnsi="Cambria Math"/>
                <w:i/>
              </w:rPr>
            </m:ctrlPr>
          </m:sSubPr>
          <m:e>
            <m:r>
              <w:rPr>
                <w:rFonts w:ascii="Cambria Math" w:hAnsi="Cambria Math"/>
              </w:rPr>
              <m:t>σ</m:t>
            </m:r>
          </m:e>
          <m:sub>
            <m:r>
              <w:rPr>
                <w:rFonts w:ascii="Cambria Math" w:hAnsi="Cambria Math"/>
              </w:rPr>
              <m:t>3</m:t>
            </m:r>
          </m:sub>
        </m:sSub>
      </m:oMath>
      <w:r>
        <w:t>) and maximum (</w:t>
      </w:r>
      <m:oMath>
        <m:sSub>
          <m:sSubPr>
            <m:ctrlPr>
              <w:rPr>
                <w:rFonts w:ascii="Cambria Math" w:hAnsi="Cambria Math"/>
                <w:i/>
              </w:rPr>
            </m:ctrlPr>
          </m:sSubPr>
          <m:e>
            <m:r>
              <w:rPr>
                <w:rFonts w:ascii="Cambria Math" w:hAnsi="Cambria Math"/>
              </w:rPr>
              <m:t>σ</m:t>
            </m:r>
          </m:e>
          <m:sub>
            <m:r>
              <w:rPr>
                <w:rFonts w:ascii="Cambria Math" w:hAnsi="Cambria Math"/>
              </w:rPr>
              <m:t>1</m:t>
            </m:r>
          </m:sub>
        </m:sSub>
      </m:oMath>
      <w:r>
        <w:t xml:space="preserve">) principal stresses. The failure line is given by </w:t>
      </w:r>
      <w:r w:rsidRPr="00FE241F">
        <w:t>Equation J.1</w:t>
      </w:r>
      <w:r>
        <w:t xml:space="preserve"> where</w:t>
      </w:r>
      <w:r w:rsidRPr="00FA60CD">
        <w:t xml:space="preserve"> </w:t>
      </w:r>
      <m:oMath>
        <m:sSub>
          <m:sSubPr>
            <m:ctrlPr>
              <w:rPr>
                <w:rFonts w:ascii="Cambria Math" w:hAnsi="Cambria Math"/>
                <w:i/>
              </w:rPr>
            </m:ctrlPr>
          </m:sSubPr>
          <m:e>
            <m:r>
              <w:rPr>
                <w:rFonts w:ascii="Cambria Math" w:hAnsi="Cambria Math"/>
              </w:rPr>
              <m:t>τ</m:t>
            </m:r>
          </m:e>
          <m:sub>
            <m:r>
              <w:rPr>
                <w:rFonts w:ascii="Cambria Math" w:hAnsi="Cambria Math"/>
              </w:rPr>
              <m:t>f</m:t>
            </m:r>
          </m:sub>
        </m:sSub>
      </m:oMath>
      <w:r>
        <w:t xml:space="preserve"> is the</w:t>
      </w:r>
      <w:r w:rsidRPr="00EC7EFC">
        <w:t xml:space="preserve"> shear strength, </w:t>
      </w:r>
      <m:oMath>
        <m:sSub>
          <m:sSubPr>
            <m:ctrlPr>
              <w:rPr>
                <w:rFonts w:ascii="Cambria Math" w:hAnsi="Cambria Math"/>
                <w:i/>
              </w:rPr>
            </m:ctrlPr>
          </m:sSubPr>
          <m:e>
            <m:r>
              <w:rPr>
                <w:rFonts w:ascii="Cambria Math" w:hAnsi="Cambria Math"/>
              </w:rPr>
              <m:t>τ</m:t>
            </m:r>
          </m:e>
          <m:sub>
            <m:r>
              <w:rPr>
                <w:rFonts w:ascii="Cambria Math" w:hAnsi="Cambria Math"/>
              </w:rPr>
              <m:t>o</m:t>
            </m:r>
          </m:sub>
        </m:sSub>
      </m:oMath>
      <w:r>
        <w:t xml:space="preserve"> is the rock</w:t>
      </w:r>
      <w:r w:rsidRPr="00EC7EFC">
        <w:t xml:space="preserve"> cohesion, </w:t>
      </w:r>
      <m:oMath>
        <m:r>
          <w:rPr>
            <w:rFonts w:ascii="Cambria Math" w:hAnsi="Cambria Math"/>
          </w:rPr>
          <m:t>ϕ</m:t>
        </m:r>
      </m:oMath>
      <w:r>
        <w:t xml:space="preserve"> is the</w:t>
      </w:r>
      <w:r w:rsidRPr="00EC7EFC">
        <w:t xml:space="preserve"> internal friction</w:t>
      </w:r>
      <w:r w:rsidRPr="00DC733F">
        <w:t xml:space="preserve"> angle, </w:t>
      </w:r>
      <m:oMath>
        <m:r>
          <w:rPr>
            <w:rFonts w:ascii="Cambria Math" w:hAnsi="Cambria Math"/>
          </w:rPr>
          <m:t>μ</m:t>
        </m:r>
      </m:oMath>
      <w:r>
        <w:t xml:space="preserve"> is the</w:t>
      </w:r>
      <w:r w:rsidRPr="00FA60CD">
        <w:t xml:space="preserve"> coefficient of internal friction, and </w:t>
      </w:r>
      <m:oMath>
        <m:sSup>
          <m:sSupPr>
            <m:ctrlPr>
              <w:rPr>
                <w:rFonts w:ascii="Cambria Math" w:hAnsi="Cambria Math"/>
                <w:i/>
              </w:rPr>
            </m:ctrlPr>
          </m:sSupPr>
          <m:e>
            <m:r>
              <w:rPr>
                <w:rFonts w:ascii="Cambria Math" w:hAnsi="Cambria Math"/>
              </w:rPr>
              <m:t>σ</m:t>
            </m:r>
          </m:e>
          <m:sup>
            <m:r>
              <w:rPr>
                <w:rFonts w:ascii="Cambria Math" w:hAnsi="Cambria Math"/>
              </w:rPr>
              <m:t>'</m:t>
            </m:r>
          </m:sup>
        </m:sSup>
      </m:oMath>
      <w:r>
        <w:t xml:space="preserve"> is the </w:t>
      </w:r>
      <w:r w:rsidRPr="00EC7EFC">
        <w:t>effective normal stress</w:t>
      </w:r>
      <w:r>
        <w:t>.</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FE241F" w14:paraId="7ABF9934" w14:textId="77777777" w:rsidTr="004B601F">
        <w:trPr>
          <w:trHeight w:val="576"/>
        </w:trPr>
        <w:tc>
          <w:tcPr>
            <w:tcW w:w="720" w:type="dxa"/>
            <w:vAlign w:val="center"/>
          </w:tcPr>
          <w:p w14:paraId="3BDFD7A1" w14:textId="67251A0F" w:rsidR="00FE241F" w:rsidRDefault="00FE241F" w:rsidP="004B601F">
            <w:pPr>
              <w:spacing w:line="240" w:lineRule="auto"/>
              <w:jc w:val="center"/>
            </w:pPr>
          </w:p>
        </w:tc>
        <w:tc>
          <w:tcPr>
            <w:tcW w:w="7920" w:type="dxa"/>
            <w:vAlign w:val="center"/>
          </w:tcPr>
          <w:p w14:paraId="155FFFD3" w14:textId="77777777" w:rsidR="00FE241F" w:rsidRPr="00162E27" w:rsidRDefault="00077C0B" w:rsidP="004B601F">
            <w:pPr>
              <w:spacing w:line="240" w:lineRule="auto"/>
              <w:jc w:val="center"/>
              <w:rPr>
                <w:rFonts w:ascii="Cambria Math" w:hAnsi="Cambria Math"/>
                <w:i/>
              </w:rPr>
            </w:pPr>
            <m:oMathPara>
              <m:oMath>
                <m:sSub>
                  <m:sSubPr>
                    <m:ctrlPr>
                      <w:rPr>
                        <w:rFonts w:ascii="Cambria Math" w:hAnsi="Cambria Math"/>
                        <w:i/>
                      </w:rPr>
                    </m:ctrlPr>
                  </m:sSubPr>
                  <m:e>
                    <m:r>
                      <w:rPr>
                        <w:rFonts w:ascii="Cambria Math" w:hAnsi="Cambria Math"/>
                      </w:rPr>
                      <m:t>τ</m:t>
                    </m:r>
                  </m:e>
                  <m:sub>
                    <m:r>
                      <w:rPr>
                        <w:rFonts w:ascii="Cambria Math" w:hAnsi="Cambria Math"/>
                      </w:rPr>
                      <m:t>f</m:t>
                    </m:r>
                  </m:sub>
                </m:sSub>
                <m:r>
                  <w:rPr>
                    <w:rFonts w:ascii="Cambria Math" w:hAnsi="Cambria Math"/>
                  </w:rPr>
                  <m:t>=</m:t>
                </m:r>
                <m:sSub>
                  <m:sSubPr>
                    <m:ctrlPr>
                      <w:rPr>
                        <w:rFonts w:ascii="Cambria Math" w:hAnsi="Cambria Math"/>
                        <w:i/>
                      </w:rPr>
                    </m:ctrlPr>
                  </m:sSubPr>
                  <m:e>
                    <m:r>
                      <w:rPr>
                        <w:rFonts w:ascii="Cambria Math" w:hAnsi="Cambria Math"/>
                      </w:rPr>
                      <m:t>τ</m:t>
                    </m:r>
                  </m:e>
                  <m:sub>
                    <m:r>
                      <w:rPr>
                        <w:rFonts w:ascii="Cambria Math" w:hAnsi="Cambria Math"/>
                      </w:rPr>
                      <m:t>o</m:t>
                    </m:r>
                  </m:sub>
                </m:sSub>
                <m:r>
                  <w:rPr>
                    <w:rFonts w:ascii="Cambria Math" w:hAnsi="Cambria Math"/>
                  </w:rPr>
                  <m:t>+</m:t>
                </m:r>
                <m:sSup>
                  <m:sSupPr>
                    <m:ctrlPr>
                      <w:rPr>
                        <w:rFonts w:ascii="Cambria Math" w:hAnsi="Cambria Math"/>
                        <w:i/>
                      </w:rPr>
                    </m:ctrlPr>
                  </m:sSupPr>
                  <m:e>
                    <m:r>
                      <w:rPr>
                        <w:rFonts w:ascii="Cambria Math" w:hAnsi="Cambria Math"/>
                      </w:rPr>
                      <m:t>σ</m:t>
                    </m:r>
                  </m:e>
                  <m:sup>
                    <m:r>
                      <w:rPr>
                        <w:rFonts w:ascii="Cambria Math" w:hAnsi="Cambria Math"/>
                      </w:rPr>
                      <m:t>'</m:t>
                    </m:r>
                  </m:sup>
                </m:sSup>
                <m:func>
                  <m:funcPr>
                    <m:ctrlPr>
                      <w:rPr>
                        <w:rFonts w:ascii="Cambria Math" w:hAnsi="Cambria Math"/>
                        <w:i/>
                      </w:rPr>
                    </m:ctrlPr>
                  </m:funcPr>
                  <m:fName>
                    <m:r>
                      <w:rPr>
                        <w:rFonts w:ascii="Cambria Math" w:hAnsi="Cambria Math"/>
                      </w:rPr>
                      <m:t>tan</m:t>
                    </m:r>
                  </m:fName>
                  <m:e>
                    <m:d>
                      <m:dPr>
                        <m:ctrlPr>
                          <w:rPr>
                            <w:rFonts w:ascii="Cambria Math" w:hAnsi="Cambria Math"/>
                            <w:i/>
                          </w:rPr>
                        </m:ctrlPr>
                      </m:dPr>
                      <m:e>
                        <m:r>
                          <w:rPr>
                            <w:rFonts w:ascii="Cambria Math" w:hAnsi="Cambria Math"/>
                          </w:rPr>
                          <m:t>ϕ</m:t>
                        </m:r>
                      </m:e>
                    </m:d>
                  </m:e>
                </m:func>
                <m:r>
                  <w:rPr>
                    <w:rFonts w:ascii="Cambria Math" w:hAnsi="Cambria Math"/>
                  </w:rPr>
                  <m:t xml:space="preserve">= </m:t>
                </m:r>
                <m:sSub>
                  <m:sSubPr>
                    <m:ctrlPr>
                      <w:rPr>
                        <w:rFonts w:ascii="Cambria Math" w:hAnsi="Cambria Math"/>
                        <w:i/>
                      </w:rPr>
                    </m:ctrlPr>
                  </m:sSubPr>
                  <m:e>
                    <m:r>
                      <w:rPr>
                        <w:rFonts w:ascii="Cambria Math" w:hAnsi="Cambria Math"/>
                      </w:rPr>
                      <m:t>τ</m:t>
                    </m:r>
                  </m:e>
                  <m:sub>
                    <m:r>
                      <w:rPr>
                        <w:rFonts w:ascii="Cambria Math" w:hAnsi="Cambria Math"/>
                      </w:rPr>
                      <m:t>o</m:t>
                    </m:r>
                  </m:sub>
                </m:sSub>
                <m:r>
                  <w:rPr>
                    <w:rFonts w:ascii="Cambria Math" w:hAnsi="Cambria Math"/>
                  </w:rPr>
                  <m:t>+</m:t>
                </m:r>
                <m:sSup>
                  <m:sSupPr>
                    <m:ctrlPr>
                      <w:rPr>
                        <w:rFonts w:ascii="Cambria Math" w:hAnsi="Cambria Math"/>
                        <w:i/>
                      </w:rPr>
                    </m:ctrlPr>
                  </m:sSupPr>
                  <m:e>
                    <m:r>
                      <w:rPr>
                        <w:rFonts w:ascii="Cambria Math" w:hAnsi="Cambria Math"/>
                      </w:rPr>
                      <m:t>σ</m:t>
                    </m:r>
                  </m:e>
                  <m:sup>
                    <m:r>
                      <w:rPr>
                        <w:rFonts w:ascii="Cambria Math" w:hAnsi="Cambria Math"/>
                      </w:rPr>
                      <m:t>'</m:t>
                    </m:r>
                  </m:sup>
                </m:sSup>
                <m:r>
                  <w:rPr>
                    <w:rFonts w:ascii="Cambria Math" w:hAnsi="Cambria Math"/>
                  </w:rPr>
                  <m:t>μ</m:t>
                </m:r>
              </m:oMath>
            </m:oMathPara>
          </w:p>
        </w:tc>
        <w:tc>
          <w:tcPr>
            <w:tcW w:w="720" w:type="dxa"/>
            <w:vAlign w:val="bottom"/>
          </w:tcPr>
          <w:p w14:paraId="1EE60E4E" w14:textId="0AA2A599" w:rsidR="00FE241F" w:rsidRPr="00470CB5" w:rsidRDefault="00FE241F" w:rsidP="00BC23AD">
            <w:pPr>
              <w:pStyle w:val="Caption"/>
              <w:rPr>
                <w:i/>
              </w:rPr>
            </w:pPr>
            <w:r>
              <w:t>J.</w:t>
            </w:r>
            <w:r w:rsidR="00077C0B">
              <w:fldChar w:fldCharType="begin"/>
            </w:r>
            <w:r w:rsidR="00077C0B">
              <w:instrText xml:space="preserve"> SEQ Equation \* ARABIC \s 1 </w:instrText>
            </w:r>
            <w:r w:rsidR="00077C0B">
              <w:fldChar w:fldCharType="separate"/>
            </w:r>
            <w:r w:rsidR="0006023A">
              <w:rPr>
                <w:noProof/>
              </w:rPr>
              <w:t>1</w:t>
            </w:r>
            <w:r w:rsidR="00077C0B">
              <w:rPr>
                <w:noProof/>
              </w:rPr>
              <w:fldChar w:fldCharType="end"/>
            </w:r>
          </w:p>
        </w:tc>
      </w:tr>
    </w:tbl>
    <w:p w14:paraId="23655C0D" w14:textId="77777777" w:rsidR="00FE241F" w:rsidRDefault="00FE241F" w:rsidP="00FE241F"/>
    <w:p w14:paraId="02891174" w14:textId="2674E6C7" w:rsidR="00FE241F" w:rsidRDefault="00FE241F" w:rsidP="00FE241F">
      <w:pPr>
        <w:ind w:firstLine="720"/>
      </w:pPr>
      <w:r>
        <w:t xml:space="preserve">The normal and shear effective stresses that cause the failure within the rock are given by </w:t>
      </w:r>
      <w:r w:rsidRPr="00FE241F">
        <w:t xml:space="preserve">Equations J.2 and </w:t>
      </w:r>
      <w:r>
        <w:t xml:space="preserve">J.3, respectively, and illustrated in </w:t>
      </w:r>
      <w:r w:rsidRPr="00FE241F">
        <w:t>Figure J.1</w:t>
      </w:r>
      <w:r>
        <w:t xml:space="preserve">. </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FE241F" w14:paraId="4198BDF1" w14:textId="77777777" w:rsidTr="004B601F">
        <w:trPr>
          <w:trHeight w:val="576"/>
        </w:trPr>
        <w:tc>
          <w:tcPr>
            <w:tcW w:w="720" w:type="dxa"/>
            <w:vAlign w:val="center"/>
          </w:tcPr>
          <w:p w14:paraId="5F6F417E" w14:textId="501FE655" w:rsidR="00FE241F" w:rsidRDefault="00FE241F" w:rsidP="004B601F">
            <w:pPr>
              <w:spacing w:line="240" w:lineRule="auto"/>
              <w:jc w:val="center"/>
            </w:pPr>
          </w:p>
        </w:tc>
        <w:tc>
          <w:tcPr>
            <w:tcW w:w="7920" w:type="dxa"/>
            <w:vAlign w:val="center"/>
          </w:tcPr>
          <w:p w14:paraId="4A305B03" w14:textId="77777777" w:rsidR="00FE241F" w:rsidRPr="00162E27" w:rsidRDefault="00077C0B" w:rsidP="004B601F">
            <w:pPr>
              <w:spacing w:line="240" w:lineRule="auto"/>
              <w:jc w:val="center"/>
              <w:rPr>
                <w:rFonts w:ascii="Cambria Math" w:hAnsi="Cambria Math"/>
              </w:rPr>
            </w:pPr>
            <m:oMathPara>
              <m:oMath>
                <m:sSup>
                  <m:sSupPr>
                    <m:ctrlPr>
                      <w:rPr>
                        <w:rFonts w:ascii="Cambria Math" w:hAnsi="Cambria Math"/>
                        <w:i/>
                      </w:rPr>
                    </m:ctrlPr>
                  </m:sSupPr>
                  <m:e>
                    <m:r>
                      <w:rPr>
                        <w:rFonts w:ascii="Cambria Math" w:hAnsi="Cambria Math"/>
                      </w:rPr>
                      <m:t>σ</m:t>
                    </m:r>
                  </m:e>
                  <m:sup>
                    <m:r>
                      <w:rPr>
                        <w:rFonts w:ascii="Cambria Math" w:hAnsi="Cambria Math"/>
                      </w:rPr>
                      <m:t>'</m:t>
                    </m:r>
                  </m:sup>
                </m:s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d>
                  <m:dPr>
                    <m:ctrlPr>
                      <w:rPr>
                        <w:rFonts w:ascii="Cambria Math" w:hAnsi="Cambria Math"/>
                        <w:i/>
                      </w:rPr>
                    </m:ctrlPr>
                  </m:dPr>
                  <m:e>
                    <m:sSubSup>
                      <m:sSubSupPr>
                        <m:ctrlPr>
                          <w:rPr>
                            <w:rFonts w:ascii="Cambria Math" w:hAnsi="Cambria Math"/>
                            <w:i/>
                          </w:rPr>
                        </m:ctrlPr>
                      </m:sSubSupPr>
                      <m:e>
                        <m:r>
                          <w:rPr>
                            <w:rFonts w:ascii="Cambria Math" w:hAnsi="Cambria Math"/>
                          </w:rPr>
                          <m:t>σ</m:t>
                        </m:r>
                      </m:e>
                      <m:sub>
                        <m:r>
                          <w:rPr>
                            <w:rFonts w:ascii="Cambria Math" w:hAnsi="Cambria Math"/>
                          </w:rPr>
                          <m:t>1</m:t>
                        </m:r>
                      </m:sub>
                      <m:sup>
                        <m:r>
                          <w:rPr>
                            <w:rFonts w:ascii="Cambria Math" w:hAnsi="Cambria Math"/>
                          </w:rPr>
                          <m:t>'</m:t>
                        </m:r>
                      </m:sup>
                    </m:sSubSup>
                    <m:r>
                      <w:rPr>
                        <w:rFonts w:ascii="Cambria Math" w:hAnsi="Cambria Math"/>
                      </w:rPr>
                      <m:t xml:space="preserve">+ </m:t>
                    </m:r>
                    <m:sSubSup>
                      <m:sSubSupPr>
                        <m:ctrlPr>
                          <w:rPr>
                            <w:rFonts w:ascii="Cambria Math" w:hAnsi="Cambria Math"/>
                            <w:i/>
                          </w:rPr>
                        </m:ctrlPr>
                      </m:sSubSupPr>
                      <m:e>
                        <m:r>
                          <w:rPr>
                            <w:rFonts w:ascii="Cambria Math" w:hAnsi="Cambria Math"/>
                          </w:rPr>
                          <m:t>σ</m:t>
                        </m:r>
                      </m:e>
                      <m:sub>
                        <m:r>
                          <w:rPr>
                            <w:rFonts w:ascii="Cambria Math" w:hAnsi="Cambria Math"/>
                          </w:rPr>
                          <m:t>3</m:t>
                        </m:r>
                      </m:sub>
                      <m:sup>
                        <m:r>
                          <w:rPr>
                            <w:rFonts w:ascii="Cambria Math" w:hAnsi="Cambria Math"/>
                          </w:rPr>
                          <m:t>'</m:t>
                        </m:r>
                      </m:sup>
                    </m:sSubSup>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d>
                  <m:dPr>
                    <m:ctrlPr>
                      <w:rPr>
                        <w:rFonts w:ascii="Cambria Math" w:hAnsi="Cambria Math"/>
                        <w:i/>
                      </w:rPr>
                    </m:ctrlPr>
                  </m:dPr>
                  <m:e>
                    <m:sSubSup>
                      <m:sSubSupPr>
                        <m:ctrlPr>
                          <w:rPr>
                            <w:rFonts w:ascii="Cambria Math" w:hAnsi="Cambria Math"/>
                            <w:i/>
                          </w:rPr>
                        </m:ctrlPr>
                      </m:sSubSupPr>
                      <m:e>
                        <m:r>
                          <w:rPr>
                            <w:rFonts w:ascii="Cambria Math" w:hAnsi="Cambria Math"/>
                          </w:rPr>
                          <m:t>σ</m:t>
                        </m:r>
                      </m:e>
                      <m:sub>
                        <m:r>
                          <w:rPr>
                            <w:rFonts w:ascii="Cambria Math" w:hAnsi="Cambria Math"/>
                          </w:rPr>
                          <m:t>1</m:t>
                        </m:r>
                      </m:sub>
                      <m:sup>
                        <m:r>
                          <w:rPr>
                            <w:rFonts w:ascii="Cambria Math" w:hAnsi="Cambria Math"/>
                          </w:rPr>
                          <m:t>'</m:t>
                        </m:r>
                      </m:sup>
                    </m:sSubSup>
                    <m:r>
                      <w:rPr>
                        <w:rFonts w:ascii="Cambria Math" w:hAnsi="Cambria Math"/>
                      </w:rPr>
                      <m:t xml:space="preserve">- </m:t>
                    </m:r>
                    <m:sSubSup>
                      <m:sSubSupPr>
                        <m:ctrlPr>
                          <w:rPr>
                            <w:rFonts w:ascii="Cambria Math" w:hAnsi="Cambria Math"/>
                            <w:i/>
                          </w:rPr>
                        </m:ctrlPr>
                      </m:sSubSupPr>
                      <m:e>
                        <m:r>
                          <w:rPr>
                            <w:rFonts w:ascii="Cambria Math" w:hAnsi="Cambria Math"/>
                          </w:rPr>
                          <m:t>σ</m:t>
                        </m:r>
                      </m:e>
                      <m:sub>
                        <m:r>
                          <w:rPr>
                            <w:rFonts w:ascii="Cambria Math" w:hAnsi="Cambria Math"/>
                          </w:rPr>
                          <m:t>3</m:t>
                        </m:r>
                      </m:sub>
                      <m:sup>
                        <m:r>
                          <w:rPr>
                            <w:rFonts w:ascii="Cambria Math" w:hAnsi="Cambria Math"/>
                          </w:rPr>
                          <m:t>'</m:t>
                        </m:r>
                      </m:sup>
                    </m:sSubSup>
                  </m:e>
                </m:d>
                <m:r>
                  <w:rPr>
                    <w:rFonts w:ascii="Cambria Math" w:hAnsi="Cambria Math"/>
                  </w:rPr>
                  <m:t>cos2β</m:t>
                </m:r>
              </m:oMath>
            </m:oMathPara>
          </w:p>
        </w:tc>
        <w:tc>
          <w:tcPr>
            <w:tcW w:w="720" w:type="dxa"/>
            <w:vAlign w:val="bottom"/>
          </w:tcPr>
          <w:p w14:paraId="3C206392" w14:textId="32E27321" w:rsidR="00FE241F" w:rsidRPr="00470CB5" w:rsidRDefault="00FE241F" w:rsidP="00BC23AD">
            <w:pPr>
              <w:pStyle w:val="Caption"/>
              <w:rPr>
                <w:i/>
              </w:rPr>
            </w:pPr>
            <w:r>
              <w:t>J.</w:t>
            </w:r>
            <w:r w:rsidR="00077C0B">
              <w:fldChar w:fldCharType="begin"/>
            </w:r>
            <w:r w:rsidR="00077C0B">
              <w:instrText xml:space="preserve"> SEQ Equation \* ARABIC \s 1 </w:instrText>
            </w:r>
            <w:r w:rsidR="00077C0B">
              <w:fldChar w:fldCharType="separate"/>
            </w:r>
            <w:r w:rsidR="0006023A">
              <w:rPr>
                <w:noProof/>
              </w:rPr>
              <w:t>2</w:t>
            </w:r>
            <w:r w:rsidR="00077C0B">
              <w:rPr>
                <w:noProof/>
              </w:rPr>
              <w:fldChar w:fldCharType="end"/>
            </w:r>
          </w:p>
        </w:tc>
      </w:tr>
    </w:tbl>
    <w:p w14:paraId="1BBBA197" w14:textId="77777777" w:rsidR="00FE241F" w:rsidRDefault="00FE241F" w:rsidP="00FE241F"/>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FE241F" w14:paraId="4A97F23E" w14:textId="77777777" w:rsidTr="004B601F">
        <w:trPr>
          <w:trHeight w:val="576"/>
        </w:trPr>
        <w:tc>
          <w:tcPr>
            <w:tcW w:w="720" w:type="dxa"/>
            <w:vAlign w:val="center"/>
          </w:tcPr>
          <w:p w14:paraId="0832EBEF" w14:textId="720B0073" w:rsidR="00FE241F" w:rsidRDefault="00FE241F" w:rsidP="004B601F">
            <w:pPr>
              <w:spacing w:line="240" w:lineRule="auto"/>
              <w:jc w:val="center"/>
            </w:pPr>
          </w:p>
        </w:tc>
        <w:tc>
          <w:tcPr>
            <w:tcW w:w="7920" w:type="dxa"/>
            <w:vAlign w:val="center"/>
          </w:tcPr>
          <w:p w14:paraId="2491EDA4" w14:textId="77777777" w:rsidR="00FE241F" w:rsidRPr="00162E27" w:rsidRDefault="00077C0B" w:rsidP="004B601F">
            <w:pPr>
              <w:spacing w:line="240" w:lineRule="auto"/>
              <w:jc w:val="center"/>
              <w:rPr>
                <w:rFonts w:ascii="Cambria Math" w:hAnsi="Cambria Math"/>
              </w:rPr>
            </w:pPr>
            <m:oMathPara>
              <m:oMath>
                <m:sSup>
                  <m:sSupPr>
                    <m:ctrlPr>
                      <w:rPr>
                        <w:rFonts w:ascii="Cambria Math" w:hAnsi="Cambria Math"/>
                        <w:i/>
                      </w:rPr>
                    </m:ctrlPr>
                  </m:sSupPr>
                  <m:e>
                    <m:r>
                      <w:rPr>
                        <w:rFonts w:ascii="Cambria Math" w:hAnsi="Cambria Math"/>
                      </w:rPr>
                      <m:t>τ</m:t>
                    </m:r>
                  </m:e>
                  <m:sup>
                    <m:r>
                      <w:rPr>
                        <w:rFonts w:ascii="Cambria Math" w:hAnsi="Cambria Math"/>
                      </w:rPr>
                      <m:t>'</m:t>
                    </m:r>
                  </m:sup>
                </m:s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d>
                  <m:dPr>
                    <m:ctrlPr>
                      <w:rPr>
                        <w:rFonts w:ascii="Cambria Math" w:hAnsi="Cambria Math"/>
                        <w:i/>
                      </w:rPr>
                    </m:ctrlPr>
                  </m:dPr>
                  <m:e>
                    <m:sSubSup>
                      <m:sSubSupPr>
                        <m:ctrlPr>
                          <w:rPr>
                            <w:rFonts w:ascii="Cambria Math" w:hAnsi="Cambria Math"/>
                            <w:i/>
                          </w:rPr>
                        </m:ctrlPr>
                      </m:sSubSupPr>
                      <m:e>
                        <m:r>
                          <w:rPr>
                            <w:rFonts w:ascii="Cambria Math" w:hAnsi="Cambria Math"/>
                          </w:rPr>
                          <m:t>σ</m:t>
                        </m:r>
                      </m:e>
                      <m:sub>
                        <m:r>
                          <w:rPr>
                            <w:rFonts w:ascii="Cambria Math" w:hAnsi="Cambria Math"/>
                          </w:rPr>
                          <m:t>1</m:t>
                        </m:r>
                      </m:sub>
                      <m:sup>
                        <m:r>
                          <w:rPr>
                            <w:rFonts w:ascii="Cambria Math" w:hAnsi="Cambria Math"/>
                          </w:rPr>
                          <m:t>'</m:t>
                        </m:r>
                      </m:sup>
                    </m:sSubSup>
                    <m:r>
                      <w:rPr>
                        <w:rFonts w:ascii="Cambria Math" w:hAnsi="Cambria Math"/>
                      </w:rPr>
                      <m:t xml:space="preserve">- </m:t>
                    </m:r>
                    <m:sSubSup>
                      <m:sSubSupPr>
                        <m:ctrlPr>
                          <w:rPr>
                            <w:rFonts w:ascii="Cambria Math" w:hAnsi="Cambria Math"/>
                            <w:i/>
                          </w:rPr>
                        </m:ctrlPr>
                      </m:sSubSupPr>
                      <m:e>
                        <m:r>
                          <w:rPr>
                            <w:rFonts w:ascii="Cambria Math" w:hAnsi="Cambria Math"/>
                          </w:rPr>
                          <m:t>σ</m:t>
                        </m:r>
                      </m:e>
                      <m:sub>
                        <m:r>
                          <w:rPr>
                            <w:rFonts w:ascii="Cambria Math" w:hAnsi="Cambria Math"/>
                          </w:rPr>
                          <m:t>3</m:t>
                        </m:r>
                      </m:sub>
                      <m:sup>
                        <m:r>
                          <w:rPr>
                            <w:rFonts w:ascii="Cambria Math" w:hAnsi="Cambria Math"/>
                          </w:rPr>
                          <m:t>'</m:t>
                        </m:r>
                      </m:sup>
                    </m:sSubSup>
                  </m:e>
                </m:d>
                <m:r>
                  <w:rPr>
                    <w:rFonts w:ascii="Cambria Math" w:hAnsi="Cambria Math"/>
                  </w:rPr>
                  <m:t>sin2β</m:t>
                </m:r>
              </m:oMath>
            </m:oMathPara>
          </w:p>
        </w:tc>
        <w:tc>
          <w:tcPr>
            <w:tcW w:w="720" w:type="dxa"/>
            <w:vAlign w:val="bottom"/>
          </w:tcPr>
          <w:p w14:paraId="0D5680CD" w14:textId="157C9FCB" w:rsidR="00FE241F" w:rsidRPr="00470CB5" w:rsidRDefault="00FE241F" w:rsidP="00BC23AD">
            <w:pPr>
              <w:pStyle w:val="Caption"/>
              <w:rPr>
                <w:i/>
              </w:rPr>
            </w:pPr>
            <w:r>
              <w:t>J.</w:t>
            </w:r>
            <w:r w:rsidR="00077C0B">
              <w:fldChar w:fldCharType="begin"/>
            </w:r>
            <w:r w:rsidR="00077C0B">
              <w:instrText xml:space="preserve"> SEQ Equation \* ARABIC \s 1 </w:instrText>
            </w:r>
            <w:r w:rsidR="00077C0B">
              <w:fldChar w:fldCharType="separate"/>
            </w:r>
            <w:r w:rsidR="0006023A">
              <w:rPr>
                <w:noProof/>
              </w:rPr>
              <w:t>3</w:t>
            </w:r>
            <w:r w:rsidR="00077C0B">
              <w:rPr>
                <w:noProof/>
              </w:rPr>
              <w:fldChar w:fldCharType="end"/>
            </w:r>
          </w:p>
        </w:tc>
      </w:tr>
    </w:tbl>
    <w:p w14:paraId="42351016" w14:textId="77777777" w:rsidR="00FE241F" w:rsidRDefault="00FE241F" w:rsidP="00FE241F"/>
    <w:p w14:paraId="08B6F47C" w14:textId="77777777" w:rsidR="00FE241F" w:rsidRDefault="00FE241F" w:rsidP="00BC23AD">
      <w:pPr>
        <w:pStyle w:val="NoSpacing"/>
      </w:pPr>
      <w:r w:rsidRPr="001E64C9">
        <w:rPr>
          <w:noProof/>
        </w:rPr>
        <w:lastRenderedPageBreak/>
        <w:drawing>
          <wp:inline distT="0" distB="0" distL="0" distR="0" wp14:anchorId="7CEDE777" wp14:editId="4DD5CD18">
            <wp:extent cx="5029200" cy="2472113"/>
            <wp:effectExtent l="0" t="0" r="0" b="444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5029200" cy="2472113"/>
                    </a:xfrm>
                    <a:prstGeom prst="rect">
                      <a:avLst/>
                    </a:prstGeom>
                    <a:noFill/>
                  </pic:spPr>
                </pic:pic>
              </a:graphicData>
            </a:graphic>
          </wp:inline>
        </w:drawing>
      </w:r>
    </w:p>
    <w:p w14:paraId="6DCE0060" w14:textId="5D50C590" w:rsidR="00FE241F" w:rsidRDefault="00FE241F" w:rsidP="00BC23AD">
      <w:pPr>
        <w:pStyle w:val="Caption"/>
      </w:pPr>
      <w:r>
        <w:t>Figure J.1: A) Mohr-Coulomb failure criteria of a cylindrical sample. B) Mohr circle depicting the failure criteria.</w:t>
      </w:r>
    </w:p>
    <w:p w14:paraId="12F16015" w14:textId="68451D12" w:rsidR="00FE241F" w:rsidRDefault="00FE241F" w:rsidP="00FE241F">
      <w:r>
        <w:tab/>
      </w:r>
      <w:r w:rsidRPr="00162E27">
        <w:t>The rock is in shear failure if (</w:t>
      </w:r>
      <m:oMath>
        <m:sSup>
          <m:sSupPr>
            <m:ctrlPr>
              <w:rPr>
                <w:rFonts w:ascii="Cambria Math" w:hAnsi="Cambria Math"/>
                <w:i/>
              </w:rPr>
            </m:ctrlPr>
          </m:sSupPr>
          <m:e>
            <m:r>
              <w:rPr>
                <w:rFonts w:ascii="Cambria Math" w:hAnsi="Cambria Math"/>
              </w:rPr>
              <m:t>σ</m:t>
            </m:r>
          </m:e>
          <m:sup>
            <m:r>
              <w:rPr>
                <w:rFonts w:ascii="Cambria Math" w:hAnsi="Cambria Math"/>
              </w:rPr>
              <m:t>'</m:t>
            </m:r>
          </m:sup>
        </m:sSup>
      </m:oMath>
      <w:r w:rsidRPr="00162E27">
        <w:t xml:space="preserve">, </w:t>
      </w:r>
      <m:oMath>
        <m:sSup>
          <m:sSupPr>
            <m:ctrlPr>
              <w:rPr>
                <w:rFonts w:ascii="Cambria Math" w:hAnsi="Cambria Math"/>
                <w:i/>
              </w:rPr>
            </m:ctrlPr>
          </m:sSupPr>
          <m:e>
            <m:r>
              <w:rPr>
                <w:rFonts w:ascii="Cambria Math" w:hAnsi="Cambria Math"/>
              </w:rPr>
              <m:t>τ</m:t>
            </m:r>
          </m:e>
          <m:sup>
            <m:r>
              <w:rPr>
                <w:rFonts w:ascii="Cambria Math" w:hAnsi="Cambria Math"/>
              </w:rPr>
              <m:t>'</m:t>
            </m:r>
          </m:sup>
        </m:sSup>
      </m:oMath>
      <w:r w:rsidRPr="00162E27">
        <w:t xml:space="preserve">) touches or crosses the failure line, </w:t>
      </w:r>
      <m:oMath>
        <m:sSub>
          <m:sSubPr>
            <m:ctrlPr>
              <w:rPr>
                <w:rFonts w:ascii="Cambria Math" w:hAnsi="Cambria Math"/>
                <w:i/>
              </w:rPr>
            </m:ctrlPr>
          </m:sSubPr>
          <m:e>
            <m:r>
              <w:rPr>
                <w:rFonts w:ascii="Cambria Math" w:hAnsi="Cambria Math"/>
              </w:rPr>
              <m:t>τ</m:t>
            </m:r>
          </m:e>
          <m:sub>
            <m:r>
              <w:rPr>
                <w:rFonts w:ascii="Cambria Math" w:hAnsi="Cambria Math"/>
              </w:rPr>
              <m:t>f</m:t>
            </m:r>
          </m:sub>
        </m:sSub>
      </m:oMath>
      <w:r w:rsidRPr="00162E27">
        <w:t>.  The rock is in tensile failure if (</w:t>
      </w:r>
      <m:oMath>
        <m:sSup>
          <m:sSupPr>
            <m:ctrlPr>
              <w:rPr>
                <w:rFonts w:ascii="Cambria Math" w:hAnsi="Cambria Math"/>
                <w:i/>
              </w:rPr>
            </m:ctrlPr>
          </m:sSupPr>
          <m:e>
            <m:r>
              <w:rPr>
                <w:rFonts w:ascii="Cambria Math" w:hAnsi="Cambria Math"/>
              </w:rPr>
              <m:t>σ</m:t>
            </m:r>
          </m:e>
          <m:sup>
            <m:r>
              <w:rPr>
                <w:rFonts w:ascii="Cambria Math" w:hAnsi="Cambria Math"/>
              </w:rPr>
              <m:t>'</m:t>
            </m:r>
          </m:sup>
        </m:sSup>
      </m:oMath>
      <w:r w:rsidRPr="00162E27">
        <w:t xml:space="preserve">, </w:t>
      </w:r>
      <m:oMath>
        <m:sSup>
          <m:sSupPr>
            <m:ctrlPr>
              <w:rPr>
                <w:rFonts w:ascii="Cambria Math" w:hAnsi="Cambria Math"/>
                <w:i/>
              </w:rPr>
            </m:ctrlPr>
          </m:sSupPr>
          <m:e>
            <m:r>
              <w:rPr>
                <w:rFonts w:ascii="Cambria Math" w:hAnsi="Cambria Math"/>
              </w:rPr>
              <m:t>τ</m:t>
            </m:r>
          </m:e>
          <m:sup>
            <m:r>
              <w:rPr>
                <w:rFonts w:ascii="Cambria Math" w:hAnsi="Cambria Math"/>
              </w:rPr>
              <m:t>'</m:t>
            </m:r>
          </m:sup>
        </m:sSup>
      </m:oMath>
      <w:r w:rsidRPr="00162E27">
        <w:t>) touches or crosses the shear (</w:t>
      </w:r>
      <m:oMath>
        <m:sSup>
          <m:sSupPr>
            <m:ctrlPr>
              <w:rPr>
                <w:rFonts w:ascii="Cambria Math" w:hAnsi="Cambria Math"/>
                <w:i/>
              </w:rPr>
            </m:ctrlPr>
          </m:sSupPr>
          <m:e>
            <m:r>
              <w:rPr>
                <w:rFonts w:ascii="Cambria Math" w:hAnsi="Cambria Math"/>
              </w:rPr>
              <m:t>τ</m:t>
            </m:r>
          </m:e>
          <m:sup>
            <m:r>
              <w:rPr>
                <w:rFonts w:ascii="Cambria Math" w:hAnsi="Cambria Math"/>
              </w:rPr>
              <m:t>'</m:t>
            </m:r>
          </m:sup>
        </m:sSup>
      </m:oMath>
      <w:r>
        <w:t xml:space="preserve">) axis. </w:t>
      </w:r>
      <w:r w:rsidRPr="00162E27">
        <w:t xml:space="preserve">The concept of shear and tensile failure is illustrated in </w:t>
      </w:r>
      <w:r>
        <w:t xml:space="preserve">Figure J.2. </w:t>
      </w:r>
    </w:p>
    <w:p w14:paraId="50FFCD2F" w14:textId="77777777" w:rsidR="00FE241F" w:rsidRDefault="00FE241F" w:rsidP="00BC23AD">
      <w:pPr>
        <w:pStyle w:val="NoSpacing"/>
      </w:pPr>
      <w:r w:rsidRPr="001E64C9">
        <w:rPr>
          <w:noProof/>
        </w:rPr>
        <w:drawing>
          <wp:inline distT="0" distB="0" distL="0" distR="0" wp14:anchorId="1E29FE24" wp14:editId="4C077E8C">
            <wp:extent cx="2743200" cy="3741331"/>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2743200" cy="3741331"/>
                    </a:xfrm>
                    <a:prstGeom prst="rect">
                      <a:avLst/>
                    </a:prstGeom>
                    <a:noFill/>
                  </pic:spPr>
                </pic:pic>
              </a:graphicData>
            </a:graphic>
          </wp:inline>
        </w:drawing>
      </w:r>
    </w:p>
    <w:p w14:paraId="006F6FD3" w14:textId="66786480" w:rsidR="00FE241F" w:rsidRDefault="00FE241F" w:rsidP="00BC23AD">
      <w:pPr>
        <w:pStyle w:val="Caption"/>
      </w:pPr>
      <w:r>
        <w:t xml:space="preserve">Figure J.2: Illustration showing tensile and shear failure. </w:t>
      </w:r>
    </w:p>
    <w:p w14:paraId="1537DD1B" w14:textId="090B4E29" w:rsidR="00FE241F" w:rsidRDefault="00FE241F">
      <w:pPr>
        <w:spacing w:after="160" w:line="259" w:lineRule="auto"/>
        <w:jc w:val="left"/>
      </w:pPr>
      <w:r>
        <w:br w:type="page"/>
      </w:r>
    </w:p>
    <w:p w14:paraId="5CEC3051" w14:textId="0C431837" w:rsidR="00FE241F" w:rsidRDefault="0081664B" w:rsidP="00FE241F">
      <w:pPr>
        <w:pStyle w:val="Heading1"/>
        <w:numPr>
          <w:ilvl w:val="0"/>
          <w:numId w:val="0"/>
        </w:numPr>
      </w:pPr>
      <w:bookmarkStart w:id="187" w:name="_Toc67566082"/>
      <w:r>
        <w:lastRenderedPageBreak/>
        <w:t>Appendix K</w:t>
      </w:r>
      <w:r w:rsidR="00FE241F">
        <w:t xml:space="preserve">: </w:t>
      </w:r>
      <w:r>
        <w:t>Finite Element Model Theory</w:t>
      </w:r>
      <w:bookmarkEnd w:id="187"/>
    </w:p>
    <w:p w14:paraId="2B62B35E" w14:textId="77777777" w:rsidR="0081664B" w:rsidRPr="001C7A3E" w:rsidRDefault="0081664B" w:rsidP="0081664B">
      <w:pPr>
        <w:ind w:firstLine="720"/>
      </w:pPr>
      <w:r w:rsidRPr="001C7A3E">
        <w:t xml:space="preserve">Finite element modeling is defined as the “Process of finding the responses of a problem domain subject to some environmental conditions” (Lee 2017). In which the domain are the bodies being modeled (solids, surfaces, or lines), the environmental conditions are the boundary conditions (loads and supports), and the responses are the displacements, stresses, or strains. Fundamental discussion and the relationship between displacements, stresses, and strains is discussed in Appendix A. </w:t>
      </w:r>
    </w:p>
    <w:p w14:paraId="0487D4C0" w14:textId="77777777" w:rsidR="0081664B" w:rsidRPr="001C7A3E" w:rsidRDefault="0081664B" w:rsidP="0081664B">
      <w:pPr>
        <w:ind w:firstLine="720"/>
      </w:pPr>
      <w:r w:rsidRPr="001C7A3E">
        <w:t xml:space="preserve">For a body in finite element modeling, there are 15 variables that describe a body: 3 displacements, 6 stresses, and 6 strains. For the 15 variables, 15 governing equations exist: 3 equilibrium (displacement) relations, 6 strain-displacement relations, and 6 stress-strain relations. </w:t>
      </w:r>
    </w:p>
    <w:p w14:paraId="69F974AF" w14:textId="30465A03" w:rsidR="0081664B" w:rsidRPr="001C7A3E" w:rsidRDefault="0081664B" w:rsidP="0081664B">
      <w:pPr>
        <w:ind w:firstLine="720"/>
      </w:pPr>
      <w:r w:rsidRPr="001C7A3E">
        <w:t xml:space="preserve">The equilibrium equations sum down to a general form shown in Equation </w:t>
      </w:r>
      <w:r w:rsidR="001C7A3E" w:rsidRPr="001C7A3E">
        <w:t>K.1</w:t>
      </w:r>
      <w:r w:rsidRPr="001C7A3E">
        <w:t xml:space="preserve"> in which the sum of all forces equals zero in all three directions.</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81664B" w:rsidRPr="001C7A3E" w14:paraId="4705F8FC" w14:textId="77777777" w:rsidTr="007E7362">
        <w:trPr>
          <w:trHeight w:val="576"/>
        </w:trPr>
        <w:tc>
          <w:tcPr>
            <w:tcW w:w="720" w:type="dxa"/>
            <w:vAlign w:val="center"/>
          </w:tcPr>
          <w:p w14:paraId="21FE3A7D" w14:textId="33D8050C" w:rsidR="0081664B" w:rsidRPr="001C7A3E" w:rsidRDefault="0081664B" w:rsidP="007E7362">
            <w:pPr>
              <w:spacing w:line="240" w:lineRule="auto"/>
              <w:jc w:val="center"/>
            </w:pPr>
          </w:p>
        </w:tc>
        <w:tc>
          <w:tcPr>
            <w:tcW w:w="7920" w:type="dxa"/>
            <w:vAlign w:val="center"/>
          </w:tcPr>
          <w:p w14:paraId="311689E1" w14:textId="77777777" w:rsidR="0081664B" w:rsidRPr="001C7A3E" w:rsidRDefault="00077C0B" w:rsidP="007E7362">
            <w:pPr>
              <w:spacing w:line="240" w:lineRule="auto"/>
              <w:jc w:val="center"/>
              <w:rPr>
                <w:rFonts w:eastAsiaTheme="minorEastAsia"/>
              </w:rPr>
            </w:pPr>
            <m:oMathPara>
              <m:oMath>
                <m:nary>
                  <m:naryPr>
                    <m:chr m:val="∑"/>
                    <m:subHide m:val="1"/>
                    <m:supHide m:val="1"/>
                    <m:ctrlPr>
                      <w:rPr>
                        <w:rFonts w:ascii="Cambria Math" w:hAnsi="Cambria Math"/>
                        <w:i/>
                        <w:iCs/>
                      </w:rPr>
                    </m:ctrlPr>
                  </m:naryPr>
                  <m:sub/>
                  <m:sup/>
                  <m:e>
                    <m:sSub>
                      <m:sSubPr>
                        <m:ctrlPr>
                          <w:rPr>
                            <w:rFonts w:ascii="Cambria Math" w:hAnsi="Cambria Math"/>
                            <w:i/>
                            <w:iCs/>
                          </w:rPr>
                        </m:ctrlPr>
                      </m:sSubPr>
                      <m:e>
                        <m:r>
                          <w:rPr>
                            <w:rFonts w:ascii="Cambria Math" w:hAnsi="Cambria Math"/>
                          </w:rPr>
                          <m:t>F</m:t>
                        </m:r>
                      </m:e>
                      <m:sub>
                        <m:r>
                          <w:rPr>
                            <w:rFonts w:ascii="Cambria Math" w:hAnsi="Cambria Math"/>
                          </w:rPr>
                          <m:t>x</m:t>
                        </m:r>
                      </m:sub>
                    </m:sSub>
                    <m:r>
                      <w:rPr>
                        <w:rFonts w:ascii="Cambria Math" w:hAnsi="Cambria Math"/>
                      </w:rPr>
                      <m:t>=0, </m:t>
                    </m:r>
                  </m:e>
                </m:nary>
                <m:nary>
                  <m:naryPr>
                    <m:chr m:val="∑"/>
                    <m:subHide m:val="1"/>
                    <m:supHide m:val="1"/>
                    <m:ctrlPr>
                      <w:rPr>
                        <w:rFonts w:ascii="Cambria Math" w:hAnsi="Cambria Math"/>
                        <w:i/>
                        <w:iCs/>
                      </w:rPr>
                    </m:ctrlPr>
                  </m:naryPr>
                  <m:sub/>
                  <m:sup/>
                  <m:e>
                    <m:sSub>
                      <m:sSubPr>
                        <m:ctrlPr>
                          <w:rPr>
                            <w:rFonts w:ascii="Cambria Math" w:hAnsi="Cambria Math"/>
                            <w:i/>
                            <w:iCs/>
                          </w:rPr>
                        </m:ctrlPr>
                      </m:sSubPr>
                      <m:e>
                        <m:r>
                          <w:rPr>
                            <w:rFonts w:ascii="Cambria Math" w:hAnsi="Cambria Math"/>
                          </w:rPr>
                          <m:t>F</m:t>
                        </m:r>
                      </m:e>
                      <m:sub>
                        <m:r>
                          <w:rPr>
                            <w:rFonts w:ascii="Cambria Math" w:hAnsi="Cambria Math"/>
                          </w:rPr>
                          <m:t>y</m:t>
                        </m:r>
                      </m:sub>
                    </m:sSub>
                    <m:r>
                      <w:rPr>
                        <w:rFonts w:ascii="Cambria Math" w:hAnsi="Cambria Math"/>
                      </w:rPr>
                      <m:t>=0, </m:t>
                    </m:r>
                  </m:e>
                </m:nary>
                <m:nary>
                  <m:naryPr>
                    <m:chr m:val="∑"/>
                    <m:subHide m:val="1"/>
                    <m:supHide m:val="1"/>
                    <m:ctrlPr>
                      <w:rPr>
                        <w:rFonts w:ascii="Cambria Math" w:hAnsi="Cambria Math"/>
                        <w:i/>
                        <w:iCs/>
                      </w:rPr>
                    </m:ctrlPr>
                  </m:naryPr>
                  <m:sub/>
                  <m:sup/>
                  <m:e>
                    <m:sSub>
                      <m:sSubPr>
                        <m:ctrlPr>
                          <w:rPr>
                            <w:rFonts w:ascii="Cambria Math" w:hAnsi="Cambria Math"/>
                            <w:i/>
                            <w:iCs/>
                          </w:rPr>
                        </m:ctrlPr>
                      </m:sSubPr>
                      <m:e>
                        <m:r>
                          <w:rPr>
                            <w:rFonts w:ascii="Cambria Math" w:hAnsi="Cambria Math"/>
                          </w:rPr>
                          <m:t>F</m:t>
                        </m:r>
                      </m:e>
                      <m:sub>
                        <m:r>
                          <w:rPr>
                            <w:rFonts w:ascii="Cambria Math" w:hAnsi="Cambria Math"/>
                          </w:rPr>
                          <m:t>z</m:t>
                        </m:r>
                      </m:sub>
                    </m:sSub>
                    <m:r>
                      <w:rPr>
                        <w:rFonts w:ascii="Cambria Math" w:hAnsi="Cambria Math"/>
                      </w:rPr>
                      <m:t>=0</m:t>
                    </m:r>
                  </m:e>
                </m:nary>
              </m:oMath>
            </m:oMathPara>
          </w:p>
        </w:tc>
        <w:tc>
          <w:tcPr>
            <w:tcW w:w="720" w:type="dxa"/>
            <w:vAlign w:val="bottom"/>
          </w:tcPr>
          <w:p w14:paraId="48B4469E" w14:textId="6AB8AD17" w:rsidR="0081664B" w:rsidRPr="001C7A3E" w:rsidRDefault="001C7A3E" w:rsidP="00BC23AD">
            <w:pPr>
              <w:pStyle w:val="Caption"/>
              <w:rPr>
                <w:i/>
              </w:rPr>
            </w:pPr>
            <w:r w:rsidRPr="001C7A3E">
              <w:t>K</w:t>
            </w:r>
            <w:r w:rsidR="0081664B" w:rsidRPr="001C7A3E">
              <w:t>.</w:t>
            </w:r>
            <w:r w:rsidR="00077C0B">
              <w:fldChar w:fldCharType="begin"/>
            </w:r>
            <w:r w:rsidR="00077C0B">
              <w:instrText xml:space="preserve"> SEQ Equation \* ARABIC \s 1 </w:instrText>
            </w:r>
            <w:r w:rsidR="00077C0B">
              <w:fldChar w:fldCharType="separate"/>
            </w:r>
            <w:r w:rsidR="0006023A">
              <w:rPr>
                <w:noProof/>
              </w:rPr>
              <w:t>1</w:t>
            </w:r>
            <w:r w:rsidR="00077C0B">
              <w:rPr>
                <w:noProof/>
              </w:rPr>
              <w:fldChar w:fldCharType="end"/>
            </w:r>
          </w:p>
        </w:tc>
      </w:tr>
    </w:tbl>
    <w:p w14:paraId="4B2DB05E" w14:textId="77777777" w:rsidR="0081664B" w:rsidRPr="001C7A3E" w:rsidRDefault="0081664B" w:rsidP="0081664B">
      <w:pPr>
        <w:ind w:firstLine="720"/>
      </w:pPr>
    </w:p>
    <w:p w14:paraId="32D3D14D" w14:textId="0B3E6D39" w:rsidR="0081664B" w:rsidRPr="001C7A3E" w:rsidRDefault="0081664B" w:rsidP="0081664B">
      <w:pPr>
        <w:ind w:firstLine="720"/>
      </w:pPr>
      <w:r w:rsidRPr="001C7A3E">
        <w:t xml:space="preserve">The expanded for of the equilibrium equations is shown in Equations </w:t>
      </w:r>
      <w:r w:rsidR="001C7A3E" w:rsidRPr="001C7A3E">
        <w:t>K.2-K.7</w:t>
      </w:r>
      <w:r w:rsidRPr="001C7A3E">
        <w:t xml:space="preserve">. Note that there are only 3 equilibrium equations. The first 3 (Equations </w:t>
      </w:r>
      <w:r w:rsidR="001C7A3E" w:rsidRPr="001C7A3E">
        <w:t>K.2, K.3, and K.4</w:t>
      </w:r>
      <w:r w:rsidRPr="001C7A3E">
        <w:t xml:space="preserve">) apply if the forces are inside the structural body. If surface forces are on the body, Equations </w:t>
      </w:r>
      <w:r w:rsidR="001C7A3E" w:rsidRPr="001C7A3E">
        <w:t>K.5, K.6, and K.7</w:t>
      </w:r>
      <w:r w:rsidRPr="001C7A3E">
        <w:t xml:space="preserve"> apply.</w:t>
      </w:r>
    </w:p>
    <w:p w14:paraId="031157EF" w14:textId="77777777" w:rsidR="0081664B" w:rsidRPr="001C7A3E" w:rsidRDefault="0081664B" w:rsidP="0081664B">
      <w:pPr>
        <w:ind w:firstLine="720"/>
      </w:pPr>
      <w:r w:rsidRPr="001C7A3E">
        <w:t>Structural Internal Equilibrium Equations:</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81664B" w:rsidRPr="001C7A3E" w14:paraId="141D5CDD" w14:textId="77777777" w:rsidTr="007E7362">
        <w:trPr>
          <w:trHeight w:val="576"/>
        </w:trPr>
        <w:tc>
          <w:tcPr>
            <w:tcW w:w="720" w:type="dxa"/>
            <w:vAlign w:val="center"/>
          </w:tcPr>
          <w:p w14:paraId="4B6720F3" w14:textId="66581473" w:rsidR="0081664B" w:rsidRPr="001C7A3E" w:rsidRDefault="0081664B" w:rsidP="007E7362">
            <w:pPr>
              <w:spacing w:line="240" w:lineRule="auto"/>
              <w:jc w:val="center"/>
            </w:pPr>
            <w:r w:rsidRPr="001C7A3E">
              <w:t xml:space="preserve"> </w:t>
            </w:r>
          </w:p>
        </w:tc>
        <w:tc>
          <w:tcPr>
            <w:tcW w:w="7920" w:type="dxa"/>
            <w:vAlign w:val="center"/>
          </w:tcPr>
          <w:p w14:paraId="4E67DBCD" w14:textId="77777777" w:rsidR="0081664B" w:rsidRPr="001C7A3E" w:rsidRDefault="00077C0B" w:rsidP="007E7362">
            <w:pPr>
              <w:spacing w:line="240" w:lineRule="auto"/>
              <w:jc w:val="center"/>
              <w:rPr>
                <w:rFonts w:ascii="Cambria Math" w:hAnsi="Cambria Math"/>
                <w:i/>
                <w:iCs/>
              </w:rPr>
            </w:pPr>
            <m:oMathPara>
              <m:oMath>
                <m:f>
                  <m:fPr>
                    <m:ctrlPr>
                      <w:rPr>
                        <w:rFonts w:ascii="Cambria Math" w:hAnsi="Cambria Math"/>
                        <w:i/>
                        <w:iCs/>
                      </w:rPr>
                    </m:ctrlPr>
                  </m:fPr>
                  <m:num>
                    <m:r>
                      <w:rPr>
                        <w:rFonts w:ascii="Cambria Math" w:hAnsi="Cambria Math"/>
                      </w:rPr>
                      <m:t>δ</m:t>
                    </m:r>
                    <m:sSub>
                      <m:sSubPr>
                        <m:ctrlPr>
                          <w:rPr>
                            <w:rFonts w:ascii="Cambria Math" w:hAnsi="Cambria Math"/>
                            <w:i/>
                            <w:iCs/>
                          </w:rPr>
                        </m:ctrlPr>
                      </m:sSubPr>
                      <m:e>
                        <m:r>
                          <w:rPr>
                            <w:rFonts w:ascii="Cambria Math" w:hAnsi="Cambria Math"/>
                          </w:rPr>
                          <m:t>σ</m:t>
                        </m:r>
                      </m:e>
                      <m:sub>
                        <m:r>
                          <w:rPr>
                            <w:rFonts w:ascii="Cambria Math" w:hAnsi="Cambria Math"/>
                          </w:rPr>
                          <m:t>x</m:t>
                        </m:r>
                      </m:sub>
                    </m:sSub>
                  </m:num>
                  <m:den>
                    <m:r>
                      <w:rPr>
                        <w:rFonts w:ascii="Cambria Math" w:hAnsi="Cambria Math"/>
                      </w:rPr>
                      <m:t>δx</m:t>
                    </m:r>
                  </m:den>
                </m:f>
                <m:r>
                  <w:rPr>
                    <w:rFonts w:ascii="Cambria Math" w:hAnsi="Cambria Math"/>
                  </w:rPr>
                  <m:t>+</m:t>
                </m:r>
                <m:f>
                  <m:fPr>
                    <m:ctrlPr>
                      <w:rPr>
                        <w:rFonts w:ascii="Cambria Math" w:hAnsi="Cambria Math"/>
                        <w:i/>
                        <w:iCs/>
                      </w:rPr>
                    </m:ctrlPr>
                  </m:fPr>
                  <m:num>
                    <m:r>
                      <w:rPr>
                        <w:rFonts w:ascii="Cambria Math" w:hAnsi="Cambria Math"/>
                      </w:rPr>
                      <m:t>δ</m:t>
                    </m:r>
                    <m:sSub>
                      <m:sSubPr>
                        <m:ctrlPr>
                          <w:rPr>
                            <w:rFonts w:ascii="Cambria Math" w:hAnsi="Cambria Math"/>
                            <w:i/>
                            <w:iCs/>
                          </w:rPr>
                        </m:ctrlPr>
                      </m:sSubPr>
                      <m:e>
                        <m:r>
                          <w:rPr>
                            <w:rFonts w:ascii="Cambria Math" w:hAnsi="Cambria Math"/>
                          </w:rPr>
                          <m:t>τ</m:t>
                        </m:r>
                      </m:e>
                      <m:sub>
                        <m:r>
                          <w:rPr>
                            <w:rFonts w:ascii="Cambria Math" w:hAnsi="Cambria Math"/>
                          </w:rPr>
                          <m:t>xy</m:t>
                        </m:r>
                      </m:sub>
                    </m:sSub>
                  </m:num>
                  <m:den>
                    <m:r>
                      <w:rPr>
                        <w:rFonts w:ascii="Cambria Math" w:hAnsi="Cambria Math"/>
                      </w:rPr>
                      <m:t>δy</m:t>
                    </m:r>
                  </m:den>
                </m:f>
                <m:r>
                  <w:rPr>
                    <w:rFonts w:ascii="Cambria Math" w:hAnsi="Cambria Math"/>
                  </w:rPr>
                  <m:t>+</m:t>
                </m:r>
                <m:f>
                  <m:fPr>
                    <m:ctrlPr>
                      <w:rPr>
                        <w:rFonts w:ascii="Cambria Math" w:hAnsi="Cambria Math"/>
                        <w:i/>
                        <w:iCs/>
                      </w:rPr>
                    </m:ctrlPr>
                  </m:fPr>
                  <m:num>
                    <m:r>
                      <w:rPr>
                        <w:rFonts w:ascii="Cambria Math" w:hAnsi="Cambria Math"/>
                      </w:rPr>
                      <m:t>δ</m:t>
                    </m:r>
                    <m:sSub>
                      <m:sSubPr>
                        <m:ctrlPr>
                          <w:rPr>
                            <w:rFonts w:ascii="Cambria Math" w:hAnsi="Cambria Math"/>
                            <w:i/>
                            <w:iCs/>
                          </w:rPr>
                        </m:ctrlPr>
                      </m:sSubPr>
                      <m:e>
                        <m:r>
                          <w:rPr>
                            <w:rFonts w:ascii="Cambria Math" w:hAnsi="Cambria Math"/>
                          </w:rPr>
                          <m:t>τ</m:t>
                        </m:r>
                      </m:e>
                      <m:sub>
                        <m:r>
                          <w:rPr>
                            <w:rFonts w:ascii="Cambria Math" w:hAnsi="Cambria Math"/>
                          </w:rPr>
                          <m:t>xz</m:t>
                        </m:r>
                      </m:sub>
                    </m:sSub>
                  </m:num>
                  <m:den>
                    <m:r>
                      <w:rPr>
                        <w:rFonts w:ascii="Cambria Math" w:hAnsi="Cambria Math"/>
                      </w:rPr>
                      <m:t>δz</m:t>
                    </m:r>
                  </m:den>
                </m:f>
                <m:r>
                  <w:rPr>
                    <w:rFonts w:ascii="Cambria Math" w:hAnsi="Cambria Math"/>
                  </w:rPr>
                  <m:t>+</m:t>
                </m:r>
                <m:sSub>
                  <m:sSubPr>
                    <m:ctrlPr>
                      <w:rPr>
                        <w:rFonts w:ascii="Cambria Math" w:hAnsi="Cambria Math"/>
                        <w:i/>
                        <w:iCs/>
                      </w:rPr>
                    </m:ctrlPr>
                  </m:sSubPr>
                  <m:e>
                    <m:r>
                      <w:rPr>
                        <w:rFonts w:ascii="Cambria Math" w:hAnsi="Cambria Math"/>
                      </w:rPr>
                      <m:t>b</m:t>
                    </m:r>
                  </m:e>
                  <m:sub>
                    <m:r>
                      <w:rPr>
                        <w:rFonts w:ascii="Cambria Math" w:hAnsi="Cambria Math"/>
                      </w:rPr>
                      <m:t>x</m:t>
                    </m:r>
                  </m:sub>
                </m:sSub>
                <m:r>
                  <w:rPr>
                    <w:rFonts w:ascii="Cambria Math" w:hAnsi="Cambria Math"/>
                  </w:rPr>
                  <m:t>=0</m:t>
                </m:r>
              </m:oMath>
            </m:oMathPara>
          </w:p>
        </w:tc>
        <w:tc>
          <w:tcPr>
            <w:tcW w:w="720" w:type="dxa"/>
            <w:vAlign w:val="bottom"/>
          </w:tcPr>
          <w:p w14:paraId="016829EF" w14:textId="38A6EBB3" w:rsidR="0081664B" w:rsidRPr="001C7A3E" w:rsidRDefault="001C7A3E" w:rsidP="00BC23AD">
            <w:pPr>
              <w:pStyle w:val="Caption"/>
              <w:rPr>
                <w:i/>
              </w:rPr>
            </w:pPr>
            <w:r w:rsidRPr="001C7A3E">
              <w:t>K.</w:t>
            </w:r>
            <w:r w:rsidR="00077C0B">
              <w:fldChar w:fldCharType="begin"/>
            </w:r>
            <w:r w:rsidR="00077C0B">
              <w:instrText xml:space="preserve"> SEQ Equation \* ARABIC \s 1 </w:instrText>
            </w:r>
            <w:r w:rsidR="00077C0B">
              <w:fldChar w:fldCharType="separate"/>
            </w:r>
            <w:r w:rsidR="0006023A">
              <w:rPr>
                <w:noProof/>
              </w:rPr>
              <w:t>2</w:t>
            </w:r>
            <w:r w:rsidR="00077C0B">
              <w:rPr>
                <w:noProof/>
              </w:rPr>
              <w:fldChar w:fldCharType="end"/>
            </w:r>
          </w:p>
        </w:tc>
      </w:tr>
    </w:tbl>
    <w:p w14:paraId="4580561D" w14:textId="77777777" w:rsidR="0081664B" w:rsidRPr="001C7A3E" w:rsidRDefault="0081664B" w:rsidP="0081664B">
      <w:pPr>
        <w:ind w:firstLine="720"/>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81664B" w:rsidRPr="001C7A3E" w14:paraId="3456E6F7" w14:textId="77777777" w:rsidTr="007E7362">
        <w:trPr>
          <w:trHeight w:val="576"/>
        </w:trPr>
        <w:tc>
          <w:tcPr>
            <w:tcW w:w="720" w:type="dxa"/>
            <w:vAlign w:val="center"/>
          </w:tcPr>
          <w:p w14:paraId="677474FB" w14:textId="53EE7341" w:rsidR="0081664B" w:rsidRPr="001C7A3E" w:rsidRDefault="0081664B" w:rsidP="007E7362">
            <w:pPr>
              <w:spacing w:line="240" w:lineRule="auto"/>
              <w:jc w:val="center"/>
            </w:pPr>
            <w:r w:rsidRPr="001C7A3E">
              <w:t xml:space="preserve"> </w:t>
            </w:r>
          </w:p>
        </w:tc>
        <w:tc>
          <w:tcPr>
            <w:tcW w:w="7920" w:type="dxa"/>
            <w:vAlign w:val="center"/>
          </w:tcPr>
          <w:p w14:paraId="79B8ACA1" w14:textId="77777777" w:rsidR="0081664B" w:rsidRPr="001C7A3E" w:rsidRDefault="00077C0B" w:rsidP="007E7362">
            <w:pPr>
              <w:spacing w:line="240" w:lineRule="auto"/>
              <w:jc w:val="center"/>
              <w:rPr>
                <w:rFonts w:eastAsiaTheme="minorEastAsia"/>
              </w:rPr>
            </w:pPr>
            <m:oMathPara>
              <m:oMath>
                <m:f>
                  <m:fPr>
                    <m:ctrlPr>
                      <w:rPr>
                        <w:rFonts w:ascii="Cambria Math" w:hAnsi="Cambria Math"/>
                        <w:i/>
                        <w:iCs/>
                      </w:rPr>
                    </m:ctrlPr>
                  </m:fPr>
                  <m:num>
                    <m:r>
                      <w:rPr>
                        <w:rFonts w:ascii="Cambria Math" w:hAnsi="Cambria Math"/>
                      </w:rPr>
                      <m:t>δ</m:t>
                    </m:r>
                    <m:sSub>
                      <m:sSubPr>
                        <m:ctrlPr>
                          <w:rPr>
                            <w:rFonts w:ascii="Cambria Math" w:hAnsi="Cambria Math"/>
                            <w:i/>
                            <w:iCs/>
                          </w:rPr>
                        </m:ctrlPr>
                      </m:sSubPr>
                      <m:e>
                        <m:r>
                          <w:rPr>
                            <w:rFonts w:ascii="Cambria Math" w:hAnsi="Cambria Math"/>
                          </w:rPr>
                          <m:t>τ</m:t>
                        </m:r>
                      </m:e>
                      <m:sub>
                        <m:r>
                          <w:rPr>
                            <w:rFonts w:ascii="Cambria Math" w:hAnsi="Cambria Math"/>
                          </w:rPr>
                          <m:t>yx</m:t>
                        </m:r>
                      </m:sub>
                    </m:sSub>
                  </m:num>
                  <m:den>
                    <m:r>
                      <w:rPr>
                        <w:rFonts w:ascii="Cambria Math" w:hAnsi="Cambria Math"/>
                      </w:rPr>
                      <m:t>δx</m:t>
                    </m:r>
                  </m:den>
                </m:f>
                <m:r>
                  <w:rPr>
                    <w:rFonts w:ascii="Cambria Math" w:hAnsi="Cambria Math"/>
                  </w:rPr>
                  <m:t>+</m:t>
                </m:r>
                <m:f>
                  <m:fPr>
                    <m:ctrlPr>
                      <w:rPr>
                        <w:rFonts w:ascii="Cambria Math" w:hAnsi="Cambria Math"/>
                        <w:i/>
                        <w:iCs/>
                      </w:rPr>
                    </m:ctrlPr>
                  </m:fPr>
                  <m:num>
                    <m:r>
                      <w:rPr>
                        <w:rFonts w:ascii="Cambria Math" w:hAnsi="Cambria Math"/>
                      </w:rPr>
                      <m:t>δ</m:t>
                    </m:r>
                    <m:sSub>
                      <m:sSubPr>
                        <m:ctrlPr>
                          <w:rPr>
                            <w:rFonts w:ascii="Cambria Math" w:hAnsi="Cambria Math"/>
                            <w:i/>
                            <w:iCs/>
                          </w:rPr>
                        </m:ctrlPr>
                      </m:sSubPr>
                      <m:e>
                        <m:r>
                          <w:rPr>
                            <w:rFonts w:ascii="Cambria Math" w:hAnsi="Cambria Math"/>
                          </w:rPr>
                          <m:t>σ</m:t>
                        </m:r>
                      </m:e>
                      <m:sub>
                        <m:r>
                          <w:rPr>
                            <w:rFonts w:ascii="Cambria Math" w:hAnsi="Cambria Math"/>
                          </w:rPr>
                          <m:t>y</m:t>
                        </m:r>
                      </m:sub>
                    </m:sSub>
                  </m:num>
                  <m:den>
                    <m:r>
                      <w:rPr>
                        <w:rFonts w:ascii="Cambria Math" w:hAnsi="Cambria Math"/>
                      </w:rPr>
                      <m:t>δy</m:t>
                    </m:r>
                  </m:den>
                </m:f>
                <m:r>
                  <w:rPr>
                    <w:rFonts w:ascii="Cambria Math" w:hAnsi="Cambria Math"/>
                  </w:rPr>
                  <m:t>+</m:t>
                </m:r>
                <m:f>
                  <m:fPr>
                    <m:ctrlPr>
                      <w:rPr>
                        <w:rFonts w:ascii="Cambria Math" w:hAnsi="Cambria Math"/>
                        <w:i/>
                        <w:iCs/>
                      </w:rPr>
                    </m:ctrlPr>
                  </m:fPr>
                  <m:num>
                    <m:r>
                      <w:rPr>
                        <w:rFonts w:ascii="Cambria Math" w:hAnsi="Cambria Math"/>
                      </w:rPr>
                      <m:t>δ</m:t>
                    </m:r>
                    <m:sSub>
                      <m:sSubPr>
                        <m:ctrlPr>
                          <w:rPr>
                            <w:rFonts w:ascii="Cambria Math" w:hAnsi="Cambria Math"/>
                            <w:i/>
                            <w:iCs/>
                          </w:rPr>
                        </m:ctrlPr>
                      </m:sSubPr>
                      <m:e>
                        <m:r>
                          <w:rPr>
                            <w:rFonts w:ascii="Cambria Math" w:hAnsi="Cambria Math"/>
                          </w:rPr>
                          <m:t>τ</m:t>
                        </m:r>
                      </m:e>
                      <m:sub>
                        <m:r>
                          <w:rPr>
                            <w:rFonts w:ascii="Cambria Math" w:hAnsi="Cambria Math"/>
                          </w:rPr>
                          <m:t>yz</m:t>
                        </m:r>
                      </m:sub>
                    </m:sSub>
                  </m:num>
                  <m:den>
                    <m:r>
                      <w:rPr>
                        <w:rFonts w:ascii="Cambria Math" w:hAnsi="Cambria Math"/>
                      </w:rPr>
                      <m:t>δz</m:t>
                    </m:r>
                  </m:den>
                </m:f>
                <m:r>
                  <w:rPr>
                    <w:rFonts w:ascii="Cambria Math" w:hAnsi="Cambria Math"/>
                  </w:rPr>
                  <m:t>+</m:t>
                </m:r>
                <m:sSub>
                  <m:sSubPr>
                    <m:ctrlPr>
                      <w:rPr>
                        <w:rFonts w:ascii="Cambria Math" w:hAnsi="Cambria Math"/>
                        <w:i/>
                        <w:iCs/>
                      </w:rPr>
                    </m:ctrlPr>
                  </m:sSubPr>
                  <m:e>
                    <m:r>
                      <w:rPr>
                        <w:rFonts w:ascii="Cambria Math" w:hAnsi="Cambria Math"/>
                      </w:rPr>
                      <m:t>b</m:t>
                    </m:r>
                  </m:e>
                  <m:sub>
                    <m:r>
                      <w:rPr>
                        <w:rFonts w:ascii="Cambria Math" w:hAnsi="Cambria Math"/>
                      </w:rPr>
                      <m:t>y</m:t>
                    </m:r>
                  </m:sub>
                </m:sSub>
                <m:r>
                  <w:rPr>
                    <w:rFonts w:ascii="Cambria Math" w:hAnsi="Cambria Math"/>
                  </w:rPr>
                  <m:t>=0</m:t>
                </m:r>
              </m:oMath>
            </m:oMathPara>
          </w:p>
        </w:tc>
        <w:tc>
          <w:tcPr>
            <w:tcW w:w="720" w:type="dxa"/>
            <w:vAlign w:val="bottom"/>
          </w:tcPr>
          <w:p w14:paraId="3CC38876" w14:textId="696F65CA" w:rsidR="0081664B" w:rsidRPr="001C7A3E" w:rsidRDefault="001C7A3E" w:rsidP="00BC23AD">
            <w:pPr>
              <w:pStyle w:val="Caption"/>
              <w:rPr>
                <w:i/>
              </w:rPr>
            </w:pPr>
            <w:r w:rsidRPr="001C7A3E">
              <w:t>K.</w:t>
            </w:r>
            <w:r w:rsidR="00077C0B">
              <w:fldChar w:fldCharType="begin"/>
            </w:r>
            <w:r w:rsidR="00077C0B">
              <w:instrText xml:space="preserve"> SEQ Equation \* ARABIC \s 1 </w:instrText>
            </w:r>
            <w:r w:rsidR="00077C0B">
              <w:fldChar w:fldCharType="separate"/>
            </w:r>
            <w:r w:rsidR="0006023A">
              <w:rPr>
                <w:noProof/>
              </w:rPr>
              <w:t>3</w:t>
            </w:r>
            <w:r w:rsidR="00077C0B">
              <w:rPr>
                <w:noProof/>
              </w:rPr>
              <w:fldChar w:fldCharType="end"/>
            </w:r>
          </w:p>
        </w:tc>
      </w:tr>
    </w:tbl>
    <w:p w14:paraId="04E7723E" w14:textId="77777777" w:rsidR="0081664B" w:rsidRPr="001C7A3E" w:rsidRDefault="0081664B" w:rsidP="0081664B">
      <w:pPr>
        <w:ind w:firstLine="720"/>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81664B" w:rsidRPr="001C7A3E" w14:paraId="76B5BECE" w14:textId="77777777" w:rsidTr="007E7362">
        <w:trPr>
          <w:trHeight w:val="576"/>
        </w:trPr>
        <w:tc>
          <w:tcPr>
            <w:tcW w:w="720" w:type="dxa"/>
            <w:vAlign w:val="center"/>
          </w:tcPr>
          <w:p w14:paraId="3E166634" w14:textId="2A1D5418" w:rsidR="0081664B" w:rsidRPr="001C7A3E" w:rsidRDefault="0081664B" w:rsidP="007E7362">
            <w:pPr>
              <w:spacing w:line="240" w:lineRule="auto"/>
              <w:jc w:val="center"/>
            </w:pPr>
          </w:p>
        </w:tc>
        <w:tc>
          <w:tcPr>
            <w:tcW w:w="7920" w:type="dxa"/>
            <w:vAlign w:val="center"/>
          </w:tcPr>
          <w:p w14:paraId="7C5B9CC6" w14:textId="77777777" w:rsidR="0081664B" w:rsidRPr="001C7A3E" w:rsidRDefault="00077C0B" w:rsidP="007E7362">
            <w:pPr>
              <w:spacing w:line="240" w:lineRule="auto"/>
              <w:jc w:val="center"/>
              <w:rPr>
                <w:rFonts w:eastAsiaTheme="minorEastAsia"/>
              </w:rPr>
            </w:pPr>
            <m:oMathPara>
              <m:oMath>
                <m:f>
                  <m:fPr>
                    <m:ctrlPr>
                      <w:rPr>
                        <w:rFonts w:ascii="Cambria Math" w:hAnsi="Cambria Math"/>
                        <w:i/>
                        <w:iCs/>
                      </w:rPr>
                    </m:ctrlPr>
                  </m:fPr>
                  <m:num>
                    <m:r>
                      <w:rPr>
                        <w:rFonts w:ascii="Cambria Math" w:hAnsi="Cambria Math"/>
                      </w:rPr>
                      <m:t>δ</m:t>
                    </m:r>
                    <m:sSub>
                      <m:sSubPr>
                        <m:ctrlPr>
                          <w:rPr>
                            <w:rFonts w:ascii="Cambria Math" w:hAnsi="Cambria Math"/>
                            <w:i/>
                            <w:iCs/>
                          </w:rPr>
                        </m:ctrlPr>
                      </m:sSubPr>
                      <m:e>
                        <m:r>
                          <w:rPr>
                            <w:rFonts w:ascii="Cambria Math" w:hAnsi="Cambria Math"/>
                          </w:rPr>
                          <m:t>τ</m:t>
                        </m:r>
                      </m:e>
                      <m:sub>
                        <m:r>
                          <w:rPr>
                            <w:rFonts w:ascii="Cambria Math" w:hAnsi="Cambria Math"/>
                          </w:rPr>
                          <m:t>zx</m:t>
                        </m:r>
                      </m:sub>
                    </m:sSub>
                  </m:num>
                  <m:den>
                    <m:r>
                      <w:rPr>
                        <w:rFonts w:ascii="Cambria Math" w:hAnsi="Cambria Math"/>
                      </w:rPr>
                      <m:t>δx</m:t>
                    </m:r>
                  </m:den>
                </m:f>
                <m:r>
                  <w:rPr>
                    <w:rFonts w:ascii="Cambria Math" w:hAnsi="Cambria Math"/>
                  </w:rPr>
                  <m:t>+</m:t>
                </m:r>
                <m:f>
                  <m:fPr>
                    <m:ctrlPr>
                      <w:rPr>
                        <w:rFonts w:ascii="Cambria Math" w:hAnsi="Cambria Math"/>
                        <w:i/>
                        <w:iCs/>
                      </w:rPr>
                    </m:ctrlPr>
                  </m:fPr>
                  <m:num>
                    <m:r>
                      <w:rPr>
                        <w:rFonts w:ascii="Cambria Math" w:hAnsi="Cambria Math"/>
                      </w:rPr>
                      <m:t>δ</m:t>
                    </m:r>
                    <m:sSub>
                      <m:sSubPr>
                        <m:ctrlPr>
                          <w:rPr>
                            <w:rFonts w:ascii="Cambria Math" w:hAnsi="Cambria Math"/>
                            <w:i/>
                            <w:iCs/>
                          </w:rPr>
                        </m:ctrlPr>
                      </m:sSubPr>
                      <m:e>
                        <m:r>
                          <w:rPr>
                            <w:rFonts w:ascii="Cambria Math" w:hAnsi="Cambria Math"/>
                          </w:rPr>
                          <m:t>τ</m:t>
                        </m:r>
                      </m:e>
                      <m:sub>
                        <m:r>
                          <w:rPr>
                            <w:rFonts w:ascii="Cambria Math" w:hAnsi="Cambria Math"/>
                          </w:rPr>
                          <m:t>zy</m:t>
                        </m:r>
                      </m:sub>
                    </m:sSub>
                  </m:num>
                  <m:den>
                    <m:r>
                      <w:rPr>
                        <w:rFonts w:ascii="Cambria Math" w:hAnsi="Cambria Math"/>
                      </w:rPr>
                      <m:t>δy</m:t>
                    </m:r>
                  </m:den>
                </m:f>
                <m:r>
                  <w:rPr>
                    <w:rFonts w:ascii="Cambria Math" w:hAnsi="Cambria Math"/>
                  </w:rPr>
                  <m:t>+</m:t>
                </m:r>
                <m:f>
                  <m:fPr>
                    <m:ctrlPr>
                      <w:rPr>
                        <w:rFonts w:ascii="Cambria Math" w:hAnsi="Cambria Math"/>
                        <w:i/>
                        <w:iCs/>
                      </w:rPr>
                    </m:ctrlPr>
                  </m:fPr>
                  <m:num>
                    <m:r>
                      <w:rPr>
                        <w:rFonts w:ascii="Cambria Math" w:hAnsi="Cambria Math"/>
                      </w:rPr>
                      <m:t>δ</m:t>
                    </m:r>
                    <m:sSub>
                      <m:sSubPr>
                        <m:ctrlPr>
                          <w:rPr>
                            <w:rFonts w:ascii="Cambria Math" w:hAnsi="Cambria Math"/>
                            <w:i/>
                            <w:iCs/>
                          </w:rPr>
                        </m:ctrlPr>
                      </m:sSubPr>
                      <m:e>
                        <m:r>
                          <w:rPr>
                            <w:rFonts w:ascii="Cambria Math" w:hAnsi="Cambria Math"/>
                          </w:rPr>
                          <m:t>σ</m:t>
                        </m:r>
                      </m:e>
                      <m:sub>
                        <m:r>
                          <w:rPr>
                            <w:rFonts w:ascii="Cambria Math" w:hAnsi="Cambria Math"/>
                          </w:rPr>
                          <m:t>z</m:t>
                        </m:r>
                      </m:sub>
                    </m:sSub>
                  </m:num>
                  <m:den>
                    <m:r>
                      <w:rPr>
                        <w:rFonts w:ascii="Cambria Math" w:hAnsi="Cambria Math"/>
                      </w:rPr>
                      <m:t>δz</m:t>
                    </m:r>
                  </m:den>
                </m:f>
                <m:r>
                  <w:rPr>
                    <w:rFonts w:ascii="Cambria Math" w:hAnsi="Cambria Math"/>
                  </w:rPr>
                  <m:t>+</m:t>
                </m:r>
                <m:sSub>
                  <m:sSubPr>
                    <m:ctrlPr>
                      <w:rPr>
                        <w:rFonts w:ascii="Cambria Math" w:hAnsi="Cambria Math"/>
                        <w:i/>
                        <w:iCs/>
                      </w:rPr>
                    </m:ctrlPr>
                  </m:sSubPr>
                  <m:e>
                    <m:r>
                      <w:rPr>
                        <w:rFonts w:ascii="Cambria Math" w:hAnsi="Cambria Math"/>
                      </w:rPr>
                      <m:t>b</m:t>
                    </m:r>
                  </m:e>
                  <m:sub>
                    <m:r>
                      <w:rPr>
                        <w:rFonts w:ascii="Cambria Math" w:hAnsi="Cambria Math"/>
                      </w:rPr>
                      <m:t>z</m:t>
                    </m:r>
                  </m:sub>
                </m:sSub>
                <m:r>
                  <w:rPr>
                    <w:rFonts w:ascii="Cambria Math" w:hAnsi="Cambria Math"/>
                  </w:rPr>
                  <m:t>=0</m:t>
                </m:r>
              </m:oMath>
            </m:oMathPara>
          </w:p>
        </w:tc>
        <w:tc>
          <w:tcPr>
            <w:tcW w:w="720" w:type="dxa"/>
            <w:vAlign w:val="bottom"/>
          </w:tcPr>
          <w:p w14:paraId="619A477F" w14:textId="3700070A" w:rsidR="0081664B" w:rsidRPr="001C7A3E" w:rsidRDefault="001C7A3E" w:rsidP="00BC23AD">
            <w:pPr>
              <w:pStyle w:val="Caption"/>
              <w:rPr>
                <w:i/>
              </w:rPr>
            </w:pPr>
            <w:r w:rsidRPr="001C7A3E">
              <w:t>K.</w:t>
            </w:r>
            <w:r w:rsidR="00077C0B">
              <w:fldChar w:fldCharType="begin"/>
            </w:r>
            <w:r w:rsidR="00077C0B">
              <w:instrText xml:space="preserve"> SEQ Equation \* ARABIC \s 1 </w:instrText>
            </w:r>
            <w:r w:rsidR="00077C0B">
              <w:fldChar w:fldCharType="separate"/>
            </w:r>
            <w:r w:rsidR="0006023A">
              <w:rPr>
                <w:noProof/>
              </w:rPr>
              <w:t>4</w:t>
            </w:r>
            <w:r w:rsidR="00077C0B">
              <w:rPr>
                <w:noProof/>
              </w:rPr>
              <w:fldChar w:fldCharType="end"/>
            </w:r>
          </w:p>
        </w:tc>
      </w:tr>
    </w:tbl>
    <w:p w14:paraId="3565E5B7" w14:textId="77777777" w:rsidR="0081664B" w:rsidRPr="001C7A3E" w:rsidRDefault="0081664B" w:rsidP="0081664B">
      <w:pPr>
        <w:ind w:firstLine="720"/>
      </w:pPr>
    </w:p>
    <w:p w14:paraId="212A6125" w14:textId="77777777" w:rsidR="0081664B" w:rsidRPr="001C7A3E" w:rsidRDefault="0081664B" w:rsidP="0081664B">
      <w:pPr>
        <w:ind w:firstLine="720"/>
      </w:pPr>
      <w:r w:rsidRPr="001C7A3E">
        <w:t xml:space="preserve">Where </w:t>
      </w:r>
      <m:oMath>
        <m:r>
          <w:rPr>
            <w:rFonts w:ascii="Cambria Math" w:hAnsi="Cambria Math"/>
          </w:rPr>
          <m:t>b</m:t>
        </m:r>
      </m:oMath>
      <w:r w:rsidRPr="001C7A3E">
        <w:t xml:space="preserve"> are components of body forces.</w:t>
      </w:r>
    </w:p>
    <w:p w14:paraId="71DD7CBD" w14:textId="77777777" w:rsidR="0081664B" w:rsidRPr="001C7A3E" w:rsidRDefault="0081664B" w:rsidP="0081664B">
      <w:pPr>
        <w:ind w:firstLine="720"/>
      </w:pPr>
      <w:r w:rsidRPr="001C7A3E">
        <w:t>Structural Surface Equilibrium Equations:</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81664B" w:rsidRPr="001C7A3E" w14:paraId="6511B180" w14:textId="77777777" w:rsidTr="007E7362">
        <w:trPr>
          <w:trHeight w:val="576"/>
        </w:trPr>
        <w:tc>
          <w:tcPr>
            <w:tcW w:w="720" w:type="dxa"/>
            <w:vAlign w:val="center"/>
          </w:tcPr>
          <w:p w14:paraId="5907569F" w14:textId="44F74841" w:rsidR="0081664B" w:rsidRPr="001C7A3E" w:rsidRDefault="0081664B" w:rsidP="007E7362">
            <w:pPr>
              <w:spacing w:line="240" w:lineRule="auto"/>
              <w:jc w:val="center"/>
            </w:pPr>
          </w:p>
        </w:tc>
        <w:tc>
          <w:tcPr>
            <w:tcW w:w="7920" w:type="dxa"/>
            <w:vAlign w:val="center"/>
          </w:tcPr>
          <w:p w14:paraId="0992E443" w14:textId="77777777" w:rsidR="0081664B" w:rsidRPr="001C7A3E" w:rsidRDefault="00077C0B" w:rsidP="007E7362">
            <w:pPr>
              <w:spacing w:line="240" w:lineRule="auto"/>
              <w:jc w:val="center"/>
              <w:rPr>
                <w:rFonts w:eastAsiaTheme="minorEastAsia"/>
              </w:rPr>
            </w:pPr>
            <m:oMathPara>
              <m:oMath>
                <m:sSub>
                  <m:sSubPr>
                    <m:ctrlPr>
                      <w:rPr>
                        <w:rFonts w:ascii="Cambria Math" w:hAnsi="Cambria Math"/>
                        <w:i/>
                        <w:iCs/>
                      </w:rPr>
                    </m:ctrlPr>
                  </m:sSubPr>
                  <m:e>
                    <m:r>
                      <w:rPr>
                        <w:rFonts w:ascii="Cambria Math" w:hAnsi="Cambria Math"/>
                      </w:rPr>
                      <m:t>σ</m:t>
                    </m:r>
                  </m:e>
                  <m:sub>
                    <m:r>
                      <w:rPr>
                        <w:rFonts w:ascii="Cambria Math" w:hAnsi="Cambria Math"/>
                      </w:rPr>
                      <m:t>x</m:t>
                    </m:r>
                  </m:sub>
                </m:sSub>
                <m:sSub>
                  <m:sSubPr>
                    <m:ctrlPr>
                      <w:rPr>
                        <w:rFonts w:ascii="Cambria Math" w:hAnsi="Cambria Math"/>
                        <w:i/>
                        <w:iCs/>
                      </w:rPr>
                    </m:ctrlPr>
                  </m:sSubPr>
                  <m:e>
                    <m:r>
                      <w:rPr>
                        <w:rFonts w:ascii="Cambria Math" w:hAnsi="Cambria Math"/>
                      </w:rPr>
                      <m:t>n</m:t>
                    </m:r>
                  </m:e>
                  <m:sub>
                    <m:r>
                      <w:rPr>
                        <w:rFonts w:ascii="Cambria Math" w:hAnsi="Cambria Math"/>
                      </w:rPr>
                      <m:t>x</m:t>
                    </m:r>
                  </m:sub>
                </m:sSub>
                <m:r>
                  <w:rPr>
                    <w:rFonts w:ascii="Cambria Math" w:hAnsi="Cambria Math"/>
                  </w:rPr>
                  <m:t>+</m:t>
                </m:r>
                <m:sSub>
                  <m:sSubPr>
                    <m:ctrlPr>
                      <w:rPr>
                        <w:rFonts w:ascii="Cambria Math" w:hAnsi="Cambria Math"/>
                        <w:i/>
                        <w:iCs/>
                      </w:rPr>
                    </m:ctrlPr>
                  </m:sSubPr>
                  <m:e>
                    <m:r>
                      <w:rPr>
                        <w:rFonts w:ascii="Cambria Math" w:hAnsi="Cambria Math"/>
                      </w:rPr>
                      <m:t>τ</m:t>
                    </m:r>
                  </m:e>
                  <m:sub>
                    <m:r>
                      <w:rPr>
                        <w:rFonts w:ascii="Cambria Math" w:hAnsi="Cambria Math"/>
                      </w:rPr>
                      <m:t>xy</m:t>
                    </m:r>
                  </m:sub>
                </m:sSub>
                <m:sSub>
                  <m:sSubPr>
                    <m:ctrlPr>
                      <w:rPr>
                        <w:rFonts w:ascii="Cambria Math" w:hAnsi="Cambria Math"/>
                        <w:i/>
                        <w:iCs/>
                      </w:rPr>
                    </m:ctrlPr>
                  </m:sSubPr>
                  <m:e>
                    <m:r>
                      <w:rPr>
                        <w:rFonts w:ascii="Cambria Math" w:hAnsi="Cambria Math"/>
                      </w:rPr>
                      <m:t>n</m:t>
                    </m:r>
                  </m:e>
                  <m:sub>
                    <m:r>
                      <w:rPr>
                        <w:rFonts w:ascii="Cambria Math" w:hAnsi="Cambria Math"/>
                      </w:rPr>
                      <m:t>y</m:t>
                    </m:r>
                  </m:sub>
                </m:sSub>
                <m:r>
                  <w:rPr>
                    <w:rFonts w:ascii="Cambria Math" w:hAnsi="Cambria Math"/>
                  </w:rPr>
                  <m:t>+</m:t>
                </m:r>
                <m:sSub>
                  <m:sSubPr>
                    <m:ctrlPr>
                      <w:rPr>
                        <w:rFonts w:ascii="Cambria Math" w:hAnsi="Cambria Math"/>
                        <w:i/>
                        <w:iCs/>
                      </w:rPr>
                    </m:ctrlPr>
                  </m:sSubPr>
                  <m:e>
                    <m:r>
                      <w:rPr>
                        <w:rFonts w:ascii="Cambria Math" w:hAnsi="Cambria Math"/>
                      </w:rPr>
                      <m:t>τ</m:t>
                    </m:r>
                  </m:e>
                  <m:sub>
                    <m:r>
                      <w:rPr>
                        <w:rFonts w:ascii="Cambria Math" w:hAnsi="Cambria Math"/>
                      </w:rPr>
                      <m:t>xz</m:t>
                    </m:r>
                  </m:sub>
                </m:sSub>
                <m:sSub>
                  <m:sSubPr>
                    <m:ctrlPr>
                      <w:rPr>
                        <w:rFonts w:ascii="Cambria Math" w:hAnsi="Cambria Math"/>
                        <w:i/>
                        <w:iCs/>
                      </w:rPr>
                    </m:ctrlPr>
                  </m:sSubPr>
                  <m:e>
                    <m:r>
                      <w:rPr>
                        <w:rFonts w:ascii="Cambria Math" w:hAnsi="Cambria Math"/>
                      </w:rPr>
                      <m:t>n</m:t>
                    </m:r>
                  </m:e>
                  <m:sub>
                    <m:r>
                      <w:rPr>
                        <w:rFonts w:ascii="Cambria Math" w:hAnsi="Cambria Math"/>
                      </w:rPr>
                      <m:t>z</m:t>
                    </m:r>
                  </m:sub>
                </m:sSub>
                <m:r>
                  <w:rPr>
                    <w:rFonts w:ascii="Cambria Math" w:hAnsi="Cambria Math"/>
                  </w:rPr>
                  <m:t>+</m:t>
                </m:r>
                <m:sSub>
                  <m:sSubPr>
                    <m:ctrlPr>
                      <w:rPr>
                        <w:rFonts w:ascii="Cambria Math" w:hAnsi="Cambria Math"/>
                        <w:i/>
                        <w:iCs/>
                      </w:rPr>
                    </m:ctrlPr>
                  </m:sSubPr>
                  <m:e>
                    <m:r>
                      <w:rPr>
                        <w:rFonts w:ascii="Cambria Math" w:hAnsi="Cambria Math"/>
                      </w:rPr>
                      <m:t>S</m:t>
                    </m:r>
                  </m:e>
                  <m:sub>
                    <m:r>
                      <w:rPr>
                        <w:rFonts w:ascii="Cambria Math" w:hAnsi="Cambria Math"/>
                      </w:rPr>
                      <m:t>x</m:t>
                    </m:r>
                  </m:sub>
                </m:sSub>
                <m:r>
                  <w:rPr>
                    <w:rFonts w:ascii="Cambria Math" w:hAnsi="Cambria Math"/>
                  </w:rPr>
                  <m:t>=0</m:t>
                </m:r>
              </m:oMath>
            </m:oMathPara>
          </w:p>
        </w:tc>
        <w:tc>
          <w:tcPr>
            <w:tcW w:w="720" w:type="dxa"/>
            <w:vAlign w:val="bottom"/>
          </w:tcPr>
          <w:p w14:paraId="634B914A" w14:textId="14BF17F1" w:rsidR="0081664B" w:rsidRPr="001C7A3E" w:rsidRDefault="001C7A3E" w:rsidP="00BC23AD">
            <w:pPr>
              <w:pStyle w:val="Caption"/>
              <w:rPr>
                <w:i/>
              </w:rPr>
            </w:pPr>
            <w:r w:rsidRPr="001C7A3E">
              <w:t>K.</w:t>
            </w:r>
            <w:r w:rsidR="00077C0B">
              <w:fldChar w:fldCharType="begin"/>
            </w:r>
            <w:r w:rsidR="00077C0B">
              <w:instrText xml:space="preserve"> SEQ Equation \* ARABIC \s 1 </w:instrText>
            </w:r>
            <w:r w:rsidR="00077C0B">
              <w:fldChar w:fldCharType="separate"/>
            </w:r>
            <w:r w:rsidR="0006023A">
              <w:rPr>
                <w:noProof/>
              </w:rPr>
              <w:t>5</w:t>
            </w:r>
            <w:r w:rsidR="00077C0B">
              <w:rPr>
                <w:noProof/>
              </w:rPr>
              <w:fldChar w:fldCharType="end"/>
            </w:r>
          </w:p>
        </w:tc>
      </w:tr>
    </w:tbl>
    <w:p w14:paraId="72D371BC" w14:textId="77777777" w:rsidR="0081664B" w:rsidRPr="001C7A3E" w:rsidRDefault="0081664B" w:rsidP="0081664B">
      <w:pPr>
        <w:ind w:firstLine="720"/>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81664B" w:rsidRPr="001C7A3E" w14:paraId="22F83E78" w14:textId="77777777" w:rsidTr="007E7362">
        <w:trPr>
          <w:trHeight w:val="576"/>
        </w:trPr>
        <w:tc>
          <w:tcPr>
            <w:tcW w:w="720" w:type="dxa"/>
            <w:vAlign w:val="center"/>
          </w:tcPr>
          <w:p w14:paraId="34BF2B44" w14:textId="2CB1D7AA" w:rsidR="0081664B" w:rsidRPr="001C7A3E" w:rsidRDefault="0081664B" w:rsidP="007E7362">
            <w:pPr>
              <w:spacing w:line="240" w:lineRule="auto"/>
              <w:jc w:val="center"/>
            </w:pPr>
          </w:p>
        </w:tc>
        <w:tc>
          <w:tcPr>
            <w:tcW w:w="7920" w:type="dxa"/>
            <w:vAlign w:val="center"/>
          </w:tcPr>
          <w:p w14:paraId="24EB8DD2" w14:textId="77777777" w:rsidR="0081664B" w:rsidRPr="001C7A3E" w:rsidRDefault="00077C0B" w:rsidP="007E7362">
            <w:pPr>
              <w:spacing w:line="240" w:lineRule="auto"/>
              <w:jc w:val="center"/>
              <w:rPr>
                <w:rFonts w:eastAsiaTheme="minorEastAsia"/>
              </w:rPr>
            </w:pPr>
            <m:oMathPara>
              <m:oMath>
                <m:sSub>
                  <m:sSubPr>
                    <m:ctrlPr>
                      <w:rPr>
                        <w:rFonts w:ascii="Cambria Math" w:hAnsi="Cambria Math"/>
                        <w:i/>
                        <w:iCs/>
                      </w:rPr>
                    </m:ctrlPr>
                  </m:sSubPr>
                  <m:e>
                    <m:r>
                      <w:rPr>
                        <w:rFonts w:ascii="Cambria Math" w:hAnsi="Cambria Math"/>
                      </w:rPr>
                      <m:t>τ</m:t>
                    </m:r>
                  </m:e>
                  <m:sub>
                    <m:r>
                      <w:rPr>
                        <w:rFonts w:ascii="Cambria Math" w:hAnsi="Cambria Math"/>
                      </w:rPr>
                      <m:t>yx</m:t>
                    </m:r>
                  </m:sub>
                </m:sSub>
                <m:sSub>
                  <m:sSubPr>
                    <m:ctrlPr>
                      <w:rPr>
                        <w:rFonts w:ascii="Cambria Math" w:hAnsi="Cambria Math"/>
                        <w:i/>
                        <w:iCs/>
                      </w:rPr>
                    </m:ctrlPr>
                  </m:sSubPr>
                  <m:e>
                    <m:r>
                      <w:rPr>
                        <w:rFonts w:ascii="Cambria Math" w:hAnsi="Cambria Math"/>
                      </w:rPr>
                      <m:t>n</m:t>
                    </m:r>
                  </m:e>
                  <m:sub>
                    <m:r>
                      <w:rPr>
                        <w:rFonts w:ascii="Cambria Math" w:hAnsi="Cambria Math"/>
                      </w:rPr>
                      <m:t>x</m:t>
                    </m:r>
                  </m:sub>
                </m:sSub>
                <m:r>
                  <w:rPr>
                    <w:rFonts w:ascii="Cambria Math" w:hAnsi="Cambria Math"/>
                  </w:rPr>
                  <m:t>+</m:t>
                </m:r>
                <m:sSub>
                  <m:sSubPr>
                    <m:ctrlPr>
                      <w:rPr>
                        <w:rFonts w:ascii="Cambria Math" w:hAnsi="Cambria Math"/>
                        <w:i/>
                        <w:iCs/>
                      </w:rPr>
                    </m:ctrlPr>
                  </m:sSubPr>
                  <m:e>
                    <m:r>
                      <w:rPr>
                        <w:rFonts w:ascii="Cambria Math" w:hAnsi="Cambria Math"/>
                      </w:rPr>
                      <m:t>σ</m:t>
                    </m:r>
                  </m:e>
                  <m:sub>
                    <m:r>
                      <w:rPr>
                        <w:rFonts w:ascii="Cambria Math" w:hAnsi="Cambria Math"/>
                      </w:rPr>
                      <m:t>y</m:t>
                    </m:r>
                  </m:sub>
                </m:sSub>
                <m:sSub>
                  <m:sSubPr>
                    <m:ctrlPr>
                      <w:rPr>
                        <w:rFonts w:ascii="Cambria Math" w:hAnsi="Cambria Math"/>
                        <w:i/>
                        <w:iCs/>
                      </w:rPr>
                    </m:ctrlPr>
                  </m:sSubPr>
                  <m:e>
                    <m:r>
                      <w:rPr>
                        <w:rFonts w:ascii="Cambria Math" w:hAnsi="Cambria Math"/>
                      </w:rPr>
                      <m:t>n</m:t>
                    </m:r>
                  </m:e>
                  <m:sub>
                    <m:r>
                      <w:rPr>
                        <w:rFonts w:ascii="Cambria Math" w:hAnsi="Cambria Math"/>
                      </w:rPr>
                      <m:t>y</m:t>
                    </m:r>
                  </m:sub>
                </m:sSub>
                <m:r>
                  <w:rPr>
                    <w:rFonts w:ascii="Cambria Math" w:hAnsi="Cambria Math"/>
                  </w:rPr>
                  <m:t>+</m:t>
                </m:r>
                <m:sSub>
                  <m:sSubPr>
                    <m:ctrlPr>
                      <w:rPr>
                        <w:rFonts w:ascii="Cambria Math" w:hAnsi="Cambria Math"/>
                        <w:i/>
                        <w:iCs/>
                      </w:rPr>
                    </m:ctrlPr>
                  </m:sSubPr>
                  <m:e>
                    <m:r>
                      <w:rPr>
                        <w:rFonts w:ascii="Cambria Math" w:hAnsi="Cambria Math"/>
                      </w:rPr>
                      <m:t>τ</m:t>
                    </m:r>
                  </m:e>
                  <m:sub>
                    <m:r>
                      <w:rPr>
                        <w:rFonts w:ascii="Cambria Math" w:hAnsi="Cambria Math"/>
                      </w:rPr>
                      <m:t>yz</m:t>
                    </m:r>
                  </m:sub>
                </m:sSub>
                <m:sSub>
                  <m:sSubPr>
                    <m:ctrlPr>
                      <w:rPr>
                        <w:rFonts w:ascii="Cambria Math" w:hAnsi="Cambria Math"/>
                        <w:i/>
                        <w:iCs/>
                      </w:rPr>
                    </m:ctrlPr>
                  </m:sSubPr>
                  <m:e>
                    <m:r>
                      <w:rPr>
                        <w:rFonts w:ascii="Cambria Math" w:hAnsi="Cambria Math"/>
                      </w:rPr>
                      <m:t>n</m:t>
                    </m:r>
                  </m:e>
                  <m:sub>
                    <m:r>
                      <w:rPr>
                        <w:rFonts w:ascii="Cambria Math" w:hAnsi="Cambria Math"/>
                      </w:rPr>
                      <m:t>z</m:t>
                    </m:r>
                  </m:sub>
                </m:sSub>
                <m:r>
                  <w:rPr>
                    <w:rFonts w:ascii="Cambria Math" w:hAnsi="Cambria Math"/>
                  </w:rPr>
                  <m:t>+</m:t>
                </m:r>
                <m:sSub>
                  <m:sSubPr>
                    <m:ctrlPr>
                      <w:rPr>
                        <w:rFonts w:ascii="Cambria Math" w:hAnsi="Cambria Math"/>
                        <w:i/>
                        <w:iCs/>
                      </w:rPr>
                    </m:ctrlPr>
                  </m:sSubPr>
                  <m:e>
                    <m:r>
                      <w:rPr>
                        <w:rFonts w:ascii="Cambria Math" w:hAnsi="Cambria Math"/>
                      </w:rPr>
                      <m:t>S</m:t>
                    </m:r>
                  </m:e>
                  <m:sub>
                    <m:r>
                      <w:rPr>
                        <w:rFonts w:ascii="Cambria Math" w:hAnsi="Cambria Math"/>
                      </w:rPr>
                      <m:t>y</m:t>
                    </m:r>
                  </m:sub>
                </m:sSub>
                <m:r>
                  <w:rPr>
                    <w:rFonts w:ascii="Cambria Math" w:hAnsi="Cambria Math"/>
                  </w:rPr>
                  <m:t>=0</m:t>
                </m:r>
              </m:oMath>
            </m:oMathPara>
          </w:p>
        </w:tc>
        <w:tc>
          <w:tcPr>
            <w:tcW w:w="720" w:type="dxa"/>
            <w:vAlign w:val="bottom"/>
          </w:tcPr>
          <w:p w14:paraId="7BAC7B04" w14:textId="19D0FBC6" w:rsidR="0081664B" w:rsidRPr="001C7A3E" w:rsidRDefault="001C7A3E" w:rsidP="00BC23AD">
            <w:pPr>
              <w:pStyle w:val="Caption"/>
              <w:rPr>
                <w:i/>
              </w:rPr>
            </w:pPr>
            <w:r w:rsidRPr="001C7A3E">
              <w:t>K.</w:t>
            </w:r>
            <w:r w:rsidR="00077C0B">
              <w:fldChar w:fldCharType="begin"/>
            </w:r>
            <w:r w:rsidR="00077C0B">
              <w:instrText xml:space="preserve"> SEQ Equation \* ARABIC \s 1 </w:instrText>
            </w:r>
            <w:r w:rsidR="00077C0B">
              <w:fldChar w:fldCharType="separate"/>
            </w:r>
            <w:r w:rsidR="0006023A">
              <w:rPr>
                <w:noProof/>
              </w:rPr>
              <w:t>6</w:t>
            </w:r>
            <w:r w:rsidR="00077C0B">
              <w:rPr>
                <w:noProof/>
              </w:rPr>
              <w:fldChar w:fldCharType="end"/>
            </w:r>
          </w:p>
        </w:tc>
      </w:tr>
    </w:tbl>
    <w:p w14:paraId="2881385E" w14:textId="77777777" w:rsidR="0081664B" w:rsidRPr="001C7A3E" w:rsidRDefault="0081664B" w:rsidP="0081664B">
      <w:pPr>
        <w:ind w:firstLine="720"/>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81664B" w:rsidRPr="001C7A3E" w14:paraId="2D0FF304" w14:textId="77777777" w:rsidTr="007E7362">
        <w:trPr>
          <w:trHeight w:val="576"/>
        </w:trPr>
        <w:tc>
          <w:tcPr>
            <w:tcW w:w="720" w:type="dxa"/>
            <w:vAlign w:val="center"/>
          </w:tcPr>
          <w:p w14:paraId="005C3F86" w14:textId="13831F29" w:rsidR="0081664B" w:rsidRPr="001C7A3E" w:rsidRDefault="0081664B" w:rsidP="007E7362">
            <w:pPr>
              <w:spacing w:line="240" w:lineRule="auto"/>
              <w:jc w:val="center"/>
            </w:pPr>
          </w:p>
        </w:tc>
        <w:tc>
          <w:tcPr>
            <w:tcW w:w="7920" w:type="dxa"/>
            <w:vAlign w:val="center"/>
          </w:tcPr>
          <w:p w14:paraId="6DFDB531" w14:textId="77777777" w:rsidR="0081664B" w:rsidRPr="001C7A3E" w:rsidRDefault="00077C0B" w:rsidP="007E7362">
            <w:pPr>
              <w:spacing w:line="240" w:lineRule="auto"/>
              <w:jc w:val="center"/>
              <w:rPr>
                <w:rFonts w:eastAsiaTheme="minorEastAsia"/>
              </w:rPr>
            </w:pPr>
            <m:oMathPara>
              <m:oMath>
                <m:sSub>
                  <m:sSubPr>
                    <m:ctrlPr>
                      <w:rPr>
                        <w:rFonts w:ascii="Cambria Math" w:hAnsi="Cambria Math"/>
                        <w:i/>
                        <w:iCs/>
                      </w:rPr>
                    </m:ctrlPr>
                  </m:sSubPr>
                  <m:e>
                    <m:r>
                      <w:rPr>
                        <w:rFonts w:ascii="Cambria Math" w:hAnsi="Cambria Math"/>
                      </w:rPr>
                      <m:t>τ</m:t>
                    </m:r>
                  </m:e>
                  <m:sub>
                    <m:r>
                      <w:rPr>
                        <w:rFonts w:ascii="Cambria Math" w:hAnsi="Cambria Math"/>
                      </w:rPr>
                      <m:t>zx</m:t>
                    </m:r>
                  </m:sub>
                </m:sSub>
                <m:sSub>
                  <m:sSubPr>
                    <m:ctrlPr>
                      <w:rPr>
                        <w:rFonts w:ascii="Cambria Math" w:hAnsi="Cambria Math"/>
                        <w:i/>
                        <w:iCs/>
                      </w:rPr>
                    </m:ctrlPr>
                  </m:sSubPr>
                  <m:e>
                    <m:r>
                      <w:rPr>
                        <w:rFonts w:ascii="Cambria Math" w:hAnsi="Cambria Math"/>
                      </w:rPr>
                      <m:t>n</m:t>
                    </m:r>
                  </m:e>
                  <m:sub>
                    <m:r>
                      <w:rPr>
                        <w:rFonts w:ascii="Cambria Math" w:hAnsi="Cambria Math"/>
                      </w:rPr>
                      <m:t>x</m:t>
                    </m:r>
                  </m:sub>
                </m:sSub>
                <m:r>
                  <w:rPr>
                    <w:rFonts w:ascii="Cambria Math" w:hAnsi="Cambria Math"/>
                  </w:rPr>
                  <m:t>+</m:t>
                </m:r>
                <m:sSub>
                  <m:sSubPr>
                    <m:ctrlPr>
                      <w:rPr>
                        <w:rFonts w:ascii="Cambria Math" w:hAnsi="Cambria Math"/>
                        <w:i/>
                        <w:iCs/>
                      </w:rPr>
                    </m:ctrlPr>
                  </m:sSubPr>
                  <m:e>
                    <m:r>
                      <w:rPr>
                        <w:rFonts w:ascii="Cambria Math" w:hAnsi="Cambria Math"/>
                      </w:rPr>
                      <m:t>τ</m:t>
                    </m:r>
                  </m:e>
                  <m:sub>
                    <m:r>
                      <w:rPr>
                        <w:rFonts w:ascii="Cambria Math" w:hAnsi="Cambria Math"/>
                      </w:rPr>
                      <m:t>zy</m:t>
                    </m:r>
                  </m:sub>
                </m:sSub>
                <m:sSub>
                  <m:sSubPr>
                    <m:ctrlPr>
                      <w:rPr>
                        <w:rFonts w:ascii="Cambria Math" w:hAnsi="Cambria Math"/>
                        <w:i/>
                        <w:iCs/>
                      </w:rPr>
                    </m:ctrlPr>
                  </m:sSubPr>
                  <m:e>
                    <m:r>
                      <w:rPr>
                        <w:rFonts w:ascii="Cambria Math" w:hAnsi="Cambria Math"/>
                      </w:rPr>
                      <m:t>n</m:t>
                    </m:r>
                  </m:e>
                  <m:sub>
                    <m:r>
                      <w:rPr>
                        <w:rFonts w:ascii="Cambria Math" w:hAnsi="Cambria Math"/>
                      </w:rPr>
                      <m:t>y</m:t>
                    </m:r>
                  </m:sub>
                </m:sSub>
                <m:r>
                  <w:rPr>
                    <w:rFonts w:ascii="Cambria Math" w:hAnsi="Cambria Math"/>
                  </w:rPr>
                  <m:t>+</m:t>
                </m:r>
                <m:sSub>
                  <m:sSubPr>
                    <m:ctrlPr>
                      <w:rPr>
                        <w:rFonts w:ascii="Cambria Math" w:hAnsi="Cambria Math"/>
                        <w:i/>
                        <w:iCs/>
                      </w:rPr>
                    </m:ctrlPr>
                  </m:sSubPr>
                  <m:e>
                    <m:r>
                      <w:rPr>
                        <w:rFonts w:ascii="Cambria Math" w:hAnsi="Cambria Math"/>
                      </w:rPr>
                      <m:t>σ</m:t>
                    </m:r>
                  </m:e>
                  <m:sub>
                    <m:r>
                      <w:rPr>
                        <w:rFonts w:ascii="Cambria Math" w:hAnsi="Cambria Math"/>
                      </w:rPr>
                      <m:t>z</m:t>
                    </m:r>
                  </m:sub>
                </m:sSub>
                <m:sSub>
                  <m:sSubPr>
                    <m:ctrlPr>
                      <w:rPr>
                        <w:rFonts w:ascii="Cambria Math" w:hAnsi="Cambria Math"/>
                        <w:i/>
                        <w:iCs/>
                      </w:rPr>
                    </m:ctrlPr>
                  </m:sSubPr>
                  <m:e>
                    <m:r>
                      <w:rPr>
                        <w:rFonts w:ascii="Cambria Math" w:hAnsi="Cambria Math"/>
                      </w:rPr>
                      <m:t>n</m:t>
                    </m:r>
                  </m:e>
                  <m:sub>
                    <m:r>
                      <w:rPr>
                        <w:rFonts w:ascii="Cambria Math" w:hAnsi="Cambria Math"/>
                      </w:rPr>
                      <m:t>z</m:t>
                    </m:r>
                  </m:sub>
                </m:sSub>
                <m:r>
                  <w:rPr>
                    <w:rFonts w:ascii="Cambria Math" w:hAnsi="Cambria Math"/>
                  </w:rPr>
                  <m:t>+</m:t>
                </m:r>
                <m:sSub>
                  <m:sSubPr>
                    <m:ctrlPr>
                      <w:rPr>
                        <w:rFonts w:ascii="Cambria Math" w:hAnsi="Cambria Math"/>
                        <w:i/>
                        <w:iCs/>
                      </w:rPr>
                    </m:ctrlPr>
                  </m:sSubPr>
                  <m:e>
                    <m:r>
                      <w:rPr>
                        <w:rFonts w:ascii="Cambria Math" w:hAnsi="Cambria Math"/>
                      </w:rPr>
                      <m:t>S</m:t>
                    </m:r>
                  </m:e>
                  <m:sub>
                    <m:r>
                      <w:rPr>
                        <w:rFonts w:ascii="Cambria Math" w:hAnsi="Cambria Math"/>
                      </w:rPr>
                      <m:t>z</m:t>
                    </m:r>
                  </m:sub>
                </m:sSub>
                <m:r>
                  <w:rPr>
                    <w:rFonts w:ascii="Cambria Math" w:hAnsi="Cambria Math"/>
                  </w:rPr>
                  <m:t>=0</m:t>
                </m:r>
              </m:oMath>
            </m:oMathPara>
          </w:p>
        </w:tc>
        <w:tc>
          <w:tcPr>
            <w:tcW w:w="720" w:type="dxa"/>
            <w:vAlign w:val="bottom"/>
          </w:tcPr>
          <w:p w14:paraId="391D1DE0" w14:textId="02456DFF" w:rsidR="0081664B" w:rsidRPr="001C7A3E" w:rsidRDefault="001C7A3E" w:rsidP="00BC23AD">
            <w:pPr>
              <w:pStyle w:val="Caption"/>
              <w:rPr>
                <w:i/>
              </w:rPr>
            </w:pPr>
            <w:r w:rsidRPr="001C7A3E">
              <w:t>K.</w:t>
            </w:r>
            <w:r w:rsidR="00077C0B">
              <w:fldChar w:fldCharType="begin"/>
            </w:r>
            <w:r w:rsidR="00077C0B">
              <w:instrText xml:space="preserve"> SEQ Equation \* ARABIC \s 1 </w:instrText>
            </w:r>
            <w:r w:rsidR="00077C0B">
              <w:fldChar w:fldCharType="separate"/>
            </w:r>
            <w:r w:rsidR="0006023A">
              <w:rPr>
                <w:noProof/>
              </w:rPr>
              <w:t>7</w:t>
            </w:r>
            <w:r w:rsidR="00077C0B">
              <w:rPr>
                <w:noProof/>
              </w:rPr>
              <w:fldChar w:fldCharType="end"/>
            </w:r>
          </w:p>
        </w:tc>
      </w:tr>
    </w:tbl>
    <w:p w14:paraId="57EAB5B8" w14:textId="77777777" w:rsidR="0081664B" w:rsidRPr="001C7A3E" w:rsidRDefault="0081664B" w:rsidP="0081664B">
      <w:pPr>
        <w:ind w:firstLine="720"/>
      </w:pPr>
    </w:p>
    <w:p w14:paraId="624A48CE" w14:textId="77777777" w:rsidR="0081664B" w:rsidRPr="001C7A3E" w:rsidRDefault="0081664B" w:rsidP="0081664B">
      <w:pPr>
        <w:ind w:firstLine="720"/>
      </w:pPr>
      <w:r w:rsidRPr="001C7A3E">
        <w:t xml:space="preserve">Where </w:t>
      </w:r>
      <m:oMath>
        <m:r>
          <w:rPr>
            <w:rFonts w:ascii="Cambria Math" w:hAnsi="Cambria Math"/>
          </w:rPr>
          <m:t>S</m:t>
        </m:r>
      </m:oMath>
      <w:r w:rsidRPr="001C7A3E">
        <w:t xml:space="preserve"> and </w:t>
      </w:r>
      <m:oMath>
        <m:r>
          <w:rPr>
            <w:rFonts w:ascii="Cambria Math" w:hAnsi="Cambria Math"/>
          </w:rPr>
          <m:t>n</m:t>
        </m:r>
      </m:oMath>
      <w:r w:rsidRPr="001C7A3E">
        <w:t xml:space="preserve"> are components of surface forces and unit normal vectors, respectively.</w:t>
      </w:r>
    </w:p>
    <w:p w14:paraId="56D7F56E" w14:textId="54601D18" w:rsidR="0081664B" w:rsidRPr="001C7A3E" w:rsidRDefault="0081664B" w:rsidP="0081664B">
      <w:pPr>
        <w:ind w:firstLine="720"/>
      </w:pPr>
      <w:r w:rsidRPr="001C7A3E">
        <w:t xml:space="preserve">The strain-displacement relations are shown in Equations </w:t>
      </w:r>
      <w:r w:rsidR="001C7A3E" w:rsidRPr="001C7A3E">
        <w:t>K.8-K.13</w:t>
      </w:r>
      <w:r w:rsidRPr="001C7A3E">
        <w:t>. These relationships are assumed to be linear when small deformations are applied.</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81664B" w:rsidRPr="001C7A3E" w14:paraId="32216026" w14:textId="77777777" w:rsidTr="007E7362">
        <w:trPr>
          <w:trHeight w:val="576"/>
        </w:trPr>
        <w:tc>
          <w:tcPr>
            <w:tcW w:w="720" w:type="dxa"/>
            <w:vAlign w:val="center"/>
          </w:tcPr>
          <w:p w14:paraId="35EF5AB2" w14:textId="3E8B3632" w:rsidR="0081664B" w:rsidRPr="001C7A3E" w:rsidRDefault="0081664B" w:rsidP="007E7362">
            <w:pPr>
              <w:spacing w:line="240" w:lineRule="auto"/>
              <w:jc w:val="center"/>
            </w:pPr>
          </w:p>
        </w:tc>
        <w:tc>
          <w:tcPr>
            <w:tcW w:w="7920" w:type="dxa"/>
            <w:vAlign w:val="center"/>
          </w:tcPr>
          <w:p w14:paraId="3A77416C" w14:textId="77777777" w:rsidR="0081664B" w:rsidRPr="001C7A3E" w:rsidRDefault="00077C0B" w:rsidP="007E7362">
            <w:pPr>
              <w:spacing w:line="240" w:lineRule="auto"/>
              <w:jc w:val="center"/>
              <w:rPr>
                <w:rFonts w:eastAsiaTheme="minorEastAsia"/>
              </w:rPr>
            </w:pPr>
            <m:oMathPara>
              <m:oMath>
                <m:sSub>
                  <m:sSubPr>
                    <m:ctrlPr>
                      <w:rPr>
                        <w:rFonts w:ascii="Cambria Math" w:hAnsi="Cambria Math"/>
                        <w:i/>
                        <w:iCs/>
                      </w:rPr>
                    </m:ctrlPr>
                  </m:sSubPr>
                  <m:e>
                    <m:r>
                      <w:rPr>
                        <w:rFonts w:ascii="Cambria Math" w:hAnsi="Cambria Math"/>
                      </w:rPr>
                      <m:t>ϵ</m:t>
                    </m:r>
                  </m:e>
                  <m:sub>
                    <m:r>
                      <w:rPr>
                        <w:rFonts w:ascii="Cambria Math" w:hAnsi="Cambria Math"/>
                      </w:rPr>
                      <m:t>x</m:t>
                    </m:r>
                  </m:sub>
                </m:sSub>
                <m:r>
                  <w:rPr>
                    <w:rFonts w:ascii="Cambria Math" w:hAnsi="Cambria Math"/>
                  </w:rPr>
                  <m:t>=</m:t>
                </m:r>
                <m:f>
                  <m:fPr>
                    <m:ctrlPr>
                      <w:rPr>
                        <w:rFonts w:ascii="Cambria Math" w:hAnsi="Cambria Math"/>
                        <w:i/>
                        <w:iCs/>
                      </w:rPr>
                    </m:ctrlPr>
                  </m:fPr>
                  <m:num>
                    <m:r>
                      <w:rPr>
                        <w:rFonts w:ascii="Cambria Math" w:hAnsi="Cambria Math"/>
                      </w:rPr>
                      <m:t>δ</m:t>
                    </m:r>
                    <m:sSub>
                      <m:sSubPr>
                        <m:ctrlPr>
                          <w:rPr>
                            <w:rFonts w:ascii="Cambria Math" w:hAnsi="Cambria Math"/>
                            <w:i/>
                            <w:iCs/>
                          </w:rPr>
                        </m:ctrlPr>
                      </m:sSubPr>
                      <m:e>
                        <m:r>
                          <w:rPr>
                            <w:rFonts w:ascii="Cambria Math" w:hAnsi="Cambria Math"/>
                          </w:rPr>
                          <m:t>u</m:t>
                        </m:r>
                      </m:e>
                      <m:sub>
                        <m:r>
                          <w:rPr>
                            <w:rFonts w:ascii="Cambria Math" w:hAnsi="Cambria Math"/>
                          </w:rPr>
                          <m:t>x</m:t>
                        </m:r>
                      </m:sub>
                    </m:sSub>
                  </m:num>
                  <m:den>
                    <m:r>
                      <w:rPr>
                        <w:rFonts w:ascii="Cambria Math" w:hAnsi="Cambria Math"/>
                      </w:rPr>
                      <m:t>δx</m:t>
                    </m:r>
                  </m:den>
                </m:f>
              </m:oMath>
            </m:oMathPara>
          </w:p>
        </w:tc>
        <w:tc>
          <w:tcPr>
            <w:tcW w:w="720" w:type="dxa"/>
            <w:vAlign w:val="bottom"/>
          </w:tcPr>
          <w:p w14:paraId="0C158F26" w14:textId="7749CD6F" w:rsidR="0081664B" w:rsidRPr="001C7A3E" w:rsidRDefault="001C7A3E" w:rsidP="00BC23AD">
            <w:pPr>
              <w:pStyle w:val="Caption"/>
              <w:rPr>
                <w:i/>
              </w:rPr>
            </w:pPr>
            <w:r w:rsidRPr="001C7A3E">
              <w:t>K.</w:t>
            </w:r>
            <w:r w:rsidR="00077C0B">
              <w:fldChar w:fldCharType="begin"/>
            </w:r>
            <w:r w:rsidR="00077C0B">
              <w:instrText xml:space="preserve"> SEQ Equation \* ARABIC \s 1 </w:instrText>
            </w:r>
            <w:r w:rsidR="00077C0B">
              <w:fldChar w:fldCharType="separate"/>
            </w:r>
            <w:r w:rsidR="0006023A">
              <w:rPr>
                <w:noProof/>
              </w:rPr>
              <w:t>8</w:t>
            </w:r>
            <w:r w:rsidR="00077C0B">
              <w:rPr>
                <w:noProof/>
              </w:rPr>
              <w:fldChar w:fldCharType="end"/>
            </w:r>
          </w:p>
        </w:tc>
      </w:tr>
    </w:tbl>
    <w:p w14:paraId="45726640" w14:textId="77777777" w:rsidR="0081664B" w:rsidRPr="001C7A3E" w:rsidRDefault="0081664B" w:rsidP="0081664B">
      <w:pPr>
        <w:ind w:firstLine="720"/>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81664B" w:rsidRPr="001C7A3E" w14:paraId="3DF100D6" w14:textId="77777777" w:rsidTr="007E7362">
        <w:trPr>
          <w:trHeight w:val="576"/>
        </w:trPr>
        <w:tc>
          <w:tcPr>
            <w:tcW w:w="720" w:type="dxa"/>
            <w:vAlign w:val="center"/>
          </w:tcPr>
          <w:p w14:paraId="50C973ED" w14:textId="5C7D7345" w:rsidR="0081664B" w:rsidRPr="001C7A3E" w:rsidRDefault="0081664B" w:rsidP="007E7362">
            <w:pPr>
              <w:spacing w:line="240" w:lineRule="auto"/>
              <w:jc w:val="center"/>
            </w:pPr>
          </w:p>
        </w:tc>
        <w:tc>
          <w:tcPr>
            <w:tcW w:w="7920" w:type="dxa"/>
            <w:vAlign w:val="center"/>
          </w:tcPr>
          <w:p w14:paraId="5B711A4C" w14:textId="77777777" w:rsidR="0081664B" w:rsidRPr="001C7A3E" w:rsidRDefault="00077C0B" w:rsidP="007E7362">
            <w:pPr>
              <w:spacing w:line="240" w:lineRule="auto"/>
              <w:jc w:val="center"/>
              <w:rPr>
                <w:rFonts w:eastAsiaTheme="minorEastAsia"/>
              </w:rPr>
            </w:pPr>
            <m:oMathPara>
              <m:oMath>
                <m:sSub>
                  <m:sSubPr>
                    <m:ctrlPr>
                      <w:rPr>
                        <w:rFonts w:ascii="Cambria Math" w:hAnsi="Cambria Math"/>
                        <w:i/>
                        <w:iCs/>
                      </w:rPr>
                    </m:ctrlPr>
                  </m:sSubPr>
                  <m:e>
                    <m:r>
                      <w:rPr>
                        <w:rFonts w:ascii="Cambria Math" w:hAnsi="Cambria Math"/>
                      </w:rPr>
                      <m:t>ϵ</m:t>
                    </m:r>
                  </m:e>
                  <m:sub>
                    <m:r>
                      <w:rPr>
                        <w:rFonts w:ascii="Cambria Math" w:hAnsi="Cambria Math"/>
                      </w:rPr>
                      <m:t>y</m:t>
                    </m:r>
                  </m:sub>
                </m:sSub>
                <m:r>
                  <w:rPr>
                    <w:rFonts w:ascii="Cambria Math" w:hAnsi="Cambria Math"/>
                  </w:rPr>
                  <m:t>=</m:t>
                </m:r>
                <m:f>
                  <m:fPr>
                    <m:ctrlPr>
                      <w:rPr>
                        <w:rFonts w:ascii="Cambria Math" w:hAnsi="Cambria Math"/>
                        <w:i/>
                        <w:iCs/>
                      </w:rPr>
                    </m:ctrlPr>
                  </m:fPr>
                  <m:num>
                    <m:r>
                      <w:rPr>
                        <w:rFonts w:ascii="Cambria Math" w:hAnsi="Cambria Math"/>
                      </w:rPr>
                      <m:t>δ</m:t>
                    </m:r>
                    <m:sSub>
                      <m:sSubPr>
                        <m:ctrlPr>
                          <w:rPr>
                            <w:rFonts w:ascii="Cambria Math" w:hAnsi="Cambria Math"/>
                            <w:i/>
                            <w:iCs/>
                          </w:rPr>
                        </m:ctrlPr>
                      </m:sSubPr>
                      <m:e>
                        <m:r>
                          <w:rPr>
                            <w:rFonts w:ascii="Cambria Math" w:hAnsi="Cambria Math"/>
                          </w:rPr>
                          <m:t>u</m:t>
                        </m:r>
                      </m:e>
                      <m:sub>
                        <m:r>
                          <w:rPr>
                            <w:rFonts w:ascii="Cambria Math" w:hAnsi="Cambria Math"/>
                          </w:rPr>
                          <m:t>y</m:t>
                        </m:r>
                      </m:sub>
                    </m:sSub>
                  </m:num>
                  <m:den>
                    <m:r>
                      <w:rPr>
                        <w:rFonts w:ascii="Cambria Math" w:hAnsi="Cambria Math"/>
                      </w:rPr>
                      <m:t>δy</m:t>
                    </m:r>
                  </m:den>
                </m:f>
              </m:oMath>
            </m:oMathPara>
          </w:p>
        </w:tc>
        <w:tc>
          <w:tcPr>
            <w:tcW w:w="720" w:type="dxa"/>
            <w:vAlign w:val="bottom"/>
          </w:tcPr>
          <w:p w14:paraId="1D0AAF3A" w14:textId="17803290" w:rsidR="0081664B" w:rsidRPr="001C7A3E" w:rsidRDefault="001C7A3E" w:rsidP="00BC23AD">
            <w:pPr>
              <w:pStyle w:val="Caption"/>
              <w:rPr>
                <w:i/>
              </w:rPr>
            </w:pPr>
            <w:r w:rsidRPr="001C7A3E">
              <w:t>K.</w:t>
            </w:r>
            <w:r w:rsidR="00077C0B">
              <w:fldChar w:fldCharType="begin"/>
            </w:r>
            <w:r w:rsidR="00077C0B">
              <w:instrText xml:space="preserve"> SEQ Equation \* ARABIC \s 1 </w:instrText>
            </w:r>
            <w:r w:rsidR="00077C0B">
              <w:fldChar w:fldCharType="separate"/>
            </w:r>
            <w:r w:rsidR="0006023A">
              <w:rPr>
                <w:noProof/>
              </w:rPr>
              <w:t>9</w:t>
            </w:r>
            <w:r w:rsidR="00077C0B">
              <w:rPr>
                <w:noProof/>
              </w:rPr>
              <w:fldChar w:fldCharType="end"/>
            </w:r>
          </w:p>
        </w:tc>
      </w:tr>
    </w:tbl>
    <w:p w14:paraId="61B9F77E" w14:textId="77777777" w:rsidR="0081664B" w:rsidRPr="001C7A3E" w:rsidRDefault="0081664B" w:rsidP="0081664B">
      <w:pPr>
        <w:ind w:firstLine="720"/>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81664B" w:rsidRPr="001C7A3E" w14:paraId="09EC5A17" w14:textId="77777777" w:rsidTr="007E7362">
        <w:trPr>
          <w:trHeight w:val="576"/>
        </w:trPr>
        <w:tc>
          <w:tcPr>
            <w:tcW w:w="720" w:type="dxa"/>
            <w:vAlign w:val="center"/>
          </w:tcPr>
          <w:p w14:paraId="3658903D" w14:textId="6C74D1C5" w:rsidR="0081664B" w:rsidRPr="001C7A3E" w:rsidRDefault="0081664B" w:rsidP="007E7362">
            <w:pPr>
              <w:spacing w:line="240" w:lineRule="auto"/>
              <w:jc w:val="center"/>
            </w:pPr>
          </w:p>
        </w:tc>
        <w:tc>
          <w:tcPr>
            <w:tcW w:w="7920" w:type="dxa"/>
            <w:vAlign w:val="center"/>
          </w:tcPr>
          <w:p w14:paraId="7EA24A79" w14:textId="77777777" w:rsidR="0081664B" w:rsidRPr="001C7A3E" w:rsidRDefault="00077C0B" w:rsidP="007E7362">
            <w:pPr>
              <w:spacing w:line="240" w:lineRule="auto"/>
              <w:jc w:val="center"/>
              <w:rPr>
                <w:rFonts w:eastAsiaTheme="minorEastAsia"/>
              </w:rPr>
            </w:pPr>
            <m:oMathPara>
              <m:oMath>
                <m:sSub>
                  <m:sSubPr>
                    <m:ctrlPr>
                      <w:rPr>
                        <w:rFonts w:ascii="Cambria Math" w:hAnsi="Cambria Math"/>
                        <w:i/>
                        <w:iCs/>
                      </w:rPr>
                    </m:ctrlPr>
                  </m:sSubPr>
                  <m:e>
                    <m:r>
                      <w:rPr>
                        <w:rFonts w:ascii="Cambria Math" w:hAnsi="Cambria Math"/>
                      </w:rPr>
                      <m:t>ϵ</m:t>
                    </m:r>
                  </m:e>
                  <m:sub>
                    <m:r>
                      <w:rPr>
                        <w:rFonts w:ascii="Cambria Math" w:hAnsi="Cambria Math"/>
                      </w:rPr>
                      <m:t>z</m:t>
                    </m:r>
                  </m:sub>
                </m:sSub>
                <m:r>
                  <w:rPr>
                    <w:rFonts w:ascii="Cambria Math" w:hAnsi="Cambria Math"/>
                  </w:rPr>
                  <m:t>=</m:t>
                </m:r>
                <m:f>
                  <m:fPr>
                    <m:ctrlPr>
                      <w:rPr>
                        <w:rFonts w:ascii="Cambria Math" w:hAnsi="Cambria Math"/>
                        <w:i/>
                        <w:iCs/>
                      </w:rPr>
                    </m:ctrlPr>
                  </m:fPr>
                  <m:num>
                    <m:r>
                      <w:rPr>
                        <w:rFonts w:ascii="Cambria Math" w:hAnsi="Cambria Math"/>
                      </w:rPr>
                      <m:t>δ</m:t>
                    </m:r>
                    <m:sSub>
                      <m:sSubPr>
                        <m:ctrlPr>
                          <w:rPr>
                            <w:rFonts w:ascii="Cambria Math" w:hAnsi="Cambria Math"/>
                            <w:i/>
                            <w:iCs/>
                          </w:rPr>
                        </m:ctrlPr>
                      </m:sSubPr>
                      <m:e>
                        <m:r>
                          <w:rPr>
                            <w:rFonts w:ascii="Cambria Math" w:hAnsi="Cambria Math"/>
                          </w:rPr>
                          <m:t>u</m:t>
                        </m:r>
                      </m:e>
                      <m:sub>
                        <m:r>
                          <w:rPr>
                            <w:rFonts w:ascii="Cambria Math" w:hAnsi="Cambria Math"/>
                          </w:rPr>
                          <m:t>z</m:t>
                        </m:r>
                      </m:sub>
                    </m:sSub>
                  </m:num>
                  <m:den>
                    <m:r>
                      <w:rPr>
                        <w:rFonts w:ascii="Cambria Math" w:hAnsi="Cambria Math"/>
                      </w:rPr>
                      <m:t>δz</m:t>
                    </m:r>
                  </m:den>
                </m:f>
              </m:oMath>
            </m:oMathPara>
          </w:p>
        </w:tc>
        <w:tc>
          <w:tcPr>
            <w:tcW w:w="720" w:type="dxa"/>
            <w:vAlign w:val="bottom"/>
          </w:tcPr>
          <w:p w14:paraId="33100DC0" w14:textId="76D2E75D" w:rsidR="0081664B" w:rsidRPr="001C7A3E" w:rsidRDefault="001C7A3E" w:rsidP="00BC23AD">
            <w:pPr>
              <w:pStyle w:val="Caption"/>
              <w:rPr>
                <w:i/>
              </w:rPr>
            </w:pPr>
            <w:r w:rsidRPr="001C7A3E">
              <w:t>K.</w:t>
            </w:r>
            <w:r w:rsidR="00077C0B">
              <w:fldChar w:fldCharType="begin"/>
            </w:r>
            <w:r w:rsidR="00077C0B">
              <w:instrText xml:space="preserve"> SEQ Equation \* ARABIC \s 1 </w:instrText>
            </w:r>
            <w:r w:rsidR="00077C0B">
              <w:fldChar w:fldCharType="separate"/>
            </w:r>
            <w:r w:rsidR="0006023A">
              <w:rPr>
                <w:noProof/>
              </w:rPr>
              <w:t>10</w:t>
            </w:r>
            <w:r w:rsidR="00077C0B">
              <w:rPr>
                <w:noProof/>
              </w:rPr>
              <w:fldChar w:fldCharType="end"/>
            </w:r>
          </w:p>
        </w:tc>
      </w:tr>
    </w:tbl>
    <w:p w14:paraId="4B48E7F1" w14:textId="77777777" w:rsidR="0081664B" w:rsidRPr="001C7A3E" w:rsidRDefault="0081664B" w:rsidP="0081664B">
      <w:pPr>
        <w:ind w:firstLine="720"/>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81664B" w:rsidRPr="001C7A3E" w14:paraId="53D816ED" w14:textId="77777777" w:rsidTr="007E7362">
        <w:trPr>
          <w:trHeight w:val="576"/>
        </w:trPr>
        <w:tc>
          <w:tcPr>
            <w:tcW w:w="720" w:type="dxa"/>
            <w:vAlign w:val="center"/>
          </w:tcPr>
          <w:p w14:paraId="46F6DC3F" w14:textId="4BAED323" w:rsidR="0081664B" w:rsidRPr="001C7A3E" w:rsidRDefault="0081664B" w:rsidP="007E7362">
            <w:pPr>
              <w:spacing w:line="240" w:lineRule="auto"/>
              <w:jc w:val="center"/>
            </w:pPr>
          </w:p>
        </w:tc>
        <w:tc>
          <w:tcPr>
            <w:tcW w:w="7920" w:type="dxa"/>
            <w:vAlign w:val="center"/>
          </w:tcPr>
          <w:p w14:paraId="076C329C" w14:textId="77777777" w:rsidR="0081664B" w:rsidRPr="001C7A3E" w:rsidRDefault="00077C0B" w:rsidP="007E7362">
            <w:pPr>
              <w:spacing w:line="240" w:lineRule="auto"/>
              <w:jc w:val="center"/>
              <w:rPr>
                <w:rFonts w:eastAsiaTheme="minorEastAsia"/>
              </w:rPr>
            </w:pPr>
            <m:oMathPara>
              <m:oMath>
                <m:sSub>
                  <m:sSubPr>
                    <m:ctrlPr>
                      <w:rPr>
                        <w:rFonts w:ascii="Cambria Math" w:hAnsi="Cambria Math"/>
                        <w:i/>
                        <w:iCs/>
                      </w:rPr>
                    </m:ctrlPr>
                  </m:sSubPr>
                  <m:e>
                    <m:r>
                      <w:rPr>
                        <w:rFonts w:ascii="Cambria Math" w:hAnsi="Cambria Math"/>
                      </w:rPr>
                      <m:t>γ</m:t>
                    </m:r>
                  </m:e>
                  <m:sub>
                    <m:r>
                      <w:rPr>
                        <w:rFonts w:ascii="Cambria Math" w:hAnsi="Cambria Math"/>
                      </w:rPr>
                      <m:t>xy</m:t>
                    </m:r>
                  </m:sub>
                </m:sSub>
                <m:r>
                  <w:rPr>
                    <w:rFonts w:ascii="Cambria Math" w:hAnsi="Cambria Math"/>
                  </w:rPr>
                  <m:t>=</m:t>
                </m:r>
                <m:f>
                  <m:fPr>
                    <m:ctrlPr>
                      <w:rPr>
                        <w:rFonts w:ascii="Cambria Math" w:hAnsi="Cambria Math"/>
                        <w:i/>
                        <w:iCs/>
                      </w:rPr>
                    </m:ctrlPr>
                  </m:fPr>
                  <m:num>
                    <m:r>
                      <w:rPr>
                        <w:rFonts w:ascii="Cambria Math" w:hAnsi="Cambria Math"/>
                      </w:rPr>
                      <m:t>δ</m:t>
                    </m:r>
                    <m:sSub>
                      <m:sSubPr>
                        <m:ctrlPr>
                          <w:rPr>
                            <w:rFonts w:ascii="Cambria Math" w:hAnsi="Cambria Math"/>
                            <w:i/>
                            <w:iCs/>
                          </w:rPr>
                        </m:ctrlPr>
                      </m:sSubPr>
                      <m:e>
                        <m:r>
                          <w:rPr>
                            <w:rFonts w:ascii="Cambria Math" w:hAnsi="Cambria Math"/>
                          </w:rPr>
                          <m:t>u</m:t>
                        </m:r>
                      </m:e>
                      <m:sub>
                        <m:r>
                          <w:rPr>
                            <w:rFonts w:ascii="Cambria Math" w:hAnsi="Cambria Math"/>
                          </w:rPr>
                          <m:t>x</m:t>
                        </m:r>
                      </m:sub>
                    </m:sSub>
                  </m:num>
                  <m:den>
                    <m:r>
                      <w:rPr>
                        <w:rFonts w:ascii="Cambria Math" w:hAnsi="Cambria Math"/>
                      </w:rPr>
                      <m:t>δy</m:t>
                    </m:r>
                  </m:den>
                </m:f>
                <m:r>
                  <w:rPr>
                    <w:rFonts w:ascii="Cambria Math" w:hAnsi="Cambria Math"/>
                  </w:rPr>
                  <m:t>+</m:t>
                </m:r>
                <m:f>
                  <m:fPr>
                    <m:ctrlPr>
                      <w:rPr>
                        <w:rFonts w:ascii="Cambria Math" w:hAnsi="Cambria Math"/>
                        <w:i/>
                        <w:iCs/>
                      </w:rPr>
                    </m:ctrlPr>
                  </m:fPr>
                  <m:num>
                    <m:r>
                      <w:rPr>
                        <w:rFonts w:ascii="Cambria Math" w:hAnsi="Cambria Math"/>
                      </w:rPr>
                      <m:t>δ</m:t>
                    </m:r>
                    <m:sSub>
                      <m:sSubPr>
                        <m:ctrlPr>
                          <w:rPr>
                            <w:rFonts w:ascii="Cambria Math" w:hAnsi="Cambria Math"/>
                            <w:i/>
                            <w:iCs/>
                          </w:rPr>
                        </m:ctrlPr>
                      </m:sSubPr>
                      <m:e>
                        <m:r>
                          <w:rPr>
                            <w:rFonts w:ascii="Cambria Math" w:hAnsi="Cambria Math"/>
                          </w:rPr>
                          <m:t>u</m:t>
                        </m:r>
                      </m:e>
                      <m:sub>
                        <m:r>
                          <w:rPr>
                            <w:rFonts w:ascii="Cambria Math" w:hAnsi="Cambria Math"/>
                          </w:rPr>
                          <m:t>y</m:t>
                        </m:r>
                      </m:sub>
                    </m:sSub>
                  </m:num>
                  <m:den>
                    <m:r>
                      <w:rPr>
                        <w:rFonts w:ascii="Cambria Math" w:hAnsi="Cambria Math"/>
                      </w:rPr>
                      <m:t>δx</m:t>
                    </m:r>
                  </m:den>
                </m:f>
              </m:oMath>
            </m:oMathPara>
          </w:p>
        </w:tc>
        <w:tc>
          <w:tcPr>
            <w:tcW w:w="720" w:type="dxa"/>
            <w:vAlign w:val="bottom"/>
          </w:tcPr>
          <w:p w14:paraId="5CDE365B" w14:textId="0848C4C2" w:rsidR="0081664B" w:rsidRPr="001C7A3E" w:rsidRDefault="001C7A3E" w:rsidP="00BC23AD">
            <w:pPr>
              <w:pStyle w:val="Caption"/>
              <w:rPr>
                <w:i/>
              </w:rPr>
            </w:pPr>
            <w:r w:rsidRPr="001C7A3E">
              <w:t>K.</w:t>
            </w:r>
            <w:r w:rsidR="00077C0B">
              <w:fldChar w:fldCharType="begin"/>
            </w:r>
            <w:r w:rsidR="00077C0B">
              <w:instrText xml:space="preserve"> SEQ Equation \* ARABIC \s 1 </w:instrText>
            </w:r>
            <w:r w:rsidR="00077C0B">
              <w:fldChar w:fldCharType="separate"/>
            </w:r>
            <w:r w:rsidR="0006023A">
              <w:rPr>
                <w:noProof/>
              </w:rPr>
              <w:t>11</w:t>
            </w:r>
            <w:r w:rsidR="00077C0B">
              <w:rPr>
                <w:noProof/>
              </w:rPr>
              <w:fldChar w:fldCharType="end"/>
            </w:r>
          </w:p>
        </w:tc>
      </w:tr>
    </w:tbl>
    <w:p w14:paraId="23F46215" w14:textId="77777777" w:rsidR="0081664B" w:rsidRPr="001C7A3E" w:rsidRDefault="0081664B" w:rsidP="0081664B">
      <w:pPr>
        <w:ind w:firstLine="720"/>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81664B" w:rsidRPr="001C7A3E" w14:paraId="6158C9C3" w14:textId="77777777" w:rsidTr="007E7362">
        <w:trPr>
          <w:trHeight w:val="576"/>
        </w:trPr>
        <w:tc>
          <w:tcPr>
            <w:tcW w:w="720" w:type="dxa"/>
            <w:vAlign w:val="center"/>
          </w:tcPr>
          <w:p w14:paraId="71638D40" w14:textId="42F606B0" w:rsidR="0081664B" w:rsidRPr="001C7A3E" w:rsidRDefault="0081664B" w:rsidP="007E7362">
            <w:pPr>
              <w:spacing w:line="240" w:lineRule="auto"/>
              <w:jc w:val="center"/>
            </w:pPr>
          </w:p>
        </w:tc>
        <w:tc>
          <w:tcPr>
            <w:tcW w:w="7920" w:type="dxa"/>
            <w:vAlign w:val="center"/>
          </w:tcPr>
          <w:p w14:paraId="132ED759" w14:textId="77777777" w:rsidR="0081664B" w:rsidRPr="001C7A3E" w:rsidRDefault="00077C0B" w:rsidP="007E7362">
            <w:pPr>
              <w:spacing w:line="240" w:lineRule="auto"/>
              <w:jc w:val="center"/>
              <w:rPr>
                <w:rFonts w:eastAsiaTheme="minorEastAsia"/>
              </w:rPr>
            </w:pPr>
            <m:oMathPara>
              <m:oMath>
                <m:sSub>
                  <m:sSubPr>
                    <m:ctrlPr>
                      <w:rPr>
                        <w:rFonts w:ascii="Cambria Math" w:hAnsi="Cambria Math"/>
                        <w:i/>
                        <w:iCs/>
                      </w:rPr>
                    </m:ctrlPr>
                  </m:sSubPr>
                  <m:e>
                    <m:r>
                      <w:rPr>
                        <w:rFonts w:ascii="Cambria Math" w:hAnsi="Cambria Math"/>
                      </w:rPr>
                      <m:t>γ</m:t>
                    </m:r>
                  </m:e>
                  <m:sub>
                    <m:r>
                      <w:rPr>
                        <w:rFonts w:ascii="Cambria Math" w:hAnsi="Cambria Math"/>
                      </w:rPr>
                      <m:t>yz</m:t>
                    </m:r>
                  </m:sub>
                </m:sSub>
                <m:r>
                  <w:rPr>
                    <w:rFonts w:ascii="Cambria Math" w:hAnsi="Cambria Math"/>
                  </w:rPr>
                  <m:t>=</m:t>
                </m:r>
                <m:f>
                  <m:fPr>
                    <m:ctrlPr>
                      <w:rPr>
                        <w:rFonts w:ascii="Cambria Math" w:hAnsi="Cambria Math"/>
                        <w:i/>
                        <w:iCs/>
                      </w:rPr>
                    </m:ctrlPr>
                  </m:fPr>
                  <m:num>
                    <m:r>
                      <w:rPr>
                        <w:rFonts w:ascii="Cambria Math" w:hAnsi="Cambria Math"/>
                      </w:rPr>
                      <m:t>δ</m:t>
                    </m:r>
                    <m:sSub>
                      <m:sSubPr>
                        <m:ctrlPr>
                          <w:rPr>
                            <w:rFonts w:ascii="Cambria Math" w:hAnsi="Cambria Math"/>
                            <w:i/>
                            <w:iCs/>
                          </w:rPr>
                        </m:ctrlPr>
                      </m:sSubPr>
                      <m:e>
                        <m:r>
                          <w:rPr>
                            <w:rFonts w:ascii="Cambria Math" w:hAnsi="Cambria Math"/>
                          </w:rPr>
                          <m:t>u</m:t>
                        </m:r>
                      </m:e>
                      <m:sub>
                        <m:r>
                          <w:rPr>
                            <w:rFonts w:ascii="Cambria Math" w:hAnsi="Cambria Math"/>
                          </w:rPr>
                          <m:t>y</m:t>
                        </m:r>
                      </m:sub>
                    </m:sSub>
                  </m:num>
                  <m:den>
                    <m:r>
                      <w:rPr>
                        <w:rFonts w:ascii="Cambria Math" w:hAnsi="Cambria Math"/>
                      </w:rPr>
                      <m:t>δz</m:t>
                    </m:r>
                  </m:den>
                </m:f>
                <m:r>
                  <w:rPr>
                    <w:rFonts w:ascii="Cambria Math" w:hAnsi="Cambria Math"/>
                  </w:rPr>
                  <m:t>+</m:t>
                </m:r>
                <m:f>
                  <m:fPr>
                    <m:ctrlPr>
                      <w:rPr>
                        <w:rFonts w:ascii="Cambria Math" w:hAnsi="Cambria Math"/>
                        <w:i/>
                        <w:iCs/>
                      </w:rPr>
                    </m:ctrlPr>
                  </m:fPr>
                  <m:num>
                    <m:r>
                      <w:rPr>
                        <w:rFonts w:ascii="Cambria Math" w:hAnsi="Cambria Math"/>
                      </w:rPr>
                      <m:t>δ</m:t>
                    </m:r>
                    <m:sSub>
                      <m:sSubPr>
                        <m:ctrlPr>
                          <w:rPr>
                            <w:rFonts w:ascii="Cambria Math" w:hAnsi="Cambria Math"/>
                            <w:i/>
                            <w:iCs/>
                          </w:rPr>
                        </m:ctrlPr>
                      </m:sSubPr>
                      <m:e>
                        <m:r>
                          <w:rPr>
                            <w:rFonts w:ascii="Cambria Math" w:hAnsi="Cambria Math"/>
                          </w:rPr>
                          <m:t>u</m:t>
                        </m:r>
                      </m:e>
                      <m:sub>
                        <m:r>
                          <w:rPr>
                            <w:rFonts w:ascii="Cambria Math" w:hAnsi="Cambria Math"/>
                          </w:rPr>
                          <m:t>z</m:t>
                        </m:r>
                      </m:sub>
                    </m:sSub>
                  </m:num>
                  <m:den>
                    <m:r>
                      <w:rPr>
                        <w:rFonts w:ascii="Cambria Math" w:hAnsi="Cambria Math"/>
                      </w:rPr>
                      <m:t>δy</m:t>
                    </m:r>
                  </m:den>
                </m:f>
              </m:oMath>
            </m:oMathPara>
          </w:p>
        </w:tc>
        <w:tc>
          <w:tcPr>
            <w:tcW w:w="720" w:type="dxa"/>
            <w:vAlign w:val="bottom"/>
          </w:tcPr>
          <w:p w14:paraId="070837FE" w14:textId="3DDC3E3C" w:rsidR="0081664B" w:rsidRPr="001C7A3E" w:rsidRDefault="001C7A3E" w:rsidP="00BC23AD">
            <w:pPr>
              <w:pStyle w:val="Caption"/>
              <w:rPr>
                <w:i/>
              </w:rPr>
            </w:pPr>
            <w:r w:rsidRPr="001C7A3E">
              <w:t>K.</w:t>
            </w:r>
            <w:r w:rsidR="00077C0B">
              <w:fldChar w:fldCharType="begin"/>
            </w:r>
            <w:r w:rsidR="00077C0B">
              <w:instrText xml:space="preserve"> SEQ Equation \* ARABIC \s 1 </w:instrText>
            </w:r>
            <w:r w:rsidR="00077C0B">
              <w:fldChar w:fldCharType="separate"/>
            </w:r>
            <w:r w:rsidR="0006023A">
              <w:rPr>
                <w:noProof/>
              </w:rPr>
              <w:t>12</w:t>
            </w:r>
            <w:r w:rsidR="00077C0B">
              <w:rPr>
                <w:noProof/>
              </w:rPr>
              <w:fldChar w:fldCharType="end"/>
            </w:r>
          </w:p>
        </w:tc>
      </w:tr>
    </w:tbl>
    <w:p w14:paraId="26412A6A" w14:textId="77777777" w:rsidR="0081664B" w:rsidRPr="001C7A3E" w:rsidRDefault="0081664B" w:rsidP="0081664B">
      <w:pPr>
        <w:ind w:firstLine="720"/>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81664B" w:rsidRPr="001C7A3E" w14:paraId="21D1F801" w14:textId="77777777" w:rsidTr="007E7362">
        <w:trPr>
          <w:trHeight w:val="576"/>
        </w:trPr>
        <w:tc>
          <w:tcPr>
            <w:tcW w:w="720" w:type="dxa"/>
            <w:vAlign w:val="center"/>
          </w:tcPr>
          <w:p w14:paraId="2D04DF8E" w14:textId="114744E8" w:rsidR="0081664B" w:rsidRPr="001C7A3E" w:rsidRDefault="0081664B" w:rsidP="007E7362">
            <w:pPr>
              <w:spacing w:line="240" w:lineRule="auto"/>
              <w:jc w:val="center"/>
            </w:pPr>
          </w:p>
        </w:tc>
        <w:tc>
          <w:tcPr>
            <w:tcW w:w="7920" w:type="dxa"/>
            <w:vAlign w:val="center"/>
          </w:tcPr>
          <w:p w14:paraId="2F010328" w14:textId="77777777" w:rsidR="0081664B" w:rsidRPr="001C7A3E" w:rsidRDefault="00077C0B" w:rsidP="007E7362">
            <w:pPr>
              <w:spacing w:line="240" w:lineRule="auto"/>
              <w:jc w:val="center"/>
              <w:rPr>
                <w:rFonts w:eastAsiaTheme="minorEastAsia"/>
              </w:rPr>
            </w:pPr>
            <m:oMathPara>
              <m:oMath>
                <m:sSub>
                  <m:sSubPr>
                    <m:ctrlPr>
                      <w:rPr>
                        <w:rFonts w:ascii="Cambria Math" w:hAnsi="Cambria Math"/>
                        <w:i/>
                        <w:iCs/>
                      </w:rPr>
                    </m:ctrlPr>
                  </m:sSubPr>
                  <m:e>
                    <m:r>
                      <w:rPr>
                        <w:rFonts w:ascii="Cambria Math" w:hAnsi="Cambria Math"/>
                      </w:rPr>
                      <m:t>γ</m:t>
                    </m:r>
                  </m:e>
                  <m:sub>
                    <m:r>
                      <w:rPr>
                        <w:rFonts w:ascii="Cambria Math" w:hAnsi="Cambria Math"/>
                      </w:rPr>
                      <m:t>zx</m:t>
                    </m:r>
                  </m:sub>
                </m:sSub>
                <m:r>
                  <w:rPr>
                    <w:rFonts w:ascii="Cambria Math" w:hAnsi="Cambria Math"/>
                  </w:rPr>
                  <m:t>=</m:t>
                </m:r>
                <m:f>
                  <m:fPr>
                    <m:ctrlPr>
                      <w:rPr>
                        <w:rFonts w:ascii="Cambria Math" w:hAnsi="Cambria Math"/>
                        <w:i/>
                        <w:iCs/>
                      </w:rPr>
                    </m:ctrlPr>
                  </m:fPr>
                  <m:num>
                    <m:r>
                      <w:rPr>
                        <w:rFonts w:ascii="Cambria Math" w:hAnsi="Cambria Math"/>
                      </w:rPr>
                      <m:t>δ</m:t>
                    </m:r>
                    <m:sSub>
                      <m:sSubPr>
                        <m:ctrlPr>
                          <w:rPr>
                            <w:rFonts w:ascii="Cambria Math" w:hAnsi="Cambria Math"/>
                            <w:i/>
                            <w:iCs/>
                          </w:rPr>
                        </m:ctrlPr>
                      </m:sSubPr>
                      <m:e>
                        <m:r>
                          <w:rPr>
                            <w:rFonts w:ascii="Cambria Math" w:hAnsi="Cambria Math"/>
                          </w:rPr>
                          <m:t>u</m:t>
                        </m:r>
                      </m:e>
                      <m:sub>
                        <m:r>
                          <w:rPr>
                            <w:rFonts w:ascii="Cambria Math" w:hAnsi="Cambria Math"/>
                          </w:rPr>
                          <m:t>z</m:t>
                        </m:r>
                      </m:sub>
                    </m:sSub>
                  </m:num>
                  <m:den>
                    <m:r>
                      <w:rPr>
                        <w:rFonts w:ascii="Cambria Math" w:hAnsi="Cambria Math"/>
                      </w:rPr>
                      <m:t>δx</m:t>
                    </m:r>
                  </m:den>
                </m:f>
                <m:r>
                  <w:rPr>
                    <w:rFonts w:ascii="Cambria Math" w:hAnsi="Cambria Math"/>
                  </w:rPr>
                  <m:t>+</m:t>
                </m:r>
                <m:f>
                  <m:fPr>
                    <m:ctrlPr>
                      <w:rPr>
                        <w:rFonts w:ascii="Cambria Math" w:hAnsi="Cambria Math"/>
                        <w:i/>
                        <w:iCs/>
                      </w:rPr>
                    </m:ctrlPr>
                  </m:fPr>
                  <m:num>
                    <m:r>
                      <w:rPr>
                        <w:rFonts w:ascii="Cambria Math" w:hAnsi="Cambria Math"/>
                      </w:rPr>
                      <m:t>δ</m:t>
                    </m:r>
                    <m:sSub>
                      <m:sSubPr>
                        <m:ctrlPr>
                          <w:rPr>
                            <w:rFonts w:ascii="Cambria Math" w:hAnsi="Cambria Math"/>
                            <w:i/>
                            <w:iCs/>
                          </w:rPr>
                        </m:ctrlPr>
                      </m:sSubPr>
                      <m:e>
                        <m:r>
                          <w:rPr>
                            <w:rFonts w:ascii="Cambria Math" w:hAnsi="Cambria Math"/>
                          </w:rPr>
                          <m:t>u</m:t>
                        </m:r>
                      </m:e>
                      <m:sub>
                        <m:r>
                          <w:rPr>
                            <w:rFonts w:ascii="Cambria Math" w:hAnsi="Cambria Math"/>
                          </w:rPr>
                          <m:t>x</m:t>
                        </m:r>
                      </m:sub>
                    </m:sSub>
                  </m:num>
                  <m:den>
                    <m:r>
                      <w:rPr>
                        <w:rFonts w:ascii="Cambria Math" w:hAnsi="Cambria Math"/>
                      </w:rPr>
                      <m:t>δz</m:t>
                    </m:r>
                  </m:den>
                </m:f>
              </m:oMath>
            </m:oMathPara>
          </w:p>
        </w:tc>
        <w:tc>
          <w:tcPr>
            <w:tcW w:w="720" w:type="dxa"/>
            <w:vAlign w:val="bottom"/>
          </w:tcPr>
          <w:p w14:paraId="54E2F4B0" w14:textId="6F58C4E3" w:rsidR="0081664B" w:rsidRPr="001C7A3E" w:rsidRDefault="001C7A3E" w:rsidP="00BC23AD">
            <w:pPr>
              <w:pStyle w:val="Caption"/>
              <w:rPr>
                <w:i/>
              </w:rPr>
            </w:pPr>
            <w:r w:rsidRPr="001C7A3E">
              <w:t>K.</w:t>
            </w:r>
            <w:r w:rsidR="00077C0B">
              <w:fldChar w:fldCharType="begin"/>
            </w:r>
            <w:r w:rsidR="00077C0B">
              <w:instrText xml:space="preserve"> SEQ Equation \* ARABIC \s 1 </w:instrText>
            </w:r>
            <w:r w:rsidR="00077C0B">
              <w:fldChar w:fldCharType="separate"/>
            </w:r>
            <w:r w:rsidR="0006023A">
              <w:rPr>
                <w:noProof/>
              </w:rPr>
              <w:t>13</w:t>
            </w:r>
            <w:r w:rsidR="00077C0B">
              <w:rPr>
                <w:noProof/>
              </w:rPr>
              <w:fldChar w:fldCharType="end"/>
            </w:r>
          </w:p>
        </w:tc>
      </w:tr>
    </w:tbl>
    <w:p w14:paraId="0F23FFB4" w14:textId="77777777" w:rsidR="0081664B" w:rsidRPr="001C7A3E" w:rsidRDefault="0081664B" w:rsidP="0081664B">
      <w:pPr>
        <w:ind w:firstLine="720"/>
      </w:pPr>
    </w:p>
    <w:p w14:paraId="73155ED9" w14:textId="4A8F7B50" w:rsidR="0081664B" w:rsidRPr="001C7A3E" w:rsidRDefault="0081664B" w:rsidP="0081664B">
      <w:pPr>
        <w:ind w:firstLine="720"/>
      </w:pPr>
      <w:r w:rsidRPr="001C7A3E">
        <w:t xml:space="preserve">The stress-strain equations (Equations </w:t>
      </w:r>
      <w:r w:rsidR="001C7A3E" w:rsidRPr="001C7A3E">
        <w:t>K.14-K.19</w:t>
      </w:r>
      <w:r w:rsidRPr="001C7A3E">
        <w:t>) stem from Hooke’s law which states that the relationship between stress and strain is linear with when small strains (i.e. displacements) are applied.</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81664B" w:rsidRPr="001C7A3E" w14:paraId="6CD1EA85" w14:textId="77777777" w:rsidTr="007E7362">
        <w:trPr>
          <w:trHeight w:val="576"/>
        </w:trPr>
        <w:tc>
          <w:tcPr>
            <w:tcW w:w="720" w:type="dxa"/>
            <w:vAlign w:val="center"/>
          </w:tcPr>
          <w:p w14:paraId="15E4AF75" w14:textId="141F5194" w:rsidR="0081664B" w:rsidRPr="001C7A3E" w:rsidRDefault="001C7A3E" w:rsidP="007E7362">
            <w:pPr>
              <w:spacing w:line="240" w:lineRule="auto"/>
              <w:jc w:val="center"/>
            </w:pPr>
            <w:r>
              <w:t xml:space="preserve"> </w:t>
            </w:r>
          </w:p>
        </w:tc>
        <w:tc>
          <w:tcPr>
            <w:tcW w:w="7920" w:type="dxa"/>
            <w:vAlign w:val="center"/>
          </w:tcPr>
          <w:p w14:paraId="012BE277" w14:textId="77777777" w:rsidR="0081664B" w:rsidRPr="001C7A3E" w:rsidRDefault="00077C0B" w:rsidP="007E7362">
            <w:pPr>
              <w:spacing w:line="240" w:lineRule="auto"/>
              <w:jc w:val="center"/>
              <w:rPr>
                <w:rFonts w:eastAsiaTheme="minorEastAsia"/>
              </w:rPr>
            </w:pPr>
            <m:oMathPara>
              <m:oMath>
                <m:sSub>
                  <m:sSubPr>
                    <m:ctrlPr>
                      <w:rPr>
                        <w:rFonts w:ascii="Cambria Math" w:hAnsi="Cambria Math"/>
                        <w:i/>
                        <w:iCs/>
                      </w:rPr>
                    </m:ctrlPr>
                  </m:sSubPr>
                  <m:e>
                    <m:r>
                      <w:rPr>
                        <w:rFonts w:ascii="Cambria Math" w:hAnsi="Cambria Math"/>
                      </w:rPr>
                      <m:t>ϵ</m:t>
                    </m:r>
                  </m:e>
                  <m:sub>
                    <m:r>
                      <w:rPr>
                        <w:rFonts w:ascii="Cambria Math" w:hAnsi="Cambria Math"/>
                      </w:rPr>
                      <m:t>x</m:t>
                    </m:r>
                  </m:sub>
                </m:sSub>
                <m:r>
                  <w:rPr>
                    <w:rFonts w:ascii="Cambria Math" w:hAnsi="Cambria Math"/>
                  </w:rPr>
                  <m:t>=</m:t>
                </m:r>
                <m:f>
                  <m:fPr>
                    <m:ctrlPr>
                      <w:rPr>
                        <w:rFonts w:ascii="Cambria Math" w:hAnsi="Cambria Math"/>
                        <w:i/>
                        <w:iCs/>
                      </w:rPr>
                    </m:ctrlPr>
                  </m:fPr>
                  <m:num>
                    <m:sSub>
                      <m:sSubPr>
                        <m:ctrlPr>
                          <w:rPr>
                            <w:rFonts w:ascii="Cambria Math" w:hAnsi="Cambria Math"/>
                            <w:i/>
                            <w:iCs/>
                          </w:rPr>
                        </m:ctrlPr>
                      </m:sSubPr>
                      <m:e>
                        <m:r>
                          <w:rPr>
                            <w:rFonts w:ascii="Cambria Math" w:hAnsi="Cambria Math"/>
                          </w:rPr>
                          <m:t>σ</m:t>
                        </m:r>
                      </m:e>
                      <m:sub>
                        <m:r>
                          <w:rPr>
                            <w:rFonts w:ascii="Cambria Math" w:hAnsi="Cambria Math"/>
                          </w:rPr>
                          <m:t>x</m:t>
                        </m:r>
                      </m:sub>
                    </m:sSub>
                  </m:num>
                  <m:den>
                    <m:r>
                      <w:rPr>
                        <w:rFonts w:ascii="Cambria Math" w:hAnsi="Cambria Math"/>
                      </w:rPr>
                      <m:t>E</m:t>
                    </m:r>
                  </m:den>
                </m:f>
                <m:r>
                  <w:rPr>
                    <w:rFonts w:ascii="Cambria Math" w:hAnsi="Cambria Math"/>
                  </w:rPr>
                  <m:t>-v</m:t>
                </m:r>
                <m:f>
                  <m:fPr>
                    <m:ctrlPr>
                      <w:rPr>
                        <w:rFonts w:ascii="Cambria Math" w:hAnsi="Cambria Math"/>
                        <w:i/>
                        <w:iCs/>
                      </w:rPr>
                    </m:ctrlPr>
                  </m:fPr>
                  <m:num>
                    <m:sSub>
                      <m:sSubPr>
                        <m:ctrlPr>
                          <w:rPr>
                            <w:rFonts w:ascii="Cambria Math" w:hAnsi="Cambria Math"/>
                            <w:i/>
                            <w:iCs/>
                          </w:rPr>
                        </m:ctrlPr>
                      </m:sSubPr>
                      <m:e>
                        <m:r>
                          <w:rPr>
                            <w:rFonts w:ascii="Cambria Math" w:hAnsi="Cambria Math"/>
                          </w:rPr>
                          <m:t>σ</m:t>
                        </m:r>
                      </m:e>
                      <m:sub>
                        <m:r>
                          <w:rPr>
                            <w:rFonts w:ascii="Cambria Math" w:hAnsi="Cambria Math"/>
                          </w:rPr>
                          <m:t>y</m:t>
                        </m:r>
                      </m:sub>
                    </m:sSub>
                  </m:num>
                  <m:den>
                    <m:r>
                      <w:rPr>
                        <w:rFonts w:ascii="Cambria Math" w:hAnsi="Cambria Math"/>
                      </w:rPr>
                      <m:t>E</m:t>
                    </m:r>
                  </m:den>
                </m:f>
                <m:r>
                  <w:rPr>
                    <w:rFonts w:ascii="Cambria Math" w:hAnsi="Cambria Math"/>
                  </w:rPr>
                  <m:t> -v</m:t>
                </m:r>
                <m:f>
                  <m:fPr>
                    <m:ctrlPr>
                      <w:rPr>
                        <w:rFonts w:ascii="Cambria Math" w:hAnsi="Cambria Math"/>
                        <w:i/>
                        <w:iCs/>
                      </w:rPr>
                    </m:ctrlPr>
                  </m:fPr>
                  <m:num>
                    <m:sSub>
                      <m:sSubPr>
                        <m:ctrlPr>
                          <w:rPr>
                            <w:rFonts w:ascii="Cambria Math" w:hAnsi="Cambria Math"/>
                            <w:i/>
                            <w:iCs/>
                          </w:rPr>
                        </m:ctrlPr>
                      </m:sSubPr>
                      <m:e>
                        <m:r>
                          <w:rPr>
                            <w:rFonts w:ascii="Cambria Math" w:hAnsi="Cambria Math"/>
                          </w:rPr>
                          <m:t>σ</m:t>
                        </m:r>
                      </m:e>
                      <m:sub>
                        <m:r>
                          <w:rPr>
                            <w:rFonts w:ascii="Cambria Math" w:hAnsi="Cambria Math"/>
                          </w:rPr>
                          <m:t>z</m:t>
                        </m:r>
                      </m:sub>
                    </m:sSub>
                  </m:num>
                  <m:den>
                    <m:r>
                      <w:rPr>
                        <w:rFonts w:ascii="Cambria Math" w:hAnsi="Cambria Math"/>
                      </w:rPr>
                      <m:t>E</m:t>
                    </m:r>
                  </m:den>
                </m:f>
              </m:oMath>
            </m:oMathPara>
          </w:p>
        </w:tc>
        <w:tc>
          <w:tcPr>
            <w:tcW w:w="720" w:type="dxa"/>
            <w:vAlign w:val="bottom"/>
          </w:tcPr>
          <w:p w14:paraId="0B9BA33C" w14:textId="6E3A9D13" w:rsidR="0081664B" w:rsidRPr="001C7A3E" w:rsidRDefault="001C7A3E" w:rsidP="00BC23AD">
            <w:pPr>
              <w:pStyle w:val="Caption"/>
              <w:rPr>
                <w:i/>
              </w:rPr>
            </w:pPr>
            <w:r w:rsidRPr="001C7A3E">
              <w:t>K.</w:t>
            </w:r>
            <w:r w:rsidR="00077C0B">
              <w:fldChar w:fldCharType="begin"/>
            </w:r>
            <w:r w:rsidR="00077C0B">
              <w:instrText xml:space="preserve"> SEQ Equation \* ARABIC \s 1 </w:instrText>
            </w:r>
            <w:r w:rsidR="00077C0B">
              <w:fldChar w:fldCharType="separate"/>
            </w:r>
            <w:r w:rsidR="0006023A">
              <w:rPr>
                <w:noProof/>
              </w:rPr>
              <w:t>14</w:t>
            </w:r>
            <w:r w:rsidR="00077C0B">
              <w:rPr>
                <w:noProof/>
              </w:rPr>
              <w:fldChar w:fldCharType="end"/>
            </w:r>
          </w:p>
        </w:tc>
      </w:tr>
    </w:tbl>
    <w:p w14:paraId="4C1EDEB9" w14:textId="77777777" w:rsidR="0081664B" w:rsidRPr="001C7A3E" w:rsidRDefault="0081664B" w:rsidP="0081664B">
      <w:pPr>
        <w:ind w:firstLine="720"/>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81664B" w:rsidRPr="001C7A3E" w14:paraId="1EEA883F" w14:textId="77777777" w:rsidTr="007E7362">
        <w:trPr>
          <w:trHeight w:val="576"/>
        </w:trPr>
        <w:tc>
          <w:tcPr>
            <w:tcW w:w="720" w:type="dxa"/>
            <w:vAlign w:val="center"/>
          </w:tcPr>
          <w:p w14:paraId="57533EBD" w14:textId="03F4E014" w:rsidR="0081664B" w:rsidRPr="001C7A3E" w:rsidRDefault="0081664B" w:rsidP="007E7362">
            <w:pPr>
              <w:spacing w:line="240" w:lineRule="auto"/>
              <w:jc w:val="center"/>
            </w:pPr>
          </w:p>
        </w:tc>
        <w:tc>
          <w:tcPr>
            <w:tcW w:w="7920" w:type="dxa"/>
            <w:vAlign w:val="center"/>
          </w:tcPr>
          <w:p w14:paraId="2F9AC934" w14:textId="77777777" w:rsidR="0081664B" w:rsidRPr="001C7A3E" w:rsidRDefault="00077C0B" w:rsidP="007E7362">
            <w:pPr>
              <w:spacing w:line="240" w:lineRule="auto"/>
              <w:jc w:val="center"/>
              <w:rPr>
                <w:rFonts w:eastAsiaTheme="minorEastAsia"/>
              </w:rPr>
            </w:pPr>
            <m:oMathPara>
              <m:oMath>
                <m:sSub>
                  <m:sSubPr>
                    <m:ctrlPr>
                      <w:rPr>
                        <w:rFonts w:ascii="Cambria Math" w:hAnsi="Cambria Math"/>
                        <w:i/>
                        <w:iCs/>
                      </w:rPr>
                    </m:ctrlPr>
                  </m:sSubPr>
                  <m:e>
                    <m:r>
                      <w:rPr>
                        <w:rFonts w:ascii="Cambria Math" w:hAnsi="Cambria Math"/>
                      </w:rPr>
                      <m:t>ϵ</m:t>
                    </m:r>
                  </m:e>
                  <m:sub>
                    <m:r>
                      <w:rPr>
                        <w:rFonts w:ascii="Cambria Math" w:hAnsi="Cambria Math"/>
                      </w:rPr>
                      <m:t>y</m:t>
                    </m:r>
                  </m:sub>
                </m:sSub>
                <m:r>
                  <w:rPr>
                    <w:rFonts w:ascii="Cambria Math" w:hAnsi="Cambria Math"/>
                  </w:rPr>
                  <m:t>=</m:t>
                </m:r>
                <m:f>
                  <m:fPr>
                    <m:ctrlPr>
                      <w:rPr>
                        <w:rFonts w:ascii="Cambria Math" w:hAnsi="Cambria Math"/>
                        <w:i/>
                        <w:iCs/>
                      </w:rPr>
                    </m:ctrlPr>
                  </m:fPr>
                  <m:num>
                    <m:sSub>
                      <m:sSubPr>
                        <m:ctrlPr>
                          <w:rPr>
                            <w:rFonts w:ascii="Cambria Math" w:hAnsi="Cambria Math"/>
                            <w:i/>
                            <w:iCs/>
                          </w:rPr>
                        </m:ctrlPr>
                      </m:sSubPr>
                      <m:e>
                        <m:r>
                          <w:rPr>
                            <w:rFonts w:ascii="Cambria Math" w:hAnsi="Cambria Math"/>
                          </w:rPr>
                          <m:t>σ</m:t>
                        </m:r>
                      </m:e>
                      <m:sub>
                        <m:r>
                          <w:rPr>
                            <w:rFonts w:ascii="Cambria Math" w:hAnsi="Cambria Math"/>
                          </w:rPr>
                          <m:t>y</m:t>
                        </m:r>
                      </m:sub>
                    </m:sSub>
                  </m:num>
                  <m:den>
                    <m:r>
                      <w:rPr>
                        <w:rFonts w:ascii="Cambria Math" w:hAnsi="Cambria Math"/>
                      </w:rPr>
                      <m:t>E</m:t>
                    </m:r>
                  </m:den>
                </m:f>
                <m:r>
                  <w:rPr>
                    <w:rFonts w:ascii="Cambria Math" w:hAnsi="Cambria Math"/>
                  </w:rPr>
                  <m:t>-v</m:t>
                </m:r>
                <m:f>
                  <m:fPr>
                    <m:ctrlPr>
                      <w:rPr>
                        <w:rFonts w:ascii="Cambria Math" w:hAnsi="Cambria Math"/>
                        <w:i/>
                        <w:iCs/>
                      </w:rPr>
                    </m:ctrlPr>
                  </m:fPr>
                  <m:num>
                    <m:sSub>
                      <m:sSubPr>
                        <m:ctrlPr>
                          <w:rPr>
                            <w:rFonts w:ascii="Cambria Math" w:hAnsi="Cambria Math"/>
                            <w:i/>
                            <w:iCs/>
                          </w:rPr>
                        </m:ctrlPr>
                      </m:sSubPr>
                      <m:e>
                        <m:r>
                          <w:rPr>
                            <w:rFonts w:ascii="Cambria Math" w:hAnsi="Cambria Math"/>
                          </w:rPr>
                          <m:t>σ</m:t>
                        </m:r>
                      </m:e>
                      <m:sub>
                        <m:r>
                          <w:rPr>
                            <w:rFonts w:ascii="Cambria Math" w:hAnsi="Cambria Math"/>
                          </w:rPr>
                          <m:t>z</m:t>
                        </m:r>
                      </m:sub>
                    </m:sSub>
                  </m:num>
                  <m:den>
                    <m:r>
                      <w:rPr>
                        <w:rFonts w:ascii="Cambria Math" w:hAnsi="Cambria Math"/>
                      </w:rPr>
                      <m:t>E</m:t>
                    </m:r>
                  </m:den>
                </m:f>
                <m:r>
                  <w:rPr>
                    <w:rFonts w:ascii="Cambria Math" w:hAnsi="Cambria Math"/>
                  </w:rPr>
                  <m:t> -v</m:t>
                </m:r>
                <m:f>
                  <m:fPr>
                    <m:ctrlPr>
                      <w:rPr>
                        <w:rFonts w:ascii="Cambria Math" w:hAnsi="Cambria Math"/>
                        <w:i/>
                        <w:iCs/>
                      </w:rPr>
                    </m:ctrlPr>
                  </m:fPr>
                  <m:num>
                    <m:sSub>
                      <m:sSubPr>
                        <m:ctrlPr>
                          <w:rPr>
                            <w:rFonts w:ascii="Cambria Math" w:hAnsi="Cambria Math"/>
                            <w:i/>
                            <w:iCs/>
                          </w:rPr>
                        </m:ctrlPr>
                      </m:sSubPr>
                      <m:e>
                        <m:r>
                          <w:rPr>
                            <w:rFonts w:ascii="Cambria Math" w:hAnsi="Cambria Math"/>
                          </w:rPr>
                          <m:t>σ</m:t>
                        </m:r>
                      </m:e>
                      <m:sub>
                        <m:r>
                          <w:rPr>
                            <w:rFonts w:ascii="Cambria Math" w:hAnsi="Cambria Math"/>
                          </w:rPr>
                          <m:t>x</m:t>
                        </m:r>
                      </m:sub>
                    </m:sSub>
                  </m:num>
                  <m:den>
                    <m:r>
                      <w:rPr>
                        <w:rFonts w:ascii="Cambria Math" w:hAnsi="Cambria Math"/>
                      </w:rPr>
                      <m:t>E</m:t>
                    </m:r>
                  </m:den>
                </m:f>
              </m:oMath>
            </m:oMathPara>
          </w:p>
        </w:tc>
        <w:tc>
          <w:tcPr>
            <w:tcW w:w="720" w:type="dxa"/>
            <w:vAlign w:val="bottom"/>
          </w:tcPr>
          <w:p w14:paraId="6025A2FC" w14:textId="68B5CA46" w:rsidR="0081664B" w:rsidRPr="001C7A3E" w:rsidRDefault="001C7A3E" w:rsidP="00BC23AD">
            <w:pPr>
              <w:pStyle w:val="Caption"/>
              <w:rPr>
                <w:i/>
              </w:rPr>
            </w:pPr>
            <w:r w:rsidRPr="001C7A3E">
              <w:t>K.</w:t>
            </w:r>
            <w:r w:rsidR="00077C0B">
              <w:fldChar w:fldCharType="begin"/>
            </w:r>
            <w:r w:rsidR="00077C0B">
              <w:instrText xml:space="preserve"> SEQ Equation \* ARABIC \s 1 </w:instrText>
            </w:r>
            <w:r w:rsidR="00077C0B">
              <w:fldChar w:fldCharType="separate"/>
            </w:r>
            <w:r w:rsidR="0006023A">
              <w:rPr>
                <w:noProof/>
              </w:rPr>
              <w:t>15</w:t>
            </w:r>
            <w:r w:rsidR="00077C0B">
              <w:rPr>
                <w:noProof/>
              </w:rPr>
              <w:fldChar w:fldCharType="end"/>
            </w:r>
          </w:p>
        </w:tc>
      </w:tr>
    </w:tbl>
    <w:p w14:paraId="2679A58A" w14:textId="77777777" w:rsidR="0081664B" w:rsidRPr="001C7A3E" w:rsidRDefault="0081664B" w:rsidP="0081664B">
      <w:pPr>
        <w:ind w:firstLine="720"/>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81664B" w:rsidRPr="001C7A3E" w14:paraId="1643FD9C" w14:textId="77777777" w:rsidTr="007E7362">
        <w:trPr>
          <w:trHeight w:val="576"/>
        </w:trPr>
        <w:tc>
          <w:tcPr>
            <w:tcW w:w="720" w:type="dxa"/>
            <w:vAlign w:val="center"/>
          </w:tcPr>
          <w:p w14:paraId="23D07201" w14:textId="44467021" w:rsidR="0081664B" w:rsidRPr="001C7A3E" w:rsidRDefault="0081664B" w:rsidP="007E7362">
            <w:pPr>
              <w:spacing w:line="240" w:lineRule="auto"/>
              <w:jc w:val="center"/>
            </w:pPr>
          </w:p>
        </w:tc>
        <w:tc>
          <w:tcPr>
            <w:tcW w:w="7920" w:type="dxa"/>
            <w:vAlign w:val="center"/>
          </w:tcPr>
          <w:p w14:paraId="0EB26629" w14:textId="77777777" w:rsidR="0081664B" w:rsidRPr="001C7A3E" w:rsidRDefault="00077C0B" w:rsidP="007E7362">
            <w:pPr>
              <w:spacing w:line="240" w:lineRule="auto"/>
              <w:jc w:val="center"/>
              <w:rPr>
                <w:rFonts w:eastAsiaTheme="minorEastAsia"/>
              </w:rPr>
            </w:pPr>
            <m:oMathPara>
              <m:oMath>
                <m:sSub>
                  <m:sSubPr>
                    <m:ctrlPr>
                      <w:rPr>
                        <w:rFonts w:ascii="Cambria Math" w:hAnsi="Cambria Math"/>
                        <w:i/>
                        <w:iCs/>
                      </w:rPr>
                    </m:ctrlPr>
                  </m:sSubPr>
                  <m:e>
                    <m:r>
                      <w:rPr>
                        <w:rFonts w:ascii="Cambria Math" w:hAnsi="Cambria Math"/>
                      </w:rPr>
                      <m:t>ϵ</m:t>
                    </m:r>
                  </m:e>
                  <m:sub>
                    <m:r>
                      <w:rPr>
                        <w:rFonts w:ascii="Cambria Math" w:hAnsi="Cambria Math"/>
                      </w:rPr>
                      <m:t>z</m:t>
                    </m:r>
                  </m:sub>
                </m:sSub>
                <m:r>
                  <w:rPr>
                    <w:rFonts w:ascii="Cambria Math" w:hAnsi="Cambria Math"/>
                  </w:rPr>
                  <m:t>=</m:t>
                </m:r>
                <m:f>
                  <m:fPr>
                    <m:ctrlPr>
                      <w:rPr>
                        <w:rFonts w:ascii="Cambria Math" w:hAnsi="Cambria Math"/>
                        <w:i/>
                        <w:iCs/>
                      </w:rPr>
                    </m:ctrlPr>
                  </m:fPr>
                  <m:num>
                    <m:sSub>
                      <m:sSubPr>
                        <m:ctrlPr>
                          <w:rPr>
                            <w:rFonts w:ascii="Cambria Math" w:hAnsi="Cambria Math"/>
                            <w:i/>
                            <w:iCs/>
                          </w:rPr>
                        </m:ctrlPr>
                      </m:sSubPr>
                      <m:e>
                        <m:r>
                          <w:rPr>
                            <w:rFonts w:ascii="Cambria Math" w:hAnsi="Cambria Math"/>
                          </w:rPr>
                          <m:t>σ</m:t>
                        </m:r>
                      </m:e>
                      <m:sub>
                        <m:r>
                          <w:rPr>
                            <w:rFonts w:ascii="Cambria Math" w:hAnsi="Cambria Math"/>
                          </w:rPr>
                          <m:t>z</m:t>
                        </m:r>
                      </m:sub>
                    </m:sSub>
                  </m:num>
                  <m:den>
                    <m:r>
                      <w:rPr>
                        <w:rFonts w:ascii="Cambria Math" w:hAnsi="Cambria Math"/>
                      </w:rPr>
                      <m:t>E</m:t>
                    </m:r>
                  </m:den>
                </m:f>
                <m:r>
                  <w:rPr>
                    <w:rFonts w:ascii="Cambria Math" w:hAnsi="Cambria Math"/>
                  </w:rPr>
                  <m:t>-v</m:t>
                </m:r>
                <m:f>
                  <m:fPr>
                    <m:ctrlPr>
                      <w:rPr>
                        <w:rFonts w:ascii="Cambria Math" w:hAnsi="Cambria Math"/>
                        <w:i/>
                        <w:iCs/>
                      </w:rPr>
                    </m:ctrlPr>
                  </m:fPr>
                  <m:num>
                    <m:sSub>
                      <m:sSubPr>
                        <m:ctrlPr>
                          <w:rPr>
                            <w:rFonts w:ascii="Cambria Math" w:hAnsi="Cambria Math"/>
                            <w:i/>
                            <w:iCs/>
                          </w:rPr>
                        </m:ctrlPr>
                      </m:sSubPr>
                      <m:e>
                        <m:r>
                          <w:rPr>
                            <w:rFonts w:ascii="Cambria Math" w:hAnsi="Cambria Math"/>
                          </w:rPr>
                          <m:t>σ</m:t>
                        </m:r>
                      </m:e>
                      <m:sub>
                        <m:r>
                          <w:rPr>
                            <w:rFonts w:ascii="Cambria Math" w:hAnsi="Cambria Math"/>
                          </w:rPr>
                          <m:t>x</m:t>
                        </m:r>
                      </m:sub>
                    </m:sSub>
                  </m:num>
                  <m:den>
                    <m:r>
                      <w:rPr>
                        <w:rFonts w:ascii="Cambria Math" w:hAnsi="Cambria Math"/>
                      </w:rPr>
                      <m:t>E</m:t>
                    </m:r>
                  </m:den>
                </m:f>
                <m:r>
                  <w:rPr>
                    <w:rFonts w:ascii="Cambria Math" w:hAnsi="Cambria Math"/>
                  </w:rPr>
                  <m:t> -v</m:t>
                </m:r>
                <m:f>
                  <m:fPr>
                    <m:ctrlPr>
                      <w:rPr>
                        <w:rFonts w:ascii="Cambria Math" w:hAnsi="Cambria Math"/>
                        <w:i/>
                        <w:iCs/>
                      </w:rPr>
                    </m:ctrlPr>
                  </m:fPr>
                  <m:num>
                    <m:sSub>
                      <m:sSubPr>
                        <m:ctrlPr>
                          <w:rPr>
                            <w:rFonts w:ascii="Cambria Math" w:hAnsi="Cambria Math"/>
                            <w:i/>
                            <w:iCs/>
                          </w:rPr>
                        </m:ctrlPr>
                      </m:sSubPr>
                      <m:e>
                        <m:r>
                          <w:rPr>
                            <w:rFonts w:ascii="Cambria Math" w:hAnsi="Cambria Math"/>
                          </w:rPr>
                          <m:t>σ</m:t>
                        </m:r>
                      </m:e>
                      <m:sub>
                        <m:r>
                          <w:rPr>
                            <w:rFonts w:ascii="Cambria Math" w:hAnsi="Cambria Math"/>
                          </w:rPr>
                          <m:t>y</m:t>
                        </m:r>
                      </m:sub>
                    </m:sSub>
                  </m:num>
                  <m:den>
                    <m:r>
                      <w:rPr>
                        <w:rFonts w:ascii="Cambria Math" w:hAnsi="Cambria Math"/>
                      </w:rPr>
                      <m:t>E</m:t>
                    </m:r>
                  </m:den>
                </m:f>
              </m:oMath>
            </m:oMathPara>
          </w:p>
        </w:tc>
        <w:tc>
          <w:tcPr>
            <w:tcW w:w="720" w:type="dxa"/>
            <w:vAlign w:val="bottom"/>
          </w:tcPr>
          <w:p w14:paraId="6D05E58B" w14:textId="24338949" w:rsidR="0081664B" w:rsidRPr="001C7A3E" w:rsidRDefault="001C7A3E" w:rsidP="00BC23AD">
            <w:pPr>
              <w:pStyle w:val="Caption"/>
              <w:rPr>
                <w:i/>
              </w:rPr>
            </w:pPr>
            <w:r w:rsidRPr="001C7A3E">
              <w:t>K.</w:t>
            </w:r>
            <w:r w:rsidR="00077C0B">
              <w:fldChar w:fldCharType="begin"/>
            </w:r>
            <w:r w:rsidR="00077C0B">
              <w:instrText xml:space="preserve"> SEQ Equation \* ARABIC \s 1 </w:instrText>
            </w:r>
            <w:r w:rsidR="00077C0B">
              <w:fldChar w:fldCharType="separate"/>
            </w:r>
            <w:r w:rsidR="0006023A">
              <w:rPr>
                <w:noProof/>
              </w:rPr>
              <w:t>16</w:t>
            </w:r>
            <w:r w:rsidR="00077C0B">
              <w:rPr>
                <w:noProof/>
              </w:rPr>
              <w:fldChar w:fldCharType="end"/>
            </w:r>
          </w:p>
        </w:tc>
      </w:tr>
    </w:tbl>
    <w:p w14:paraId="496503BE" w14:textId="77777777" w:rsidR="0081664B" w:rsidRPr="001C7A3E" w:rsidRDefault="0081664B" w:rsidP="0081664B">
      <w:pPr>
        <w:ind w:firstLine="720"/>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81664B" w:rsidRPr="001C7A3E" w14:paraId="3CAB4D32" w14:textId="77777777" w:rsidTr="007E7362">
        <w:trPr>
          <w:trHeight w:val="576"/>
        </w:trPr>
        <w:tc>
          <w:tcPr>
            <w:tcW w:w="720" w:type="dxa"/>
            <w:vAlign w:val="center"/>
          </w:tcPr>
          <w:p w14:paraId="434D6119" w14:textId="1DDA545F" w:rsidR="0081664B" w:rsidRPr="001C7A3E" w:rsidRDefault="0081664B" w:rsidP="007E7362">
            <w:pPr>
              <w:spacing w:line="240" w:lineRule="auto"/>
              <w:jc w:val="center"/>
            </w:pPr>
          </w:p>
        </w:tc>
        <w:tc>
          <w:tcPr>
            <w:tcW w:w="7920" w:type="dxa"/>
            <w:vAlign w:val="center"/>
          </w:tcPr>
          <w:p w14:paraId="0A92C417" w14:textId="77777777" w:rsidR="0081664B" w:rsidRPr="001C7A3E" w:rsidRDefault="00077C0B" w:rsidP="007E7362">
            <w:pPr>
              <w:spacing w:line="240" w:lineRule="auto"/>
              <w:jc w:val="center"/>
              <w:rPr>
                <w:rFonts w:eastAsiaTheme="minorEastAsia"/>
              </w:rPr>
            </w:pPr>
            <m:oMathPara>
              <m:oMath>
                <m:sSub>
                  <m:sSubPr>
                    <m:ctrlPr>
                      <w:rPr>
                        <w:rFonts w:ascii="Cambria Math" w:hAnsi="Cambria Math"/>
                        <w:i/>
                        <w:iCs/>
                      </w:rPr>
                    </m:ctrlPr>
                  </m:sSubPr>
                  <m:e>
                    <m:r>
                      <w:rPr>
                        <w:rFonts w:ascii="Cambria Math" w:hAnsi="Cambria Math"/>
                      </w:rPr>
                      <m:t>γ</m:t>
                    </m:r>
                  </m:e>
                  <m:sub>
                    <m:r>
                      <w:rPr>
                        <w:rFonts w:ascii="Cambria Math" w:hAnsi="Cambria Math"/>
                      </w:rPr>
                      <m:t>xy</m:t>
                    </m:r>
                  </m:sub>
                </m:sSub>
                <m:r>
                  <w:rPr>
                    <w:rFonts w:ascii="Cambria Math" w:hAnsi="Cambria Math"/>
                  </w:rPr>
                  <m:t>=</m:t>
                </m:r>
                <m:f>
                  <m:fPr>
                    <m:ctrlPr>
                      <w:rPr>
                        <w:rFonts w:ascii="Cambria Math" w:hAnsi="Cambria Math"/>
                        <w:i/>
                        <w:iCs/>
                      </w:rPr>
                    </m:ctrlPr>
                  </m:fPr>
                  <m:num>
                    <m:sSub>
                      <m:sSubPr>
                        <m:ctrlPr>
                          <w:rPr>
                            <w:rFonts w:ascii="Cambria Math" w:hAnsi="Cambria Math"/>
                            <w:i/>
                            <w:iCs/>
                          </w:rPr>
                        </m:ctrlPr>
                      </m:sSubPr>
                      <m:e>
                        <m:r>
                          <w:rPr>
                            <w:rFonts w:ascii="Cambria Math" w:hAnsi="Cambria Math"/>
                          </w:rPr>
                          <m:t>τ</m:t>
                        </m:r>
                      </m:e>
                      <m:sub>
                        <m:r>
                          <w:rPr>
                            <w:rFonts w:ascii="Cambria Math" w:hAnsi="Cambria Math"/>
                          </w:rPr>
                          <m:t>xy</m:t>
                        </m:r>
                      </m:sub>
                    </m:sSub>
                  </m:num>
                  <m:den>
                    <m:r>
                      <w:rPr>
                        <w:rFonts w:ascii="Cambria Math" w:hAnsi="Cambria Math"/>
                      </w:rPr>
                      <m:t>G</m:t>
                    </m:r>
                  </m:den>
                </m:f>
              </m:oMath>
            </m:oMathPara>
          </w:p>
        </w:tc>
        <w:tc>
          <w:tcPr>
            <w:tcW w:w="720" w:type="dxa"/>
            <w:vAlign w:val="bottom"/>
          </w:tcPr>
          <w:p w14:paraId="3B796F30" w14:textId="5586568D" w:rsidR="0081664B" w:rsidRPr="001C7A3E" w:rsidRDefault="001C7A3E" w:rsidP="00BC23AD">
            <w:pPr>
              <w:pStyle w:val="Caption"/>
              <w:rPr>
                <w:i/>
              </w:rPr>
            </w:pPr>
            <w:r w:rsidRPr="001C7A3E">
              <w:t>K.</w:t>
            </w:r>
            <w:r w:rsidR="00077C0B">
              <w:fldChar w:fldCharType="begin"/>
            </w:r>
            <w:r w:rsidR="00077C0B">
              <w:instrText xml:space="preserve"> SEQ Equation \* ARABIC \s 1 </w:instrText>
            </w:r>
            <w:r w:rsidR="00077C0B">
              <w:fldChar w:fldCharType="separate"/>
            </w:r>
            <w:r w:rsidR="0006023A">
              <w:rPr>
                <w:noProof/>
              </w:rPr>
              <w:t>17</w:t>
            </w:r>
            <w:r w:rsidR="00077C0B">
              <w:rPr>
                <w:noProof/>
              </w:rPr>
              <w:fldChar w:fldCharType="end"/>
            </w:r>
          </w:p>
        </w:tc>
      </w:tr>
    </w:tbl>
    <w:p w14:paraId="12BD38F4" w14:textId="77777777" w:rsidR="0081664B" w:rsidRPr="001C7A3E" w:rsidRDefault="0081664B" w:rsidP="0081664B">
      <w:pPr>
        <w:ind w:firstLine="720"/>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81664B" w:rsidRPr="001C7A3E" w14:paraId="016CD888" w14:textId="77777777" w:rsidTr="007E7362">
        <w:trPr>
          <w:trHeight w:val="576"/>
        </w:trPr>
        <w:tc>
          <w:tcPr>
            <w:tcW w:w="720" w:type="dxa"/>
            <w:vAlign w:val="center"/>
          </w:tcPr>
          <w:p w14:paraId="003EAE8E" w14:textId="6F8EDF3C" w:rsidR="0081664B" w:rsidRPr="001C7A3E" w:rsidRDefault="0081664B" w:rsidP="007E7362">
            <w:pPr>
              <w:spacing w:line="240" w:lineRule="auto"/>
              <w:jc w:val="center"/>
            </w:pPr>
          </w:p>
        </w:tc>
        <w:tc>
          <w:tcPr>
            <w:tcW w:w="7920" w:type="dxa"/>
            <w:vAlign w:val="center"/>
          </w:tcPr>
          <w:p w14:paraId="7FBB1CC1" w14:textId="77777777" w:rsidR="0081664B" w:rsidRPr="001C7A3E" w:rsidRDefault="00077C0B" w:rsidP="007E7362">
            <w:pPr>
              <w:spacing w:line="240" w:lineRule="auto"/>
              <w:jc w:val="center"/>
              <w:rPr>
                <w:rFonts w:eastAsiaTheme="minorEastAsia"/>
              </w:rPr>
            </w:pPr>
            <m:oMathPara>
              <m:oMath>
                <m:sSub>
                  <m:sSubPr>
                    <m:ctrlPr>
                      <w:rPr>
                        <w:rFonts w:ascii="Cambria Math" w:hAnsi="Cambria Math"/>
                        <w:i/>
                        <w:iCs/>
                      </w:rPr>
                    </m:ctrlPr>
                  </m:sSubPr>
                  <m:e>
                    <m:r>
                      <w:rPr>
                        <w:rFonts w:ascii="Cambria Math" w:hAnsi="Cambria Math"/>
                      </w:rPr>
                      <m:t>γ</m:t>
                    </m:r>
                  </m:e>
                  <m:sub>
                    <m:r>
                      <w:rPr>
                        <w:rFonts w:ascii="Cambria Math" w:hAnsi="Cambria Math"/>
                      </w:rPr>
                      <m:t>yz</m:t>
                    </m:r>
                  </m:sub>
                </m:sSub>
                <m:r>
                  <w:rPr>
                    <w:rFonts w:ascii="Cambria Math" w:hAnsi="Cambria Math"/>
                  </w:rPr>
                  <m:t>=</m:t>
                </m:r>
                <m:f>
                  <m:fPr>
                    <m:ctrlPr>
                      <w:rPr>
                        <w:rFonts w:ascii="Cambria Math" w:hAnsi="Cambria Math"/>
                        <w:i/>
                        <w:iCs/>
                      </w:rPr>
                    </m:ctrlPr>
                  </m:fPr>
                  <m:num>
                    <m:sSub>
                      <m:sSubPr>
                        <m:ctrlPr>
                          <w:rPr>
                            <w:rFonts w:ascii="Cambria Math" w:hAnsi="Cambria Math"/>
                            <w:i/>
                            <w:iCs/>
                          </w:rPr>
                        </m:ctrlPr>
                      </m:sSubPr>
                      <m:e>
                        <m:r>
                          <w:rPr>
                            <w:rFonts w:ascii="Cambria Math" w:hAnsi="Cambria Math"/>
                          </w:rPr>
                          <m:t>τ</m:t>
                        </m:r>
                      </m:e>
                      <m:sub>
                        <m:r>
                          <w:rPr>
                            <w:rFonts w:ascii="Cambria Math" w:hAnsi="Cambria Math"/>
                          </w:rPr>
                          <m:t>yz</m:t>
                        </m:r>
                      </m:sub>
                    </m:sSub>
                  </m:num>
                  <m:den>
                    <m:r>
                      <w:rPr>
                        <w:rFonts w:ascii="Cambria Math" w:hAnsi="Cambria Math"/>
                      </w:rPr>
                      <m:t>G</m:t>
                    </m:r>
                  </m:den>
                </m:f>
              </m:oMath>
            </m:oMathPara>
          </w:p>
        </w:tc>
        <w:tc>
          <w:tcPr>
            <w:tcW w:w="720" w:type="dxa"/>
            <w:vAlign w:val="bottom"/>
          </w:tcPr>
          <w:p w14:paraId="484B0788" w14:textId="67F3E2B8" w:rsidR="0081664B" w:rsidRPr="001C7A3E" w:rsidRDefault="001C7A3E" w:rsidP="00BC23AD">
            <w:pPr>
              <w:pStyle w:val="Caption"/>
              <w:rPr>
                <w:i/>
              </w:rPr>
            </w:pPr>
            <w:r w:rsidRPr="001C7A3E">
              <w:t>K.</w:t>
            </w:r>
            <w:r w:rsidR="00077C0B">
              <w:fldChar w:fldCharType="begin"/>
            </w:r>
            <w:r w:rsidR="00077C0B">
              <w:instrText xml:space="preserve"> SEQ Equation \* ARABIC \s 1 </w:instrText>
            </w:r>
            <w:r w:rsidR="00077C0B">
              <w:fldChar w:fldCharType="separate"/>
            </w:r>
            <w:r w:rsidR="0006023A">
              <w:rPr>
                <w:noProof/>
              </w:rPr>
              <w:t>18</w:t>
            </w:r>
            <w:r w:rsidR="00077C0B">
              <w:rPr>
                <w:noProof/>
              </w:rPr>
              <w:fldChar w:fldCharType="end"/>
            </w:r>
          </w:p>
        </w:tc>
      </w:tr>
    </w:tbl>
    <w:p w14:paraId="47BB9101" w14:textId="77777777" w:rsidR="0081664B" w:rsidRPr="001C7A3E" w:rsidRDefault="0081664B" w:rsidP="0081664B">
      <w:pPr>
        <w:ind w:firstLine="720"/>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81664B" w:rsidRPr="001C7A3E" w14:paraId="3804E6C7" w14:textId="77777777" w:rsidTr="007E7362">
        <w:trPr>
          <w:trHeight w:val="576"/>
        </w:trPr>
        <w:tc>
          <w:tcPr>
            <w:tcW w:w="720" w:type="dxa"/>
            <w:vAlign w:val="center"/>
          </w:tcPr>
          <w:p w14:paraId="01B6A4AA" w14:textId="77D0E0D0" w:rsidR="0081664B" w:rsidRPr="001C7A3E" w:rsidRDefault="0081664B" w:rsidP="007E7362">
            <w:pPr>
              <w:spacing w:line="240" w:lineRule="auto"/>
              <w:jc w:val="center"/>
            </w:pPr>
          </w:p>
        </w:tc>
        <w:tc>
          <w:tcPr>
            <w:tcW w:w="7920" w:type="dxa"/>
            <w:vAlign w:val="center"/>
          </w:tcPr>
          <w:p w14:paraId="56D7CFC5" w14:textId="77777777" w:rsidR="0081664B" w:rsidRPr="001C7A3E" w:rsidRDefault="00077C0B" w:rsidP="007E7362">
            <w:pPr>
              <w:spacing w:line="240" w:lineRule="auto"/>
              <w:jc w:val="center"/>
              <w:rPr>
                <w:rFonts w:eastAsiaTheme="minorEastAsia"/>
              </w:rPr>
            </w:pPr>
            <m:oMathPara>
              <m:oMath>
                <m:sSub>
                  <m:sSubPr>
                    <m:ctrlPr>
                      <w:rPr>
                        <w:rFonts w:ascii="Cambria Math" w:hAnsi="Cambria Math"/>
                        <w:i/>
                        <w:iCs/>
                      </w:rPr>
                    </m:ctrlPr>
                  </m:sSubPr>
                  <m:e>
                    <m:r>
                      <w:rPr>
                        <w:rFonts w:ascii="Cambria Math" w:hAnsi="Cambria Math"/>
                      </w:rPr>
                      <m:t>γ</m:t>
                    </m:r>
                  </m:e>
                  <m:sub>
                    <m:r>
                      <w:rPr>
                        <w:rFonts w:ascii="Cambria Math" w:hAnsi="Cambria Math"/>
                      </w:rPr>
                      <m:t>zx</m:t>
                    </m:r>
                  </m:sub>
                </m:sSub>
                <m:r>
                  <w:rPr>
                    <w:rFonts w:ascii="Cambria Math" w:hAnsi="Cambria Math"/>
                  </w:rPr>
                  <m:t>=</m:t>
                </m:r>
                <m:f>
                  <m:fPr>
                    <m:ctrlPr>
                      <w:rPr>
                        <w:rFonts w:ascii="Cambria Math" w:hAnsi="Cambria Math"/>
                        <w:i/>
                        <w:iCs/>
                      </w:rPr>
                    </m:ctrlPr>
                  </m:fPr>
                  <m:num>
                    <m:sSub>
                      <m:sSubPr>
                        <m:ctrlPr>
                          <w:rPr>
                            <w:rFonts w:ascii="Cambria Math" w:hAnsi="Cambria Math"/>
                            <w:i/>
                            <w:iCs/>
                          </w:rPr>
                        </m:ctrlPr>
                      </m:sSubPr>
                      <m:e>
                        <m:r>
                          <w:rPr>
                            <w:rFonts w:ascii="Cambria Math" w:hAnsi="Cambria Math"/>
                          </w:rPr>
                          <m:t>τ</m:t>
                        </m:r>
                      </m:e>
                      <m:sub>
                        <m:r>
                          <w:rPr>
                            <w:rFonts w:ascii="Cambria Math" w:hAnsi="Cambria Math"/>
                          </w:rPr>
                          <m:t>zx</m:t>
                        </m:r>
                      </m:sub>
                    </m:sSub>
                  </m:num>
                  <m:den>
                    <m:r>
                      <w:rPr>
                        <w:rFonts w:ascii="Cambria Math" w:hAnsi="Cambria Math"/>
                      </w:rPr>
                      <m:t>G</m:t>
                    </m:r>
                  </m:den>
                </m:f>
              </m:oMath>
            </m:oMathPara>
          </w:p>
        </w:tc>
        <w:tc>
          <w:tcPr>
            <w:tcW w:w="720" w:type="dxa"/>
            <w:vAlign w:val="bottom"/>
          </w:tcPr>
          <w:p w14:paraId="304A9362" w14:textId="6A89ABBA" w:rsidR="0081664B" w:rsidRPr="001C7A3E" w:rsidRDefault="001C7A3E" w:rsidP="00BC23AD">
            <w:pPr>
              <w:pStyle w:val="Caption"/>
              <w:rPr>
                <w:i/>
              </w:rPr>
            </w:pPr>
            <w:r w:rsidRPr="001C7A3E">
              <w:t>K.</w:t>
            </w:r>
            <w:r w:rsidR="00077C0B">
              <w:fldChar w:fldCharType="begin"/>
            </w:r>
            <w:r w:rsidR="00077C0B">
              <w:instrText xml:space="preserve"> SEQ Equation \* ARABIC \s 1 </w:instrText>
            </w:r>
            <w:r w:rsidR="00077C0B">
              <w:fldChar w:fldCharType="separate"/>
            </w:r>
            <w:r w:rsidR="0006023A">
              <w:rPr>
                <w:noProof/>
              </w:rPr>
              <w:t>19</w:t>
            </w:r>
            <w:r w:rsidR="00077C0B">
              <w:rPr>
                <w:noProof/>
              </w:rPr>
              <w:fldChar w:fldCharType="end"/>
            </w:r>
          </w:p>
        </w:tc>
      </w:tr>
    </w:tbl>
    <w:p w14:paraId="2F162168" w14:textId="77777777" w:rsidR="0081664B" w:rsidRPr="001C7A3E" w:rsidRDefault="0081664B" w:rsidP="0081664B">
      <w:pPr>
        <w:ind w:firstLine="720"/>
      </w:pPr>
    </w:p>
    <w:p w14:paraId="7F0C66B3" w14:textId="6BDBFECE" w:rsidR="0081664B" w:rsidRDefault="0081664B" w:rsidP="0081664B">
      <w:pPr>
        <w:ind w:firstLine="720"/>
      </w:pPr>
      <w:r w:rsidRPr="001C7A3E">
        <w:t xml:space="preserve">From Equations </w:t>
      </w:r>
      <w:r w:rsidR="001C7A3E" w:rsidRPr="001C7A3E">
        <w:t>K.17, K.18, and K.19</w:t>
      </w:r>
      <w:r w:rsidRPr="001C7A3E">
        <w:t xml:space="preserve">, </w:t>
      </w:r>
      <m:oMath>
        <m:r>
          <w:rPr>
            <w:rFonts w:ascii="Cambria Math" w:hAnsi="Cambria Math"/>
          </w:rPr>
          <m:t>G</m:t>
        </m:r>
      </m:oMath>
      <w:r w:rsidRPr="001C7A3E">
        <w:t xml:space="preserve"> is the shear modulus and is shown in Equation </w:t>
      </w:r>
      <w:r w:rsidR="001C7A3E" w:rsidRPr="001C7A3E">
        <w:t>K.20</w:t>
      </w:r>
      <w:r w:rsidRPr="001C7A3E">
        <w:t>.</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81664B" w14:paraId="0730E940" w14:textId="77777777" w:rsidTr="007E7362">
        <w:trPr>
          <w:trHeight w:val="576"/>
        </w:trPr>
        <w:tc>
          <w:tcPr>
            <w:tcW w:w="720" w:type="dxa"/>
            <w:vAlign w:val="center"/>
          </w:tcPr>
          <w:p w14:paraId="19CCCBA7" w14:textId="52FE117E" w:rsidR="0081664B" w:rsidRDefault="0081664B" w:rsidP="007E7362">
            <w:pPr>
              <w:spacing w:line="240" w:lineRule="auto"/>
              <w:jc w:val="center"/>
            </w:pPr>
            <w:r>
              <w:t xml:space="preserve"> </w:t>
            </w:r>
          </w:p>
        </w:tc>
        <w:tc>
          <w:tcPr>
            <w:tcW w:w="7920" w:type="dxa"/>
            <w:vAlign w:val="center"/>
          </w:tcPr>
          <w:p w14:paraId="60AD8B6D" w14:textId="77777777" w:rsidR="0081664B" w:rsidRPr="009F264F" w:rsidRDefault="0081664B" w:rsidP="007E7362">
            <w:pPr>
              <w:spacing w:line="240" w:lineRule="auto"/>
              <w:jc w:val="center"/>
              <w:rPr>
                <w:rFonts w:eastAsiaTheme="minorEastAsia"/>
              </w:rPr>
            </w:pPr>
            <m:oMathPara>
              <m:oMath>
                <m:r>
                  <w:rPr>
                    <w:rFonts w:ascii="Cambria Math" w:hAnsi="Cambria Math"/>
                  </w:rPr>
                  <m:t>G=</m:t>
                </m:r>
                <m:f>
                  <m:fPr>
                    <m:ctrlPr>
                      <w:rPr>
                        <w:rFonts w:ascii="Cambria Math" w:hAnsi="Cambria Math"/>
                        <w:i/>
                        <w:iCs/>
                      </w:rPr>
                    </m:ctrlPr>
                  </m:fPr>
                  <m:num>
                    <m:r>
                      <w:rPr>
                        <w:rFonts w:ascii="Cambria Math" w:hAnsi="Cambria Math"/>
                      </w:rPr>
                      <m:t>E</m:t>
                    </m:r>
                  </m:num>
                  <m:den>
                    <m:r>
                      <w:rPr>
                        <w:rFonts w:ascii="Cambria Math" w:hAnsi="Cambria Math"/>
                      </w:rPr>
                      <m:t>2(1+v)</m:t>
                    </m:r>
                  </m:den>
                </m:f>
              </m:oMath>
            </m:oMathPara>
          </w:p>
        </w:tc>
        <w:tc>
          <w:tcPr>
            <w:tcW w:w="720" w:type="dxa"/>
            <w:vAlign w:val="bottom"/>
          </w:tcPr>
          <w:p w14:paraId="7CCAB28E" w14:textId="7C37E225" w:rsidR="0081664B" w:rsidRPr="00470CB5" w:rsidRDefault="001C7A3E" w:rsidP="00BC23AD">
            <w:pPr>
              <w:pStyle w:val="Caption"/>
              <w:rPr>
                <w:i/>
              </w:rPr>
            </w:pPr>
            <w:r>
              <w:t>K.</w:t>
            </w:r>
            <w:r w:rsidR="00077C0B">
              <w:fldChar w:fldCharType="begin"/>
            </w:r>
            <w:r w:rsidR="00077C0B">
              <w:instrText xml:space="preserve"> SEQ Equation \* ARABIC \s 1 </w:instrText>
            </w:r>
            <w:r w:rsidR="00077C0B">
              <w:fldChar w:fldCharType="separate"/>
            </w:r>
            <w:r w:rsidR="0006023A">
              <w:rPr>
                <w:noProof/>
              </w:rPr>
              <w:t>20</w:t>
            </w:r>
            <w:r w:rsidR="00077C0B">
              <w:rPr>
                <w:noProof/>
              </w:rPr>
              <w:fldChar w:fldCharType="end"/>
            </w:r>
          </w:p>
        </w:tc>
      </w:tr>
    </w:tbl>
    <w:p w14:paraId="7A70F2DF" w14:textId="77777777" w:rsidR="0081664B" w:rsidRDefault="0081664B" w:rsidP="0081664B">
      <w:pPr>
        <w:ind w:firstLine="720"/>
      </w:pPr>
    </w:p>
    <w:p w14:paraId="5F9B95A1" w14:textId="675EC43E" w:rsidR="0081664B" w:rsidRDefault="0081664B" w:rsidP="001C7A3E">
      <w:pPr>
        <w:ind w:firstLine="720"/>
        <w:rPr>
          <w:rStyle w:val="Hyperlink"/>
          <w:szCs w:val="24"/>
        </w:rPr>
      </w:pPr>
      <w:r>
        <w:t xml:space="preserve">Therefore there are 15 equations with 15 variables in which all linear elastic materials only need the material properties of </w:t>
      </w:r>
      <m:oMath>
        <m:r>
          <w:rPr>
            <w:rFonts w:ascii="Cambria Math" w:hAnsi="Cambria Math"/>
          </w:rPr>
          <m:t>E</m:t>
        </m:r>
      </m:oMath>
      <w:r>
        <w:t xml:space="preserve"> and </w:t>
      </w:r>
      <m:oMath>
        <m:r>
          <w:rPr>
            <w:rFonts w:ascii="Cambria Math" w:hAnsi="Cambria Math"/>
          </w:rPr>
          <m:t>v</m:t>
        </m:r>
      </m:oMath>
      <w:r>
        <w:t xml:space="preserve">. </w:t>
      </w:r>
      <w:r>
        <w:rPr>
          <w:rStyle w:val="Hyperlink"/>
          <w:szCs w:val="24"/>
        </w:rPr>
        <w:br w:type="page"/>
      </w:r>
    </w:p>
    <w:p w14:paraId="3FC829D7" w14:textId="38C7A5FA" w:rsidR="0081664B" w:rsidRDefault="00EA4346" w:rsidP="0081664B">
      <w:pPr>
        <w:pStyle w:val="Heading1"/>
        <w:numPr>
          <w:ilvl w:val="0"/>
          <w:numId w:val="0"/>
        </w:numPr>
      </w:pPr>
      <w:bookmarkStart w:id="188" w:name="_Toc67566083"/>
      <w:r>
        <w:lastRenderedPageBreak/>
        <w:t>Appendix L</w:t>
      </w:r>
      <w:r w:rsidR="0081664B">
        <w:t xml:space="preserve">: </w:t>
      </w:r>
      <w:r>
        <w:t>Fanning Friction Factor from Bernoulli’s Equation</w:t>
      </w:r>
      <w:bookmarkEnd w:id="188"/>
    </w:p>
    <w:p w14:paraId="31547698" w14:textId="30E0E96E" w:rsidR="00EA4346" w:rsidRPr="00EA4346" w:rsidRDefault="00EA4346" w:rsidP="00EA4346">
      <w:pPr>
        <w:ind w:firstLine="720"/>
      </w:pPr>
      <w:r w:rsidRPr="00EA4346">
        <w:t>To account for realistic fluids, a common method investigates fluid flow through Bernoulli’s equation. In Bernoulli’s equation, a friction term (</w:t>
      </w:r>
      <m:oMath>
        <m:r>
          <m:rPr>
            <m:scr m:val="fraktur"/>
          </m:rPr>
          <w:rPr>
            <w:rFonts w:ascii="Cambria Math" w:hAnsi="Cambria Math"/>
          </w:rPr>
          <m:t>F</m:t>
        </m:r>
      </m:oMath>
      <w:r w:rsidRPr="00EA4346">
        <w:t xml:space="preserve">) is included as shown in Equation L.1 (de Nevers 2005; Bird et al. 2007; White 2011; Kleinstreuer 2010). </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EA4346" w:rsidRPr="00EA4346" w14:paraId="7D295D02" w14:textId="77777777" w:rsidTr="00673330">
        <w:trPr>
          <w:trHeight w:val="576"/>
        </w:trPr>
        <w:tc>
          <w:tcPr>
            <w:tcW w:w="720" w:type="dxa"/>
            <w:vAlign w:val="center"/>
          </w:tcPr>
          <w:p w14:paraId="10566CA1" w14:textId="22E0AF14" w:rsidR="00EA4346" w:rsidRPr="00EA4346" w:rsidRDefault="00EA4346" w:rsidP="00673330">
            <w:pPr>
              <w:spacing w:line="240" w:lineRule="auto"/>
              <w:jc w:val="center"/>
            </w:pPr>
          </w:p>
        </w:tc>
        <w:tc>
          <w:tcPr>
            <w:tcW w:w="7920" w:type="dxa"/>
            <w:vAlign w:val="center"/>
          </w:tcPr>
          <w:p w14:paraId="5E9213EF" w14:textId="77777777" w:rsidR="00EA4346" w:rsidRPr="00EA4346" w:rsidRDefault="00EA4346" w:rsidP="00673330">
            <w:pPr>
              <w:spacing w:line="240" w:lineRule="auto"/>
              <w:jc w:val="center"/>
            </w:pPr>
            <m:oMathPara>
              <m:oMath>
                <m:r>
                  <m:rPr>
                    <m:sty m:val="p"/>
                  </m:rPr>
                  <w:rPr>
                    <w:rFonts w:ascii="Cambria Math" w:hAnsi="Cambria Math"/>
                  </w:rPr>
                  <m:t>Δ</m:t>
                </m:r>
                <m:d>
                  <m:dPr>
                    <m:ctrlPr>
                      <w:rPr>
                        <w:rFonts w:ascii="Cambria Math" w:hAnsi="Cambria Math"/>
                        <w:i/>
                      </w:rPr>
                    </m:ctrlPr>
                  </m:dPr>
                  <m:e>
                    <m:f>
                      <m:fPr>
                        <m:ctrlPr>
                          <w:rPr>
                            <w:rFonts w:ascii="Cambria Math" w:hAnsi="Cambria Math"/>
                            <w:i/>
                          </w:rPr>
                        </m:ctrlPr>
                      </m:fPr>
                      <m:num>
                        <m:r>
                          <w:rPr>
                            <w:rFonts w:ascii="Cambria Math" w:hAnsi="Cambria Math"/>
                          </w:rPr>
                          <m:t>P</m:t>
                        </m:r>
                      </m:num>
                      <m:den>
                        <m:r>
                          <w:rPr>
                            <w:rFonts w:ascii="Cambria Math" w:hAnsi="Cambria Math"/>
                          </w:rPr>
                          <m:t>ρ</m:t>
                        </m:r>
                      </m:den>
                    </m:f>
                    <m:r>
                      <w:rPr>
                        <w:rFonts w:ascii="Cambria Math" w:hAnsi="Cambria Math"/>
                      </w:rPr>
                      <m:t>+gz+</m:t>
                    </m:r>
                    <m:f>
                      <m:fPr>
                        <m:ctrlPr>
                          <w:rPr>
                            <w:rFonts w:ascii="Cambria Math" w:hAnsi="Cambria Math"/>
                            <w:i/>
                          </w:rPr>
                        </m:ctrlPr>
                      </m:fPr>
                      <m:num>
                        <m:sSup>
                          <m:sSupPr>
                            <m:ctrlPr>
                              <w:rPr>
                                <w:rFonts w:ascii="Cambria Math" w:hAnsi="Cambria Math"/>
                                <w:i/>
                              </w:rPr>
                            </m:ctrlPr>
                          </m:sSupPr>
                          <m:e>
                            <m:r>
                              <w:rPr>
                                <w:rFonts w:ascii="Cambria Math" w:hAnsi="Cambria Math"/>
                              </w:rPr>
                              <m:t>V</m:t>
                            </m:r>
                          </m:e>
                          <m:sup>
                            <m:r>
                              <w:rPr>
                                <w:rFonts w:ascii="Cambria Math" w:hAnsi="Cambria Math"/>
                              </w:rPr>
                              <m:t>2</m:t>
                            </m:r>
                          </m:sup>
                        </m:sSup>
                      </m:num>
                      <m:den>
                        <m:r>
                          <w:rPr>
                            <w:rFonts w:ascii="Cambria Math" w:hAnsi="Cambria Math"/>
                          </w:rPr>
                          <m:t>2</m:t>
                        </m:r>
                      </m:den>
                    </m:f>
                  </m:e>
                </m:d>
                <m:r>
                  <w:rPr>
                    <w:rFonts w:ascii="Cambria Math" w:hAnsi="Cambria Math"/>
                  </w:rPr>
                  <m:t xml:space="preserve">= </m:t>
                </m:r>
                <m:f>
                  <m:fPr>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W</m:t>
                        </m:r>
                      </m:e>
                      <m:sub>
                        <m:r>
                          <w:rPr>
                            <w:rFonts w:ascii="Cambria Math" w:hAnsi="Cambria Math"/>
                          </w:rPr>
                          <m:t>n.f.</m:t>
                        </m:r>
                      </m:sub>
                    </m:sSub>
                  </m:num>
                  <m:den>
                    <m:r>
                      <w:rPr>
                        <w:rFonts w:ascii="Cambria Math" w:hAnsi="Cambria Math"/>
                      </w:rPr>
                      <m:t>dm</m:t>
                    </m:r>
                  </m:den>
                </m:f>
                <m:r>
                  <m:rPr>
                    <m:scr m:val="fraktur"/>
                  </m:rPr>
                  <w:rPr>
                    <w:rFonts w:ascii="Cambria Math" w:hAnsi="Cambria Math"/>
                  </w:rPr>
                  <m:t>-F</m:t>
                </m:r>
              </m:oMath>
            </m:oMathPara>
          </w:p>
        </w:tc>
        <w:tc>
          <w:tcPr>
            <w:tcW w:w="720" w:type="dxa"/>
            <w:vAlign w:val="bottom"/>
          </w:tcPr>
          <w:p w14:paraId="2513A18D" w14:textId="7C275511" w:rsidR="00EA4346" w:rsidRPr="00EA4346" w:rsidRDefault="00EA4346" w:rsidP="00BC23AD">
            <w:pPr>
              <w:pStyle w:val="Caption"/>
              <w:rPr>
                <w:i/>
              </w:rPr>
            </w:pPr>
            <w:r w:rsidRPr="00EA4346">
              <w:t>L.</w:t>
            </w:r>
            <w:r w:rsidR="00077C0B">
              <w:fldChar w:fldCharType="begin"/>
            </w:r>
            <w:r w:rsidR="00077C0B">
              <w:instrText xml:space="preserve"> SEQ Equation \* </w:instrText>
            </w:r>
            <w:r w:rsidR="00077C0B">
              <w:instrText xml:space="preserve">ARABIC \s 1 </w:instrText>
            </w:r>
            <w:r w:rsidR="00077C0B">
              <w:fldChar w:fldCharType="separate"/>
            </w:r>
            <w:r w:rsidR="0006023A">
              <w:rPr>
                <w:noProof/>
              </w:rPr>
              <w:t>1</w:t>
            </w:r>
            <w:r w:rsidR="00077C0B">
              <w:rPr>
                <w:noProof/>
              </w:rPr>
              <w:fldChar w:fldCharType="end"/>
            </w:r>
          </w:p>
        </w:tc>
      </w:tr>
    </w:tbl>
    <w:p w14:paraId="36E21E2C" w14:textId="77777777" w:rsidR="00EA4346" w:rsidRPr="00EA4346" w:rsidRDefault="00EA4346" w:rsidP="00EA4346">
      <w:pPr>
        <w:ind w:firstLine="720"/>
      </w:pPr>
    </w:p>
    <w:p w14:paraId="1BAC4EFC" w14:textId="66123D65" w:rsidR="00EA4346" w:rsidRPr="00EA4346" w:rsidRDefault="00EA4346" w:rsidP="00EA4346">
      <w:pPr>
        <w:ind w:firstLine="720"/>
      </w:pPr>
      <w:r w:rsidRPr="00EA4346">
        <w:t xml:space="preserve">Equation L.1 reduces down to Equation L.2 for a zero velocity flow in which the work input </w:t>
      </w:r>
      <m:oMath>
        <m:d>
          <m:dPr>
            <m:ctrlPr>
              <w:rPr>
                <w:rFonts w:ascii="Cambria Math" w:hAnsi="Cambria Math"/>
                <w:i/>
              </w:rPr>
            </m:ctrlPr>
          </m:dPr>
          <m:e>
            <m:f>
              <m:fPr>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W</m:t>
                    </m:r>
                  </m:e>
                  <m:sub>
                    <m:r>
                      <w:rPr>
                        <w:rFonts w:ascii="Cambria Math" w:hAnsi="Cambria Math"/>
                      </w:rPr>
                      <m:t>n.f.</m:t>
                    </m:r>
                  </m:sub>
                </m:sSub>
              </m:num>
              <m:den>
                <m:r>
                  <w:rPr>
                    <w:rFonts w:ascii="Cambria Math" w:hAnsi="Cambria Math"/>
                  </w:rPr>
                  <m:t>dm</m:t>
                </m:r>
              </m:den>
            </m:f>
          </m:e>
        </m:d>
      </m:oMath>
      <w:r w:rsidRPr="00EA4346">
        <w:t xml:space="preserve"> is equal to the change in potential energy (</w:t>
      </w:r>
      <m:oMath>
        <m:r>
          <m:rPr>
            <m:sty m:val="p"/>
          </m:rPr>
          <w:rPr>
            <w:rFonts w:ascii="Cambria Math" w:hAnsi="Cambria Math"/>
          </w:rPr>
          <m:t>Δ</m:t>
        </m:r>
        <m:r>
          <w:rPr>
            <w:rFonts w:ascii="Cambria Math" w:hAnsi="Cambria Math"/>
          </w:rPr>
          <m:t>gz</m:t>
        </m:r>
      </m:oMath>
      <w:r w:rsidRPr="00EA4346">
        <w:t>). Therefore, the friction loss term (</w:t>
      </w:r>
      <m:oMath>
        <m:r>
          <m:rPr>
            <m:scr m:val="fraktur"/>
          </m:rPr>
          <w:rPr>
            <w:rFonts w:ascii="Cambria Math" w:hAnsi="Cambria Math"/>
          </w:rPr>
          <m:t>F</m:t>
        </m:r>
      </m:oMath>
      <w:r w:rsidRPr="00EA4346">
        <w:t>) is equal to the change in pressure (</w:t>
      </w:r>
      <m:oMath>
        <m:r>
          <w:rPr>
            <w:rFonts w:ascii="Cambria Math" w:hAnsi="Cambria Math"/>
          </w:rPr>
          <m:t>ΔP</m:t>
        </m:r>
      </m:oMath>
      <w:r w:rsidRPr="00EA4346">
        <w:t>) with respect to density (</w:t>
      </w:r>
      <m:oMath>
        <m:r>
          <w:rPr>
            <w:rFonts w:ascii="Cambria Math" w:hAnsi="Cambria Math"/>
          </w:rPr>
          <m:t>ρ</m:t>
        </m:r>
      </m:oMath>
      <w:r w:rsidRPr="00EA4346">
        <w:t>).</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EA4346" w:rsidRPr="00EA4346" w14:paraId="2D1AA16B" w14:textId="77777777" w:rsidTr="00673330">
        <w:trPr>
          <w:trHeight w:val="576"/>
        </w:trPr>
        <w:tc>
          <w:tcPr>
            <w:tcW w:w="720" w:type="dxa"/>
            <w:vAlign w:val="center"/>
          </w:tcPr>
          <w:p w14:paraId="3C5EDA96" w14:textId="3C5CDD0D" w:rsidR="00EA4346" w:rsidRPr="00EA4346" w:rsidRDefault="00EA4346" w:rsidP="00673330">
            <w:pPr>
              <w:spacing w:line="240" w:lineRule="auto"/>
              <w:jc w:val="center"/>
            </w:pPr>
          </w:p>
        </w:tc>
        <w:tc>
          <w:tcPr>
            <w:tcW w:w="7920" w:type="dxa"/>
            <w:vAlign w:val="center"/>
          </w:tcPr>
          <w:p w14:paraId="1DF47972" w14:textId="77777777" w:rsidR="00EA4346" w:rsidRPr="00EA4346" w:rsidRDefault="00EA4346" w:rsidP="00673330">
            <w:pPr>
              <w:spacing w:line="240" w:lineRule="auto"/>
              <w:jc w:val="center"/>
            </w:pPr>
            <m:oMathPara>
              <m:oMath>
                <m:r>
                  <m:rPr>
                    <m:scr m:val="fraktur"/>
                  </m:rPr>
                  <w:rPr>
                    <w:rFonts w:ascii="Cambria Math" w:hAnsi="Cambria Math"/>
                  </w:rPr>
                  <m:t>F=</m:t>
                </m:r>
                <m:sSub>
                  <m:sSubPr>
                    <m:ctrlPr>
                      <w:rPr>
                        <w:rFonts w:ascii="Cambria Math" w:hAnsi="Cambria Math"/>
                        <w:i/>
                      </w:rPr>
                    </m:ctrlPr>
                  </m:sSubPr>
                  <m:e>
                    <m:d>
                      <m:dPr>
                        <m:ctrlPr>
                          <w:rPr>
                            <w:rFonts w:ascii="Cambria Math" w:hAnsi="Cambria Math"/>
                            <w:i/>
                          </w:rPr>
                        </m:ctrlPr>
                      </m:dPr>
                      <m:e>
                        <m:r>
                          <w:rPr>
                            <w:rFonts w:ascii="Cambria Math" w:hAnsi="Cambria Math"/>
                          </w:rPr>
                          <m:t>-</m:t>
                        </m:r>
                        <m:f>
                          <m:fPr>
                            <m:ctrlPr>
                              <w:rPr>
                                <w:rFonts w:ascii="Cambria Math" w:hAnsi="Cambria Math"/>
                                <w:i/>
                              </w:rPr>
                            </m:ctrlPr>
                          </m:fPr>
                          <m:num>
                            <m:r>
                              <m:rPr>
                                <m:sty m:val="p"/>
                              </m:rPr>
                              <w:rPr>
                                <w:rFonts w:ascii="Cambria Math" w:hAnsi="Cambria Math"/>
                              </w:rPr>
                              <m:t>Δ</m:t>
                            </m:r>
                            <m:r>
                              <w:rPr>
                                <w:rFonts w:ascii="Cambria Math" w:hAnsi="Cambria Math"/>
                              </w:rPr>
                              <m:t>P</m:t>
                            </m:r>
                          </m:num>
                          <m:den>
                            <m:r>
                              <w:rPr>
                                <w:rFonts w:ascii="Cambria Math" w:hAnsi="Cambria Math"/>
                              </w:rPr>
                              <m:t>ρ</m:t>
                            </m:r>
                          </m:den>
                        </m:f>
                      </m:e>
                    </m:d>
                  </m:e>
                  <m:sub>
                    <m:r>
                      <w:rPr>
                        <w:rFonts w:ascii="Cambria Math" w:hAnsi="Cambria Math"/>
                      </w:rPr>
                      <m:t>friction</m:t>
                    </m:r>
                  </m:sub>
                </m:sSub>
              </m:oMath>
            </m:oMathPara>
          </w:p>
        </w:tc>
        <w:tc>
          <w:tcPr>
            <w:tcW w:w="720" w:type="dxa"/>
            <w:vAlign w:val="bottom"/>
          </w:tcPr>
          <w:p w14:paraId="46E3D2CB" w14:textId="496542CA" w:rsidR="00EA4346" w:rsidRPr="00EA4346" w:rsidRDefault="00EA4346" w:rsidP="00BC23AD">
            <w:pPr>
              <w:pStyle w:val="Caption"/>
              <w:rPr>
                <w:i/>
              </w:rPr>
            </w:pPr>
            <w:r w:rsidRPr="00EA4346">
              <w:t>L.</w:t>
            </w:r>
            <w:r w:rsidR="00077C0B">
              <w:fldChar w:fldCharType="begin"/>
            </w:r>
            <w:r w:rsidR="00077C0B">
              <w:instrText xml:space="preserve"> SEQ Equation \* ARABIC \s 1 </w:instrText>
            </w:r>
            <w:r w:rsidR="00077C0B">
              <w:fldChar w:fldCharType="separate"/>
            </w:r>
            <w:r w:rsidR="0006023A">
              <w:rPr>
                <w:noProof/>
              </w:rPr>
              <w:t>2</w:t>
            </w:r>
            <w:r w:rsidR="00077C0B">
              <w:rPr>
                <w:noProof/>
              </w:rPr>
              <w:fldChar w:fldCharType="end"/>
            </w:r>
          </w:p>
        </w:tc>
      </w:tr>
    </w:tbl>
    <w:p w14:paraId="71AF6062" w14:textId="77777777" w:rsidR="00EA4346" w:rsidRPr="00EA4346" w:rsidRDefault="00EA4346" w:rsidP="00EA4346">
      <w:pPr>
        <w:ind w:firstLine="720"/>
      </w:pPr>
    </w:p>
    <w:p w14:paraId="7011799F" w14:textId="77777777" w:rsidR="00EA4346" w:rsidRPr="00EA4346" w:rsidRDefault="00EA4346" w:rsidP="00EA4346">
      <w:pPr>
        <w:ind w:firstLine="720"/>
      </w:pPr>
      <w:r w:rsidRPr="00EA4346">
        <w:t>From Chapter 2.4, the velocity profile is known to be parabolic. Since the velocity goes from zero at the pipe wall to the average velocity near the center, the velocity gradient is a function of the average velocity and the diameter of the pipe which is proportional to the friction loss term.</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EA4346" w:rsidRPr="00EA4346" w14:paraId="27E04CC0" w14:textId="77777777" w:rsidTr="00673330">
        <w:trPr>
          <w:trHeight w:val="576"/>
        </w:trPr>
        <w:tc>
          <w:tcPr>
            <w:tcW w:w="720" w:type="dxa"/>
            <w:vAlign w:val="center"/>
          </w:tcPr>
          <w:p w14:paraId="6973C9DC" w14:textId="0F574C8E" w:rsidR="00EA4346" w:rsidRPr="00EA4346" w:rsidRDefault="00EA4346" w:rsidP="00673330">
            <w:pPr>
              <w:spacing w:line="240" w:lineRule="auto"/>
              <w:jc w:val="center"/>
            </w:pPr>
          </w:p>
        </w:tc>
        <w:tc>
          <w:tcPr>
            <w:tcW w:w="7920" w:type="dxa"/>
            <w:vAlign w:val="center"/>
          </w:tcPr>
          <w:p w14:paraId="1A13FBEE" w14:textId="77777777" w:rsidR="00EA4346" w:rsidRPr="00EA4346" w:rsidRDefault="00EA4346" w:rsidP="00673330">
            <w:pPr>
              <w:spacing w:line="240" w:lineRule="auto"/>
              <w:jc w:val="center"/>
            </w:pPr>
            <m:oMathPara>
              <m:oMath>
                <m:r>
                  <m:rPr>
                    <m:scr m:val="fraktur"/>
                  </m:rPr>
                  <w:rPr>
                    <w:rFonts w:ascii="Cambria Math" w:hAnsi="Cambria Math"/>
                  </w:rPr>
                  <m:t>F ∝</m:t>
                </m:r>
                <m:f>
                  <m:fPr>
                    <m:ctrlPr>
                      <w:rPr>
                        <w:rFonts w:ascii="Cambria Math" w:hAnsi="Cambria Math"/>
                        <w:i/>
                      </w:rPr>
                    </m:ctrlPr>
                  </m:fPr>
                  <m:num>
                    <m:sSubSup>
                      <m:sSubSupPr>
                        <m:ctrlPr>
                          <w:rPr>
                            <w:rFonts w:ascii="Cambria Math" w:hAnsi="Cambria Math"/>
                            <w:i/>
                          </w:rPr>
                        </m:ctrlPr>
                      </m:sSubSupPr>
                      <m:e>
                        <m:r>
                          <w:rPr>
                            <w:rFonts w:ascii="Cambria Math" w:hAnsi="Cambria Math"/>
                          </w:rPr>
                          <m:t>V</m:t>
                        </m:r>
                      </m:e>
                      <m:sub>
                        <m:r>
                          <w:rPr>
                            <w:rFonts w:ascii="Cambria Math" w:hAnsi="Cambria Math"/>
                          </w:rPr>
                          <m:t>avg</m:t>
                        </m:r>
                      </m:sub>
                      <m:sup>
                        <m:r>
                          <w:rPr>
                            <w:rFonts w:ascii="Cambria Math" w:hAnsi="Cambria Math"/>
                          </w:rPr>
                          <m:t>2</m:t>
                        </m:r>
                      </m:sup>
                    </m:sSubSup>
                  </m:num>
                  <m:den>
                    <m:r>
                      <w:rPr>
                        <w:rFonts w:ascii="Cambria Math" w:hAnsi="Cambria Math"/>
                      </w:rPr>
                      <m:t>D</m:t>
                    </m:r>
                  </m:den>
                </m:f>
              </m:oMath>
            </m:oMathPara>
          </w:p>
        </w:tc>
        <w:tc>
          <w:tcPr>
            <w:tcW w:w="720" w:type="dxa"/>
            <w:vAlign w:val="bottom"/>
          </w:tcPr>
          <w:p w14:paraId="0BB4885F" w14:textId="24DFD5FA" w:rsidR="00EA4346" w:rsidRPr="00EA4346" w:rsidRDefault="00EA4346" w:rsidP="00BC23AD">
            <w:pPr>
              <w:pStyle w:val="Caption"/>
              <w:rPr>
                <w:i/>
              </w:rPr>
            </w:pPr>
            <w:r w:rsidRPr="00EA4346">
              <w:t>L.</w:t>
            </w:r>
            <w:r w:rsidR="00077C0B">
              <w:fldChar w:fldCharType="begin"/>
            </w:r>
            <w:r w:rsidR="00077C0B">
              <w:instrText xml:space="preserve"> SEQ Equation \* ARABIC \s 1 </w:instrText>
            </w:r>
            <w:r w:rsidR="00077C0B">
              <w:fldChar w:fldCharType="separate"/>
            </w:r>
            <w:r w:rsidR="0006023A">
              <w:rPr>
                <w:noProof/>
              </w:rPr>
              <w:t>3</w:t>
            </w:r>
            <w:r w:rsidR="00077C0B">
              <w:rPr>
                <w:noProof/>
              </w:rPr>
              <w:fldChar w:fldCharType="end"/>
            </w:r>
          </w:p>
        </w:tc>
      </w:tr>
    </w:tbl>
    <w:p w14:paraId="62ED29FB" w14:textId="77777777" w:rsidR="00EA4346" w:rsidRPr="00EA4346" w:rsidRDefault="00EA4346" w:rsidP="00EA4346">
      <w:pPr>
        <w:ind w:firstLine="720"/>
      </w:pPr>
    </w:p>
    <w:p w14:paraId="3F705FEB" w14:textId="77777777" w:rsidR="00EA4346" w:rsidRPr="00EA4346" w:rsidRDefault="00EA4346" w:rsidP="00EA4346">
      <w:pPr>
        <w:ind w:firstLine="720"/>
      </w:pPr>
      <w:r w:rsidRPr="00EA4346">
        <w:t>Assuming the flow is within the pipe, the frictional loss term is also proportional to the length of the pipe (</w:t>
      </w:r>
      <m:oMath>
        <m:r>
          <w:rPr>
            <w:rFonts w:ascii="Cambria Math" w:hAnsi="Cambria Math"/>
          </w:rPr>
          <m:t>Δx</m:t>
        </m:r>
      </m:oMath>
      <w:r w:rsidRPr="00EA4346">
        <w:t>).</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EA4346" w:rsidRPr="00EA4346" w14:paraId="0C8198CA" w14:textId="77777777" w:rsidTr="00673330">
        <w:trPr>
          <w:trHeight w:val="576"/>
        </w:trPr>
        <w:tc>
          <w:tcPr>
            <w:tcW w:w="720" w:type="dxa"/>
            <w:vAlign w:val="center"/>
          </w:tcPr>
          <w:p w14:paraId="551C9D20" w14:textId="4B7FD334" w:rsidR="00EA4346" w:rsidRPr="00EA4346" w:rsidRDefault="00EA4346" w:rsidP="00673330">
            <w:pPr>
              <w:spacing w:line="240" w:lineRule="auto"/>
              <w:jc w:val="center"/>
            </w:pPr>
          </w:p>
        </w:tc>
        <w:tc>
          <w:tcPr>
            <w:tcW w:w="7920" w:type="dxa"/>
            <w:vAlign w:val="center"/>
          </w:tcPr>
          <w:p w14:paraId="45C4BDE6" w14:textId="77777777" w:rsidR="00EA4346" w:rsidRPr="00EA4346" w:rsidRDefault="00EA4346" w:rsidP="00673330">
            <w:pPr>
              <w:spacing w:line="240" w:lineRule="auto"/>
              <w:jc w:val="center"/>
            </w:pPr>
            <m:oMathPara>
              <m:oMath>
                <m:r>
                  <m:rPr>
                    <m:scr m:val="fraktur"/>
                  </m:rPr>
                  <w:rPr>
                    <w:rFonts w:ascii="Cambria Math" w:hAnsi="Cambria Math"/>
                  </w:rPr>
                  <m:t>F ∝</m:t>
                </m:r>
                <m:f>
                  <m:fPr>
                    <m:ctrlPr>
                      <w:rPr>
                        <w:rFonts w:ascii="Cambria Math" w:hAnsi="Cambria Math"/>
                        <w:i/>
                      </w:rPr>
                    </m:ctrlPr>
                  </m:fPr>
                  <m:num>
                    <m:r>
                      <m:rPr>
                        <m:sty m:val="p"/>
                      </m:rPr>
                      <w:rPr>
                        <w:rFonts w:ascii="Cambria Math" w:hAnsi="Cambria Math"/>
                      </w:rPr>
                      <m:t>Δ</m:t>
                    </m:r>
                    <m:r>
                      <w:rPr>
                        <w:rFonts w:ascii="Cambria Math" w:hAnsi="Cambria Math"/>
                      </w:rPr>
                      <m:t xml:space="preserve">x </m:t>
                    </m:r>
                    <m:sSubSup>
                      <m:sSubSupPr>
                        <m:ctrlPr>
                          <w:rPr>
                            <w:rFonts w:ascii="Cambria Math" w:hAnsi="Cambria Math"/>
                            <w:i/>
                          </w:rPr>
                        </m:ctrlPr>
                      </m:sSubSupPr>
                      <m:e>
                        <m:r>
                          <w:rPr>
                            <w:rFonts w:ascii="Cambria Math" w:hAnsi="Cambria Math"/>
                          </w:rPr>
                          <m:t>V</m:t>
                        </m:r>
                      </m:e>
                      <m:sub>
                        <m:r>
                          <w:rPr>
                            <w:rFonts w:ascii="Cambria Math" w:hAnsi="Cambria Math"/>
                          </w:rPr>
                          <m:t>avg</m:t>
                        </m:r>
                      </m:sub>
                      <m:sup>
                        <m:r>
                          <w:rPr>
                            <w:rFonts w:ascii="Cambria Math" w:hAnsi="Cambria Math"/>
                          </w:rPr>
                          <m:t>2</m:t>
                        </m:r>
                      </m:sup>
                    </m:sSubSup>
                  </m:num>
                  <m:den>
                    <m:r>
                      <w:rPr>
                        <w:rFonts w:ascii="Cambria Math" w:hAnsi="Cambria Math"/>
                      </w:rPr>
                      <m:t>D</m:t>
                    </m:r>
                  </m:den>
                </m:f>
              </m:oMath>
            </m:oMathPara>
          </w:p>
        </w:tc>
        <w:tc>
          <w:tcPr>
            <w:tcW w:w="720" w:type="dxa"/>
            <w:vAlign w:val="bottom"/>
          </w:tcPr>
          <w:p w14:paraId="27B60243" w14:textId="4BDFF47D" w:rsidR="00EA4346" w:rsidRPr="00EA4346" w:rsidRDefault="00EA4346" w:rsidP="00BC23AD">
            <w:pPr>
              <w:pStyle w:val="Caption"/>
              <w:rPr>
                <w:i/>
              </w:rPr>
            </w:pPr>
            <w:r w:rsidRPr="00EA4346">
              <w:t>L.</w:t>
            </w:r>
            <w:r w:rsidR="00077C0B">
              <w:fldChar w:fldCharType="begin"/>
            </w:r>
            <w:r w:rsidR="00077C0B">
              <w:instrText xml:space="preserve"> SEQ Equation \* ARABIC \s 1 </w:instrText>
            </w:r>
            <w:r w:rsidR="00077C0B">
              <w:fldChar w:fldCharType="separate"/>
            </w:r>
            <w:r w:rsidR="0006023A">
              <w:rPr>
                <w:noProof/>
              </w:rPr>
              <w:t>4</w:t>
            </w:r>
            <w:r w:rsidR="00077C0B">
              <w:rPr>
                <w:noProof/>
              </w:rPr>
              <w:fldChar w:fldCharType="end"/>
            </w:r>
          </w:p>
        </w:tc>
      </w:tr>
    </w:tbl>
    <w:p w14:paraId="62CF25B1" w14:textId="77777777" w:rsidR="00EA4346" w:rsidRPr="00EA4346" w:rsidRDefault="00EA4346" w:rsidP="00EA4346">
      <w:pPr>
        <w:ind w:firstLine="720"/>
      </w:pPr>
    </w:p>
    <w:p w14:paraId="3FE5ECDD" w14:textId="1A8B934E" w:rsidR="00EA4346" w:rsidRPr="00EA4346" w:rsidRDefault="00EA4346" w:rsidP="00EA4346">
      <w:pPr>
        <w:ind w:firstLine="720"/>
      </w:pPr>
      <w:r w:rsidRPr="00EA4346">
        <w:lastRenderedPageBreak/>
        <w:t>To account for the frictional loss in the pipe, a friction factor (</w:t>
      </w:r>
      <m:oMath>
        <m:r>
          <w:rPr>
            <w:rFonts w:ascii="Cambria Math" w:hAnsi="Cambria Math"/>
          </w:rPr>
          <m:t>f</m:t>
        </m:r>
      </m:oMath>
      <w:r w:rsidRPr="00EA4346">
        <w:t>) is introduced which is equal to half the proportionality constant in Equation L.4. Dropping the average subscript from the velocity, the frictional loss of a pipe is defined as:</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EA4346" w:rsidRPr="00EA4346" w14:paraId="6D13AF7C" w14:textId="77777777" w:rsidTr="00673330">
        <w:trPr>
          <w:trHeight w:val="576"/>
        </w:trPr>
        <w:tc>
          <w:tcPr>
            <w:tcW w:w="720" w:type="dxa"/>
            <w:vAlign w:val="center"/>
          </w:tcPr>
          <w:p w14:paraId="72BCB3E6" w14:textId="3F47571F" w:rsidR="00EA4346" w:rsidRPr="00EA4346" w:rsidRDefault="00EA4346" w:rsidP="00673330">
            <w:pPr>
              <w:spacing w:line="240" w:lineRule="auto"/>
              <w:jc w:val="center"/>
            </w:pPr>
          </w:p>
        </w:tc>
        <w:tc>
          <w:tcPr>
            <w:tcW w:w="7920" w:type="dxa"/>
            <w:vAlign w:val="center"/>
          </w:tcPr>
          <w:p w14:paraId="4C4E61AF" w14:textId="77777777" w:rsidR="00EA4346" w:rsidRPr="00EA4346" w:rsidRDefault="00EA4346" w:rsidP="00673330">
            <w:pPr>
              <w:spacing w:line="240" w:lineRule="auto"/>
              <w:jc w:val="center"/>
            </w:pPr>
            <m:oMathPara>
              <m:oMath>
                <m:r>
                  <m:rPr>
                    <m:scr m:val="fraktur"/>
                  </m:rPr>
                  <w:rPr>
                    <w:rFonts w:ascii="Cambria Math" w:hAnsi="Cambria Math"/>
                  </w:rPr>
                  <m:t>F</m:t>
                </m:r>
                <m:r>
                  <w:rPr>
                    <w:rFonts w:ascii="Cambria Math" w:hAnsi="Cambria Math"/>
                  </w:rPr>
                  <m:t>=2f</m:t>
                </m:r>
                <m:f>
                  <m:fPr>
                    <m:ctrlPr>
                      <w:rPr>
                        <w:rFonts w:ascii="Cambria Math" w:hAnsi="Cambria Math"/>
                        <w:i/>
                      </w:rPr>
                    </m:ctrlPr>
                  </m:fPr>
                  <m:num>
                    <m:r>
                      <m:rPr>
                        <m:sty m:val="p"/>
                      </m:rPr>
                      <w:rPr>
                        <w:rFonts w:ascii="Cambria Math" w:hAnsi="Cambria Math"/>
                      </w:rPr>
                      <m:t>Δ</m:t>
                    </m:r>
                    <m:r>
                      <w:rPr>
                        <w:rFonts w:ascii="Cambria Math" w:hAnsi="Cambria Math"/>
                      </w:rPr>
                      <m:t xml:space="preserve">x </m:t>
                    </m:r>
                    <m:sSup>
                      <m:sSupPr>
                        <m:ctrlPr>
                          <w:rPr>
                            <w:rFonts w:ascii="Cambria Math" w:hAnsi="Cambria Math"/>
                            <w:i/>
                          </w:rPr>
                        </m:ctrlPr>
                      </m:sSupPr>
                      <m:e>
                        <m:r>
                          <w:rPr>
                            <w:rFonts w:ascii="Cambria Math" w:hAnsi="Cambria Math"/>
                          </w:rPr>
                          <m:t>V</m:t>
                        </m:r>
                      </m:e>
                      <m:sup>
                        <m:r>
                          <w:rPr>
                            <w:rFonts w:ascii="Cambria Math" w:hAnsi="Cambria Math"/>
                          </w:rPr>
                          <m:t>2</m:t>
                        </m:r>
                      </m:sup>
                    </m:sSup>
                  </m:num>
                  <m:den>
                    <m:r>
                      <w:rPr>
                        <w:rFonts w:ascii="Cambria Math" w:hAnsi="Cambria Math"/>
                      </w:rPr>
                      <m:t>D</m:t>
                    </m:r>
                  </m:den>
                </m:f>
                <m:r>
                  <w:rPr>
                    <w:rFonts w:ascii="Cambria Math" w:hAnsi="Cambria Math"/>
                  </w:rPr>
                  <m:t>=4f</m:t>
                </m:r>
                <m:f>
                  <m:fPr>
                    <m:ctrlPr>
                      <w:rPr>
                        <w:rFonts w:ascii="Cambria Math" w:hAnsi="Cambria Math"/>
                        <w:i/>
                      </w:rPr>
                    </m:ctrlPr>
                  </m:fPr>
                  <m:num>
                    <m:r>
                      <m:rPr>
                        <m:sty m:val="p"/>
                      </m:rPr>
                      <w:rPr>
                        <w:rFonts w:ascii="Cambria Math" w:hAnsi="Cambria Math"/>
                      </w:rPr>
                      <m:t>Δ</m:t>
                    </m:r>
                    <m:r>
                      <w:rPr>
                        <w:rFonts w:ascii="Cambria Math" w:hAnsi="Cambria Math"/>
                      </w:rPr>
                      <m:t>x</m:t>
                    </m:r>
                  </m:num>
                  <m:den>
                    <m:r>
                      <w:rPr>
                        <w:rFonts w:ascii="Cambria Math" w:hAnsi="Cambria Math"/>
                      </w:rPr>
                      <m:t>D</m:t>
                    </m:r>
                  </m:den>
                </m:f>
                <m:f>
                  <m:fPr>
                    <m:ctrlPr>
                      <w:rPr>
                        <w:rFonts w:ascii="Cambria Math" w:hAnsi="Cambria Math"/>
                        <w:i/>
                      </w:rPr>
                    </m:ctrlPr>
                  </m:fPr>
                  <m:num>
                    <m:sSup>
                      <m:sSupPr>
                        <m:ctrlPr>
                          <w:rPr>
                            <w:rFonts w:ascii="Cambria Math" w:hAnsi="Cambria Math"/>
                            <w:i/>
                          </w:rPr>
                        </m:ctrlPr>
                      </m:sSupPr>
                      <m:e>
                        <m:r>
                          <w:rPr>
                            <w:rFonts w:ascii="Cambria Math" w:hAnsi="Cambria Math"/>
                          </w:rPr>
                          <m:t>V</m:t>
                        </m:r>
                      </m:e>
                      <m:sup>
                        <m:r>
                          <w:rPr>
                            <w:rFonts w:ascii="Cambria Math" w:hAnsi="Cambria Math"/>
                          </w:rPr>
                          <m:t>2</m:t>
                        </m:r>
                      </m:sup>
                    </m:sSup>
                  </m:num>
                  <m:den>
                    <m:r>
                      <w:rPr>
                        <w:rFonts w:ascii="Cambria Math" w:hAnsi="Cambria Math"/>
                      </w:rPr>
                      <m:t>2</m:t>
                    </m:r>
                  </m:den>
                </m:f>
              </m:oMath>
            </m:oMathPara>
          </w:p>
        </w:tc>
        <w:tc>
          <w:tcPr>
            <w:tcW w:w="720" w:type="dxa"/>
            <w:vAlign w:val="bottom"/>
          </w:tcPr>
          <w:p w14:paraId="76065C66" w14:textId="11B7687D" w:rsidR="00EA4346" w:rsidRPr="00EA4346" w:rsidRDefault="00EA4346" w:rsidP="00BC23AD">
            <w:pPr>
              <w:pStyle w:val="Caption"/>
              <w:rPr>
                <w:i/>
              </w:rPr>
            </w:pPr>
            <w:r w:rsidRPr="00EA4346">
              <w:t>L.</w:t>
            </w:r>
            <w:r w:rsidR="00077C0B">
              <w:fldChar w:fldCharType="begin"/>
            </w:r>
            <w:r w:rsidR="00077C0B">
              <w:instrText xml:space="preserve"> SEQ Equation \* ARABIC \s 1 </w:instrText>
            </w:r>
            <w:r w:rsidR="00077C0B">
              <w:fldChar w:fldCharType="separate"/>
            </w:r>
            <w:r w:rsidR="0006023A">
              <w:rPr>
                <w:noProof/>
              </w:rPr>
              <w:t>5</w:t>
            </w:r>
            <w:r w:rsidR="00077C0B">
              <w:rPr>
                <w:noProof/>
              </w:rPr>
              <w:fldChar w:fldCharType="end"/>
            </w:r>
          </w:p>
        </w:tc>
      </w:tr>
    </w:tbl>
    <w:p w14:paraId="274020C2" w14:textId="77777777" w:rsidR="00EA4346" w:rsidRPr="00EA4346" w:rsidRDefault="00EA4346" w:rsidP="00EA4346">
      <w:pPr>
        <w:ind w:firstLine="720"/>
      </w:pPr>
    </w:p>
    <w:p w14:paraId="62357DED" w14:textId="1740016A" w:rsidR="00EA4346" w:rsidRPr="00EA4346" w:rsidRDefault="00EA4346" w:rsidP="00EA4346">
      <w:pPr>
        <w:ind w:firstLine="720"/>
      </w:pPr>
      <w:r w:rsidRPr="00EA4346">
        <w:t xml:space="preserve">Rearrangement of Equation L.5 in terms of </w:t>
      </w:r>
      <m:oMath>
        <m:r>
          <w:rPr>
            <w:rFonts w:ascii="Cambria Math" w:hAnsi="Cambria Math"/>
          </w:rPr>
          <m:t>f</m:t>
        </m:r>
      </m:oMath>
      <w:r w:rsidRPr="00EA4346">
        <w:t xml:space="preserve"> results in Equation L.6.</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EA4346" w:rsidRPr="00EA4346" w14:paraId="2B7EECFB" w14:textId="77777777" w:rsidTr="00673330">
        <w:trPr>
          <w:trHeight w:val="576"/>
        </w:trPr>
        <w:tc>
          <w:tcPr>
            <w:tcW w:w="720" w:type="dxa"/>
            <w:vAlign w:val="center"/>
          </w:tcPr>
          <w:p w14:paraId="392CE9EE" w14:textId="7A49A295" w:rsidR="00EA4346" w:rsidRPr="00EA4346" w:rsidRDefault="00EA4346" w:rsidP="00673330">
            <w:pPr>
              <w:spacing w:line="240" w:lineRule="auto"/>
              <w:jc w:val="center"/>
            </w:pPr>
          </w:p>
        </w:tc>
        <w:tc>
          <w:tcPr>
            <w:tcW w:w="7920" w:type="dxa"/>
            <w:vAlign w:val="center"/>
          </w:tcPr>
          <w:p w14:paraId="0B171A78" w14:textId="77777777" w:rsidR="00EA4346" w:rsidRPr="00EA4346" w:rsidRDefault="00EA4346" w:rsidP="00673330">
            <w:pPr>
              <w:spacing w:line="240" w:lineRule="auto"/>
              <w:jc w:val="center"/>
            </w:pPr>
            <m:oMathPara>
              <m:oMath>
                <m:r>
                  <w:rPr>
                    <w:rFonts w:ascii="Cambria Math" w:hAnsi="Cambria Math"/>
                  </w:rPr>
                  <m:t>f=</m:t>
                </m:r>
                <m:f>
                  <m:fPr>
                    <m:ctrlPr>
                      <w:rPr>
                        <w:rFonts w:ascii="Cambria Math" w:hAnsi="Cambria Math"/>
                        <w:i/>
                      </w:rPr>
                    </m:ctrlPr>
                  </m:fPr>
                  <m:num>
                    <m:r>
                      <m:rPr>
                        <m:scr m:val="fraktur"/>
                      </m:rPr>
                      <w:rPr>
                        <w:rFonts w:ascii="Cambria Math" w:hAnsi="Cambria Math"/>
                      </w:rPr>
                      <m:t>F</m:t>
                    </m:r>
                  </m:num>
                  <m:den>
                    <m:r>
                      <w:rPr>
                        <w:rFonts w:ascii="Cambria Math" w:hAnsi="Cambria Math"/>
                      </w:rPr>
                      <m:t>4</m:t>
                    </m:r>
                    <m:d>
                      <m:dPr>
                        <m:ctrlPr>
                          <w:rPr>
                            <w:rFonts w:ascii="Cambria Math" w:hAnsi="Cambria Math"/>
                            <w:i/>
                          </w:rPr>
                        </m:ctrlPr>
                      </m:dPr>
                      <m:e>
                        <m:f>
                          <m:fPr>
                            <m:ctrlPr>
                              <w:rPr>
                                <w:rFonts w:ascii="Cambria Math" w:hAnsi="Cambria Math"/>
                                <w:i/>
                              </w:rPr>
                            </m:ctrlPr>
                          </m:fPr>
                          <m:num>
                            <m:r>
                              <m:rPr>
                                <m:sty m:val="p"/>
                              </m:rPr>
                              <w:rPr>
                                <w:rFonts w:ascii="Cambria Math" w:hAnsi="Cambria Math"/>
                              </w:rPr>
                              <m:t>Δ</m:t>
                            </m:r>
                            <m:r>
                              <w:rPr>
                                <w:rFonts w:ascii="Cambria Math" w:hAnsi="Cambria Math"/>
                              </w:rPr>
                              <m:t>x</m:t>
                            </m:r>
                          </m:num>
                          <m:den>
                            <m:r>
                              <w:rPr>
                                <w:rFonts w:ascii="Cambria Math" w:hAnsi="Cambria Math"/>
                              </w:rPr>
                              <m:t>D</m:t>
                            </m:r>
                          </m:den>
                        </m:f>
                      </m:e>
                    </m:d>
                    <m:d>
                      <m:dPr>
                        <m:ctrlPr>
                          <w:rPr>
                            <w:rFonts w:ascii="Cambria Math" w:hAnsi="Cambria Math"/>
                            <w:i/>
                          </w:rPr>
                        </m:ctrlPr>
                      </m:dPr>
                      <m:e>
                        <m:f>
                          <m:fPr>
                            <m:ctrlPr>
                              <w:rPr>
                                <w:rFonts w:ascii="Cambria Math" w:hAnsi="Cambria Math"/>
                                <w:i/>
                              </w:rPr>
                            </m:ctrlPr>
                          </m:fPr>
                          <m:num>
                            <m:sSup>
                              <m:sSupPr>
                                <m:ctrlPr>
                                  <w:rPr>
                                    <w:rFonts w:ascii="Cambria Math" w:hAnsi="Cambria Math"/>
                                    <w:i/>
                                  </w:rPr>
                                </m:ctrlPr>
                              </m:sSupPr>
                              <m:e>
                                <m:r>
                                  <w:rPr>
                                    <w:rFonts w:ascii="Cambria Math" w:hAnsi="Cambria Math"/>
                                  </w:rPr>
                                  <m:t>V</m:t>
                                </m:r>
                              </m:e>
                              <m:sup>
                                <m:r>
                                  <w:rPr>
                                    <w:rFonts w:ascii="Cambria Math" w:hAnsi="Cambria Math"/>
                                  </w:rPr>
                                  <m:t>2</m:t>
                                </m:r>
                              </m:sup>
                            </m:sSup>
                          </m:num>
                          <m:den>
                            <m:r>
                              <w:rPr>
                                <w:rFonts w:ascii="Cambria Math" w:hAnsi="Cambria Math"/>
                              </w:rPr>
                              <m:t>2</m:t>
                            </m:r>
                          </m:den>
                        </m:f>
                      </m:e>
                    </m:d>
                  </m:den>
                </m:f>
              </m:oMath>
            </m:oMathPara>
          </w:p>
        </w:tc>
        <w:tc>
          <w:tcPr>
            <w:tcW w:w="720" w:type="dxa"/>
            <w:vAlign w:val="bottom"/>
          </w:tcPr>
          <w:p w14:paraId="105F1A41" w14:textId="2463FBF9" w:rsidR="00EA4346" w:rsidRPr="00EA4346" w:rsidRDefault="00EA4346" w:rsidP="00BC23AD">
            <w:pPr>
              <w:pStyle w:val="Caption"/>
              <w:rPr>
                <w:i/>
              </w:rPr>
            </w:pPr>
            <w:r w:rsidRPr="00EA4346">
              <w:t>L.</w:t>
            </w:r>
            <w:r w:rsidR="00077C0B">
              <w:fldChar w:fldCharType="begin"/>
            </w:r>
            <w:r w:rsidR="00077C0B">
              <w:instrText xml:space="preserve"> SEQ Equation \* ARABIC \s 1 </w:instrText>
            </w:r>
            <w:r w:rsidR="00077C0B">
              <w:fldChar w:fldCharType="separate"/>
            </w:r>
            <w:r w:rsidR="0006023A">
              <w:rPr>
                <w:noProof/>
              </w:rPr>
              <w:t>6</w:t>
            </w:r>
            <w:r w:rsidR="00077C0B">
              <w:rPr>
                <w:noProof/>
              </w:rPr>
              <w:fldChar w:fldCharType="end"/>
            </w:r>
          </w:p>
        </w:tc>
      </w:tr>
    </w:tbl>
    <w:p w14:paraId="3F5629F5" w14:textId="77777777" w:rsidR="00EA4346" w:rsidRPr="00EA4346" w:rsidRDefault="00EA4346" w:rsidP="00EA4346">
      <w:pPr>
        <w:ind w:firstLine="720"/>
      </w:pPr>
    </w:p>
    <w:p w14:paraId="67946E7F" w14:textId="23B2F0CF" w:rsidR="00EA4346" w:rsidRPr="00EA4346" w:rsidRDefault="00EA4346" w:rsidP="00EA4346">
      <w:pPr>
        <w:ind w:firstLine="720"/>
      </w:pPr>
      <w:r w:rsidRPr="00EA4346">
        <w:t xml:space="preserve">It is important to note that there are two versions of </w:t>
      </w:r>
      <m:oMath>
        <m:r>
          <w:rPr>
            <w:rFonts w:ascii="Cambria Math" w:hAnsi="Cambria Math"/>
          </w:rPr>
          <m:t>f</m:t>
        </m:r>
      </m:oMath>
      <w:r w:rsidRPr="00EA4346">
        <w:t>: the fanning friction factor (used in chemical engineering) and the Darcy-Weisbach friction factor (used in mechanical and civil engineering). The relationship between the two friction factors is four times as shown in Equation L.7.</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EA4346" w:rsidRPr="00EA4346" w14:paraId="495FF9E1" w14:textId="77777777" w:rsidTr="00673330">
        <w:trPr>
          <w:trHeight w:val="576"/>
        </w:trPr>
        <w:tc>
          <w:tcPr>
            <w:tcW w:w="720" w:type="dxa"/>
            <w:vAlign w:val="center"/>
          </w:tcPr>
          <w:p w14:paraId="445FFDD1" w14:textId="021BDB75" w:rsidR="00EA4346" w:rsidRPr="00EA4346" w:rsidRDefault="00EA4346" w:rsidP="00673330">
            <w:pPr>
              <w:spacing w:line="240" w:lineRule="auto"/>
              <w:jc w:val="center"/>
            </w:pPr>
          </w:p>
        </w:tc>
        <w:tc>
          <w:tcPr>
            <w:tcW w:w="7920" w:type="dxa"/>
            <w:vAlign w:val="center"/>
          </w:tcPr>
          <w:p w14:paraId="3199022F" w14:textId="77777777" w:rsidR="00EA4346" w:rsidRPr="00EA4346" w:rsidRDefault="00077C0B" w:rsidP="00673330">
            <w:pPr>
              <w:spacing w:line="240" w:lineRule="auto"/>
              <w:jc w:val="center"/>
            </w:pPr>
            <m:oMathPara>
              <m:oMath>
                <m:sSub>
                  <m:sSubPr>
                    <m:ctrlPr>
                      <w:rPr>
                        <w:rFonts w:ascii="Cambria Math" w:hAnsi="Cambria Math"/>
                        <w:i/>
                      </w:rPr>
                    </m:ctrlPr>
                  </m:sSubPr>
                  <m:e>
                    <m:r>
                      <w:rPr>
                        <w:rFonts w:ascii="Cambria Math" w:hAnsi="Cambria Math"/>
                      </w:rPr>
                      <m:t>f</m:t>
                    </m:r>
                  </m:e>
                  <m:sub>
                    <m:r>
                      <w:rPr>
                        <w:rFonts w:ascii="Cambria Math" w:hAnsi="Cambria Math"/>
                      </w:rPr>
                      <m:t>D.W.</m:t>
                    </m:r>
                  </m:sub>
                </m:sSub>
                <m:r>
                  <w:rPr>
                    <w:rFonts w:ascii="Cambria Math" w:hAnsi="Cambria Math"/>
                  </w:rPr>
                  <m:t>=</m:t>
                </m:r>
                <m:f>
                  <m:fPr>
                    <m:ctrlPr>
                      <w:rPr>
                        <w:rFonts w:ascii="Cambria Math" w:hAnsi="Cambria Math"/>
                        <w:i/>
                      </w:rPr>
                    </m:ctrlPr>
                  </m:fPr>
                  <m:num>
                    <m:r>
                      <m:rPr>
                        <m:scr m:val="fraktur"/>
                      </m:rPr>
                      <w:rPr>
                        <w:rFonts w:ascii="Cambria Math" w:hAnsi="Cambria Math"/>
                      </w:rPr>
                      <m:t>F</m:t>
                    </m:r>
                  </m:num>
                  <m:den>
                    <m:d>
                      <m:dPr>
                        <m:ctrlPr>
                          <w:rPr>
                            <w:rFonts w:ascii="Cambria Math" w:hAnsi="Cambria Math"/>
                            <w:i/>
                          </w:rPr>
                        </m:ctrlPr>
                      </m:dPr>
                      <m:e>
                        <m:f>
                          <m:fPr>
                            <m:ctrlPr>
                              <w:rPr>
                                <w:rFonts w:ascii="Cambria Math" w:hAnsi="Cambria Math"/>
                                <w:i/>
                              </w:rPr>
                            </m:ctrlPr>
                          </m:fPr>
                          <m:num>
                            <m:r>
                              <m:rPr>
                                <m:sty m:val="p"/>
                              </m:rPr>
                              <w:rPr>
                                <w:rFonts w:ascii="Cambria Math" w:hAnsi="Cambria Math"/>
                              </w:rPr>
                              <m:t>Δ</m:t>
                            </m:r>
                            <m:r>
                              <w:rPr>
                                <w:rFonts w:ascii="Cambria Math" w:hAnsi="Cambria Math"/>
                              </w:rPr>
                              <m:t>x</m:t>
                            </m:r>
                          </m:num>
                          <m:den>
                            <m:r>
                              <w:rPr>
                                <w:rFonts w:ascii="Cambria Math" w:hAnsi="Cambria Math"/>
                              </w:rPr>
                              <m:t>D</m:t>
                            </m:r>
                          </m:den>
                        </m:f>
                      </m:e>
                    </m:d>
                    <m:d>
                      <m:dPr>
                        <m:ctrlPr>
                          <w:rPr>
                            <w:rFonts w:ascii="Cambria Math" w:hAnsi="Cambria Math"/>
                            <w:i/>
                          </w:rPr>
                        </m:ctrlPr>
                      </m:dPr>
                      <m:e>
                        <m:f>
                          <m:fPr>
                            <m:ctrlPr>
                              <w:rPr>
                                <w:rFonts w:ascii="Cambria Math" w:hAnsi="Cambria Math"/>
                                <w:i/>
                              </w:rPr>
                            </m:ctrlPr>
                          </m:fPr>
                          <m:num>
                            <m:sSup>
                              <m:sSupPr>
                                <m:ctrlPr>
                                  <w:rPr>
                                    <w:rFonts w:ascii="Cambria Math" w:hAnsi="Cambria Math"/>
                                    <w:i/>
                                  </w:rPr>
                                </m:ctrlPr>
                              </m:sSupPr>
                              <m:e>
                                <m:r>
                                  <w:rPr>
                                    <w:rFonts w:ascii="Cambria Math" w:hAnsi="Cambria Math"/>
                                  </w:rPr>
                                  <m:t>V</m:t>
                                </m:r>
                              </m:e>
                              <m:sup>
                                <m:r>
                                  <w:rPr>
                                    <w:rFonts w:ascii="Cambria Math" w:hAnsi="Cambria Math"/>
                                  </w:rPr>
                                  <m:t>2</m:t>
                                </m:r>
                              </m:sup>
                            </m:sSup>
                          </m:num>
                          <m:den>
                            <m:r>
                              <w:rPr>
                                <w:rFonts w:ascii="Cambria Math" w:hAnsi="Cambria Math"/>
                              </w:rPr>
                              <m:t>2</m:t>
                            </m:r>
                          </m:den>
                        </m:f>
                      </m:e>
                    </m:d>
                  </m:den>
                </m:f>
                <m:r>
                  <w:rPr>
                    <w:rFonts w:ascii="Cambria Math" w:hAnsi="Cambria Math"/>
                  </w:rPr>
                  <m:t>=4</m:t>
                </m:r>
                <m:sSub>
                  <m:sSubPr>
                    <m:ctrlPr>
                      <w:rPr>
                        <w:rFonts w:ascii="Cambria Math" w:hAnsi="Cambria Math"/>
                        <w:i/>
                      </w:rPr>
                    </m:ctrlPr>
                  </m:sSubPr>
                  <m:e>
                    <m:r>
                      <w:rPr>
                        <w:rFonts w:ascii="Cambria Math" w:hAnsi="Cambria Math"/>
                      </w:rPr>
                      <m:t>f</m:t>
                    </m:r>
                  </m:e>
                  <m:sub>
                    <m:r>
                      <w:rPr>
                        <w:rFonts w:ascii="Cambria Math" w:hAnsi="Cambria Math"/>
                      </w:rPr>
                      <m:t>Fanning</m:t>
                    </m:r>
                  </m:sub>
                </m:sSub>
              </m:oMath>
            </m:oMathPara>
          </w:p>
        </w:tc>
        <w:tc>
          <w:tcPr>
            <w:tcW w:w="720" w:type="dxa"/>
            <w:vAlign w:val="bottom"/>
          </w:tcPr>
          <w:p w14:paraId="55F594F2" w14:textId="243708FB" w:rsidR="00EA4346" w:rsidRPr="00EA4346" w:rsidRDefault="00EA4346" w:rsidP="00BC23AD">
            <w:pPr>
              <w:pStyle w:val="Caption"/>
              <w:rPr>
                <w:i/>
              </w:rPr>
            </w:pPr>
            <w:r w:rsidRPr="00EA4346">
              <w:t>L.</w:t>
            </w:r>
            <w:r w:rsidR="00077C0B">
              <w:fldChar w:fldCharType="begin"/>
            </w:r>
            <w:r w:rsidR="00077C0B">
              <w:instrText xml:space="preserve"> SEQ Equation \* ARABIC \s 1 </w:instrText>
            </w:r>
            <w:r w:rsidR="00077C0B">
              <w:fldChar w:fldCharType="separate"/>
            </w:r>
            <w:r w:rsidR="0006023A">
              <w:rPr>
                <w:noProof/>
              </w:rPr>
              <w:t>7</w:t>
            </w:r>
            <w:r w:rsidR="00077C0B">
              <w:rPr>
                <w:noProof/>
              </w:rPr>
              <w:fldChar w:fldCharType="end"/>
            </w:r>
          </w:p>
        </w:tc>
      </w:tr>
    </w:tbl>
    <w:p w14:paraId="02021125" w14:textId="77777777" w:rsidR="00EA4346" w:rsidRPr="00EA4346" w:rsidRDefault="00EA4346" w:rsidP="00EA4346">
      <w:pPr>
        <w:ind w:firstLine="720"/>
      </w:pPr>
    </w:p>
    <w:p w14:paraId="24587B34" w14:textId="59B2A08F" w:rsidR="00EA4346" w:rsidRPr="00EA4346" w:rsidRDefault="00EA4346" w:rsidP="00EA4346">
      <w:pPr>
        <w:ind w:firstLine="720"/>
      </w:pPr>
      <w:r w:rsidRPr="00EA4346">
        <w:t xml:space="preserve">Now that </w:t>
      </w:r>
      <m:oMath>
        <m:r>
          <w:rPr>
            <w:rFonts w:ascii="Cambria Math" w:hAnsi="Cambria Math"/>
          </w:rPr>
          <m:t>f</m:t>
        </m:r>
      </m:oMath>
      <w:r w:rsidRPr="00EA4346">
        <w:rPr>
          <w:i/>
        </w:rPr>
        <w:t xml:space="preserve"> </w:t>
      </w:r>
      <w:r w:rsidRPr="00EA4346">
        <w:t xml:space="preserve">is defined, what does it mean? </w:t>
      </w:r>
      <m:oMath>
        <m:r>
          <w:rPr>
            <w:rFonts w:ascii="Cambria Math" w:hAnsi="Cambria Math"/>
          </w:rPr>
          <m:t xml:space="preserve">f </m:t>
        </m:r>
      </m:oMath>
      <w:r w:rsidRPr="00EA4346">
        <w:t xml:space="preserve">should be dependent upon the roughness of the surface per the definition of surface friction. As shown by the Moody diagram (Moody 1944), </w:t>
      </w:r>
      <m:oMath>
        <m:r>
          <w:rPr>
            <w:rFonts w:ascii="Cambria Math" w:hAnsi="Cambria Math"/>
          </w:rPr>
          <m:t>f</m:t>
        </m:r>
      </m:oMath>
      <w:r w:rsidRPr="00EA4346">
        <w:t xml:space="preserve"> is a function of the relative roughness (</w:t>
      </w:r>
      <m:oMath>
        <m:r>
          <w:rPr>
            <w:rFonts w:ascii="Cambria Math" w:hAnsi="Cambria Math"/>
          </w:rPr>
          <m:t>ϵ/D</m:t>
        </m:r>
      </m:oMath>
      <w:r w:rsidRPr="00EA4346">
        <w:t xml:space="preserve">, in which </w:t>
      </w:r>
      <m:oMath>
        <m:r>
          <w:rPr>
            <w:rFonts w:ascii="Cambria Math" w:hAnsi="Cambria Math"/>
          </w:rPr>
          <m:t>ϵ</m:t>
        </m:r>
      </m:oMath>
      <w:r w:rsidRPr="00EA4346">
        <w:t xml:space="preserve"> is the roughness of the surface and </w:t>
      </w:r>
      <m:oMath>
        <m:r>
          <w:rPr>
            <w:rFonts w:ascii="Cambria Math" w:hAnsi="Cambria Math"/>
          </w:rPr>
          <m:t>D</m:t>
        </m:r>
      </m:oMath>
      <w:r w:rsidRPr="00EA4346">
        <w:t xml:space="preserve"> is the diameter of the pipe) and the Reynold’s number (</w:t>
      </w:r>
      <m:oMath>
        <m:r>
          <w:rPr>
            <w:rFonts w:ascii="Cambria Math" w:hAnsi="Cambria Math"/>
          </w:rPr>
          <m:t>Re</m:t>
        </m:r>
      </m:oMath>
      <w:r w:rsidRPr="00EA4346">
        <w:t>). The Moody diagram is shown in Figure L.1.</w:t>
      </w:r>
    </w:p>
    <w:p w14:paraId="717B4DA9" w14:textId="77777777" w:rsidR="00EA4346" w:rsidRPr="00EA4346" w:rsidRDefault="00EA4346" w:rsidP="00BC23AD">
      <w:pPr>
        <w:pStyle w:val="NoSpacing"/>
      </w:pPr>
      <w:r w:rsidRPr="00EA4346">
        <w:rPr>
          <w:noProof/>
        </w:rPr>
        <w:lastRenderedPageBreak/>
        <w:drawing>
          <wp:inline distT="0" distB="0" distL="0" distR="0" wp14:anchorId="033F21F2" wp14:editId="2805EA80">
            <wp:extent cx="5943600" cy="3857444"/>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5943600" cy="3857444"/>
                    </a:xfrm>
                    <a:prstGeom prst="rect">
                      <a:avLst/>
                    </a:prstGeom>
                    <a:noFill/>
                  </pic:spPr>
                </pic:pic>
              </a:graphicData>
            </a:graphic>
          </wp:inline>
        </w:drawing>
      </w:r>
    </w:p>
    <w:p w14:paraId="225F4016" w14:textId="162BF233" w:rsidR="00EA4346" w:rsidRPr="00EA4346" w:rsidRDefault="00EA4346" w:rsidP="00BC23AD">
      <w:pPr>
        <w:pStyle w:val="Caption"/>
      </w:pPr>
      <w:r w:rsidRPr="00EA4346">
        <w:t xml:space="preserve">Figure L.1: Moody diagram showing the relationship between the fanning friction factor </w:t>
      </w:r>
      <m:oMath>
        <m:r>
          <m:rPr>
            <m:sty m:val="bi"/>
          </m:rPr>
          <w:rPr>
            <w:rFonts w:ascii="Cambria Math" w:hAnsi="Cambria Math"/>
          </w:rPr>
          <m:t>(f)</m:t>
        </m:r>
      </m:oMath>
      <w:r w:rsidRPr="00EA4346">
        <w:t xml:space="preserve">, Reynolds number </w:t>
      </w:r>
      <m:oMath>
        <m:r>
          <m:rPr>
            <m:sty m:val="bi"/>
          </m:rPr>
          <w:rPr>
            <w:rFonts w:ascii="Cambria Math" w:hAnsi="Cambria Math"/>
          </w:rPr>
          <m:t>(</m:t>
        </m:r>
        <m:sSub>
          <m:sSubPr>
            <m:ctrlPr>
              <w:rPr>
                <w:rFonts w:ascii="Cambria Math" w:hAnsi="Cambria Math"/>
                <w:i/>
              </w:rPr>
            </m:ctrlPr>
          </m:sSubPr>
          <m:e>
            <m:r>
              <m:rPr>
                <m:sty m:val="bi"/>
              </m:rPr>
              <w:rPr>
                <w:rFonts w:ascii="Cambria Math" w:hAnsi="Cambria Math"/>
              </w:rPr>
              <m:t>N</m:t>
            </m:r>
          </m:e>
          <m:sub>
            <m:r>
              <m:rPr>
                <m:sty m:val="bi"/>
              </m:rPr>
              <w:rPr>
                <w:rFonts w:ascii="Cambria Math" w:hAnsi="Cambria Math"/>
              </w:rPr>
              <m:t>Re</m:t>
            </m:r>
          </m:sub>
        </m:sSub>
        <m:r>
          <m:rPr>
            <m:sty m:val="bi"/>
          </m:rPr>
          <w:rPr>
            <w:rFonts w:ascii="Cambria Math" w:hAnsi="Cambria Math"/>
          </w:rPr>
          <m:t>)</m:t>
        </m:r>
      </m:oMath>
      <w:r w:rsidRPr="00EA4346">
        <w:t xml:space="preserve">, and relative roughness </w:t>
      </w:r>
      <m:oMath>
        <m:r>
          <m:rPr>
            <m:sty m:val="bi"/>
          </m:rPr>
          <w:rPr>
            <w:rFonts w:ascii="Cambria Math" w:hAnsi="Cambria Math"/>
          </w:rPr>
          <m:t>(ϵ/D)</m:t>
        </m:r>
      </m:oMath>
      <w:r w:rsidRPr="00EA4346">
        <w:t>. Figure modified from de Nevers (2005).</w:t>
      </w:r>
    </w:p>
    <w:p w14:paraId="3B2A50DA" w14:textId="028E6FA0" w:rsidR="00EA4346" w:rsidRPr="00EA4346" w:rsidRDefault="00EA4346" w:rsidP="00EA4346">
      <w:pPr>
        <w:ind w:firstLine="720"/>
      </w:pPr>
      <w:r w:rsidRPr="00EA4346">
        <w:t>The laminar flow on the Moody diagram is expressed by Equation L.8 whereas the turbulent flow curves are represented by the Colebrook equation (Colebrook 1939) in Equation L.9.</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EA4346" w:rsidRPr="00EA4346" w14:paraId="5A1E9546" w14:textId="77777777" w:rsidTr="00673330">
        <w:trPr>
          <w:trHeight w:val="576"/>
        </w:trPr>
        <w:tc>
          <w:tcPr>
            <w:tcW w:w="720" w:type="dxa"/>
            <w:vAlign w:val="center"/>
          </w:tcPr>
          <w:p w14:paraId="616C9243" w14:textId="7555945E" w:rsidR="00EA4346" w:rsidRPr="00EA4346" w:rsidRDefault="00EA4346" w:rsidP="00673330">
            <w:pPr>
              <w:spacing w:line="240" w:lineRule="auto"/>
              <w:jc w:val="center"/>
            </w:pPr>
          </w:p>
        </w:tc>
        <w:tc>
          <w:tcPr>
            <w:tcW w:w="7920" w:type="dxa"/>
            <w:vAlign w:val="center"/>
          </w:tcPr>
          <w:p w14:paraId="1D33F0BB" w14:textId="77777777" w:rsidR="00EA4346" w:rsidRPr="00EA4346" w:rsidRDefault="00077C0B" w:rsidP="00673330">
            <w:pPr>
              <w:spacing w:line="240" w:lineRule="auto"/>
              <w:jc w:val="center"/>
            </w:pPr>
            <m:oMathPara>
              <m:oMath>
                <m:sSub>
                  <m:sSubPr>
                    <m:ctrlPr>
                      <w:rPr>
                        <w:rFonts w:ascii="Cambria Math" w:hAnsi="Cambria Math"/>
                        <w:i/>
                      </w:rPr>
                    </m:ctrlPr>
                  </m:sSubPr>
                  <m:e>
                    <m:r>
                      <w:rPr>
                        <w:rFonts w:ascii="Cambria Math" w:hAnsi="Cambria Math"/>
                      </w:rPr>
                      <m:t>f</m:t>
                    </m:r>
                  </m:e>
                  <m:sub>
                    <m:r>
                      <w:rPr>
                        <w:rFonts w:ascii="Cambria Math" w:hAnsi="Cambria Math"/>
                      </w:rPr>
                      <m:t>Fanning</m:t>
                    </m:r>
                  </m:sub>
                </m:sSub>
                <m:r>
                  <w:rPr>
                    <w:rFonts w:ascii="Cambria Math" w:hAnsi="Cambria Math"/>
                  </w:rPr>
                  <m:t>=</m:t>
                </m:r>
                <m:f>
                  <m:fPr>
                    <m:ctrlPr>
                      <w:rPr>
                        <w:rFonts w:ascii="Cambria Math" w:hAnsi="Cambria Math"/>
                        <w:i/>
                      </w:rPr>
                    </m:ctrlPr>
                  </m:fPr>
                  <m:num>
                    <m:r>
                      <w:rPr>
                        <w:rFonts w:ascii="Cambria Math" w:hAnsi="Cambria Math"/>
                      </w:rPr>
                      <m:t>16</m:t>
                    </m:r>
                  </m:num>
                  <m:den>
                    <m:r>
                      <w:rPr>
                        <w:rFonts w:ascii="Cambria Math" w:hAnsi="Cambria Math"/>
                      </w:rPr>
                      <m:t>Re</m:t>
                    </m:r>
                  </m:den>
                </m:f>
              </m:oMath>
            </m:oMathPara>
          </w:p>
        </w:tc>
        <w:tc>
          <w:tcPr>
            <w:tcW w:w="720" w:type="dxa"/>
            <w:vAlign w:val="bottom"/>
          </w:tcPr>
          <w:p w14:paraId="6CA6E7FC" w14:textId="1B4B8338" w:rsidR="00EA4346" w:rsidRPr="00EA4346" w:rsidRDefault="00EA4346" w:rsidP="00BC23AD">
            <w:pPr>
              <w:pStyle w:val="Caption"/>
              <w:rPr>
                <w:i/>
              </w:rPr>
            </w:pPr>
            <w:r w:rsidRPr="00EA4346">
              <w:t>L.</w:t>
            </w:r>
            <w:r w:rsidR="00077C0B">
              <w:fldChar w:fldCharType="begin"/>
            </w:r>
            <w:r w:rsidR="00077C0B">
              <w:instrText xml:space="preserve"> SEQ Equation \* ARABIC \s</w:instrText>
            </w:r>
            <w:r w:rsidR="00077C0B">
              <w:instrText xml:space="preserve"> 1 </w:instrText>
            </w:r>
            <w:r w:rsidR="00077C0B">
              <w:fldChar w:fldCharType="separate"/>
            </w:r>
            <w:r w:rsidR="0006023A">
              <w:rPr>
                <w:noProof/>
              </w:rPr>
              <w:t>8</w:t>
            </w:r>
            <w:r w:rsidR="00077C0B">
              <w:rPr>
                <w:noProof/>
              </w:rPr>
              <w:fldChar w:fldCharType="end"/>
            </w:r>
          </w:p>
        </w:tc>
      </w:tr>
    </w:tbl>
    <w:p w14:paraId="62517977" w14:textId="77777777" w:rsidR="00EA4346" w:rsidRPr="00EA4346" w:rsidRDefault="00EA4346" w:rsidP="00EA4346">
      <w:pPr>
        <w:ind w:firstLine="720"/>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EA4346" w:rsidRPr="00EA4346" w14:paraId="3968B7EF" w14:textId="77777777" w:rsidTr="00673330">
        <w:trPr>
          <w:trHeight w:val="576"/>
        </w:trPr>
        <w:tc>
          <w:tcPr>
            <w:tcW w:w="720" w:type="dxa"/>
            <w:vAlign w:val="center"/>
          </w:tcPr>
          <w:p w14:paraId="6AADBEAB" w14:textId="526A5BE6" w:rsidR="00EA4346" w:rsidRPr="00EA4346" w:rsidRDefault="00EA4346" w:rsidP="00673330">
            <w:pPr>
              <w:spacing w:line="240" w:lineRule="auto"/>
              <w:jc w:val="center"/>
            </w:pPr>
          </w:p>
        </w:tc>
        <w:tc>
          <w:tcPr>
            <w:tcW w:w="7920" w:type="dxa"/>
            <w:vAlign w:val="center"/>
          </w:tcPr>
          <w:p w14:paraId="26788A4D" w14:textId="77777777" w:rsidR="00EA4346" w:rsidRPr="00EA4346" w:rsidRDefault="00077C0B" w:rsidP="00673330">
            <w:pPr>
              <w:spacing w:line="240" w:lineRule="auto"/>
              <w:jc w:val="center"/>
            </w:pPr>
            <m:oMathPara>
              <m:oMath>
                <m:f>
                  <m:fPr>
                    <m:ctrlPr>
                      <w:rPr>
                        <w:rFonts w:ascii="Cambria Math" w:hAnsi="Cambria Math"/>
                        <w:i/>
                      </w:rPr>
                    </m:ctrlPr>
                  </m:fPr>
                  <m:num>
                    <m:r>
                      <w:rPr>
                        <w:rFonts w:ascii="Cambria Math" w:hAnsi="Cambria Math"/>
                      </w:rPr>
                      <m:t>1</m:t>
                    </m:r>
                  </m:num>
                  <m:den>
                    <m:rad>
                      <m:radPr>
                        <m:degHide m:val="1"/>
                        <m:ctrlPr>
                          <w:rPr>
                            <w:rFonts w:ascii="Cambria Math" w:hAnsi="Cambria Math"/>
                            <w:i/>
                          </w:rPr>
                        </m:ctrlPr>
                      </m:radPr>
                      <m:deg/>
                      <m:e>
                        <m:r>
                          <w:rPr>
                            <w:rFonts w:ascii="Cambria Math" w:hAnsi="Cambria Math"/>
                          </w:rPr>
                          <m:t>f</m:t>
                        </m:r>
                      </m:e>
                    </m:rad>
                  </m:den>
                </m:f>
                <m:r>
                  <w:rPr>
                    <w:rFonts w:ascii="Cambria Math" w:hAnsi="Cambria Math"/>
                  </w:rPr>
                  <m:t>=-2</m:t>
                </m:r>
                <m:func>
                  <m:funcPr>
                    <m:ctrlPr>
                      <w:rPr>
                        <w:rFonts w:ascii="Cambria Math" w:hAnsi="Cambria Math"/>
                        <w:i/>
                      </w:rPr>
                    </m:ctrlPr>
                  </m:funcPr>
                  <m:fName>
                    <m:r>
                      <m:rPr>
                        <m:sty m:val="p"/>
                      </m:rPr>
                      <w:rPr>
                        <w:rFonts w:ascii="Cambria Math" w:hAnsi="Cambria Math"/>
                      </w:rPr>
                      <m:t>log</m:t>
                    </m:r>
                  </m:fName>
                  <m:e>
                    <m:d>
                      <m:dPr>
                        <m:ctrlPr>
                          <w:rPr>
                            <w:rFonts w:ascii="Cambria Math" w:hAnsi="Cambria Math"/>
                            <w:i/>
                          </w:rPr>
                        </m:ctrlPr>
                      </m:dPr>
                      <m:e>
                        <m:f>
                          <m:fPr>
                            <m:ctrlPr>
                              <w:rPr>
                                <w:rFonts w:ascii="Cambria Math" w:hAnsi="Cambria Math"/>
                                <w:i/>
                              </w:rPr>
                            </m:ctrlPr>
                          </m:fPr>
                          <m:num>
                            <m:r>
                              <w:rPr>
                                <w:rFonts w:ascii="Cambria Math" w:hAnsi="Cambria Math"/>
                              </w:rPr>
                              <m:t>ϵ</m:t>
                            </m:r>
                          </m:num>
                          <m:den>
                            <m:r>
                              <w:rPr>
                                <w:rFonts w:ascii="Cambria Math" w:hAnsi="Cambria Math"/>
                              </w:rPr>
                              <m:t>3.7D</m:t>
                            </m:r>
                          </m:den>
                        </m:f>
                        <m:r>
                          <w:rPr>
                            <w:rFonts w:ascii="Cambria Math" w:hAnsi="Cambria Math"/>
                          </w:rPr>
                          <m:t>+</m:t>
                        </m:r>
                        <m:f>
                          <m:fPr>
                            <m:ctrlPr>
                              <w:rPr>
                                <w:rFonts w:ascii="Cambria Math" w:hAnsi="Cambria Math"/>
                                <w:i/>
                              </w:rPr>
                            </m:ctrlPr>
                          </m:fPr>
                          <m:num>
                            <m:r>
                              <w:rPr>
                                <w:rFonts w:ascii="Cambria Math" w:hAnsi="Cambria Math"/>
                              </w:rPr>
                              <m:t>2.51</m:t>
                            </m:r>
                          </m:num>
                          <m:den>
                            <m:r>
                              <w:rPr>
                                <w:rFonts w:ascii="Cambria Math" w:hAnsi="Cambria Math"/>
                              </w:rPr>
                              <m:t>Re</m:t>
                            </m:r>
                            <m:rad>
                              <m:radPr>
                                <m:degHide m:val="1"/>
                                <m:ctrlPr>
                                  <w:rPr>
                                    <w:rFonts w:ascii="Cambria Math" w:hAnsi="Cambria Math"/>
                                    <w:i/>
                                  </w:rPr>
                                </m:ctrlPr>
                              </m:radPr>
                              <m:deg/>
                              <m:e>
                                <m:r>
                                  <w:rPr>
                                    <w:rFonts w:ascii="Cambria Math" w:hAnsi="Cambria Math"/>
                                  </w:rPr>
                                  <m:t>f</m:t>
                                </m:r>
                              </m:e>
                            </m:rad>
                          </m:den>
                        </m:f>
                      </m:e>
                    </m:d>
                  </m:e>
                </m:func>
              </m:oMath>
            </m:oMathPara>
          </w:p>
        </w:tc>
        <w:tc>
          <w:tcPr>
            <w:tcW w:w="720" w:type="dxa"/>
            <w:vAlign w:val="bottom"/>
          </w:tcPr>
          <w:p w14:paraId="795E8030" w14:textId="5D43ED9C" w:rsidR="00EA4346" w:rsidRPr="00EA4346" w:rsidRDefault="00EA4346" w:rsidP="00BC23AD">
            <w:pPr>
              <w:pStyle w:val="Caption"/>
              <w:rPr>
                <w:i/>
              </w:rPr>
            </w:pPr>
            <w:r w:rsidRPr="00EA4346">
              <w:t>L.</w:t>
            </w:r>
            <w:r w:rsidR="00077C0B">
              <w:fldChar w:fldCharType="begin"/>
            </w:r>
            <w:r w:rsidR="00077C0B">
              <w:instrText xml:space="preserve"> SEQ Equation \* ARABIC \s 1 </w:instrText>
            </w:r>
            <w:r w:rsidR="00077C0B">
              <w:fldChar w:fldCharType="separate"/>
            </w:r>
            <w:r w:rsidR="0006023A">
              <w:rPr>
                <w:noProof/>
              </w:rPr>
              <w:t>9</w:t>
            </w:r>
            <w:r w:rsidR="00077C0B">
              <w:rPr>
                <w:noProof/>
              </w:rPr>
              <w:fldChar w:fldCharType="end"/>
            </w:r>
          </w:p>
        </w:tc>
      </w:tr>
    </w:tbl>
    <w:p w14:paraId="01652777" w14:textId="77777777" w:rsidR="00EA4346" w:rsidRPr="00EA4346" w:rsidRDefault="00EA4346" w:rsidP="00EA4346">
      <w:pPr>
        <w:ind w:firstLine="720"/>
      </w:pPr>
    </w:p>
    <w:p w14:paraId="20A7B954" w14:textId="462CE73A" w:rsidR="00EA4346" w:rsidRPr="00EA4346" w:rsidRDefault="00EA4346" w:rsidP="00EA4346">
      <w:pPr>
        <w:ind w:firstLine="720"/>
      </w:pPr>
      <w:r w:rsidRPr="00EA4346">
        <w:t>For both laminar and turbulent flow, the Reynold’s number (</w:t>
      </w:r>
      <m:oMath>
        <m:sSub>
          <m:sSubPr>
            <m:ctrlPr>
              <w:rPr>
                <w:rFonts w:ascii="Cambria Math" w:hAnsi="Cambria Math"/>
                <w:i/>
              </w:rPr>
            </m:ctrlPr>
          </m:sSubPr>
          <m:e>
            <m:r>
              <w:rPr>
                <w:rFonts w:ascii="Cambria Math" w:hAnsi="Cambria Math"/>
              </w:rPr>
              <m:t>N</m:t>
            </m:r>
          </m:e>
          <m:sub>
            <m:r>
              <w:rPr>
                <w:rFonts w:ascii="Cambria Math" w:hAnsi="Cambria Math"/>
              </w:rPr>
              <m:t>Re</m:t>
            </m:r>
          </m:sub>
        </m:sSub>
      </m:oMath>
      <w:r w:rsidRPr="00EA4346">
        <w:t>) is defined in Equation L.10.</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7920"/>
        <w:gridCol w:w="720"/>
      </w:tblGrid>
      <w:tr w:rsidR="00EA4346" w:rsidRPr="00EA4346" w14:paraId="1C01FF6D" w14:textId="77777777" w:rsidTr="00673330">
        <w:trPr>
          <w:trHeight w:val="576"/>
        </w:trPr>
        <w:tc>
          <w:tcPr>
            <w:tcW w:w="720" w:type="dxa"/>
            <w:vAlign w:val="center"/>
          </w:tcPr>
          <w:p w14:paraId="5D7D8EBA" w14:textId="09EB42AB" w:rsidR="00EA4346" w:rsidRPr="00EA4346" w:rsidRDefault="00EA4346" w:rsidP="00673330">
            <w:pPr>
              <w:spacing w:line="240" w:lineRule="auto"/>
              <w:jc w:val="center"/>
            </w:pPr>
          </w:p>
        </w:tc>
        <w:tc>
          <w:tcPr>
            <w:tcW w:w="7920" w:type="dxa"/>
            <w:vAlign w:val="center"/>
          </w:tcPr>
          <w:p w14:paraId="34D9584A" w14:textId="77777777" w:rsidR="00EA4346" w:rsidRPr="00EA4346" w:rsidRDefault="00077C0B" w:rsidP="00673330">
            <w:pPr>
              <w:spacing w:line="240" w:lineRule="auto"/>
              <w:jc w:val="center"/>
            </w:pPr>
            <m:oMathPara>
              <m:oMath>
                <m:sSub>
                  <m:sSubPr>
                    <m:ctrlPr>
                      <w:rPr>
                        <w:rFonts w:ascii="Cambria Math" w:hAnsi="Cambria Math"/>
                        <w:i/>
                      </w:rPr>
                    </m:ctrlPr>
                  </m:sSubPr>
                  <m:e>
                    <m:r>
                      <w:rPr>
                        <w:rFonts w:ascii="Cambria Math" w:hAnsi="Cambria Math"/>
                      </w:rPr>
                      <m:t>N</m:t>
                    </m:r>
                  </m:e>
                  <m:sub>
                    <m:r>
                      <w:rPr>
                        <w:rFonts w:ascii="Cambria Math" w:hAnsi="Cambria Math"/>
                      </w:rPr>
                      <m:t>Re</m:t>
                    </m:r>
                  </m:sub>
                </m:sSub>
                <m:r>
                  <w:rPr>
                    <w:rFonts w:ascii="Cambria Math" w:hAnsi="Cambria Math"/>
                  </w:rPr>
                  <m:t>=</m:t>
                </m:r>
                <m:f>
                  <m:fPr>
                    <m:ctrlPr>
                      <w:rPr>
                        <w:rFonts w:ascii="Cambria Math" w:hAnsi="Cambria Math"/>
                        <w:i/>
                      </w:rPr>
                    </m:ctrlPr>
                  </m:fPr>
                  <m:num>
                    <m:r>
                      <w:rPr>
                        <w:rFonts w:ascii="Cambria Math" w:hAnsi="Cambria Math"/>
                      </w:rPr>
                      <m:t>DVρ</m:t>
                    </m:r>
                  </m:num>
                  <m:den>
                    <m:r>
                      <w:rPr>
                        <w:rFonts w:ascii="Cambria Math" w:hAnsi="Cambria Math"/>
                      </w:rPr>
                      <m:t>μ</m:t>
                    </m:r>
                  </m:den>
                </m:f>
              </m:oMath>
            </m:oMathPara>
          </w:p>
        </w:tc>
        <w:tc>
          <w:tcPr>
            <w:tcW w:w="720" w:type="dxa"/>
            <w:vAlign w:val="bottom"/>
          </w:tcPr>
          <w:p w14:paraId="111CE175" w14:textId="7B6DAAA1" w:rsidR="00EA4346" w:rsidRPr="00EA4346" w:rsidRDefault="00EA4346" w:rsidP="00BC23AD">
            <w:pPr>
              <w:pStyle w:val="Caption"/>
              <w:rPr>
                <w:i/>
              </w:rPr>
            </w:pPr>
            <w:r w:rsidRPr="00EA4346">
              <w:t>L.</w:t>
            </w:r>
            <w:r w:rsidR="00077C0B">
              <w:fldChar w:fldCharType="begin"/>
            </w:r>
            <w:r w:rsidR="00077C0B">
              <w:instrText xml:space="preserve"> SEQ Equation \* ARABIC \s 1 </w:instrText>
            </w:r>
            <w:r w:rsidR="00077C0B">
              <w:fldChar w:fldCharType="separate"/>
            </w:r>
            <w:r w:rsidR="0006023A">
              <w:rPr>
                <w:noProof/>
              </w:rPr>
              <w:t>10</w:t>
            </w:r>
            <w:r w:rsidR="00077C0B">
              <w:rPr>
                <w:noProof/>
              </w:rPr>
              <w:fldChar w:fldCharType="end"/>
            </w:r>
          </w:p>
        </w:tc>
      </w:tr>
    </w:tbl>
    <w:p w14:paraId="13B0BBBD" w14:textId="77777777" w:rsidR="00EA4346" w:rsidRPr="00EA4346" w:rsidRDefault="00EA4346" w:rsidP="00EA4346">
      <w:pPr>
        <w:ind w:firstLine="720"/>
      </w:pPr>
    </w:p>
    <w:p w14:paraId="560362C5" w14:textId="7B31BC02" w:rsidR="003F4911" w:rsidRDefault="00EA4346" w:rsidP="00EA4346">
      <w:pPr>
        <w:ind w:firstLine="720"/>
      </w:pPr>
      <w:r w:rsidRPr="00EA4346">
        <w:lastRenderedPageBreak/>
        <w:t>Therefore, the fluid friction factor for laminar flow is linear and independent on relative roughness of the pipe. For turbulent flow, either the Moody diagram is used or the Colebrook equation (Equation L.9) is used.</w:t>
      </w:r>
    </w:p>
    <w:p w14:paraId="3CC191D9" w14:textId="2ADE84A0" w:rsidR="00EA4346" w:rsidRDefault="00EA4346">
      <w:pPr>
        <w:spacing w:after="160" w:line="259" w:lineRule="auto"/>
        <w:jc w:val="left"/>
      </w:pPr>
      <w:r>
        <w:br w:type="page"/>
      </w:r>
    </w:p>
    <w:p w14:paraId="257E7035" w14:textId="213727B2" w:rsidR="00EA4346" w:rsidRDefault="00EA4346" w:rsidP="00EA4346">
      <w:pPr>
        <w:pStyle w:val="Heading1"/>
        <w:numPr>
          <w:ilvl w:val="0"/>
          <w:numId w:val="0"/>
        </w:numPr>
      </w:pPr>
      <w:bookmarkStart w:id="189" w:name="_Toc67566084"/>
      <w:r>
        <w:lastRenderedPageBreak/>
        <w:t>Appendix M: Biography</w:t>
      </w:r>
      <w:bookmarkEnd w:id="189"/>
    </w:p>
    <w:p w14:paraId="3592C232" w14:textId="4944C533" w:rsidR="00EA4346" w:rsidRDefault="00EA4346" w:rsidP="00EA4346">
      <w:pPr>
        <w:ind w:firstLine="720"/>
        <w:rPr>
          <w:rStyle w:val="Hyperlink"/>
          <w:szCs w:val="24"/>
        </w:rPr>
      </w:pPr>
      <w:r>
        <w:t>Jarrett Wise was born on December 27, 1991</w:t>
      </w:r>
      <w:r w:rsidRPr="0074700C">
        <w:t>.</w:t>
      </w:r>
      <w:r>
        <w:t xml:space="preserve"> He received his Bachelor’s degree in physics from Hastings College in Hastings, Nebraska (2014). Before starting his Master’s at Oklahoma State University, he worked as a product compounder at Platte Valley Energetics in Alda, Nebraska. He finished his Master’s degree in petroleum engineering from Oklahoma State U</w:t>
      </w:r>
      <w:r w:rsidR="00B92BF4">
        <w:t>niversity in 2019. In August 201</w:t>
      </w:r>
      <w:r>
        <w:t>9, he began his PhD program in petroleum engineering at the University of Oklahoma.</w:t>
      </w:r>
    </w:p>
    <w:sectPr w:rsidR="00EA4346" w:rsidSect="001532AB">
      <w:footerReference w:type="default" r:id="rId19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599B86" w14:textId="77777777" w:rsidR="00077C0B" w:rsidRDefault="00077C0B" w:rsidP="00D83A80">
      <w:pPr>
        <w:spacing w:line="240" w:lineRule="auto"/>
      </w:pPr>
      <w:r>
        <w:separator/>
      </w:r>
    </w:p>
  </w:endnote>
  <w:endnote w:type="continuationSeparator" w:id="0">
    <w:p w14:paraId="79131894" w14:textId="77777777" w:rsidR="00077C0B" w:rsidRDefault="00077C0B" w:rsidP="00D83A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1FEFAF" w14:textId="2A13DEE2" w:rsidR="00FF3468" w:rsidRDefault="00FF3468" w:rsidP="005B3277">
    <w:pPr>
      <w:pStyle w:val="Footer"/>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7621300"/>
      <w:docPartObj>
        <w:docPartGallery w:val="Page Numbers (Bottom of Page)"/>
        <w:docPartUnique/>
      </w:docPartObj>
    </w:sdtPr>
    <w:sdtEndPr>
      <w:rPr>
        <w:noProof/>
      </w:rPr>
    </w:sdtEndPr>
    <w:sdtContent>
      <w:p w14:paraId="1538B766" w14:textId="06E4CD3D" w:rsidR="00FF3468" w:rsidRDefault="00FF3468">
        <w:pPr>
          <w:pStyle w:val="Footer"/>
          <w:jc w:val="center"/>
        </w:pPr>
        <w:r>
          <w:fldChar w:fldCharType="begin"/>
        </w:r>
        <w:r>
          <w:instrText xml:space="preserve"> PAGE   \* MERGEFORMAT </w:instrText>
        </w:r>
        <w:r>
          <w:fldChar w:fldCharType="separate"/>
        </w:r>
        <w:r w:rsidR="0061511D">
          <w:rPr>
            <w:noProof/>
          </w:rPr>
          <w:t>xxi</w:t>
        </w:r>
        <w:r>
          <w:rPr>
            <w:noProof/>
          </w:rPr>
          <w:fldChar w:fldCharType="end"/>
        </w:r>
      </w:p>
    </w:sdtContent>
  </w:sdt>
  <w:p w14:paraId="4946AD8B" w14:textId="77777777" w:rsidR="00FF3468" w:rsidRDefault="00FF3468">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1561116"/>
      <w:docPartObj>
        <w:docPartGallery w:val="Page Numbers (Bottom of Page)"/>
        <w:docPartUnique/>
      </w:docPartObj>
    </w:sdtPr>
    <w:sdtEndPr>
      <w:rPr>
        <w:noProof/>
      </w:rPr>
    </w:sdtEndPr>
    <w:sdtContent>
      <w:p w14:paraId="25E39900" w14:textId="177210B7" w:rsidR="00FF3468" w:rsidRDefault="00FF3468" w:rsidP="00A67F1C">
        <w:pPr>
          <w:pStyle w:val="Footer"/>
          <w:jc w:val="center"/>
          <w:rPr>
            <w:noProof/>
          </w:rPr>
        </w:pPr>
        <w:r>
          <w:fldChar w:fldCharType="begin"/>
        </w:r>
        <w:r>
          <w:instrText xml:space="preserve"> PAGE   \* MERGEFORMAT </w:instrText>
        </w:r>
        <w:r>
          <w:fldChar w:fldCharType="separate"/>
        </w:r>
        <w:r w:rsidR="0061511D">
          <w:rPr>
            <w:noProof/>
          </w:rPr>
          <w:t>268</w:t>
        </w:r>
        <w:r>
          <w:rPr>
            <w:noProof/>
          </w:rPr>
          <w:fldChar w:fldCharType="end"/>
        </w:r>
      </w:p>
      <w:p w14:paraId="738F53C0" w14:textId="46181B7E" w:rsidR="00FF3468" w:rsidRDefault="00077C0B" w:rsidP="00A67F1C">
        <w:pPr>
          <w:pStyle w:val="Footer"/>
          <w:jc w:val="center"/>
        </w:pP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EDC48D" w14:textId="77777777" w:rsidR="00077C0B" w:rsidRDefault="00077C0B" w:rsidP="00D83A80">
      <w:pPr>
        <w:spacing w:line="240" w:lineRule="auto"/>
      </w:pPr>
      <w:r>
        <w:separator/>
      </w:r>
    </w:p>
  </w:footnote>
  <w:footnote w:type="continuationSeparator" w:id="0">
    <w:p w14:paraId="0EA5262A" w14:textId="77777777" w:rsidR="00077C0B" w:rsidRDefault="00077C0B" w:rsidP="00D83A80">
      <w:pPr>
        <w:spacing w:line="240" w:lineRule="auto"/>
      </w:pPr>
      <w:r>
        <w:continuationSeparator/>
      </w:r>
    </w:p>
  </w:footnote>
  <w:footnote w:id="1">
    <w:p w14:paraId="6C3D6F5E" w14:textId="2F9D985C" w:rsidR="00FF3468" w:rsidRDefault="00FF3468">
      <w:pPr>
        <w:pStyle w:val="FootnoteText"/>
      </w:pPr>
      <w:r>
        <w:rPr>
          <w:rStyle w:val="FootnoteReference"/>
        </w:rPr>
        <w:footnoteRef/>
      </w:r>
      <w:r w:rsidRPr="00BE3DB7">
        <w:t>This section (and an in depth overview of rock me</w:t>
      </w:r>
      <w:r>
        <w:t>chanics discussed in Appendix A)</w:t>
      </w:r>
      <w:r w:rsidRPr="00BE3DB7">
        <w:t xml:space="preserve"> stem from work presented in Jaeger et al. (2007)</w:t>
      </w:r>
      <w:r>
        <w:t xml:space="preserve"> and Fjaer et al. (2008)</w:t>
      </w:r>
      <w:r w:rsidRPr="00BE3DB7">
        <w:t>. This section assumes the reader understands the concept of principal stresses, radial stress, hoop stress, effective stress, and tensile stress.</w:t>
      </w:r>
    </w:p>
  </w:footnote>
  <w:footnote w:id="2">
    <w:p w14:paraId="117D5C6C" w14:textId="77777777" w:rsidR="00FF3468" w:rsidRDefault="00FF3468" w:rsidP="00BA653E">
      <w:pPr>
        <w:pStyle w:val="FootnoteText"/>
      </w:pPr>
      <w:r>
        <w:rPr>
          <w:rStyle w:val="FootnoteReference"/>
        </w:rPr>
        <w:footnoteRef/>
      </w:r>
      <w:r>
        <w:t xml:space="preserve"> </w:t>
      </w:r>
      <w:r w:rsidRPr="00EC7EFC">
        <w:t xml:space="preserve">All of the wells in the GoM located in the OCS are under the jurisdiction of the Bureau of Ocean Energy Management (BOEM) and their sister </w:t>
      </w:r>
      <w:r>
        <w:t>agency</w:t>
      </w:r>
      <w:r w:rsidRPr="00DC733F">
        <w:t>, the Bureau of Safety and Environmental</w:t>
      </w:r>
      <w:r>
        <w:t xml:space="preserve"> Enforcement (BSEE). The BOEM manages the development of energy and mineral resources while the BSEE promotes and enforces safety in offshore energy exploration and production within the OCS.</w:t>
      </w:r>
    </w:p>
  </w:footnote>
  <w:footnote w:id="3">
    <w:p w14:paraId="791840DC" w14:textId="71FBA53F" w:rsidR="00FF3468" w:rsidRDefault="00FF3468" w:rsidP="004356F7">
      <w:pPr>
        <w:pStyle w:val="FootnoteText"/>
      </w:pPr>
      <w:r>
        <w:rPr>
          <w:rStyle w:val="FootnoteReference"/>
        </w:rPr>
        <w:footnoteRef/>
      </w:r>
      <w:r>
        <w:t xml:space="preserve"> Some wells had a depth of 0 m (0 ft.). This is due to a lack of complete records in which the TD was not known.</w:t>
      </w:r>
    </w:p>
  </w:footnote>
  <w:footnote w:id="4">
    <w:p w14:paraId="20BAC5C3" w14:textId="77777777" w:rsidR="00FF3468" w:rsidRDefault="00FF3468" w:rsidP="00962760">
      <w:pPr>
        <w:pStyle w:val="FootnoteText"/>
      </w:pPr>
      <w:r>
        <w:rPr>
          <w:rStyle w:val="FootnoteReference"/>
        </w:rPr>
        <w:footnoteRef/>
      </w:r>
      <w:r>
        <w:t xml:space="preserve">For methane, the critical pressure and temperature  are </w:t>
      </w:r>
      <m:oMath>
        <m:sSub>
          <m:sSubPr>
            <m:ctrlPr>
              <w:rPr>
                <w:rFonts w:ascii="Cambria Math" w:hAnsi="Cambria Math"/>
                <w:i/>
              </w:rPr>
            </m:ctrlPr>
          </m:sSubPr>
          <m:e>
            <m:r>
              <w:rPr>
                <w:rFonts w:ascii="Cambria Math" w:hAnsi="Cambria Math"/>
              </w:rPr>
              <m:t>P</m:t>
            </m:r>
          </m:e>
          <m:sub>
            <m:r>
              <w:rPr>
                <w:rFonts w:ascii="Cambria Math" w:hAnsi="Cambria Math"/>
              </w:rPr>
              <m:t>c</m:t>
            </m:r>
          </m:sub>
        </m:sSub>
        <m:r>
          <w:rPr>
            <w:rFonts w:ascii="Cambria Math" w:hAnsi="Cambria Math"/>
          </w:rPr>
          <m:t>=4.6</m:t>
        </m:r>
      </m:oMath>
      <w:r>
        <w:t xml:space="preserve"> MPa and </w:t>
      </w:r>
      <m:oMath>
        <m:sSub>
          <m:sSubPr>
            <m:ctrlPr>
              <w:rPr>
                <w:rFonts w:ascii="Cambria Math" w:hAnsi="Cambria Math"/>
                <w:i/>
              </w:rPr>
            </m:ctrlPr>
          </m:sSubPr>
          <m:e>
            <m:r>
              <w:rPr>
                <w:rFonts w:ascii="Cambria Math" w:hAnsi="Cambria Math"/>
              </w:rPr>
              <m:t>T</m:t>
            </m:r>
          </m:e>
          <m:sub>
            <m:r>
              <w:rPr>
                <w:rFonts w:ascii="Cambria Math" w:hAnsi="Cambria Math"/>
              </w:rPr>
              <m:t>c</m:t>
            </m:r>
          </m:sub>
        </m:sSub>
        <m:r>
          <w:rPr>
            <w:rFonts w:ascii="Cambria Math" w:hAnsi="Cambria Math"/>
          </w:rPr>
          <m:t>=190.6</m:t>
        </m:r>
      </m:oMath>
      <w:r>
        <w:t xml:space="preserve"> K (NIST).</w:t>
      </w:r>
    </w:p>
  </w:footnote>
  <w:footnote w:id="5">
    <w:p w14:paraId="32E6A6B1" w14:textId="77777777" w:rsidR="00FF3468" w:rsidRDefault="00FF3468" w:rsidP="007D58FF">
      <w:pPr>
        <w:pStyle w:val="FootnoteText"/>
      </w:pPr>
      <w:r>
        <w:rPr>
          <w:rStyle w:val="FootnoteReference"/>
        </w:rPr>
        <w:footnoteRef/>
      </w:r>
      <w:r>
        <w:t xml:space="preserve"> Water at ambient temperature and 95 °C has a cavitation pressure of 0.002 and 0.085 MPa, respectively. Therefore, the pore pressure was simplified to being zero.</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8185D"/>
    <w:multiLevelType w:val="hybridMultilevel"/>
    <w:tmpl w:val="FD02CC22"/>
    <w:lvl w:ilvl="0" w:tplc="C4CEB3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A01867"/>
    <w:multiLevelType w:val="hybridMultilevel"/>
    <w:tmpl w:val="D56289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F567BC"/>
    <w:multiLevelType w:val="hybridMultilevel"/>
    <w:tmpl w:val="3780A334"/>
    <w:lvl w:ilvl="0" w:tplc="85FA5820">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4F51EB2"/>
    <w:multiLevelType w:val="hybridMultilevel"/>
    <w:tmpl w:val="95380A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65C7956"/>
    <w:multiLevelType w:val="hybridMultilevel"/>
    <w:tmpl w:val="455C3356"/>
    <w:lvl w:ilvl="0" w:tplc="2E3618CE">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FA1463"/>
    <w:multiLevelType w:val="hybridMultilevel"/>
    <w:tmpl w:val="7EC6162A"/>
    <w:lvl w:ilvl="0" w:tplc="2C52A50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8946693"/>
    <w:multiLevelType w:val="hybridMultilevel"/>
    <w:tmpl w:val="88D03586"/>
    <w:lvl w:ilvl="0" w:tplc="8180717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917204C"/>
    <w:multiLevelType w:val="multilevel"/>
    <w:tmpl w:val="17324B28"/>
    <w:lvl w:ilvl="0">
      <w:start w:val="1"/>
      <w:numFmt w:val="decimal"/>
      <w:pStyle w:val="Level1Heading"/>
      <w:lvlText w:val="%1."/>
      <w:lvlJc w:val="left"/>
      <w:pPr>
        <w:tabs>
          <w:tab w:val="num" w:pos="360"/>
        </w:tabs>
        <w:ind w:left="0" w:firstLine="0"/>
      </w:pPr>
      <w:rPr>
        <w:rFonts w:hint="default"/>
      </w:rPr>
    </w:lvl>
    <w:lvl w:ilvl="1">
      <w:start w:val="1"/>
      <w:numFmt w:val="decimal"/>
      <w:pStyle w:val="Level2Heading"/>
      <w:lvlText w:val="%1.%2."/>
      <w:lvlJc w:val="left"/>
      <w:pPr>
        <w:tabs>
          <w:tab w:val="num" w:pos="576"/>
        </w:tabs>
        <w:ind w:left="576" w:hanging="576"/>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A177734"/>
    <w:multiLevelType w:val="hybridMultilevel"/>
    <w:tmpl w:val="3FC6150C"/>
    <w:lvl w:ilvl="0" w:tplc="2E3618CE">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F53013"/>
    <w:multiLevelType w:val="multilevel"/>
    <w:tmpl w:val="6C7E7918"/>
    <w:lvl w:ilvl="0">
      <w:start w:val="1"/>
      <w:numFmt w:val="decimal"/>
      <w:pStyle w:val="Heading1"/>
      <w:suff w:val="space"/>
      <w:lvlText w:val="Chapter %1:"/>
      <w:lvlJc w:val="left"/>
      <w:pPr>
        <w:ind w:left="0" w:firstLine="0"/>
      </w:pPr>
      <w:rPr>
        <w:rFonts w:hint="default"/>
      </w:rPr>
    </w:lvl>
    <w:lvl w:ilvl="1">
      <w:start w:val="1"/>
      <w:numFmt w:val="decimal"/>
      <w:pStyle w:val="Heading3"/>
      <w:suff w:val="space"/>
      <w:lvlText w:val="%1.%2"/>
      <w:lvlJc w:val="left"/>
      <w:pPr>
        <w:ind w:left="0" w:firstLine="0"/>
      </w:pPr>
      <w:rPr>
        <w:rFonts w:hint="default"/>
      </w:rPr>
    </w:lvl>
    <w:lvl w:ilvl="2">
      <w:start w:val="1"/>
      <w:numFmt w:val="decimal"/>
      <w:pStyle w:val="Heading4"/>
      <w:suff w:val="space"/>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pStyle w:val="Heading5"/>
      <w:lvlText w:val="%1.%2.%3.%4.%5"/>
      <w:lvlJc w:val="left"/>
      <w:pPr>
        <w:ind w:left="0" w:firstLine="0"/>
      </w:pPr>
      <w:rPr>
        <w:rFonts w:hint="default"/>
      </w:rPr>
    </w:lvl>
    <w:lvl w:ilvl="5">
      <w:start w:val="1"/>
      <w:numFmt w:val="decimal"/>
      <w:pStyle w:val="Heading6"/>
      <w:lvlText w:val="%1.%2.%3.%4.%5.%6"/>
      <w:lvlJc w:val="left"/>
      <w:pPr>
        <w:ind w:left="0" w:firstLine="0"/>
      </w:pPr>
      <w:rPr>
        <w:rFonts w:hint="default"/>
      </w:rPr>
    </w:lvl>
    <w:lvl w:ilvl="6">
      <w:start w:val="1"/>
      <w:numFmt w:val="decimal"/>
      <w:pStyle w:val="Heading7"/>
      <w:lvlText w:val="%1.%2.%3.%4.%5.%6.%7"/>
      <w:lvlJc w:val="left"/>
      <w:pPr>
        <w:ind w:left="0" w:firstLine="0"/>
      </w:pPr>
      <w:rPr>
        <w:rFonts w:hint="default"/>
      </w:rPr>
    </w:lvl>
    <w:lvl w:ilvl="7">
      <w:start w:val="1"/>
      <w:numFmt w:val="decimal"/>
      <w:pStyle w:val="Heading8"/>
      <w:lvlText w:val="%1.%2.%3.%4.%5.%6.%7.%8"/>
      <w:lvlJc w:val="left"/>
      <w:pPr>
        <w:ind w:left="0" w:firstLine="0"/>
      </w:pPr>
      <w:rPr>
        <w:rFonts w:hint="default"/>
      </w:rPr>
    </w:lvl>
    <w:lvl w:ilvl="8">
      <w:start w:val="1"/>
      <w:numFmt w:val="decimal"/>
      <w:pStyle w:val="Heading9"/>
      <w:lvlText w:val="%1.%2.%3.%4.%5.%6.%7.%8.%9"/>
      <w:lvlJc w:val="left"/>
      <w:pPr>
        <w:ind w:left="0" w:firstLine="0"/>
      </w:pPr>
      <w:rPr>
        <w:rFonts w:hint="default"/>
      </w:rPr>
    </w:lvl>
  </w:abstractNum>
  <w:abstractNum w:abstractNumId="10" w15:restartNumberingAfterBreak="0">
    <w:nsid w:val="2FF5179B"/>
    <w:multiLevelType w:val="hybridMultilevel"/>
    <w:tmpl w:val="0840D746"/>
    <w:lvl w:ilvl="0" w:tplc="2E3618CE">
      <w:start w:val="1"/>
      <w:numFmt w:val="lowerRoman"/>
      <w:lvlText w:val="(%1)"/>
      <w:lvlJc w:val="left"/>
      <w:pPr>
        <w:ind w:left="720" w:hanging="720"/>
      </w:pPr>
      <w:rPr>
        <w:rFonts w:hint="default"/>
      </w:rPr>
    </w:lvl>
    <w:lvl w:ilvl="1" w:tplc="04090019">
      <w:start w:val="1"/>
      <w:numFmt w:val="lowerLetter"/>
      <w:lvlText w:val="%2."/>
      <w:lvlJc w:val="left"/>
      <w:pPr>
        <w:ind w:left="90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8B0BE6"/>
    <w:multiLevelType w:val="hybridMultilevel"/>
    <w:tmpl w:val="5BEAA3B2"/>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0AF640A"/>
    <w:multiLevelType w:val="hybridMultilevel"/>
    <w:tmpl w:val="5E484D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1EF5111"/>
    <w:multiLevelType w:val="hybridMultilevel"/>
    <w:tmpl w:val="7D72077A"/>
    <w:lvl w:ilvl="0" w:tplc="1592C65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FC0797"/>
    <w:multiLevelType w:val="hybridMultilevel"/>
    <w:tmpl w:val="12EC65D0"/>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3B2A0479"/>
    <w:multiLevelType w:val="multilevel"/>
    <w:tmpl w:val="0409001D"/>
    <w:name w:val="Harsh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56574C4"/>
    <w:multiLevelType w:val="hybridMultilevel"/>
    <w:tmpl w:val="12EC65D0"/>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621E52BC"/>
    <w:multiLevelType w:val="hybridMultilevel"/>
    <w:tmpl w:val="738AFF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4B54BAA"/>
    <w:multiLevelType w:val="hybridMultilevel"/>
    <w:tmpl w:val="F076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366574"/>
    <w:multiLevelType w:val="hybridMultilevel"/>
    <w:tmpl w:val="12EC65D0"/>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7711113F"/>
    <w:multiLevelType w:val="hybridMultilevel"/>
    <w:tmpl w:val="A282BFAA"/>
    <w:lvl w:ilvl="0" w:tplc="8136663C">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A855AE"/>
    <w:multiLevelType w:val="multilevel"/>
    <w:tmpl w:val="FEC6B34E"/>
    <w:name w:val="Harsh"/>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9"/>
  </w:num>
  <w:num w:numId="2">
    <w:abstractNumId w:val="0"/>
  </w:num>
  <w:num w:numId="3">
    <w:abstractNumId w:val="2"/>
  </w:num>
  <w:num w:numId="4">
    <w:abstractNumId w:val="6"/>
  </w:num>
  <w:num w:numId="5">
    <w:abstractNumId w:val="16"/>
  </w:num>
  <w:num w:numId="6">
    <w:abstractNumId w:val="7"/>
  </w:num>
  <w:num w:numId="7">
    <w:abstractNumId w:val="1"/>
  </w:num>
  <w:num w:numId="8">
    <w:abstractNumId w:val="18"/>
  </w:num>
  <w:num w:numId="9">
    <w:abstractNumId w:val="20"/>
  </w:num>
  <w:num w:numId="10">
    <w:abstractNumId w:val="13"/>
  </w:num>
  <w:num w:numId="11">
    <w:abstractNumId w:val="10"/>
  </w:num>
  <w:num w:numId="12">
    <w:abstractNumId w:val="8"/>
  </w:num>
  <w:num w:numId="13">
    <w:abstractNumId w:val="4"/>
  </w:num>
  <w:num w:numId="14">
    <w:abstractNumId w:val="12"/>
  </w:num>
  <w:num w:numId="15">
    <w:abstractNumId w:val="17"/>
  </w:num>
  <w:num w:numId="16">
    <w:abstractNumId w:val="14"/>
  </w:num>
  <w:num w:numId="17">
    <w:abstractNumId w:val="19"/>
  </w:num>
  <w:num w:numId="18">
    <w:abstractNumId w:val="5"/>
  </w:num>
  <w:num w:numId="19">
    <w:abstractNumId w:val="11"/>
  </w:num>
  <w:num w:numId="20">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30B"/>
    <w:rsid w:val="000001F9"/>
    <w:rsid w:val="0000021D"/>
    <w:rsid w:val="00000A53"/>
    <w:rsid w:val="00000AF6"/>
    <w:rsid w:val="0000100D"/>
    <w:rsid w:val="0000117D"/>
    <w:rsid w:val="000012A1"/>
    <w:rsid w:val="00001A76"/>
    <w:rsid w:val="00001BCF"/>
    <w:rsid w:val="00002A5F"/>
    <w:rsid w:val="00002ADA"/>
    <w:rsid w:val="00002EF9"/>
    <w:rsid w:val="00003E9F"/>
    <w:rsid w:val="00003EF7"/>
    <w:rsid w:val="0000406B"/>
    <w:rsid w:val="000048E6"/>
    <w:rsid w:val="00004DC5"/>
    <w:rsid w:val="00004F73"/>
    <w:rsid w:val="0000503D"/>
    <w:rsid w:val="00005410"/>
    <w:rsid w:val="0000594E"/>
    <w:rsid w:val="000059D6"/>
    <w:rsid w:val="00005EC8"/>
    <w:rsid w:val="00006271"/>
    <w:rsid w:val="000063CA"/>
    <w:rsid w:val="00006BFE"/>
    <w:rsid w:val="00006F97"/>
    <w:rsid w:val="000071E3"/>
    <w:rsid w:val="000100BC"/>
    <w:rsid w:val="0001026A"/>
    <w:rsid w:val="000118FE"/>
    <w:rsid w:val="00011A1A"/>
    <w:rsid w:val="00011C14"/>
    <w:rsid w:val="00011F9A"/>
    <w:rsid w:val="00012251"/>
    <w:rsid w:val="00012B2D"/>
    <w:rsid w:val="00012EE2"/>
    <w:rsid w:val="00013157"/>
    <w:rsid w:val="00013351"/>
    <w:rsid w:val="000134BB"/>
    <w:rsid w:val="000134FB"/>
    <w:rsid w:val="0001443A"/>
    <w:rsid w:val="00014896"/>
    <w:rsid w:val="00015032"/>
    <w:rsid w:val="00015352"/>
    <w:rsid w:val="00015894"/>
    <w:rsid w:val="00015E05"/>
    <w:rsid w:val="0001633A"/>
    <w:rsid w:val="000166EF"/>
    <w:rsid w:val="00016C9F"/>
    <w:rsid w:val="00016DC2"/>
    <w:rsid w:val="00016DD1"/>
    <w:rsid w:val="00016EFB"/>
    <w:rsid w:val="000170FA"/>
    <w:rsid w:val="000179FC"/>
    <w:rsid w:val="00017ADD"/>
    <w:rsid w:val="00017AFD"/>
    <w:rsid w:val="00020149"/>
    <w:rsid w:val="00020686"/>
    <w:rsid w:val="00020D40"/>
    <w:rsid w:val="00020F3D"/>
    <w:rsid w:val="000216C1"/>
    <w:rsid w:val="000218F8"/>
    <w:rsid w:val="00021A5F"/>
    <w:rsid w:val="00021E06"/>
    <w:rsid w:val="00022006"/>
    <w:rsid w:val="000220AB"/>
    <w:rsid w:val="000226BB"/>
    <w:rsid w:val="00022A56"/>
    <w:rsid w:val="00022A76"/>
    <w:rsid w:val="00022D59"/>
    <w:rsid w:val="0002323F"/>
    <w:rsid w:val="00023855"/>
    <w:rsid w:val="00025B66"/>
    <w:rsid w:val="00025F4C"/>
    <w:rsid w:val="00026194"/>
    <w:rsid w:val="0002622A"/>
    <w:rsid w:val="0002651E"/>
    <w:rsid w:val="000304BD"/>
    <w:rsid w:val="000305A8"/>
    <w:rsid w:val="000305C4"/>
    <w:rsid w:val="00030E8B"/>
    <w:rsid w:val="00030F9D"/>
    <w:rsid w:val="000310C0"/>
    <w:rsid w:val="000311C9"/>
    <w:rsid w:val="0003125D"/>
    <w:rsid w:val="00031B96"/>
    <w:rsid w:val="00031C06"/>
    <w:rsid w:val="000321F2"/>
    <w:rsid w:val="0003220C"/>
    <w:rsid w:val="00032238"/>
    <w:rsid w:val="00032F46"/>
    <w:rsid w:val="000331C3"/>
    <w:rsid w:val="00033520"/>
    <w:rsid w:val="00033D78"/>
    <w:rsid w:val="00033DE3"/>
    <w:rsid w:val="0003430C"/>
    <w:rsid w:val="000345DE"/>
    <w:rsid w:val="00034F76"/>
    <w:rsid w:val="00034FFA"/>
    <w:rsid w:val="00035288"/>
    <w:rsid w:val="00035812"/>
    <w:rsid w:val="00035C48"/>
    <w:rsid w:val="00035D76"/>
    <w:rsid w:val="00035F8E"/>
    <w:rsid w:val="000366A8"/>
    <w:rsid w:val="00036720"/>
    <w:rsid w:val="00036861"/>
    <w:rsid w:val="000374D8"/>
    <w:rsid w:val="0003764D"/>
    <w:rsid w:val="000376A0"/>
    <w:rsid w:val="00037848"/>
    <w:rsid w:val="000378B4"/>
    <w:rsid w:val="00037931"/>
    <w:rsid w:val="00037AD7"/>
    <w:rsid w:val="00037D6D"/>
    <w:rsid w:val="0004031A"/>
    <w:rsid w:val="000406BF"/>
    <w:rsid w:val="00040860"/>
    <w:rsid w:val="00040DED"/>
    <w:rsid w:val="00041C28"/>
    <w:rsid w:val="00041CE3"/>
    <w:rsid w:val="000425EC"/>
    <w:rsid w:val="00044156"/>
    <w:rsid w:val="00044ABA"/>
    <w:rsid w:val="000452F9"/>
    <w:rsid w:val="00045AB0"/>
    <w:rsid w:val="0004649E"/>
    <w:rsid w:val="0004740F"/>
    <w:rsid w:val="0004782D"/>
    <w:rsid w:val="000479E8"/>
    <w:rsid w:val="00047C2F"/>
    <w:rsid w:val="00047C3B"/>
    <w:rsid w:val="0005009B"/>
    <w:rsid w:val="000501CD"/>
    <w:rsid w:val="000502B9"/>
    <w:rsid w:val="000507A9"/>
    <w:rsid w:val="00051083"/>
    <w:rsid w:val="000517A1"/>
    <w:rsid w:val="00051CD4"/>
    <w:rsid w:val="00051E89"/>
    <w:rsid w:val="0005241D"/>
    <w:rsid w:val="00052609"/>
    <w:rsid w:val="00052649"/>
    <w:rsid w:val="00053BEC"/>
    <w:rsid w:val="000547A4"/>
    <w:rsid w:val="000549E9"/>
    <w:rsid w:val="00054D55"/>
    <w:rsid w:val="000550AE"/>
    <w:rsid w:val="0005637D"/>
    <w:rsid w:val="0005646D"/>
    <w:rsid w:val="00056904"/>
    <w:rsid w:val="00056A7E"/>
    <w:rsid w:val="00056C45"/>
    <w:rsid w:val="00057BCA"/>
    <w:rsid w:val="00057EA5"/>
    <w:rsid w:val="00057FA6"/>
    <w:rsid w:val="0006023A"/>
    <w:rsid w:val="00060DE8"/>
    <w:rsid w:val="00061B33"/>
    <w:rsid w:val="00061BC7"/>
    <w:rsid w:val="00061EC9"/>
    <w:rsid w:val="00061F7E"/>
    <w:rsid w:val="0006262E"/>
    <w:rsid w:val="000637FB"/>
    <w:rsid w:val="000637FC"/>
    <w:rsid w:val="00063B98"/>
    <w:rsid w:val="00064134"/>
    <w:rsid w:val="0006499B"/>
    <w:rsid w:val="00064C48"/>
    <w:rsid w:val="00064CAD"/>
    <w:rsid w:val="00064FAF"/>
    <w:rsid w:val="00065240"/>
    <w:rsid w:val="0006527F"/>
    <w:rsid w:val="000654ED"/>
    <w:rsid w:val="00065AC5"/>
    <w:rsid w:val="00065B39"/>
    <w:rsid w:val="000667B2"/>
    <w:rsid w:val="00066E01"/>
    <w:rsid w:val="00067794"/>
    <w:rsid w:val="000677FE"/>
    <w:rsid w:val="00067BD3"/>
    <w:rsid w:val="00067BF4"/>
    <w:rsid w:val="000709B2"/>
    <w:rsid w:val="000709C1"/>
    <w:rsid w:val="0007132F"/>
    <w:rsid w:val="000714F8"/>
    <w:rsid w:val="000717AB"/>
    <w:rsid w:val="000717C5"/>
    <w:rsid w:val="00071883"/>
    <w:rsid w:val="000719AE"/>
    <w:rsid w:val="00071C76"/>
    <w:rsid w:val="0007251C"/>
    <w:rsid w:val="00072C6E"/>
    <w:rsid w:val="00074049"/>
    <w:rsid w:val="00074575"/>
    <w:rsid w:val="00074648"/>
    <w:rsid w:val="000746F7"/>
    <w:rsid w:val="000750EA"/>
    <w:rsid w:val="000751B9"/>
    <w:rsid w:val="000754C2"/>
    <w:rsid w:val="00075542"/>
    <w:rsid w:val="000757D7"/>
    <w:rsid w:val="00075A21"/>
    <w:rsid w:val="00075DED"/>
    <w:rsid w:val="0007676C"/>
    <w:rsid w:val="000774FD"/>
    <w:rsid w:val="00077C0B"/>
    <w:rsid w:val="00077CE6"/>
    <w:rsid w:val="000800E9"/>
    <w:rsid w:val="000803D0"/>
    <w:rsid w:val="0008085D"/>
    <w:rsid w:val="00080E66"/>
    <w:rsid w:val="00081431"/>
    <w:rsid w:val="0008161F"/>
    <w:rsid w:val="00081F4D"/>
    <w:rsid w:val="0008239E"/>
    <w:rsid w:val="00082A74"/>
    <w:rsid w:val="00082C6B"/>
    <w:rsid w:val="00083044"/>
    <w:rsid w:val="0008309A"/>
    <w:rsid w:val="000837A8"/>
    <w:rsid w:val="000847CC"/>
    <w:rsid w:val="000849C4"/>
    <w:rsid w:val="00084BFC"/>
    <w:rsid w:val="00084C57"/>
    <w:rsid w:val="00084D42"/>
    <w:rsid w:val="00084DE3"/>
    <w:rsid w:val="000860F2"/>
    <w:rsid w:val="000862C6"/>
    <w:rsid w:val="000870D3"/>
    <w:rsid w:val="0008715E"/>
    <w:rsid w:val="00090030"/>
    <w:rsid w:val="0009018E"/>
    <w:rsid w:val="00090243"/>
    <w:rsid w:val="0009093F"/>
    <w:rsid w:val="00090F2D"/>
    <w:rsid w:val="0009106D"/>
    <w:rsid w:val="00091B74"/>
    <w:rsid w:val="00091D04"/>
    <w:rsid w:val="00092209"/>
    <w:rsid w:val="0009299B"/>
    <w:rsid w:val="00093873"/>
    <w:rsid w:val="00093B1D"/>
    <w:rsid w:val="0009401E"/>
    <w:rsid w:val="00094566"/>
    <w:rsid w:val="00094A4C"/>
    <w:rsid w:val="00094D61"/>
    <w:rsid w:val="00094F99"/>
    <w:rsid w:val="000959DD"/>
    <w:rsid w:val="00096111"/>
    <w:rsid w:val="00096E4B"/>
    <w:rsid w:val="00097244"/>
    <w:rsid w:val="00097339"/>
    <w:rsid w:val="000977D2"/>
    <w:rsid w:val="00097B01"/>
    <w:rsid w:val="00097C1E"/>
    <w:rsid w:val="00097CA4"/>
    <w:rsid w:val="000A00BA"/>
    <w:rsid w:val="000A0250"/>
    <w:rsid w:val="000A0267"/>
    <w:rsid w:val="000A0829"/>
    <w:rsid w:val="000A0AB5"/>
    <w:rsid w:val="000A0FE9"/>
    <w:rsid w:val="000A1871"/>
    <w:rsid w:val="000A1970"/>
    <w:rsid w:val="000A1E5E"/>
    <w:rsid w:val="000A216F"/>
    <w:rsid w:val="000A2178"/>
    <w:rsid w:val="000A2FAC"/>
    <w:rsid w:val="000A321B"/>
    <w:rsid w:val="000A3CD6"/>
    <w:rsid w:val="000A47AC"/>
    <w:rsid w:val="000A673D"/>
    <w:rsid w:val="000A6ED0"/>
    <w:rsid w:val="000A70BB"/>
    <w:rsid w:val="000A7C5E"/>
    <w:rsid w:val="000A7FB3"/>
    <w:rsid w:val="000B0041"/>
    <w:rsid w:val="000B02F4"/>
    <w:rsid w:val="000B0476"/>
    <w:rsid w:val="000B04BC"/>
    <w:rsid w:val="000B0662"/>
    <w:rsid w:val="000B15D5"/>
    <w:rsid w:val="000B2CE2"/>
    <w:rsid w:val="000B2E6A"/>
    <w:rsid w:val="000B361B"/>
    <w:rsid w:val="000B38B5"/>
    <w:rsid w:val="000B3B4A"/>
    <w:rsid w:val="000B42E7"/>
    <w:rsid w:val="000B43E2"/>
    <w:rsid w:val="000B4DED"/>
    <w:rsid w:val="000B5395"/>
    <w:rsid w:val="000B62A9"/>
    <w:rsid w:val="000B654B"/>
    <w:rsid w:val="000B6596"/>
    <w:rsid w:val="000B6B5C"/>
    <w:rsid w:val="000B7B19"/>
    <w:rsid w:val="000C0193"/>
    <w:rsid w:val="000C0235"/>
    <w:rsid w:val="000C053E"/>
    <w:rsid w:val="000C0B4C"/>
    <w:rsid w:val="000C0F3A"/>
    <w:rsid w:val="000C1024"/>
    <w:rsid w:val="000C10FD"/>
    <w:rsid w:val="000C1324"/>
    <w:rsid w:val="000C1B23"/>
    <w:rsid w:val="000C1E75"/>
    <w:rsid w:val="000C22B5"/>
    <w:rsid w:val="000C2F4E"/>
    <w:rsid w:val="000C2F73"/>
    <w:rsid w:val="000C33BC"/>
    <w:rsid w:val="000C3424"/>
    <w:rsid w:val="000C36BD"/>
    <w:rsid w:val="000C3CA7"/>
    <w:rsid w:val="000C417F"/>
    <w:rsid w:val="000C4664"/>
    <w:rsid w:val="000C47FF"/>
    <w:rsid w:val="000C4FC0"/>
    <w:rsid w:val="000C54A2"/>
    <w:rsid w:val="000C5832"/>
    <w:rsid w:val="000C67CB"/>
    <w:rsid w:val="000C73F4"/>
    <w:rsid w:val="000C7769"/>
    <w:rsid w:val="000C7D59"/>
    <w:rsid w:val="000C7ED4"/>
    <w:rsid w:val="000D00E2"/>
    <w:rsid w:val="000D08B5"/>
    <w:rsid w:val="000D0935"/>
    <w:rsid w:val="000D0DE8"/>
    <w:rsid w:val="000D1FA0"/>
    <w:rsid w:val="000D2135"/>
    <w:rsid w:val="000D221A"/>
    <w:rsid w:val="000D32EF"/>
    <w:rsid w:val="000D37EC"/>
    <w:rsid w:val="000D3845"/>
    <w:rsid w:val="000D39E5"/>
    <w:rsid w:val="000D3AB3"/>
    <w:rsid w:val="000D3FAB"/>
    <w:rsid w:val="000D43F6"/>
    <w:rsid w:val="000D45E0"/>
    <w:rsid w:val="000D4ACB"/>
    <w:rsid w:val="000D4F5C"/>
    <w:rsid w:val="000D5578"/>
    <w:rsid w:val="000D562A"/>
    <w:rsid w:val="000D5676"/>
    <w:rsid w:val="000D56B3"/>
    <w:rsid w:val="000D5B39"/>
    <w:rsid w:val="000D5B6F"/>
    <w:rsid w:val="000D6530"/>
    <w:rsid w:val="000D6703"/>
    <w:rsid w:val="000D68B1"/>
    <w:rsid w:val="000D6BFF"/>
    <w:rsid w:val="000D7109"/>
    <w:rsid w:val="000E033C"/>
    <w:rsid w:val="000E0520"/>
    <w:rsid w:val="000E0CDA"/>
    <w:rsid w:val="000E153C"/>
    <w:rsid w:val="000E2A54"/>
    <w:rsid w:val="000E3097"/>
    <w:rsid w:val="000E3364"/>
    <w:rsid w:val="000E3365"/>
    <w:rsid w:val="000E3874"/>
    <w:rsid w:val="000E3A1D"/>
    <w:rsid w:val="000E3E94"/>
    <w:rsid w:val="000E4142"/>
    <w:rsid w:val="000E45A3"/>
    <w:rsid w:val="000E472A"/>
    <w:rsid w:val="000E5073"/>
    <w:rsid w:val="000E534D"/>
    <w:rsid w:val="000E5463"/>
    <w:rsid w:val="000E5656"/>
    <w:rsid w:val="000E57A8"/>
    <w:rsid w:val="000E608A"/>
    <w:rsid w:val="000E6B6D"/>
    <w:rsid w:val="000E755F"/>
    <w:rsid w:val="000E75E7"/>
    <w:rsid w:val="000E7A33"/>
    <w:rsid w:val="000E7AD3"/>
    <w:rsid w:val="000E7CC9"/>
    <w:rsid w:val="000E7E5E"/>
    <w:rsid w:val="000F0272"/>
    <w:rsid w:val="000F0385"/>
    <w:rsid w:val="000F0635"/>
    <w:rsid w:val="000F0E0E"/>
    <w:rsid w:val="000F0F8A"/>
    <w:rsid w:val="000F1540"/>
    <w:rsid w:val="000F163C"/>
    <w:rsid w:val="000F1743"/>
    <w:rsid w:val="000F182A"/>
    <w:rsid w:val="000F1DD4"/>
    <w:rsid w:val="000F3242"/>
    <w:rsid w:val="000F3340"/>
    <w:rsid w:val="000F38B9"/>
    <w:rsid w:val="000F3EE1"/>
    <w:rsid w:val="000F435A"/>
    <w:rsid w:val="000F44F6"/>
    <w:rsid w:val="000F46FB"/>
    <w:rsid w:val="000F4B3E"/>
    <w:rsid w:val="000F57B8"/>
    <w:rsid w:val="000F5850"/>
    <w:rsid w:val="000F5A59"/>
    <w:rsid w:val="000F5E0B"/>
    <w:rsid w:val="000F5FC7"/>
    <w:rsid w:val="000F6429"/>
    <w:rsid w:val="000F64E8"/>
    <w:rsid w:val="000F65E8"/>
    <w:rsid w:val="000F67D5"/>
    <w:rsid w:val="000F7A3D"/>
    <w:rsid w:val="000F7A90"/>
    <w:rsid w:val="000F7C5B"/>
    <w:rsid w:val="0010023A"/>
    <w:rsid w:val="0010095B"/>
    <w:rsid w:val="001009DE"/>
    <w:rsid w:val="001012B5"/>
    <w:rsid w:val="001024C6"/>
    <w:rsid w:val="00102548"/>
    <w:rsid w:val="001026C8"/>
    <w:rsid w:val="0010307A"/>
    <w:rsid w:val="001038B8"/>
    <w:rsid w:val="00103F66"/>
    <w:rsid w:val="001043A9"/>
    <w:rsid w:val="00104CBC"/>
    <w:rsid w:val="00105B27"/>
    <w:rsid w:val="0010624A"/>
    <w:rsid w:val="00106CC0"/>
    <w:rsid w:val="00106F4D"/>
    <w:rsid w:val="00107110"/>
    <w:rsid w:val="001071E9"/>
    <w:rsid w:val="00107214"/>
    <w:rsid w:val="00107647"/>
    <w:rsid w:val="00107BAB"/>
    <w:rsid w:val="001100FE"/>
    <w:rsid w:val="0011029F"/>
    <w:rsid w:val="001102B4"/>
    <w:rsid w:val="0011057C"/>
    <w:rsid w:val="001108D6"/>
    <w:rsid w:val="00110A25"/>
    <w:rsid w:val="00110F5F"/>
    <w:rsid w:val="00111A84"/>
    <w:rsid w:val="00113368"/>
    <w:rsid w:val="00113447"/>
    <w:rsid w:val="00113919"/>
    <w:rsid w:val="00113D0D"/>
    <w:rsid w:val="00113E3D"/>
    <w:rsid w:val="00114273"/>
    <w:rsid w:val="00114593"/>
    <w:rsid w:val="001155E4"/>
    <w:rsid w:val="00115696"/>
    <w:rsid w:val="00115E8E"/>
    <w:rsid w:val="001166A4"/>
    <w:rsid w:val="00116785"/>
    <w:rsid w:val="00116D38"/>
    <w:rsid w:val="00117BC7"/>
    <w:rsid w:val="00117E07"/>
    <w:rsid w:val="00121807"/>
    <w:rsid w:val="00121EB2"/>
    <w:rsid w:val="0012291F"/>
    <w:rsid w:val="00122A17"/>
    <w:rsid w:val="00123A91"/>
    <w:rsid w:val="0012449A"/>
    <w:rsid w:val="00124E63"/>
    <w:rsid w:val="00125B20"/>
    <w:rsid w:val="0012619C"/>
    <w:rsid w:val="001261CE"/>
    <w:rsid w:val="00126860"/>
    <w:rsid w:val="00126BE2"/>
    <w:rsid w:val="00126CCD"/>
    <w:rsid w:val="00127227"/>
    <w:rsid w:val="00127412"/>
    <w:rsid w:val="00127754"/>
    <w:rsid w:val="00127D88"/>
    <w:rsid w:val="00127DD6"/>
    <w:rsid w:val="00130114"/>
    <w:rsid w:val="00130144"/>
    <w:rsid w:val="001301C6"/>
    <w:rsid w:val="001303D0"/>
    <w:rsid w:val="00130ABD"/>
    <w:rsid w:val="00130EA5"/>
    <w:rsid w:val="001315FB"/>
    <w:rsid w:val="001317FA"/>
    <w:rsid w:val="00131A2E"/>
    <w:rsid w:val="00131C24"/>
    <w:rsid w:val="00131F7E"/>
    <w:rsid w:val="0013200B"/>
    <w:rsid w:val="00132074"/>
    <w:rsid w:val="001329FF"/>
    <w:rsid w:val="00132A1F"/>
    <w:rsid w:val="00132BC5"/>
    <w:rsid w:val="00132D43"/>
    <w:rsid w:val="00132F4C"/>
    <w:rsid w:val="00133B21"/>
    <w:rsid w:val="00133B90"/>
    <w:rsid w:val="001348F3"/>
    <w:rsid w:val="00134A39"/>
    <w:rsid w:val="00135007"/>
    <w:rsid w:val="00135073"/>
    <w:rsid w:val="0013511B"/>
    <w:rsid w:val="0013528D"/>
    <w:rsid w:val="001352AB"/>
    <w:rsid w:val="00135A27"/>
    <w:rsid w:val="00135B38"/>
    <w:rsid w:val="00135D8F"/>
    <w:rsid w:val="001362B5"/>
    <w:rsid w:val="00136C86"/>
    <w:rsid w:val="00137381"/>
    <w:rsid w:val="00137CA4"/>
    <w:rsid w:val="00140D51"/>
    <w:rsid w:val="00141177"/>
    <w:rsid w:val="00141199"/>
    <w:rsid w:val="00141608"/>
    <w:rsid w:val="00141C47"/>
    <w:rsid w:val="00141F59"/>
    <w:rsid w:val="00142D22"/>
    <w:rsid w:val="00143D04"/>
    <w:rsid w:val="00143F38"/>
    <w:rsid w:val="0014423B"/>
    <w:rsid w:val="00144519"/>
    <w:rsid w:val="001447EF"/>
    <w:rsid w:val="0014483F"/>
    <w:rsid w:val="0014545A"/>
    <w:rsid w:val="00145750"/>
    <w:rsid w:val="00145812"/>
    <w:rsid w:val="0014596C"/>
    <w:rsid w:val="001459EA"/>
    <w:rsid w:val="00145BB0"/>
    <w:rsid w:val="001460CC"/>
    <w:rsid w:val="001461E5"/>
    <w:rsid w:val="0014638F"/>
    <w:rsid w:val="00146711"/>
    <w:rsid w:val="001478C2"/>
    <w:rsid w:val="00147B95"/>
    <w:rsid w:val="00147EBE"/>
    <w:rsid w:val="00147F70"/>
    <w:rsid w:val="0015025B"/>
    <w:rsid w:val="00150AEA"/>
    <w:rsid w:val="0015145C"/>
    <w:rsid w:val="00151EE9"/>
    <w:rsid w:val="00152340"/>
    <w:rsid w:val="00152641"/>
    <w:rsid w:val="00152D83"/>
    <w:rsid w:val="00153070"/>
    <w:rsid w:val="001532AB"/>
    <w:rsid w:val="00153C18"/>
    <w:rsid w:val="00153C90"/>
    <w:rsid w:val="00153FB1"/>
    <w:rsid w:val="00154023"/>
    <w:rsid w:val="0015423F"/>
    <w:rsid w:val="001543A6"/>
    <w:rsid w:val="0015443C"/>
    <w:rsid w:val="0015466A"/>
    <w:rsid w:val="00154C69"/>
    <w:rsid w:val="00154DA8"/>
    <w:rsid w:val="0015548C"/>
    <w:rsid w:val="00155D43"/>
    <w:rsid w:val="00155DE6"/>
    <w:rsid w:val="00155F00"/>
    <w:rsid w:val="0015709F"/>
    <w:rsid w:val="001604FB"/>
    <w:rsid w:val="0016089D"/>
    <w:rsid w:val="00160CBF"/>
    <w:rsid w:val="00160CC3"/>
    <w:rsid w:val="001612FB"/>
    <w:rsid w:val="001615CE"/>
    <w:rsid w:val="00161FB0"/>
    <w:rsid w:val="0016209B"/>
    <w:rsid w:val="0016211F"/>
    <w:rsid w:val="00162446"/>
    <w:rsid w:val="00162CA5"/>
    <w:rsid w:val="00162E0D"/>
    <w:rsid w:val="00162E27"/>
    <w:rsid w:val="00162FA8"/>
    <w:rsid w:val="001633DC"/>
    <w:rsid w:val="00163641"/>
    <w:rsid w:val="00163A8C"/>
    <w:rsid w:val="00163B08"/>
    <w:rsid w:val="001642B7"/>
    <w:rsid w:val="001649D2"/>
    <w:rsid w:val="00164B4D"/>
    <w:rsid w:val="0016526A"/>
    <w:rsid w:val="00165F84"/>
    <w:rsid w:val="00165FE1"/>
    <w:rsid w:val="00166C79"/>
    <w:rsid w:val="00166EF7"/>
    <w:rsid w:val="001670E2"/>
    <w:rsid w:val="001674FA"/>
    <w:rsid w:val="001676C0"/>
    <w:rsid w:val="00167FD5"/>
    <w:rsid w:val="00170AAF"/>
    <w:rsid w:val="00171121"/>
    <w:rsid w:val="00172021"/>
    <w:rsid w:val="001721F0"/>
    <w:rsid w:val="001723A9"/>
    <w:rsid w:val="00172784"/>
    <w:rsid w:val="00172AF3"/>
    <w:rsid w:val="00172D8B"/>
    <w:rsid w:val="00172DAA"/>
    <w:rsid w:val="00172DAD"/>
    <w:rsid w:val="00172E47"/>
    <w:rsid w:val="00173266"/>
    <w:rsid w:val="0017377B"/>
    <w:rsid w:val="001738AA"/>
    <w:rsid w:val="001738F3"/>
    <w:rsid w:val="001744BA"/>
    <w:rsid w:val="00174760"/>
    <w:rsid w:val="00174A0F"/>
    <w:rsid w:val="00174C71"/>
    <w:rsid w:val="00174E92"/>
    <w:rsid w:val="00175F75"/>
    <w:rsid w:val="00175FE7"/>
    <w:rsid w:val="001765E9"/>
    <w:rsid w:val="00176B8F"/>
    <w:rsid w:val="00176BCF"/>
    <w:rsid w:val="001771E4"/>
    <w:rsid w:val="00177515"/>
    <w:rsid w:val="00177722"/>
    <w:rsid w:val="00180148"/>
    <w:rsid w:val="0018089A"/>
    <w:rsid w:val="00180C7B"/>
    <w:rsid w:val="0018128B"/>
    <w:rsid w:val="0018160B"/>
    <w:rsid w:val="001816F8"/>
    <w:rsid w:val="00181F0B"/>
    <w:rsid w:val="001823E3"/>
    <w:rsid w:val="0018269D"/>
    <w:rsid w:val="001827D0"/>
    <w:rsid w:val="001829EB"/>
    <w:rsid w:val="001829F6"/>
    <w:rsid w:val="00182DE7"/>
    <w:rsid w:val="001830B7"/>
    <w:rsid w:val="001839CC"/>
    <w:rsid w:val="00183C9C"/>
    <w:rsid w:val="00183CCB"/>
    <w:rsid w:val="00183CDF"/>
    <w:rsid w:val="00183F5D"/>
    <w:rsid w:val="00184383"/>
    <w:rsid w:val="00184788"/>
    <w:rsid w:val="00184BEC"/>
    <w:rsid w:val="00184DDE"/>
    <w:rsid w:val="00185289"/>
    <w:rsid w:val="0018576B"/>
    <w:rsid w:val="00185E1F"/>
    <w:rsid w:val="001861DB"/>
    <w:rsid w:val="0018711D"/>
    <w:rsid w:val="0018739E"/>
    <w:rsid w:val="00187B4B"/>
    <w:rsid w:val="00187FC8"/>
    <w:rsid w:val="001904E6"/>
    <w:rsid w:val="00190616"/>
    <w:rsid w:val="00190D60"/>
    <w:rsid w:val="00191655"/>
    <w:rsid w:val="00191710"/>
    <w:rsid w:val="001917E8"/>
    <w:rsid w:val="00191B9E"/>
    <w:rsid w:val="00191BA7"/>
    <w:rsid w:val="00192176"/>
    <w:rsid w:val="00192269"/>
    <w:rsid w:val="00192312"/>
    <w:rsid w:val="00192A19"/>
    <w:rsid w:val="001932A1"/>
    <w:rsid w:val="001938BF"/>
    <w:rsid w:val="001939AC"/>
    <w:rsid w:val="00193F2F"/>
    <w:rsid w:val="00193FCC"/>
    <w:rsid w:val="00194B61"/>
    <w:rsid w:val="00195431"/>
    <w:rsid w:val="00195B19"/>
    <w:rsid w:val="00195EC4"/>
    <w:rsid w:val="00195F45"/>
    <w:rsid w:val="00196017"/>
    <w:rsid w:val="00196064"/>
    <w:rsid w:val="0019633C"/>
    <w:rsid w:val="00196343"/>
    <w:rsid w:val="0019634D"/>
    <w:rsid w:val="00196965"/>
    <w:rsid w:val="00196A8A"/>
    <w:rsid w:val="00196A95"/>
    <w:rsid w:val="0019785C"/>
    <w:rsid w:val="00197BF1"/>
    <w:rsid w:val="001A0201"/>
    <w:rsid w:val="001A0A5D"/>
    <w:rsid w:val="001A0E1E"/>
    <w:rsid w:val="001A29DF"/>
    <w:rsid w:val="001A29EF"/>
    <w:rsid w:val="001A2F2B"/>
    <w:rsid w:val="001A3830"/>
    <w:rsid w:val="001A3960"/>
    <w:rsid w:val="001A397A"/>
    <w:rsid w:val="001A3BFF"/>
    <w:rsid w:val="001A3EAD"/>
    <w:rsid w:val="001A496C"/>
    <w:rsid w:val="001A4BE9"/>
    <w:rsid w:val="001A4FD6"/>
    <w:rsid w:val="001A57E0"/>
    <w:rsid w:val="001A5E93"/>
    <w:rsid w:val="001A61B6"/>
    <w:rsid w:val="001A64E9"/>
    <w:rsid w:val="001A68B0"/>
    <w:rsid w:val="001A6B83"/>
    <w:rsid w:val="001A6ED4"/>
    <w:rsid w:val="001A722B"/>
    <w:rsid w:val="001A735F"/>
    <w:rsid w:val="001A7E5C"/>
    <w:rsid w:val="001B02A9"/>
    <w:rsid w:val="001B080D"/>
    <w:rsid w:val="001B0CDA"/>
    <w:rsid w:val="001B0F4C"/>
    <w:rsid w:val="001B1495"/>
    <w:rsid w:val="001B1E1D"/>
    <w:rsid w:val="001B262F"/>
    <w:rsid w:val="001B36D6"/>
    <w:rsid w:val="001B3727"/>
    <w:rsid w:val="001B3BA4"/>
    <w:rsid w:val="001B3EDD"/>
    <w:rsid w:val="001B3EF6"/>
    <w:rsid w:val="001B4066"/>
    <w:rsid w:val="001B455B"/>
    <w:rsid w:val="001B4E48"/>
    <w:rsid w:val="001B5A8E"/>
    <w:rsid w:val="001B5E2B"/>
    <w:rsid w:val="001B5EA1"/>
    <w:rsid w:val="001B6A12"/>
    <w:rsid w:val="001B6DC8"/>
    <w:rsid w:val="001B6DD9"/>
    <w:rsid w:val="001B75BC"/>
    <w:rsid w:val="001B7D87"/>
    <w:rsid w:val="001C010A"/>
    <w:rsid w:val="001C0927"/>
    <w:rsid w:val="001C0A54"/>
    <w:rsid w:val="001C0FB1"/>
    <w:rsid w:val="001C159B"/>
    <w:rsid w:val="001C1CA6"/>
    <w:rsid w:val="001C2D33"/>
    <w:rsid w:val="001C376E"/>
    <w:rsid w:val="001C3A8D"/>
    <w:rsid w:val="001C3C8B"/>
    <w:rsid w:val="001C404F"/>
    <w:rsid w:val="001C5028"/>
    <w:rsid w:val="001C5352"/>
    <w:rsid w:val="001C5F53"/>
    <w:rsid w:val="001C6844"/>
    <w:rsid w:val="001C6EF3"/>
    <w:rsid w:val="001C71FD"/>
    <w:rsid w:val="001C75EB"/>
    <w:rsid w:val="001C7A3E"/>
    <w:rsid w:val="001C7BB4"/>
    <w:rsid w:val="001C7DFF"/>
    <w:rsid w:val="001C7F50"/>
    <w:rsid w:val="001D0362"/>
    <w:rsid w:val="001D0739"/>
    <w:rsid w:val="001D13F6"/>
    <w:rsid w:val="001D1756"/>
    <w:rsid w:val="001D1864"/>
    <w:rsid w:val="001D1C5D"/>
    <w:rsid w:val="001D1D52"/>
    <w:rsid w:val="001D212D"/>
    <w:rsid w:val="001D2881"/>
    <w:rsid w:val="001D29A4"/>
    <w:rsid w:val="001D2BCC"/>
    <w:rsid w:val="001D2E60"/>
    <w:rsid w:val="001D3901"/>
    <w:rsid w:val="001D39F1"/>
    <w:rsid w:val="001D3B3F"/>
    <w:rsid w:val="001D40D5"/>
    <w:rsid w:val="001D44C2"/>
    <w:rsid w:val="001D4C8D"/>
    <w:rsid w:val="001D5718"/>
    <w:rsid w:val="001D5D05"/>
    <w:rsid w:val="001D6070"/>
    <w:rsid w:val="001D65DA"/>
    <w:rsid w:val="001D6AE1"/>
    <w:rsid w:val="001D6C62"/>
    <w:rsid w:val="001D738A"/>
    <w:rsid w:val="001D7C99"/>
    <w:rsid w:val="001D7CD2"/>
    <w:rsid w:val="001E1132"/>
    <w:rsid w:val="001E1205"/>
    <w:rsid w:val="001E1813"/>
    <w:rsid w:val="001E1D6E"/>
    <w:rsid w:val="001E2BDF"/>
    <w:rsid w:val="001E32EA"/>
    <w:rsid w:val="001E3D2E"/>
    <w:rsid w:val="001E49FA"/>
    <w:rsid w:val="001E4ACC"/>
    <w:rsid w:val="001E5855"/>
    <w:rsid w:val="001E5A1D"/>
    <w:rsid w:val="001E60B3"/>
    <w:rsid w:val="001E7705"/>
    <w:rsid w:val="001E77A5"/>
    <w:rsid w:val="001E77FE"/>
    <w:rsid w:val="001E7939"/>
    <w:rsid w:val="001E7A79"/>
    <w:rsid w:val="001E7CF5"/>
    <w:rsid w:val="001F05FC"/>
    <w:rsid w:val="001F086D"/>
    <w:rsid w:val="001F0EFA"/>
    <w:rsid w:val="001F0FE6"/>
    <w:rsid w:val="001F1FA5"/>
    <w:rsid w:val="001F22DC"/>
    <w:rsid w:val="001F23DF"/>
    <w:rsid w:val="001F254A"/>
    <w:rsid w:val="001F2A8B"/>
    <w:rsid w:val="001F2C65"/>
    <w:rsid w:val="001F326A"/>
    <w:rsid w:val="001F36BA"/>
    <w:rsid w:val="001F3A93"/>
    <w:rsid w:val="001F3E3D"/>
    <w:rsid w:val="001F3FF4"/>
    <w:rsid w:val="001F4380"/>
    <w:rsid w:val="001F442D"/>
    <w:rsid w:val="001F446F"/>
    <w:rsid w:val="001F5337"/>
    <w:rsid w:val="001F57D2"/>
    <w:rsid w:val="001F5CB7"/>
    <w:rsid w:val="001F6027"/>
    <w:rsid w:val="001F60CE"/>
    <w:rsid w:val="001F623E"/>
    <w:rsid w:val="001F6B55"/>
    <w:rsid w:val="001F6CC2"/>
    <w:rsid w:val="001F6FFC"/>
    <w:rsid w:val="001F735D"/>
    <w:rsid w:val="001F74D1"/>
    <w:rsid w:val="001F78D6"/>
    <w:rsid w:val="001F7906"/>
    <w:rsid w:val="0020018C"/>
    <w:rsid w:val="0020098A"/>
    <w:rsid w:val="00200D87"/>
    <w:rsid w:val="00201AD2"/>
    <w:rsid w:val="00201AEC"/>
    <w:rsid w:val="00201D26"/>
    <w:rsid w:val="00201EBB"/>
    <w:rsid w:val="002022F5"/>
    <w:rsid w:val="002022F8"/>
    <w:rsid w:val="002027C2"/>
    <w:rsid w:val="00203464"/>
    <w:rsid w:val="00204F6B"/>
    <w:rsid w:val="002050EF"/>
    <w:rsid w:val="002053D7"/>
    <w:rsid w:val="002055B3"/>
    <w:rsid w:val="00205745"/>
    <w:rsid w:val="002058FB"/>
    <w:rsid w:val="0020592D"/>
    <w:rsid w:val="00205FFA"/>
    <w:rsid w:val="002062B9"/>
    <w:rsid w:val="002062DB"/>
    <w:rsid w:val="002065FB"/>
    <w:rsid w:val="0020753E"/>
    <w:rsid w:val="002076CA"/>
    <w:rsid w:val="00207AE1"/>
    <w:rsid w:val="0021014A"/>
    <w:rsid w:val="00210310"/>
    <w:rsid w:val="002109B0"/>
    <w:rsid w:val="002116BA"/>
    <w:rsid w:val="00213247"/>
    <w:rsid w:val="00213986"/>
    <w:rsid w:val="00213A41"/>
    <w:rsid w:val="00213DF4"/>
    <w:rsid w:val="00213E70"/>
    <w:rsid w:val="00213E94"/>
    <w:rsid w:val="00214AAA"/>
    <w:rsid w:val="00214BF4"/>
    <w:rsid w:val="00214D70"/>
    <w:rsid w:val="00215012"/>
    <w:rsid w:val="0021540A"/>
    <w:rsid w:val="00215758"/>
    <w:rsid w:val="00215791"/>
    <w:rsid w:val="00215D43"/>
    <w:rsid w:val="00215E2B"/>
    <w:rsid w:val="00215EC5"/>
    <w:rsid w:val="0021611B"/>
    <w:rsid w:val="002165C0"/>
    <w:rsid w:val="002167C0"/>
    <w:rsid w:val="002167CC"/>
    <w:rsid w:val="00216CCE"/>
    <w:rsid w:val="0021705C"/>
    <w:rsid w:val="002178E9"/>
    <w:rsid w:val="00217AE6"/>
    <w:rsid w:val="00217D98"/>
    <w:rsid w:val="00217F49"/>
    <w:rsid w:val="00220118"/>
    <w:rsid w:val="0022065E"/>
    <w:rsid w:val="00220698"/>
    <w:rsid w:val="0022069D"/>
    <w:rsid w:val="00221C65"/>
    <w:rsid w:val="0022234C"/>
    <w:rsid w:val="002225E7"/>
    <w:rsid w:val="00222D18"/>
    <w:rsid w:val="002231C3"/>
    <w:rsid w:val="00223840"/>
    <w:rsid w:val="00223AB5"/>
    <w:rsid w:val="00223C33"/>
    <w:rsid w:val="00223C73"/>
    <w:rsid w:val="00224029"/>
    <w:rsid w:val="0022418C"/>
    <w:rsid w:val="002241AF"/>
    <w:rsid w:val="00224542"/>
    <w:rsid w:val="00224F5A"/>
    <w:rsid w:val="00224FB8"/>
    <w:rsid w:val="00225139"/>
    <w:rsid w:val="00226290"/>
    <w:rsid w:val="002262C6"/>
    <w:rsid w:val="0022630F"/>
    <w:rsid w:val="00226322"/>
    <w:rsid w:val="00226B18"/>
    <w:rsid w:val="002274EB"/>
    <w:rsid w:val="002278F2"/>
    <w:rsid w:val="00227AE5"/>
    <w:rsid w:val="0023006B"/>
    <w:rsid w:val="0023021D"/>
    <w:rsid w:val="00230369"/>
    <w:rsid w:val="00231153"/>
    <w:rsid w:val="00231AFD"/>
    <w:rsid w:val="002321CE"/>
    <w:rsid w:val="0023343E"/>
    <w:rsid w:val="00233510"/>
    <w:rsid w:val="0023382B"/>
    <w:rsid w:val="00233D7A"/>
    <w:rsid w:val="00234149"/>
    <w:rsid w:val="0023415D"/>
    <w:rsid w:val="00234761"/>
    <w:rsid w:val="0023495D"/>
    <w:rsid w:val="00234D51"/>
    <w:rsid w:val="00235317"/>
    <w:rsid w:val="00235518"/>
    <w:rsid w:val="00235831"/>
    <w:rsid w:val="00235D39"/>
    <w:rsid w:val="00235DB1"/>
    <w:rsid w:val="00235F7E"/>
    <w:rsid w:val="002360E8"/>
    <w:rsid w:val="00236595"/>
    <w:rsid w:val="002373A6"/>
    <w:rsid w:val="0023741D"/>
    <w:rsid w:val="002375FE"/>
    <w:rsid w:val="00237DBD"/>
    <w:rsid w:val="00240321"/>
    <w:rsid w:val="00240843"/>
    <w:rsid w:val="00240C3D"/>
    <w:rsid w:val="00240F09"/>
    <w:rsid w:val="00241538"/>
    <w:rsid w:val="002415E2"/>
    <w:rsid w:val="00242093"/>
    <w:rsid w:val="002422E4"/>
    <w:rsid w:val="00242B2D"/>
    <w:rsid w:val="00242C0E"/>
    <w:rsid w:val="0024313D"/>
    <w:rsid w:val="00243149"/>
    <w:rsid w:val="002433D6"/>
    <w:rsid w:val="00243500"/>
    <w:rsid w:val="002438CB"/>
    <w:rsid w:val="002439E4"/>
    <w:rsid w:val="00243A15"/>
    <w:rsid w:val="00243B03"/>
    <w:rsid w:val="00243C2E"/>
    <w:rsid w:val="00243CD4"/>
    <w:rsid w:val="0024414B"/>
    <w:rsid w:val="002441E0"/>
    <w:rsid w:val="002447B5"/>
    <w:rsid w:val="00244D74"/>
    <w:rsid w:val="00244DF3"/>
    <w:rsid w:val="0024525F"/>
    <w:rsid w:val="00245A4E"/>
    <w:rsid w:val="00245C01"/>
    <w:rsid w:val="00246130"/>
    <w:rsid w:val="0024671E"/>
    <w:rsid w:val="002471CE"/>
    <w:rsid w:val="002474E3"/>
    <w:rsid w:val="002474E9"/>
    <w:rsid w:val="002479CD"/>
    <w:rsid w:val="002501FE"/>
    <w:rsid w:val="002502BD"/>
    <w:rsid w:val="00250C0B"/>
    <w:rsid w:val="00251076"/>
    <w:rsid w:val="0025128A"/>
    <w:rsid w:val="00251790"/>
    <w:rsid w:val="002518CF"/>
    <w:rsid w:val="0025224D"/>
    <w:rsid w:val="00252AC9"/>
    <w:rsid w:val="00252C43"/>
    <w:rsid w:val="00252D3E"/>
    <w:rsid w:val="0025336A"/>
    <w:rsid w:val="00253468"/>
    <w:rsid w:val="002538DA"/>
    <w:rsid w:val="0025395F"/>
    <w:rsid w:val="00253F05"/>
    <w:rsid w:val="00254839"/>
    <w:rsid w:val="00254A9D"/>
    <w:rsid w:val="0025523C"/>
    <w:rsid w:val="00255F7B"/>
    <w:rsid w:val="00256174"/>
    <w:rsid w:val="00256265"/>
    <w:rsid w:val="0025646B"/>
    <w:rsid w:val="00256475"/>
    <w:rsid w:val="00256A75"/>
    <w:rsid w:val="00256F37"/>
    <w:rsid w:val="002572EA"/>
    <w:rsid w:val="002573A0"/>
    <w:rsid w:val="0025762B"/>
    <w:rsid w:val="0025788B"/>
    <w:rsid w:val="00260215"/>
    <w:rsid w:val="00260235"/>
    <w:rsid w:val="00260CD1"/>
    <w:rsid w:val="00260D44"/>
    <w:rsid w:val="00261216"/>
    <w:rsid w:val="002612CD"/>
    <w:rsid w:val="00261B93"/>
    <w:rsid w:val="00261BA4"/>
    <w:rsid w:val="00262489"/>
    <w:rsid w:val="002625E9"/>
    <w:rsid w:val="00262745"/>
    <w:rsid w:val="00262B33"/>
    <w:rsid w:val="00262B8E"/>
    <w:rsid w:val="002632F0"/>
    <w:rsid w:val="002634B7"/>
    <w:rsid w:val="0026359A"/>
    <w:rsid w:val="002636AB"/>
    <w:rsid w:val="002650AC"/>
    <w:rsid w:val="00266044"/>
    <w:rsid w:val="00266497"/>
    <w:rsid w:val="00266798"/>
    <w:rsid w:val="00266B52"/>
    <w:rsid w:val="002672BD"/>
    <w:rsid w:val="0026798C"/>
    <w:rsid w:val="0027064A"/>
    <w:rsid w:val="0027214D"/>
    <w:rsid w:val="00272BC2"/>
    <w:rsid w:val="0027362E"/>
    <w:rsid w:val="00273DA8"/>
    <w:rsid w:val="002746FC"/>
    <w:rsid w:val="002748DD"/>
    <w:rsid w:val="002752D2"/>
    <w:rsid w:val="0027533C"/>
    <w:rsid w:val="00276126"/>
    <w:rsid w:val="002766BB"/>
    <w:rsid w:val="00276A87"/>
    <w:rsid w:val="002770C9"/>
    <w:rsid w:val="002774FF"/>
    <w:rsid w:val="00280655"/>
    <w:rsid w:val="00280B8E"/>
    <w:rsid w:val="00280C2E"/>
    <w:rsid w:val="00280E64"/>
    <w:rsid w:val="00280EA6"/>
    <w:rsid w:val="00281162"/>
    <w:rsid w:val="0028142B"/>
    <w:rsid w:val="00281536"/>
    <w:rsid w:val="00281986"/>
    <w:rsid w:val="00281E11"/>
    <w:rsid w:val="002834E4"/>
    <w:rsid w:val="002845A2"/>
    <w:rsid w:val="00284A1A"/>
    <w:rsid w:val="00284AB9"/>
    <w:rsid w:val="00284C0A"/>
    <w:rsid w:val="002852C3"/>
    <w:rsid w:val="0028535E"/>
    <w:rsid w:val="00285852"/>
    <w:rsid w:val="00286B23"/>
    <w:rsid w:val="00286C06"/>
    <w:rsid w:val="00287CB7"/>
    <w:rsid w:val="00287FF1"/>
    <w:rsid w:val="00290B74"/>
    <w:rsid w:val="002918F8"/>
    <w:rsid w:val="00291B36"/>
    <w:rsid w:val="00292729"/>
    <w:rsid w:val="002933DE"/>
    <w:rsid w:val="00293A60"/>
    <w:rsid w:val="00293A97"/>
    <w:rsid w:val="00294287"/>
    <w:rsid w:val="002945D1"/>
    <w:rsid w:val="00294ABA"/>
    <w:rsid w:val="00294E22"/>
    <w:rsid w:val="0029601E"/>
    <w:rsid w:val="00296550"/>
    <w:rsid w:val="0029722B"/>
    <w:rsid w:val="00297915"/>
    <w:rsid w:val="00297ED9"/>
    <w:rsid w:val="002A0256"/>
    <w:rsid w:val="002A06DF"/>
    <w:rsid w:val="002A0A10"/>
    <w:rsid w:val="002A0E74"/>
    <w:rsid w:val="002A0F2B"/>
    <w:rsid w:val="002A11AB"/>
    <w:rsid w:val="002A16A5"/>
    <w:rsid w:val="002A1AA6"/>
    <w:rsid w:val="002A1C69"/>
    <w:rsid w:val="002A1F8A"/>
    <w:rsid w:val="002A233C"/>
    <w:rsid w:val="002A24F6"/>
    <w:rsid w:val="002A269C"/>
    <w:rsid w:val="002A26AA"/>
    <w:rsid w:val="002A26BB"/>
    <w:rsid w:val="002A2DCC"/>
    <w:rsid w:val="002A2DE6"/>
    <w:rsid w:val="002A3057"/>
    <w:rsid w:val="002A30B4"/>
    <w:rsid w:val="002A3287"/>
    <w:rsid w:val="002A335F"/>
    <w:rsid w:val="002A33BD"/>
    <w:rsid w:val="002A3C4A"/>
    <w:rsid w:val="002A3E7B"/>
    <w:rsid w:val="002A4004"/>
    <w:rsid w:val="002A42BF"/>
    <w:rsid w:val="002A4D37"/>
    <w:rsid w:val="002A4DFC"/>
    <w:rsid w:val="002A50A6"/>
    <w:rsid w:val="002A5A44"/>
    <w:rsid w:val="002A5B0E"/>
    <w:rsid w:val="002A601D"/>
    <w:rsid w:val="002A6DEC"/>
    <w:rsid w:val="002A73D0"/>
    <w:rsid w:val="002A7D4F"/>
    <w:rsid w:val="002A7D56"/>
    <w:rsid w:val="002B017A"/>
    <w:rsid w:val="002B0583"/>
    <w:rsid w:val="002B091F"/>
    <w:rsid w:val="002B0A02"/>
    <w:rsid w:val="002B0B99"/>
    <w:rsid w:val="002B0D70"/>
    <w:rsid w:val="002B1043"/>
    <w:rsid w:val="002B1155"/>
    <w:rsid w:val="002B1915"/>
    <w:rsid w:val="002B1936"/>
    <w:rsid w:val="002B1A6F"/>
    <w:rsid w:val="002B1DBD"/>
    <w:rsid w:val="002B2A58"/>
    <w:rsid w:val="002B2E6A"/>
    <w:rsid w:val="002B2F07"/>
    <w:rsid w:val="002B3179"/>
    <w:rsid w:val="002B3A8F"/>
    <w:rsid w:val="002B3D3A"/>
    <w:rsid w:val="002B40FB"/>
    <w:rsid w:val="002B41F0"/>
    <w:rsid w:val="002B46AB"/>
    <w:rsid w:val="002B5001"/>
    <w:rsid w:val="002B5E0F"/>
    <w:rsid w:val="002B624C"/>
    <w:rsid w:val="002B67A8"/>
    <w:rsid w:val="002B6BC5"/>
    <w:rsid w:val="002B6D8A"/>
    <w:rsid w:val="002B70C3"/>
    <w:rsid w:val="002B75E7"/>
    <w:rsid w:val="002B7757"/>
    <w:rsid w:val="002B7B63"/>
    <w:rsid w:val="002B7BA3"/>
    <w:rsid w:val="002C00D2"/>
    <w:rsid w:val="002C02DA"/>
    <w:rsid w:val="002C043A"/>
    <w:rsid w:val="002C0601"/>
    <w:rsid w:val="002C0687"/>
    <w:rsid w:val="002C07F2"/>
    <w:rsid w:val="002C0B00"/>
    <w:rsid w:val="002C0B7F"/>
    <w:rsid w:val="002C0D01"/>
    <w:rsid w:val="002C0D71"/>
    <w:rsid w:val="002C109A"/>
    <w:rsid w:val="002C1B42"/>
    <w:rsid w:val="002C1F06"/>
    <w:rsid w:val="002C1F61"/>
    <w:rsid w:val="002C27AB"/>
    <w:rsid w:val="002C34F2"/>
    <w:rsid w:val="002C3595"/>
    <w:rsid w:val="002C36E7"/>
    <w:rsid w:val="002C38A0"/>
    <w:rsid w:val="002C3D85"/>
    <w:rsid w:val="002C3DF1"/>
    <w:rsid w:val="002C4887"/>
    <w:rsid w:val="002C5633"/>
    <w:rsid w:val="002C581F"/>
    <w:rsid w:val="002C5890"/>
    <w:rsid w:val="002C6129"/>
    <w:rsid w:val="002C6F5F"/>
    <w:rsid w:val="002C6FAE"/>
    <w:rsid w:val="002C7198"/>
    <w:rsid w:val="002C7BD1"/>
    <w:rsid w:val="002C7D29"/>
    <w:rsid w:val="002D01F2"/>
    <w:rsid w:val="002D04E4"/>
    <w:rsid w:val="002D05B4"/>
    <w:rsid w:val="002D0852"/>
    <w:rsid w:val="002D097F"/>
    <w:rsid w:val="002D0EB8"/>
    <w:rsid w:val="002D0EBB"/>
    <w:rsid w:val="002D10A7"/>
    <w:rsid w:val="002D1880"/>
    <w:rsid w:val="002D18CF"/>
    <w:rsid w:val="002D1920"/>
    <w:rsid w:val="002D2C2F"/>
    <w:rsid w:val="002D351F"/>
    <w:rsid w:val="002D3A1B"/>
    <w:rsid w:val="002D3B57"/>
    <w:rsid w:val="002D3C8E"/>
    <w:rsid w:val="002D3DC2"/>
    <w:rsid w:val="002D3FBB"/>
    <w:rsid w:val="002D4072"/>
    <w:rsid w:val="002D4253"/>
    <w:rsid w:val="002D441F"/>
    <w:rsid w:val="002D4699"/>
    <w:rsid w:val="002D4B5C"/>
    <w:rsid w:val="002D5114"/>
    <w:rsid w:val="002D55DC"/>
    <w:rsid w:val="002D5C06"/>
    <w:rsid w:val="002D5D9B"/>
    <w:rsid w:val="002D5DA4"/>
    <w:rsid w:val="002D6724"/>
    <w:rsid w:val="002D712A"/>
    <w:rsid w:val="002D7B3A"/>
    <w:rsid w:val="002D7C0E"/>
    <w:rsid w:val="002D7FBC"/>
    <w:rsid w:val="002E074D"/>
    <w:rsid w:val="002E0F87"/>
    <w:rsid w:val="002E109F"/>
    <w:rsid w:val="002E2922"/>
    <w:rsid w:val="002E2DA5"/>
    <w:rsid w:val="002E2FBE"/>
    <w:rsid w:val="002E2FF5"/>
    <w:rsid w:val="002E3173"/>
    <w:rsid w:val="002E36D7"/>
    <w:rsid w:val="002E3B57"/>
    <w:rsid w:val="002E3B84"/>
    <w:rsid w:val="002E3D79"/>
    <w:rsid w:val="002E439F"/>
    <w:rsid w:val="002E471F"/>
    <w:rsid w:val="002E490B"/>
    <w:rsid w:val="002E59A4"/>
    <w:rsid w:val="002E6195"/>
    <w:rsid w:val="002E61EB"/>
    <w:rsid w:val="002E6FA9"/>
    <w:rsid w:val="002E712A"/>
    <w:rsid w:val="002E7358"/>
    <w:rsid w:val="002E73F0"/>
    <w:rsid w:val="002E78AA"/>
    <w:rsid w:val="002E7BA9"/>
    <w:rsid w:val="002F0B8A"/>
    <w:rsid w:val="002F1435"/>
    <w:rsid w:val="002F1ACD"/>
    <w:rsid w:val="002F20B4"/>
    <w:rsid w:val="002F228A"/>
    <w:rsid w:val="002F2ACB"/>
    <w:rsid w:val="002F3310"/>
    <w:rsid w:val="002F364D"/>
    <w:rsid w:val="002F3A34"/>
    <w:rsid w:val="002F3D67"/>
    <w:rsid w:val="002F3F12"/>
    <w:rsid w:val="002F453D"/>
    <w:rsid w:val="002F574B"/>
    <w:rsid w:val="002F5879"/>
    <w:rsid w:val="002F59E8"/>
    <w:rsid w:val="002F5CAC"/>
    <w:rsid w:val="002F5E68"/>
    <w:rsid w:val="002F5FE1"/>
    <w:rsid w:val="002F6507"/>
    <w:rsid w:val="002F65E2"/>
    <w:rsid w:val="002F6AAB"/>
    <w:rsid w:val="002F6E0F"/>
    <w:rsid w:val="002F6EE6"/>
    <w:rsid w:val="002F72A2"/>
    <w:rsid w:val="002F749C"/>
    <w:rsid w:val="002F754D"/>
    <w:rsid w:val="002F7668"/>
    <w:rsid w:val="002F7E77"/>
    <w:rsid w:val="0030068E"/>
    <w:rsid w:val="00300A7B"/>
    <w:rsid w:val="00300D4C"/>
    <w:rsid w:val="003012A9"/>
    <w:rsid w:val="003012D7"/>
    <w:rsid w:val="00301432"/>
    <w:rsid w:val="0030149E"/>
    <w:rsid w:val="003016FA"/>
    <w:rsid w:val="00301949"/>
    <w:rsid w:val="00301999"/>
    <w:rsid w:val="00302A73"/>
    <w:rsid w:val="00302B99"/>
    <w:rsid w:val="00302F49"/>
    <w:rsid w:val="00303811"/>
    <w:rsid w:val="003041BE"/>
    <w:rsid w:val="00304301"/>
    <w:rsid w:val="003044FA"/>
    <w:rsid w:val="003045A6"/>
    <w:rsid w:val="00304BFA"/>
    <w:rsid w:val="00304CC2"/>
    <w:rsid w:val="003055E6"/>
    <w:rsid w:val="00305879"/>
    <w:rsid w:val="00305EDB"/>
    <w:rsid w:val="0030673B"/>
    <w:rsid w:val="00306974"/>
    <w:rsid w:val="00306FC5"/>
    <w:rsid w:val="00307C17"/>
    <w:rsid w:val="00307EF3"/>
    <w:rsid w:val="00307F20"/>
    <w:rsid w:val="0031084C"/>
    <w:rsid w:val="00310C6E"/>
    <w:rsid w:val="0031105F"/>
    <w:rsid w:val="00311200"/>
    <w:rsid w:val="0031125A"/>
    <w:rsid w:val="00311B57"/>
    <w:rsid w:val="00311C3A"/>
    <w:rsid w:val="0031250F"/>
    <w:rsid w:val="00312999"/>
    <w:rsid w:val="00313411"/>
    <w:rsid w:val="003135CA"/>
    <w:rsid w:val="003137C4"/>
    <w:rsid w:val="003140A5"/>
    <w:rsid w:val="00314811"/>
    <w:rsid w:val="00315BD4"/>
    <w:rsid w:val="00315E62"/>
    <w:rsid w:val="00316FB8"/>
    <w:rsid w:val="00317357"/>
    <w:rsid w:val="003175FD"/>
    <w:rsid w:val="003177F2"/>
    <w:rsid w:val="00317AF5"/>
    <w:rsid w:val="00317ECA"/>
    <w:rsid w:val="00317F35"/>
    <w:rsid w:val="00320003"/>
    <w:rsid w:val="00320839"/>
    <w:rsid w:val="00320A96"/>
    <w:rsid w:val="00321264"/>
    <w:rsid w:val="00322012"/>
    <w:rsid w:val="00322126"/>
    <w:rsid w:val="00322636"/>
    <w:rsid w:val="00322828"/>
    <w:rsid w:val="00322980"/>
    <w:rsid w:val="0032298F"/>
    <w:rsid w:val="003229C3"/>
    <w:rsid w:val="00322B0C"/>
    <w:rsid w:val="00322BF8"/>
    <w:rsid w:val="0032348F"/>
    <w:rsid w:val="0032471B"/>
    <w:rsid w:val="003249A2"/>
    <w:rsid w:val="003251B3"/>
    <w:rsid w:val="00325409"/>
    <w:rsid w:val="00325BC8"/>
    <w:rsid w:val="003260FD"/>
    <w:rsid w:val="003263EA"/>
    <w:rsid w:val="00326861"/>
    <w:rsid w:val="00326B62"/>
    <w:rsid w:val="00327189"/>
    <w:rsid w:val="00327E97"/>
    <w:rsid w:val="003300B4"/>
    <w:rsid w:val="00330506"/>
    <w:rsid w:val="003305F6"/>
    <w:rsid w:val="0033069C"/>
    <w:rsid w:val="0033078F"/>
    <w:rsid w:val="00330A88"/>
    <w:rsid w:val="00330ED0"/>
    <w:rsid w:val="00330F5C"/>
    <w:rsid w:val="003312F1"/>
    <w:rsid w:val="00331901"/>
    <w:rsid w:val="00331A0B"/>
    <w:rsid w:val="00332045"/>
    <w:rsid w:val="0033240C"/>
    <w:rsid w:val="00333286"/>
    <w:rsid w:val="00333528"/>
    <w:rsid w:val="00334626"/>
    <w:rsid w:val="00334875"/>
    <w:rsid w:val="003349E4"/>
    <w:rsid w:val="00334AFE"/>
    <w:rsid w:val="003356CD"/>
    <w:rsid w:val="00336295"/>
    <w:rsid w:val="003362AF"/>
    <w:rsid w:val="003362C0"/>
    <w:rsid w:val="00336C45"/>
    <w:rsid w:val="00336CB6"/>
    <w:rsid w:val="00336CD2"/>
    <w:rsid w:val="00337BE5"/>
    <w:rsid w:val="0034066F"/>
    <w:rsid w:val="00340935"/>
    <w:rsid w:val="00340C8B"/>
    <w:rsid w:val="00341859"/>
    <w:rsid w:val="003418F9"/>
    <w:rsid w:val="003419E1"/>
    <w:rsid w:val="00341E81"/>
    <w:rsid w:val="00342329"/>
    <w:rsid w:val="003423D3"/>
    <w:rsid w:val="003425E4"/>
    <w:rsid w:val="00342E26"/>
    <w:rsid w:val="0034303D"/>
    <w:rsid w:val="003437AB"/>
    <w:rsid w:val="00343967"/>
    <w:rsid w:val="00343E98"/>
    <w:rsid w:val="00344091"/>
    <w:rsid w:val="0034424B"/>
    <w:rsid w:val="0034442D"/>
    <w:rsid w:val="003447AF"/>
    <w:rsid w:val="00344B38"/>
    <w:rsid w:val="003453D6"/>
    <w:rsid w:val="0034552F"/>
    <w:rsid w:val="0034563C"/>
    <w:rsid w:val="00345872"/>
    <w:rsid w:val="0034607C"/>
    <w:rsid w:val="00346544"/>
    <w:rsid w:val="00346C69"/>
    <w:rsid w:val="00346E78"/>
    <w:rsid w:val="00346E7C"/>
    <w:rsid w:val="00346E8C"/>
    <w:rsid w:val="00347505"/>
    <w:rsid w:val="003475DF"/>
    <w:rsid w:val="00347C2D"/>
    <w:rsid w:val="00347DF4"/>
    <w:rsid w:val="00347F84"/>
    <w:rsid w:val="00350282"/>
    <w:rsid w:val="003503CA"/>
    <w:rsid w:val="00351101"/>
    <w:rsid w:val="00351511"/>
    <w:rsid w:val="003515B6"/>
    <w:rsid w:val="00352582"/>
    <w:rsid w:val="00353321"/>
    <w:rsid w:val="00353363"/>
    <w:rsid w:val="0035383E"/>
    <w:rsid w:val="00353915"/>
    <w:rsid w:val="003545A9"/>
    <w:rsid w:val="003553BF"/>
    <w:rsid w:val="00355585"/>
    <w:rsid w:val="003558FE"/>
    <w:rsid w:val="00355C7A"/>
    <w:rsid w:val="00356202"/>
    <w:rsid w:val="003562A2"/>
    <w:rsid w:val="003562BC"/>
    <w:rsid w:val="003563F1"/>
    <w:rsid w:val="00356541"/>
    <w:rsid w:val="00356FAE"/>
    <w:rsid w:val="0035730E"/>
    <w:rsid w:val="00357CB8"/>
    <w:rsid w:val="00360406"/>
    <w:rsid w:val="00360E39"/>
    <w:rsid w:val="003614C0"/>
    <w:rsid w:val="0036168A"/>
    <w:rsid w:val="0036189D"/>
    <w:rsid w:val="003626F6"/>
    <w:rsid w:val="0036291D"/>
    <w:rsid w:val="00362E7E"/>
    <w:rsid w:val="0036301D"/>
    <w:rsid w:val="00363024"/>
    <w:rsid w:val="0036326E"/>
    <w:rsid w:val="00363A8E"/>
    <w:rsid w:val="00364876"/>
    <w:rsid w:val="00364DCB"/>
    <w:rsid w:val="00364EAE"/>
    <w:rsid w:val="0036538E"/>
    <w:rsid w:val="00365433"/>
    <w:rsid w:val="00365474"/>
    <w:rsid w:val="00365740"/>
    <w:rsid w:val="00366EFE"/>
    <w:rsid w:val="003671A1"/>
    <w:rsid w:val="00367889"/>
    <w:rsid w:val="00367EDA"/>
    <w:rsid w:val="00367F91"/>
    <w:rsid w:val="00370B46"/>
    <w:rsid w:val="00370B47"/>
    <w:rsid w:val="00370F7D"/>
    <w:rsid w:val="0037111F"/>
    <w:rsid w:val="003712CA"/>
    <w:rsid w:val="00371DD1"/>
    <w:rsid w:val="00372090"/>
    <w:rsid w:val="00372639"/>
    <w:rsid w:val="0037270D"/>
    <w:rsid w:val="00372D77"/>
    <w:rsid w:val="00372DDF"/>
    <w:rsid w:val="00372E3E"/>
    <w:rsid w:val="00373146"/>
    <w:rsid w:val="00373848"/>
    <w:rsid w:val="0037443B"/>
    <w:rsid w:val="0037468D"/>
    <w:rsid w:val="0037519C"/>
    <w:rsid w:val="00375706"/>
    <w:rsid w:val="0037572D"/>
    <w:rsid w:val="003757E3"/>
    <w:rsid w:val="0037583A"/>
    <w:rsid w:val="003758F3"/>
    <w:rsid w:val="0037598F"/>
    <w:rsid w:val="00375D82"/>
    <w:rsid w:val="003765A6"/>
    <w:rsid w:val="00377115"/>
    <w:rsid w:val="0037781D"/>
    <w:rsid w:val="00377932"/>
    <w:rsid w:val="003779AF"/>
    <w:rsid w:val="00377E30"/>
    <w:rsid w:val="00380079"/>
    <w:rsid w:val="003804A4"/>
    <w:rsid w:val="0038080E"/>
    <w:rsid w:val="0038155E"/>
    <w:rsid w:val="0038200F"/>
    <w:rsid w:val="003826FC"/>
    <w:rsid w:val="00382B36"/>
    <w:rsid w:val="00383283"/>
    <w:rsid w:val="00383663"/>
    <w:rsid w:val="00383709"/>
    <w:rsid w:val="003837BB"/>
    <w:rsid w:val="00383A47"/>
    <w:rsid w:val="00383ED4"/>
    <w:rsid w:val="00384731"/>
    <w:rsid w:val="00384971"/>
    <w:rsid w:val="003850BF"/>
    <w:rsid w:val="00385179"/>
    <w:rsid w:val="00385190"/>
    <w:rsid w:val="00385976"/>
    <w:rsid w:val="00385C96"/>
    <w:rsid w:val="00386ABA"/>
    <w:rsid w:val="00386B6E"/>
    <w:rsid w:val="0038779F"/>
    <w:rsid w:val="0038785C"/>
    <w:rsid w:val="00387F07"/>
    <w:rsid w:val="00390B1D"/>
    <w:rsid w:val="00390F4C"/>
    <w:rsid w:val="00391D85"/>
    <w:rsid w:val="00392188"/>
    <w:rsid w:val="00392234"/>
    <w:rsid w:val="003925D2"/>
    <w:rsid w:val="00392606"/>
    <w:rsid w:val="00392D27"/>
    <w:rsid w:val="00392D2A"/>
    <w:rsid w:val="0039346C"/>
    <w:rsid w:val="00393481"/>
    <w:rsid w:val="00393491"/>
    <w:rsid w:val="003938D6"/>
    <w:rsid w:val="003938E1"/>
    <w:rsid w:val="00393BF2"/>
    <w:rsid w:val="00393C6B"/>
    <w:rsid w:val="00393D6E"/>
    <w:rsid w:val="003949D8"/>
    <w:rsid w:val="00395464"/>
    <w:rsid w:val="003955A6"/>
    <w:rsid w:val="003959E4"/>
    <w:rsid w:val="00395D36"/>
    <w:rsid w:val="003961E4"/>
    <w:rsid w:val="00396438"/>
    <w:rsid w:val="0039672D"/>
    <w:rsid w:val="00396A5E"/>
    <w:rsid w:val="00396DCD"/>
    <w:rsid w:val="00397300"/>
    <w:rsid w:val="0039742F"/>
    <w:rsid w:val="00397666"/>
    <w:rsid w:val="00397F37"/>
    <w:rsid w:val="00397F7E"/>
    <w:rsid w:val="003A02A4"/>
    <w:rsid w:val="003A04A9"/>
    <w:rsid w:val="003A0703"/>
    <w:rsid w:val="003A096F"/>
    <w:rsid w:val="003A0EA4"/>
    <w:rsid w:val="003A1042"/>
    <w:rsid w:val="003A16B8"/>
    <w:rsid w:val="003A1BED"/>
    <w:rsid w:val="003A21F0"/>
    <w:rsid w:val="003A282F"/>
    <w:rsid w:val="003A298E"/>
    <w:rsid w:val="003A2CC9"/>
    <w:rsid w:val="003A2EB2"/>
    <w:rsid w:val="003A2F5A"/>
    <w:rsid w:val="003A3946"/>
    <w:rsid w:val="003A3C04"/>
    <w:rsid w:val="003A3CAE"/>
    <w:rsid w:val="003A483B"/>
    <w:rsid w:val="003A48AA"/>
    <w:rsid w:val="003A4913"/>
    <w:rsid w:val="003A498E"/>
    <w:rsid w:val="003A4FF8"/>
    <w:rsid w:val="003A503B"/>
    <w:rsid w:val="003A53FC"/>
    <w:rsid w:val="003A603E"/>
    <w:rsid w:val="003A61FC"/>
    <w:rsid w:val="003A6B54"/>
    <w:rsid w:val="003A704A"/>
    <w:rsid w:val="003A7492"/>
    <w:rsid w:val="003B1073"/>
    <w:rsid w:val="003B16D3"/>
    <w:rsid w:val="003B1AC1"/>
    <w:rsid w:val="003B1C38"/>
    <w:rsid w:val="003B2714"/>
    <w:rsid w:val="003B27B5"/>
    <w:rsid w:val="003B27C7"/>
    <w:rsid w:val="003B2820"/>
    <w:rsid w:val="003B2A77"/>
    <w:rsid w:val="003B2EAF"/>
    <w:rsid w:val="003B3858"/>
    <w:rsid w:val="003B41CA"/>
    <w:rsid w:val="003B4426"/>
    <w:rsid w:val="003B4445"/>
    <w:rsid w:val="003B44F6"/>
    <w:rsid w:val="003B4DD4"/>
    <w:rsid w:val="003B57DE"/>
    <w:rsid w:val="003B62AF"/>
    <w:rsid w:val="003B72E5"/>
    <w:rsid w:val="003B7461"/>
    <w:rsid w:val="003B7692"/>
    <w:rsid w:val="003C0242"/>
    <w:rsid w:val="003C0794"/>
    <w:rsid w:val="003C093D"/>
    <w:rsid w:val="003C0B9A"/>
    <w:rsid w:val="003C1AD7"/>
    <w:rsid w:val="003C1D5D"/>
    <w:rsid w:val="003C2668"/>
    <w:rsid w:val="003C2C86"/>
    <w:rsid w:val="003C3702"/>
    <w:rsid w:val="003C3DBF"/>
    <w:rsid w:val="003C4066"/>
    <w:rsid w:val="003C4990"/>
    <w:rsid w:val="003C4C76"/>
    <w:rsid w:val="003C4DA2"/>
    <w:rsid w:val="003C4F1A"/>
    <w:rsid w:val="003C5269"/>
    <w:rsid w:val="003C5707"/>
    <w:rsid w:val="003C5C58"/>
    <w:rsid w:val="003C670F"/>
    <w:rsid w:val="003C75EC"/>
    <w:rsid w:val="003C760E"/>
    <w:rsid w:val="003C77B5"/>
    <w:rsid w:val="003C7C97"/>
    <w:rsid w:val="003D03DB"/>
    <w:rsid w:val="003D0656"/>
    <w:rsid w:val="003D069C"/>
    <w:rsid w:val="003D06DB"/>
    <w:rsid w:val="003D130F"/>
    <w:rsid w:val="003D1458"/>
    <w:rsid w:val="003D14CD"/>
    <w:rsid w:val="003D1656"/>
    <w:rsid w:val="003D18C7"/>
    <w:rsid w:val="003D19FC"/>
    <w:rsid w:val="003D1ACB"/>
    <w:rsid w:val="003D2755"/>
    <w:rsid w:val="003D27C7"/>
    <w:rsid w:val="003D29BE"/>
    <w:rsid w:val="003D30DE"/>
    <w:rsid w:val="003D3101"/>
    <w:rsid w:val="003D3474"/>
    <w:rsid w:val="003D3557"/>
    <w:rsid w:val="003D3973"/>
    <w:rsid w:val="003D3BC1"/>
    <w:rsid w:val="003D400C"/>
    <w:rsid w:val="003D47A9"/>
    <w:rsid w:val="003D4B6B"/>
    <w:rsid w:val="003D4ECE"/>
    <w:rsid w:val="003D4F1D"/>
    <w:rsid w:val="003D58E8"/>
    <w:rsid w:val="003D5D36"/>
    <w:rsid w:val="003D5E5D"/>
    <w:rsid w:val="003D614C"/>
    <w:rsid w:val="003D6B8E"/>
    <w:rsid w:val="003D6FB6"/>
    <w:rsid w:val="003D7B92"/>
    <w:rsid w:val="003E01A8"/>
    <w:rsid w:val="003E02D8"/>
    <w:rsid w:val="003E134B"/>
    <w:rsid w:val="003E17C4"/>
    <w:rsid w:val="003E1938"/>
    <w:rsid w:val="003E1B51"/>
    <w:rsid w:val="003E22FD"/>
    <w:rsid w:val="003E2924"/>
    <w:rsid w:val="003E2A15"/>
    <w:rsid w:val="003E2B29"/>
    <w:rsid w:val="003E2D70"/>
    <w:rsid w:val="003E3B34"/>
    <w:rsid w:val="003E411F"/>
    <w:rsid w:val="003E4192"/>
    <w:rsid w:val="003E423B"/>
    <w:rsid w:val="003E44EF"/>
    <w:rsid w:val="003E4B0E"/>
    <w:rsid w:val="003E4F2E"/>
    <w:rsid w:val="003E5014"/>
    <w:rsid w:val="003E5034"/>
    <w:rsid w:val="003E544C"/>
    <w:rsid w:val="003E5628"/>
    <w:rsid w:val="003E58F6"/>
    <w:rsid w:val="003E66DF"/>
    <w:rsid w:val="003E6959"/>
    <w:rsid w:val="003E6E13"/>
    <w:rsid w:val="003E6E1E"/>
    <w:rsid w:val="003E76B8"/>
    <w:rsid w:val="003E79BA"/>
    <w:rsid w:val="003F0549"/>
    <w:rsid w:val="003F0582"/>
    <w:rsid w:val="003F159B"/>
    <w:rsid w:val="003F1600"/>
    <w:rsid w:val="003F1CE2"/>
    <w:rsid w:val="003F1D49"/>
    <w:rsid w:val="003F20E1"/>
    <w:rsid w:val="003F22EB"/>
    <w:rsid w:val="003F2610"/>
    <w:rsid w:val="003F2BBA"/>
    <w:rsid w:val="003F3483"/>
    <w:rsid w:val="003F3622"/>
    <w:rsid w:val="003F4649"/>
    <w:rsid w:val="003F4911"/>
    <w:rsid w:val="003F54F1"/>
    <w:rsid w:val="003F5861"/>
    <w:rsid w:val="003F5D95"/>
    <w:rsid w:val="003F5DC1"/>
    <w:rsid w:val="003F5F65"/>
    <w:rsid w:val="003F6038"/>
    <w:rsid w:val="003F613F"/>
    <w:rsid w:val="003F62B0"/>
    <w:rsid w:val="003F6367"/>
    <w:rsid w:val="003F6572"/>
    <w:rsid w:val="003F6747"/>
    <w:rsid w:val="003F6A9E"/>
    <w:rsid w:val="003F6B77"/>
    <w:rsid w:val="003F7166"/>
    <w:rsid w:val="003F7AB6"/>
    <w:rsid w:val="003F7C1F"/>
    <w:rsid w:val="003F7ED9"/>
    <w:rsid w:val="003F7FF2"/>
    <w:rsid w:val="0040022E"/>
    <w:rsid w:val="00400376"/>
    <w:rsid w:val="00400475"/>
    <w:rsid w:val="004006E5"/>
    <w:rsid w:val="00400C52"/>
    <w:rsid w:val="00400DDF"/>
    <w:rsid w:val="00400E60"/>
    <w:rsid w:val="00401A7D"/>
    <w:rsid w:val="00401B88"/>
    <w:rsid w:val="00402517"/>
    <w:rsid w:val="004038B1"/>
    <w:rsid w:val="00403B59"/>
    <w:rsid w:val="00403B63"/>
    <w:rsid w:val="0040409B"/>
    <w:rsid w:val="00404282"/>
    <w:rsid w:val="00404A5C"/>
    <w:rsid w:val="0040620C"/>
    <w:rsid w:val="00406313"/>
    <w:rsid w:val="00406D9F"/>
    <w:rsid w:val="00406E87"/>
    <w:rsid w:val="00407105"/>
    <w:rsid w:val="00407174"/>
    <w:rsid w:val="00407497"/>
    <w:rsid w:val="004077B0"/>
    <w:rsid w:val="00410155"/>
    <w:rsid w:val="00410B53"/>
    <w:rsid w:val="00410E7F"/>
    <w:rsid w:val="004111F5"/>
    <w:rsid w:val="004114F9"/>
    <w:rsid w:val="00411ABC"/>
    <w:rsid w:val="004128FA"/>
    <w:rsid w:val="00412ACE"/>
    <w:rsid w:val="00412B25"/>
    <w:rsid w:val="00412C79"/>
    <w:rsid w:val="00412EBE"/>
    <w:rsid w:val="00412F0F"/>
    <w:rsid w:val="00413425"/>
    <w:rsid w:val="00413B0A"/>
    <w:rsid w:val="00413B81"/>
    <w:rsid w:val="00413D94"/>
    <w:rsid w:val="004146F4"/>
    <w:rsid w:val="00414FDD"/>
    <w:rsid w:val="004150BB"/>
    <w:rsid w:val="00415843"/>
    <w:rsid w:val="0041651F"/>
    <w:rsid w:val="004165B2"/>
    <w:rsid w:val="004171F6"/>
    <w:rsid w:val="0041781C"/>
    <w:rsid w:val="004178A6"/>
    <w:rsid w:val="00417D6B"/>
    <w:rsid w:val="00420934"/>
    <w:rsid w:val="004213D1"/>
    <w:rsid w:val="004213EB"/>
    <w:rsid w:val="00421533"/>
    <w:rsid w:val="00421A63"/>
    <w:rsid w:val="00421E74"/>
    <w:rsid w:val="0042228F"/>
    <w:rsid w:val="0042323D"/>
    <w:rsid w:val="00423768"/>
    <w:rsid w:val="00423955"/>
    <w:rsid w:val="00423C95"/>
    <w:rsid w:val="0042404B"/>
    <w:rsid w:val="004248CC"/>
    <w:rsid w:val="00424B30"/>
    <w:rsid w:val="00424E11"/>
    <w:rsid w:val="0042553D"/>
    <w:rsid w:val="004256A1"/>
    <w:rsid w:val="00425C6A"/>
    <w:rsid w:val="0042679A"/>
    <w:rsid w:val="00426D1D"/>
    <w:rsid w:val="004276EF"/>
    <w:rsid w:val="0042770F"/>
    <w:rsid w:val="00427F38"/>
    <w:rsid w:val="0043079F"/>
    <w:rsid w:val="00430AB3"/>
    <w:rsid w:val="00430CF5"/>
    <w:rsid w:val="00430D6E"/>
    <w:rsid w:val="00430DE6"/>
    <w:rsid w:val="00431330"/>
    <w:rsid w:val="0043174D"/>
    <w:rsid w:val="00432673"/>
    <w:rsid w:val="004339BC"/>
    <w:rsid w:val="00433B02"/>
    <w:rsid w:val="00433DEF"/>
    <w:rsid w:val="0043400C"/>
    <w:rsid w:val="0043414B"/>
    <w:rsid w:val="00434397"/>
    <w:rsid w:val="004344B3"/>
    <w:rsid w:val="00434C4C"/>
    <w:rsid w:val="00435056"/>
    <w:rsid w:val="00435194"/>
    <w:rsid w:val="004351C3"/>
    <w:rsid w:val="00435203"/>
    <w:rsid w:val="004356F7"/>
    <w:rsid w:val="00436169"/>
    <w:rsid w:val="0043639C"/>
    <w:rsid w:val="00437804"/>
    <w:rsid w:val="0043794E"/>
    <w:rsid w:val="00437D03"/>
    <w:rsid w:val="00440C04"/>
    <w:rsid w:val="0044177C"/>
    <w:rsid w:val="00441C7F"/>
    <w:rsid w:val="004420A1"/>
    <w:rsid w:val="00442B60"/>
    <w:rsid w:val="00442C6A"/>
    <w:rsid w:val="00442CA4"/>
    <w:rsid w:val="00443205"/>
    <w:rsid w:val="00443219"/>
    <w:rsid w:val="004432F0"/>
    <w:rsid w:val="00443696"/>
    <w:rsid w:val="0044375F"/>
    <w:rsid w:val="00443CC2"/>
    <w:rsid w:val="00443D59"/>
    <w:rsid w:val="0044454F"/>
    <w:rsid w:val="00444FEB"/>
    <w:rsid w:val="0044511B"/>
    <w:rsid w:val="0044520E"/>
    <w:rsid w:val="00445263"/>
    <w:rsid w:val="004452C5"/>
    <w:rsid w:val="00445F2A"/>
    <w:rsid w:val="00446348"/>
    <w:rsid w:val="0044697A"/>
    <w:rsid w:val="00446A40"/>
    <w:rsid w:val="00446C44"/>
    <w:rsid w:val="00447405"/>
    <w:rsid w:val="0044775C"/>
    <w:rsid w:val="00447808"/>
    <w:rsid w:val="00447952"/>
    <w:rsid w:val="00447A88"/>
    <w:rsid w:val="00447CFC"/>
    <w:rsid w:val="00447D57"/>
    <w:rsid w:val="00447F5B"/>
    <w:rsid w:val="00450351"/>
    <w:rsid w:val="0045111D"/>
    <w:rsid w:val="004513E9"/>
    <w:rsid w:val="00451BF9"/>
    <w:rsid w:val="00451FEE"/>
    <w:rsid w:val="004524AD"/>
    <w:rsid w:val="004525C8"/>
    <w:rsid w:val="004526B9"/>
    <w:rsid w:val="00453141"/>
    <w:rsid w:val="00453459"/>
    <w:rsid w:val="0045394A"/>
    <w:rsid w:val="00453B48"/>
    <w:rsid w:val="00453C47"/>
    <w:rsid w:val="00454AC5"/>
    <w:rsid w:val="00454C6A"/>
    <w:rsid w:val="0045504B"/>
    <w:rsid w:val="004554B2"/>
    <w:rsid w:val="004554E4"/>
    <w:rsid w:val="004556E6"/>
    <w:rsid w:val="0045680E"/>
    <w:rsid w:val="004568BD"/>
    <w:rsid w:val="004569B5"/>
    <w:rsid w:val="00456FDA"/>
    <w:rsid w:val="00457027"/>
    <w:rsid w:val="00457084"/>
    <w:rsid w:val="004570A5"/>
    <w:rsid w:val="00457404"/>
    <w:rsid w:val="00457733"/>
    <w:rsid w:val="00457B3D"/>
    <w:rsid w:val="004608E8"/>
    <w:rsid w:val="004612BE"/>
    <w:rsid w:val="004614C2"/>
    <w:rsid w:val="0046192F"/>
    <w:rsid w:val="004621AB"/>
    <w:rsid w:val="00462666"/>
    <w:rsid w:val="0046282F"/>
    <w:rsid w:val="00462965"/>
    <w:rsid w:val="004633CB"/>
    <w:rsid w:val="004633F5"/>
    <w:rsid w:val="004637B2"/>
    <w:rsid w:val="00464629"/>
    <w:rsid w:val="00464C63"/>
    <w:rsid w:val="00464FA9"/>
    <w:rsid w:val="0046536C"/>
    <w:rsid w:val="0046596C"/>
    <w:rsid w:val="00465AF7"/>
    <w:rsid w:val="00465BFE"/>
    <w:rsid w:val="00465CD7"/>
    <w:rsid w:val="00465D8C"/>
    <w:rsid w:val="00466384"/>
    <w:rsid w:val="00466396"/>
    <w:rsid w:val="004665B1"/>
    <w:rsid w:val="00466FBE"/>
    <w:rsid w:val="00467029"/>
    <w:rsid w:val="0046718C"/>
    <w:rsid w:val="0047029F"/>
    <w:rsid w:val="004704EB"/>
    <w:rsid w:val="00470733"/>
    <w:rsid w:val="00470A7D"/>
    <w:rsid w:val="00470CB5"/>
    <w:rsid w:val="004710B0"/>
    <w:rsid w:val="00471769"/>
    <w:rsid w:val="00471DFD"/>
    <w:rsid w:val="004722E9"/>
    <w:rsid w:val="004725E3"/>
    <w:rsid w:val="0047274C"/>
    <w:rsid w:val="00472B0D"/>
    <w:rsid w:val="0047381C"/>
    <w:rsid w:val="00473ABA"/>
    <w:rsid w:val="00473BC6"/>
    <w:rsid w:val="00473C03"/>
    <w:rsid w:val="00473C08"/>
    <w:rsid w:val="00473C7A"/>
    <w:rsid w:val="00474332"/>
    <w:rsid w:val="00474347"/>
    <w:rsid w:val="00474D0D"/>
    <w:rsid w:val="00475150"/>
    <w:rsid w:val="0047610F"/>
    <w:rsid w:val="0047618C"/>
    <w:rsid w:val="004766C9"/>
    <w:rsid w:val="00476AE2"/>
    <w:rsid w:val="00476C7F"/>
    <w:rsid w:val="004773CA"/>
    <w:rsid w:val="004774C0"/>
    <w:rsid w:val="004775B6"/>
    <w:rsid w:val="00477AC5"/>
    <w:rsid w:val="00480717"/>
    <w:rsid w:val="00480A94"/>
    <w:rsid w:val="00480D75"/>
    <w:rsid w:val="00480E15"/>
    <w:rsid w:val="00480E87"/>
    <w:rsid w:val="00480EFB"/>
    <w:rsid w:val="00480F49"/>
    <w:rsid w:val="00481191"/>
    <w:rsid w:val="004813BD"/>
    <w:rsid w:val="0048189F"/>
    <w:rsid w:val="00481E96"/>
    <w:rsid w:val="00482DC2"/>
    <w:rsid w:val="004830C9"/>
    <w:rsid w:val="00483B45"/>
    <w:rsid w:val="00484702"/>
    <w:rsid w:val="00485046"/>
    <w:rsid w:val="004852A3"/>
    <w:rsid w:val="00485946"/>
    <w:rsid w:val="00485E26"/>
    <w:rsid w:val="00486C3D"/>
    <w:rsid w:val="00486CC6"/>
    <w:rsid w:val="004873F2"/>
    <w:rsid w:val="00487E79"/>
    <w:rsid w:val="004906B3"/>
    <w:rsid w:val="00490A0D"/>
    <w:rsid w:val="00490C62"/>
    <w:rsid w:val="00491148"/>
    <w:rsid w:val="00491366"/>
    <w:rsid w:val="004913CF"/>
    <w:rsid w:val="0049166E"/>
    <w:rsid w:val="00491A8E"/>
    <w:rsid w:val="00491CE5"/>
    <w:rsid w:val="00491D36"/>
    <w:rsid w:val="0049271A"/>
    <w:rsid w:val="00493215"/>
    <w:rsid w:val="00493345"/>
    <w:rsid w:val="004933B3"/>
    <w:rsid w:val="00493F19"/>
    <w:rsid w:val="00494070"/>
    <w:rsid w:val="00494441"/>
    <w:rsid w:val="00494844"/>
    <w:rsid w:val="00494A97"/>
    <w:rsid w:val="00494AA4"/>
    <w:rsid w:val="0049549F"/>
    <w:rsid w:val="00495BFD"/>
    <w:rsid w:val="00495E1C"/>
    <w:rsid w:val="004961FD"/>
    <w:rsid w:val="004966FC"/>
    <w:rsid w:val="0049671C"/>
    <w:rsid w:val="004968CC"/>
    <w:rsid w:val="0049730C"/>
    <w:rsid w:val="00497ADA"/>
    <w:rsid w:val="00497CF2"/>
    <w:rsid w:val="00497DB6"/>
    <w:rsid w:val="00497DD9"/>
    <w:rsid w:val="004A1608"/>
    <w:rsid w:val="004A21B7"/>
    <w:rsid w:val="004A230F"/>
    <w:rsid w:val="004A2750"/>
    <w:rsid w:val="004A2A28"/>
    <w:rsid w:val="004A2BB4"/>
    <w:rsid w:val="004A33A9"/>
    <w:rsid w:val="004A35E1"/>
    <w:rsid w:val="004A3CED"/>
    <w:rsid w:val="004A3DDD"/>
    <w:rsid w:val="004A3FF0"/>
    <w:rsid w:val="004A4334"/>
    <w:rsid w:val="004A4715"/>
    <w:rsid w:val="004A492C"/>
    <w:rsid w:val="004A497B"/>
    <w:rsid w:val="004A4AC1"/>
    <w:rsid w:val="004A4AC5"/>
    <w:rsid w:val="004A4B49"/>
    <w:rsid w:val="004A50F7"/>
    <w:rsid w:val="004A5A4D"/>
    <w:rsid w:val="004A686C"/>
    <w:rsid w:val="004A7C7C"/>
    <w:rsid w:val="004A7F33"/>
    <w:rsid w:val="004B06AD"/>
    <w:rsid w:val="004B09F9"/>
    <w:rsid w:val="004B0E58"/>
    <w:rsid w:val="004B117B"/>
    <w:rsid w:val="004B1944"/>
    <w:rsid w:val="004B1E26"/>
    <w:rsid w:val="004B2A18"/>
    <w:rsid w:val="004B2D7F"/>
    <w:rsid w:val="004B2E18"/>
    <w:rsid w:val="004B2F1B"/>
    <w:rsid w:val="004B3875"/>
    <w:rsid w:val="004B4556"/>
    <w:rsid w:val="004B4975"/>
    <w:rsid w:val="004B4C5F"/>
    <w:rsid w:val="004B529D"/>
    <w:rsid w:val="004B5970"/>
    <w:rsid w:val="004B5A1C"/>
    <w:rsid w:val="004B601F"/>
    <w:rsid w:val="004B6DBA"/>
    <w:rsid w:val="004B6DEA"/>
    <w:rsid w:val="004B7939"/>
    <w:rsid w:val="004B7B4D"/>
    <w:rsid w:val="004C0928"/>
    <w:rsid w:val="004C0C74"/>
    <w:rsid w:val="004C0FD9"/>
    <w:rsid w:val="004C1B0E"/>
    <w:rsid w:val="004C1C79"/>
    <w:rsid w:val="004C1CEC"/>
    <w:rsid w:val="004C1D9F"/>
    <w:rsid w:val="004C271B"/>
    <w:rsid w:val="004C2AAC"/>
    <w:rsid w:val="004C2E58"/>
    <w:rsid w:val="004C2EEE"/>
    <w:rsid w:val="004C3C41"/>
    <w:rsid w:val="004C3C6B"/>
    <w:rsid w:val="004C3E65"/>
    <w:rsid w:val="004C3E74"/>
    <w:rsid w:val="004C4900"/>
    <w:rsid w:val="004C50EF"/>
    <w:rsid w:val="004C647A"/>
    <w:rsid w:val="004C6524"/>
    <w:rsid w:val="004C69A1"/>
    <w:rsid w:val="004C6BB2"/>
    <w:rsid w:val="004C6C41"/>
    <w:rsid w:val="004C78BC"/>
    <w:rsid w:val="004C7F4F"/>
    <w:rsid w:val="004D01BD"/>
    <w:rsid w:val="004D01C7"/>
    <w:rsid w:val="004D0556"/>
    <w:rsid w:val="004D08D6"/>
    <w:rsid w:val="004D113B"/>
    <w:rsid w:val="004D13AF"/>
    <w:rsid w:val="004D1967"/>
    <w:rsid w:val="004D28CA"/>
    <w:rsid w:val="004D38F9"/>
    <w:rsid w:val="004D3E68"/>
    <w:rsid w:val="004D4423"/>
    <w:rsid w:val="004D4B31"/>
    <w:rsid w:val="004D50FB"/>
    <w:rsid w:val="004D5AA2"/>
    <w:rsid w:val="004D5BEE"/>
    <w:rsid w:val="004D5DF9"/>
    <w:rsid w:val="004D6C73"/>
    <w:rsid w:val="004D72CC"/>
    <w:rsid w:val="004D7D79"/>
    <w:rsid w:val="004E0086"/>
    <w:rsid w:val="004E1007"/>
    <w:rsid w:val="004E11CF"/>
    <w:rsid w:val="004E13FE"/>
    <w:rsid w:val="004E1909"/>
    <w:rsid w:val="004E1EF8"/>
    <w:rsid w:val="004E20C9"/>
    <w:rsid w:val="004E22D4"/>
    <w:rsid w:val="004E2417"/>
    <w:rsid w:val="004E2876"/>
    <w:rsid w:val="004E2885"/>
    <w:rsid w:val="004E2DFF"/>
    <w:rsid w:val="004E2E47"/>
    <w:rsid w:val="004E2F3B"/>
    <w:rsid w:val="004E30A7"/>
    <w:rsid w:val="004E370C"/>
    <w:rsid w:val="004E3D72"/>
    <w:rsid w:val="004E3E89"/>
    <w:rsid w:val="004E4072"/>
    <w:rsid w:val="004E4641"/>
    <w:rsid w:val="004E4BE5"/>
    <w:rsid w:val="004E5380"/>
    <w:rsid w:val="004E571A"/>
    <w:rsid w:val="004E5999"/>
    <w:rsid w:val="004E6038"/>
    <w:rsid w:val="004E645E"/>
    <w:rsid w:val="004E690B"/>
    <w:rsid w:val="004E69AD"/>
    <w:rsid w:val="004E6FE4"/>
    <w:rsid w:val="004E73AF"/>
    <w:rsid w:val="004E7855"/>
    <w:rsid w:val="004E7BE9"/>
    <w:rsid w:val="004E7E97"/>
    <w:rsid w:val="004F0215"/>
    <w:rsid w:val="004F02C7"/>
    <w:rsid w:val="004F05BD"/>
    <w:rsid w:val="004F0BF7"/>
    <w:rsid w:val="004F0D5A"/>
    <w:rsid w:val="004F20B0"/>
    <w:rsid w:val="004F2B2C"/>
    <w:rsid w:val="004F3073"/>
    <w:rsid w:val="004F40E3"/>
    <w:rsid w:val="004F41F6"/>
    <w:rsid w:val="004F44E8"/>
    <w:rsid w:val="004F47E1"/>
    <w:rsid w:val="004F49A9"/>
    <w:rsid w:val="004F4C2A"/>
    <w:rsid w:val="004F4D19"/>
    <w:rsid w:val="004F4F94"/>
    <w:rsid w:val="004F4F98"/>
    <w:rsid w:val="004F525E"/>
    <w:rsid w:val="004F56FA"/>
    <w:rsid w:val="004F5BED"/>
    <w:rsid w:val="004F6316"/>
    <w:rsid w:val="004F6320"/>
    <w:rsid w:val="004F7BA1"/>
    <w:rsid w:val="0050101A"/>
    <w:rsid w:val="0050140B"/>
    <w:rsid w:val="0050177C"/>
    <w:rsid w:val="005024BB"/>
    <w:rsid w:val="0050330B"/>
    <w:rsid w:val="0050349E"/>
    <w:rsid w:val="0050384D"/>
    <w:rsid w:val="00503C4E"/>
    <w:rsid w:val="00504572"/>
    <w:rsid w:val="00504FB5"/>
    <w:rsid w:val="005059D9"/>
    <w:rsid w:val="00505D3C"/>
    <w:rsid w:val="00506469"/>
    <w:rsid w:val="005065C1"/>
    <w:rsid w:val="00506BA3"/>
    <w:rsid w:val="00506BBC"/>
    <w:rsid w:val="005071F8"/>
    <w:rsid w:val="00507805"/>
    <w:rsid w:val="005102A5"/>
    <w:rsid w:val="00511BCB"/>
    <w:rsid w:val="00512137"/>
    <w:rsid w:val="005121C9"/>
    <w:rsid w:val="00512CA2"/>
    <w:rsid w:val="00513028"/>
    <w:rsid w:val="00513046"/>
    <w:rsid w:val="0051306C"/>
    <w:rsid w:val="00513598"/>
    <w:rsid w:val="00513D5A"/>
    <w:rsid w:val="0051467D"/>
    <w:rsid w:val="00514967"/>
    <w:rsid w:val="00514CAC"/>
    <w:rsid w:val="005152DF"/>
    <w:rsid w:val="0051535B"/>
    <w:rsid w:val="00515B4F"/>
    <w:rsid w:val="00515E91"/>
    <w:rsid w:val="00516A52"/>
    <w:rsid w:val="00516E2F"/>
    <w:rsid w:val="00517695"/>
    <w:rsid w:val="0051770F"/>
    <w:rsid w:val="005204BE"/>
    <w:rsid w:val="00520DBD"/>
    <w:rsid w:val="00520DC1"/>
    <w:rsid w:val="0052142C"/>
    <w:rsid w:val="0052163E"/>
    <w:rsid w:val="005220AE"/>
    <w:rsid w:val="00522A75"/>
    <w:rsid w:val="00522AC5"/>
    <w:rsid w:val="00522EA2"/>
    <w:rsid w:val="00523025"/>
    <w:rsid w:val="00523752"/>
    <w:rsid w:val="00524AAF"/>
    <w:rsid w:val="00524B66"/>
    <w:rsid w:val="00524D6A"/>
    <w:rsid w:val="005256B8"/>
    <w:rsid w:val="00525C74"/>
    <w:rsid w:val="00526261"/>
    <w:rsid w:val="00526897"/>
    <w:rsid w:val="005268ED"/>
    <w:rsid w:val="00526A31"/>
    <w:rsid w:val="005273A7"/>
    <w:rsid w:val="005279EC"/>
    <w:rsid w:val="00527A20"/>
    <w:rsid w:val="00527BBC"/>
    <w:rsid w:val="00527C20"/>
    <w:rsid w:val="00527C79"/>
    <w:rsid w:val="00530C14"/>
    <w:rsid w:val="00530CFF"/>
    <w:rsid w:val="00530E57"/>
    <w:rsid w:val="00530FEA"/>
    <w:rsid w:val="005317C8"/>
    <w:rsid w:val="00531A4E"/>
    <w:rsid w:val="00531F18"/>
    <w:rsid w:val="005324BA"/>
    <w:rsid w:val="00532A27"/>
    <w:rsid w:val="00532B00"/>
    <w:rsid w:val="00532B1F"/>
    <w:rsid w:val="00532C73"/>
    <w:rsid w:val="00533237"/>
    <w:rsid w:val="00533BDF"/>
    <w:rsid w:val="00533F9A"/>
    <w:rsid w:val="00534052"/>
    <w:rsid w:val="00534965"/>
    <w:rsid w:val="00534BED"/>
    <w:rsid w:val="0053544C"/>
    <w:rsid w:val="00535687"/>
    <w:rsid w:val="00535A03"/>
    <w:rsid w:val="00535A78"/>
    <w:rsid w:val="00535B38"/>
    <w:rsid w:val="0053665C"/>
    <w:rsid w:val="005366FA"/>
    <w:rsid w:val="00536971"/>
    <w:rsid w:val="00536E6B"/>
    <w:rsid w:val="00536EAD"/>
    <w:rsid w:val="005372E2"/>
    <w:rsid w:val="005378BB"/>
    <w:rsid w:val="00540116"/>
    <w:rsid w:val="005401E9"/>
    <w:rsid w:val="005403C6"/>
    <w:rsid w:val="00540A54"/>
    <w:rsid w:val="00540AD1"/>
    <w:rsid w:val="00540B38"/>
    <w:rsid w:val="00541068"/>
    <w:rsid w:val="0054129E"/>
    <w:rsid w:val="00541497"/>
    <w:rsid w:val="0054184B"/>
    <w:rsid w:val="00542040"/>
    <w:rsid w:val="0054229F"/>
    <w:rsid w:val="0054235E"/>
    <w:rsid w:val="005428ED"/>
    <w:rsid w:val="00542B20"/>
    <w:rsid w:val="00542FFE"/>
    <w:rsid w:val="0054388C"/>
    <w:rsid w:val="00543C81"/>
    <w:rsid w:val="00543F02"/>
    <w:rsid w:val="00544622"/>
    <w:rsid w:val="005449CE"/>
    <w:rsid w:val="00544D1B"/>
    <w:rsid w:val="0054535F"/>
    <w:rsid w:val="00545552"/>
    <w:rsid w:val="005455AE"/>
    <w:rsid w:val="00545A10"/>
    <w:rsid w:val="00546A95"/>
    <w:rsid w:val="00547082"/>
    <w:rsid w:val="00547152"/>
    <w:rsid w:val="005476ED"/>
    <w:rsid w:val="00547F1B"/>
    <w:rsid w:val="005512D1"/>
    <w:rsid w:val="00551B0B"/>
    <w:rsid w:val="00551E69"/>
    <w:rsid w:val="00552781"/>
    <w:rsid w:val="00552E84"/>
    <w:rsid w:val="00552F71"/>
    <w:rsid w:val="00553B76"/>
    <w:rsid w:val="00553C13"/>
    <w:rsid w:val="00554B34"/>
    <w:rsid w:val="00554E83"/>
    <w:rsid w:val="0055572A"/>
    <w:rsid w:val="00555A33"/>
    <w:rsid w:val="00555B53"/>
    <w:rsid w:val="0055626D"/>
    <w:rsid w:val="00556691"/>
    <w:rsid w:val="00556A71"/>
    <w:rsid w:val="00556AF7"/>
    <w:rsid w:val="00556DBB"/>
    <w:rsid w:val="005570C4"/>
    <w:rsid w:val="005572ED"/>
    <w:rsid w:val="00557644"/>
    <w:rsid w:val="005577EE"/>
    <w:rsid w:val="00557E83"/>
    <w:rsid w:val="0056029B"/>
    <w:rsid w:val="005609E4"/>
    <w:rsid w:val="00560DCF"/>
    <w:rsid w:val="005610EF"/>
    <w:rsid w:val="00561BA7"/>
    <w:rsid w:val="00561CDA"/>
    <w:rsid w:val="00562034"/>
    <w:rsid w:val="00562369"/>
    <w:rsid w:val="00562987"/>
    <w:rsid w:val="00562AF0"/>
    <w:rsid w:val="005630B1"/>
    <w:rsid w:val="00563301"/>
    <w:rsid w:val="0056407A"/>
    <w:rsid w:val="005640A6"/>
    <w:rsid w:val="00564822"/>
    <w:rsid w:val="00564F4D"/>
    <w:rsid w:val="0056502B"/>
    <w:rsid w:val="00565A3A"/>
    <w:rsid w:val="00566806"/>
    <w:rsid w:val="00566EFA"/>
    <w:rsid w:val="0056738A"/>
    <w:rsid w:val="005675D7"/>
    <w:rsid w:val="00567873"/>
    <w:rsid w:val="00567A20"/>
    <w:rsid w:val="00567F30"/>
    <w:rsid w:val="00567FF5"/>
    <w:rsid w:val="00570121"/>
    <w:rsid w:val="005707D1"/>
    <w:rsid w:val="00570870"/>
    <w:rsid w:val="0057090E"/>
    <w:rsid w:val="00570AC9"/>
    <w:rsid w:val="00571073"/>
    <w:rsid w:val="00571205"/>
    <w:rsid w:val="00571C10"/>
    <w:rsid w:val="00571EE7"/>
    <w:rsid w:val="00572613"/>
    <w:rsid w:val="00572A17"/>
    <w:rsid w:val="00572EFC"/>
    <w:rsid w:val="00573006"/>
    <w:rsid w:val="00573774"/>
    <w:rsid w:val="00574088"/>
    <w:rsid w:val="005743F3"/>
    <w:rsid w:val="005744E8"/>
    <w:rsid w:val="00575260"/>
    <w:rsid w:val="005752B8"/>
    <w:rsid w:val="005760A5"/>
    <w:rsid w:val="00576721"/>
    <w:rsid w:val="00576F57"/>
    <w:rsid w:val="0057742A"/>
    <w:rsid w:val="00577465"/>
    <w:rsid w:val="00577678"/>
    <w:rsid w:val="005776BD"/>
    <w:rsid w:val="00577796"/>
    <w:rsid w:val="00577E46"/>
    <w:rsid w:val="00577ED6"/>
    <w:rsid w:val="00577F4D"/>
    <w:rsid w:val="00580838"/>
    <w:rsid w:val="00580D73"/>
    <w:rsid w:val="00580DFE"/>
    <w:rsid w:val="0058188E"/>
    <w:rsid w:val="00581C0E"/>
    <w:rsid w:val="00582012"/>
    <w:rsid w:val="0058227C"/>
    <w:rsid w:val="00582E75"/>
    <w:rsid w:val="00583441"/>
    <w:rsid w:val="00583779"/>
    <w:rsid w:val="00583FB8"/>
    <w:rsid w:val="00584DDD"/>
    <w:rsid w:val="00584F08"/>
    <w:rsid w:val="005851CD"/>
    <w:rsid w:val="0058544C"/>
    <w:rsid w:val="00585530"/>
    <w:rsid w:val="005857B3"/>
    <w:rsid w:val="00586FAF"/>
    <w:rsid w:val="00587640"/>
    <w:rsid w:val="00587671"/>
    <w:rsid w:val="00587736"/>
    <w:rsid w:val="00587BE8"/>
    <w:rsid w:val="00590A38"/>
    <w:rsid w:val="00590B95"/>
    <w:rsid w:val="00590D43"/>
    <w:rsid w:val="0059132D"/>
    <w:rsid w:val="005915A8"/>
    <w:rsid w:val="00591730"/>
    <w:rsid w:val="005928EB"/>
    <w:rsid w:val="005929F9"/>
    <w:rsid w:val="00592A78"/>
    <w:rsid w:val="00592D44"/>
    <w:rsid w:val="00592EDB"/>
    <w:rsid w:val="0059386E"/>
    <w:rsid w:val="0059396B"/>
    <w:rsid w:val="00593D73"/>
    <w:rsid w:val="00593E44"/>
    <w:rsid w:val="00594110"/>
    <w:rsid w:val="0059508B"/>
    <w:rsid w:val="005953A3"/>
    <w:rsid w:val="005954DA"/>
    <w:rsid w:val="005958BF"/>
    <w:rsid w:val="00595E16"/>
    <w:rsid w:val="00595E66"/>
    <w:rsid w:val="00596183"/>
    <w:rsid w:val="00596844"/>
    <w:rsid w:val="00596BE2"/>
    <w:rsid w:val="00596D58"/>
    <w:rsid w:val="00597128"/>
    <w:rsid w:val="00597147"/>
    <w:rsid w:val="005975B5"/>
    <w:rsid w:val="005979C9"/>
    <w:rsid w:val="00597F2A"/>
    <w:rsid w:val="005A01B6"/>
    <w:rsid w:val="005A0619"/>
    <w:rsid w:val="005A0CE1"/>
    <w:rsid w:val="005A12C3"/>
    <w:rsid w:val="005A15CB"/>
    <w:rsid w:val="005A16DF"/>
    <w:rsid w:val="005A189B"/>
    <w:rsid w:val="005A1FEF"/>
    <w:rsid w:val="005A2082"/>
    <w:rsid w:val="005A3296"/>
    <w:rsid w:val="005A3A6C"/>
    <w:rsid w:val="005A3DD7"/>
    <w:rsid w:val="005A3E84"/>
    <w:rsid w:val="005A3FD5"/>
    <w:rsid w:val="005A4CFD"/>
    <w:rsid w:val="005A5383"/>
    <w:rsid w:val="005A5B56"/>
    <w:rsid w:val="005A64E7"/>
    <w:rsid w:val="005A6946"/>
    <w:rsid w:val="005A6976"/>
    <w:rsid w:val="005A6A09"/>
    <w:rsid w:val="005A7446"/>
    <w:rsid w:val="005A7A25"/>
    <w:rsid w:val="005A7B46"/>
    <w:rsid w:val="005A7FEB"/>
    <w:rsid w:val="005B0344"/>
    <w:rsid w:val="005B038C"/>
    <w:rsid w:val="005B085E"/>
    <w:rsid w:val="005B10D6"/>
    <w:rsid w:val="005B15A7"/>
    <w:rsid w:val="005B1819"/>
    <w:rsid w:val="005B196B"/>
    <w:rsid w:val="005B1B74"/>
    <w:rsid w:val="005B2AB1"/>
    <w:rsid w:val="005B2C36"/>
    <w:rsid w:val="005B310C"/>
    <w:rsid w:val="005B3277"/>
    <w:rsid w:val="005B3360"/>
    <w:rsid w:val="005B442F"/>
    <w:rsid w:val="005B4815"/>
    <w:rsid w:val="005B4A2A"/>
    <w:rsid w:val="005B5118"/>
    <w:rsid w:val="005B5184"/>
    <w:rsid w:val="005B590A"/>
    <w:rsid w:val="005B650D"/>
    <w:rsid w:val="005B6CFA"/>
    <w:rsid w:val="005B702A"/>
    <w:rsid w:val="005B7836"/>
    <w:rsid w:val="005C062F"/>
    <w:rsid w:val="005C10F6"/>
    <w:rsid w:val="005C2BA2"/>
    <w:rsid w:val="005C2C70"/>
    <w:rsid w:val="005C34B0"/>
    <w:rsid w:val="005C3628"/>
    <w:rsid w:val="005C3961"/>
    <w:rsid w:val="005C524F"/>
    <w:rsid w:val="005C557F"/>
    <w:rsid w:val="005C5C13"/>
    <w:rsid w:val="005C6176"/>
    <w:rsid w:val="005C69A6"/>
    <w:rsid w:val="005C6CDC"/>
    <w:rsid w:val="005C7213"/>
    <w:rsid w:val="005C7229"/>
    <w:rsid w:val="005C771D"/>
    <w:rsid w:val="005D02C8"/>
    <w:rsid w:val="005D0544"/>
    <w:rsid w:val="005D0690"/>
    <w:rsid w:val="005D0D29"/>
    <w:rsid w:val="005D0F87"/>
    <w:rsid w:val="005D11E3"/>
    <w:rsid w:val="005D1437"/>
    <w:rsid w:val="005D1748"/>
    <w:rsid w:val="005D2219"/>
    <w:rsid w:val="005D229E"/>
    <w:rsid w:val="005D2481"/>
    <w:rsid w:val="005D282D"/>
    <w:rsid w:val="005D317B"/>
    <w:rsid w:val="005D32F2"/>
    <w:rsid w:val="005D335D"/>
    <w:rsid w:val="005D3BBE"/>
    <w:rsid w:val="005D4313"/>
    <w:rsid w:val="005D4824"/>
    <w:rsid w:val="005D4CB0"/>
    <w:rsid w:val="005D6187"/>
    <w:rsid w:val="005D69AE"/>
    <w:rsid w:val="005D6B65"/>
    <w:rsid w:val="005D6DA6"/>
    <w:rsid w:val="005D6EE8"/>
    <w:rsid w:val="005D7127"/>
    <w:rsid w:val="005D714F"/>
    <w:rsid w:val="005D72F0"/>
    <w:rsid w:val="005E0346"/>
    <w:rsid w:val="005E1158"/>
    <w:rsid w:val="005E17F8"/>
    <w:rsid w:val="005E1D41"/>
    <w:rsid w:val="005E1D6E"/>
    <w:rsid w:val="005E1E81"/>
    <w:rsid w:val="005E35C0"/>
    <w:rsid w:val="005E3A38"/>
    <w:rsid w:val="005E3C2B"/>
    <w:rsid w:val="005E3FF3"/>
    <w:rsid w:val="005E41FF"/>
    <w:rsid w:val="005E4E2A"/>
    <w:rsid w:val="005E4E82"/>
    <w:rsid w:val="005E563D"/>
    <w:rsid w:val="005E5769"/>
    <w:rsid w:val="005E5D4C"/>
    <w:rsid w:val="005E5E3F"/>
    <w:rsid w:val="005E60E0"/>
    <w:rsid w:val="005E62FC"/>
    <w:rsid w:val="005E6557"/>
    <w:rsid w:val="005E6764"/>
    <w:rsid w:val="005E6944"/>
    <w:rsid w:val="005E6E44"/>
    <w:rsid w:val="005E754C"/>
    <w:rsid w:val="005E7577"/>
    <w:rsid w:val="005E75FF"/>
    <w:rsid w:val="005E7871"/>
    <w:rsid w:val="005E79EB"/>
    <w:rsid w:val="005E7A82"/>
    <w:rsid w:val="005F13B4"/>
    <w:rsid w:val="005F1489"/>
    <w:rsid w:val="005F152B"/>
    <w:rsid w:val="005F194B"/>
    <w:rsid w:val="005F1E69"/>
    <w:rsid w:val="005F2703"/>
    <w:rsid w:val="005F3178"/>
    <w:rsid w:val="005F321B"/>
    <w:rsid w:val="005F330E"/>
    <w:rsid w:val="005F35CB"/>
    <w:rsid w:val="005F3C0B"/>
    <w:rsid w:val="005F3D65"/>
    <w:rsid w:val="005F4183"/>
    <w:rsid w:val="005F4A1A"/>
    <w:rsid w:val="005F58BC"/>
    <w:rsid w:val="005F5B4F"/>
    <w:rsid w:val="005F6156"/>
    <w:rsid w:val="005F660C"/>
    <w:rsid w:val="005F7D6F"/>
    <w:rsid w:val="005F7DC0"/>
    <w:rsid w:val="00600AA6"/>
    <w:rsid w:val="00600C3A"/>
    <w:rsid w:val="00601030"/>
    <w:rsid w:val="00601307"/>
    <w:rsid w:val="00601BA1"/>
    <w:rsid w:val="00601D00"/>
    <w:rsid w:val="00601D6F"/>
    <w:rsid w:val="00601D9C"/>
    <w:rsid w:val="00602538"/>
    <w:rsid w:val="00602867"/>
    <w:rsid w:val="0060286B"/>
    <w:rsid w:val="0060319F"/>
    <w:rsid w:val="00603273"/>
    <w:rsid w:val="006039E8"/>
    <w:rsid w:val="00603D8A"/>
    <w:rsid w:val="00603D93"/>
    <w:rsid w:val="00604206"/>
    <w:rsid w:val="0060454D"/>
    <w:rsid w:val="006049B8"/>
    <w:rsid w:val="00604AC1"/>
    <w:rsid w:val="00604DFA"/>
    <w:rsid w:val="006052D8"/>
    <w:rsid w:val="00605D7A"/>
    <w:rsid w:val="006072C4"/>
    <w:rsid w:val="006076ED"/>
    <w:rsid w:val="00607C1F"/>
    <w:rsid w:val="00607F9D"/>
    <w:rsid w:val="006102AB"/>
    <w:rsid w:val="006105AC"/>
    <w:rsid w:val="00610B0A"/>
    <w:rsid w:val="00610B0F"/>
    <w:rsid w:val="0061176D"/>
    <w:rsid w:val="00611AA9"/>
    <w:rsid w:val="00611B61"/>
    <w:rsid w:val="00611C35"/>
    <w:rsid w:val="00611D9F"/>
    <w:rsid w:val="00611ECC"/>
    <w:rsid w:val="006120CD"/>
    <w:rsid w:val="00612843"/>
    <w:rsid w:val="00613415"/>
    <w:rsid w:val="00613425"/>
    <w:rsid w:val="00613A03"/>
    <w:rsid w:val="00613DAC"/>
    <w:rsid w:val="00614797"/>
    <w:rsid w:val="006148FF"/>
    <w:rsid w:val="0061510E"/>
    <w:rsid w:val="0061511D"/>
    <w:rsid w:val="006151A9"/>
    <w:rsid w:val="006157F1"/>
    <w:rsid w:val="00616036"/>
    <w:rsid w:val="0061613D"/>
    <w:rsid w:val="00616D5D"/>
    <w:rsid w:val="0061737B"/>
    <w:rsid w:val="00617987"/>
    <w:rsid w:val="00617F2F"/>
    <w:rsid w:val="00620000"/>
    <w:rsid w:val="0062077E"/>
    <w:rsid w:val="00620A21"/>
    <w:rsid w:val="00620A42"/>
    <w:rsid w:val="00620DE7"/>
    <w:rsid w:val="00620EF2"/>
    <w:rsid w:val="00620FB7"/>
    <w:rsid w:val="00621299"/>
    <w:rsid w:val="006216FF"/>
    <w:rsid w:val="00621E82"/>
    <w:rsid w:val="00622041"/>
    <w:rsid w:val="00622538"/>
    <w:rsid w:val="0062299C"/>
    <w:rsid w:val="00622AD2"/>
    <w:rsid w:val="00622BB0"/>
    <w:rsid w:val="00622C20"/>
    <w:rsid w:val="006232A4"/>
    <w:rsid w:val="0062341F"/>
    <w:rsid w:val="00623653"/>
    <w:rsid w:val="0062383B"/>
    <w:rsid w:val="00623E3A"/>
    <w:rsid w:val="0062459A"/>
    <w:rsid w:val="00624C09"/>
    <w:rsid w:val="00624CBE"/>
    <w:rsid w:val="00625059"/>
    <w:rsid w:val="0062550E"/>
    <w:rsid w:val="00625F0D"/>
    <w:rsid w:val="006262BA"/>
    <w:rsid w:val="006265F4"/>
    <w:rsid w:val="0062697F"/>
    <w:rsid w:val="00626CCC"/>
    <w:rsid w:val="00626E06"/>
    <w:rsid w:val="00627BD4"/>
    <w:rsid w:val="00627F5E"/>
    <w:rsid w:val="00630484"/>
    <w:rsid w:val="00630959"/>
    <w:rsid w:val="00630BE5"/>
    <w:rsid w:val="006319DB"/>
    <w:rsid w:val="00632C36"/>
    <w:rsid w:val="00633451"/>
    <w:rsid w:val="00633C69"/>
    <w:rsid w:val="00633F1B"/>
    <w:rsid w:val="00634462"/>
    <w:rsid w:val="00634476"/>
    <w:rsid w:val="006344AA"/>
    <w:rsid w:val="006348F1"/>
    <w:rsid w:val="00634B55"/>
    <w:rsid w:val="006354A9"/>
    <w:rsid w:val="00635559"/>
    <w:rsid w:val="00635825"/>
    <w:rsid w:val="00635845"/>
    <w:rsid w:val="00636DB6"/>
    <w:rsid w:val="00636FB1"/>
    <w:rsid w:val="00637C64"/>
    <w:rsid w:val="00637EB3"/>
    <w:rsid w:val="00637F8D"/>
    <w:rsid w:val="00640303"/>
    <w:rsid w:val="00640462"/>
    <w:rsid w:val="006405E7"/>
    <w:rsid w:val="0064088D"/>
    <w:rsid w:val="0064135B"/>
    <w:rsid w:val="00641C53"/>
    <w:rsid w:val="00641F4C"/>
    <w:rsid w:val="00641F9B"/>
    <w:rsid w:val="00642607"/>
    <w:rsid w:val="006426D6"/>
    <w:rsid w:val="006435A7"/>
    <w:rsid w:val="00643B6B"/>
    <w:rsid w:val="00643D1C"/>
    <w:rsid w:val="006442FE"/>
    <w:rsid w:val="006443FB"/>
    <w:rsid w:val="006448B9"/>
    <w:rsid w:val="00644923"/>
    <w:rsid w:val="00646050"/>
    <w:rsid w:val="0064699C"/>
    <w:rsid w:val="00646CFA"/>
    <w:rsid w:val="00646FDD"/>
    <w:rsid w:val="00647137"/>
    <w:rsid w:val="0064747A"/>
    <w:rsid w:val="00647B85"/>
    <w:rsid w:val="00650436"/>
    <w:rsid w:val="0065074E"/>
    <w:rsid w:val="00651A81"/>
    <w:rsid w:val="00651DCC"/>
    <w:rsid w:val="00651E6D"/>
    <w:rsid w:val="00652853"/>
    <w:rsid w:val="00652F25"/>
    <w:rsid w:val="00653446"/>
    <w:rsid w:val="00655817"/>
    <w:rsid w:val="0065587C"/>
    <w:rsid w:val="00655A19"/>
    <w:rsid w:val="00655F74"/>
    <w:rsid w:val="00656434"/>
    <w:rsid w:val="00656475"/>
    <w:rsid w:val="006567CC"/>
    <w:rsid w:val="00656B8F"/>
    <w:rsid w:val="00656FBC"/>
    <w:rsid w:val="00657B85"/>
    <w:rsid w:val="006601E9"/>
    <w:rsid w:val="006607C4"/>
    <w:rsid w:val="0066093E"/>
    <w:rsid w:val="00660942"/>
    <w:rsid w:val="00660AAD"/>
    <w:rsid w:val="00660D3D"/>
    <w:rsid w:val="00660DF2"/>
    <w:rsid w:val="006611D9"/>
    <w:rsid w:val="006613A6"/>
    <w:rsid w:val="00661713"/>
    <w:rsid w:val="006617B0"/>
    <w:rsid w:val="00661D90"/>
    <w:rsid w:val="00661EC4"/>
    <w:rsid w:val="006623E4"/>
    <w:rsid w:val="0066268F"/>
    <w:rsid w:val="00662E0A"/>
    <w:rsid w:val="006633A4"/>
    <w:rsid w:val="00663B21"/>
    <w:rsid w:val="00664675"/>
    <w:rsid w:val="00664CD0"/>
    <w:rsid w:val="00664F32"/>
    <w:rsid w:val="0066538E"/>
    <w:rsid w:val="006658D9"/>
    <w:rsid w:val="00665B67"/>
    <w:rsid w:val="00665FBF"/>
    <w:rsid w:val="00665FEF"/>
    <w:rsid w:val="00666032"/>
    <w:rsid w:val="00666097"/>
    <w:rsid w:val="006661D9"/>
    <w:rsid w:val="00666D76"/>
    <w:rsid w:val="00667466"/>
    <w:rsid w:val="00667ABF"/>
    <w:rsid w:val="0067034B"/>
    <w:rsid w:val="00670641"/>
    <w:rsid w:val="00670CED"/>
    <w:rsid w:val="006717B4"/>
    <w:rsid w:val="00671912"/>
    <w:rsid w:val="006725F8"/>
    <w:rsid w:val="00672A29"/>
    <w:rsid w:val="00673330"/>
    <w:rsid w:val="0067351D"/>
    <w:rsid w:val="006736BF"/>
    <w:rsid w:val="00673871"/>
    <w:rsid w:val="00674174"/>
    <w:rsid w:val="006741E5"/>
    <w:rsid w:val="006742EA"/>
    <w:rsid w:val="0067465C"/>
    <w:rsid w:val="006749A4"/>
    <w:rsid w:val="0067526D"/>
    <w:rsid w:val="00675D17"/>
    <w:rsid w:val="006760B8"/>
    <w:rsid w:val="0067629C"/>
    <w:rsid w:val="00676465"/>
    <w:rsid w:val="00676784"/>
    <w:rsid w:val="006768EC"/>
    <w:rsid w:val="00676955"/>
    <w:rsid w:val="00676A97"/>
    <w:rsid w:val="0067705A"/>
    <w:rsid w:val="0067741C"/>
    <w:rsid w:val="006778BE"/>
    <w:rsid w:val="00677C16"/>
    <w:rsid w:val="006800F8"/>
    <w:rsid w:val="00680199"/>
    <w:rsid w:val="00681813"/>
    <w:rsid w:val="00681963"/>
    <w:rsid w:val="00681999"/>
    <w:rsid w:val="00681DE9"/>
    <w:rsid w:val="006827E2"/>
    <w:rsid w:val="00682A35"/>
    <w:rsid w:val="00682E1E"/>
    <w:rsid w:val="00682E44"/>
    <w:rsid w:val="00683951"/>
    <w:rsid w:val="006839B0"/>
    <w:rsid w:val="00683B97"/>
    <w:rsid w:val="00683C8C"/>
    <w:rsid w:val="00683D93"/>
    <w:rsid w:val="00684046"/>
    <w:rsid w:val="006847E2"/>
    <w:rsid w:val="00685C0C"/>
    <w:rsid w:val="00685D69"/>
    <w:rsid w:val="0068606A"/>
    <w:rsid w:val="00686F45"/>
    <w:rsid w:val="00687CA7"/>
    <w:rsid w:val="0069164C"/>
    <w:rsid w:val="00692A63"/>
    <w:rsid w:val="0069375F"/>
    <w:rsid w:val="0069376F"/>
    <w:rsid w:val="0069388D"/>
    <w:rsid w:val="006943DB"/>
    <w:rsid w:val="0069466C"/>
    <w:rsid w:val="0069580A"/>
    <w:rsid w:val="00695CEE"/>
    <w:rsid w:val="006961DE"/>
    <w:rsid w:val="006967EF"/>
    <w:rsid w:val="00696B04"/>
    <w:rsid w:val="00696FA7"/>
    <w:rsid w:val="006A03E6"/>
    <w:rsid w:val="006A07D6"/>
    <w:rsid w:val="006A0C51"/>
    <w:rsid w:val="006A0E08"/>
    <w:rsid w:val="006A1561"/>
    <w:rsid w:val="006A1938"/>
    <w:rsid w:val="006A1990"/>
    <w:rsid w:val="006A1F68"/>
    <w:rsid w:val="006A25FD"/>
    <w:rsid w:val="006A26AC"/>
    <w:rsid w:val="006A281C"/>
    <w:rsid w:val="006A2A34"/>
    <w:rsid w:val="006A3521"/>
    <w:rsid w:val="006A38BA"/>
    <w:rsid w:val="006A46E1"/>
    <w:rsid w:val="006A480B"/>
    <w:rsid w:val="006A4D41"/>
    <w:rsid w:val="006A50C0"/>
    <w:rsid w:val="006A5BC6"/>
    <w:rsid w:val="006A5F7B"/>
    <w:rsid w:val="006A6681"/>
    <w:rsid w:val="006A6EAF"/>
    <w:rsid w:val="006A74A4"/>
    <w:rsid w:val="006A750A"/>
    <w:rsid w:val="006A7643"/>
    <w:rsid w:val="006A77E9"/>
    <w:rsid w:val="006A7898"/>
    <w:rsid w:val="006B01F2"/>
    <w:rsid w:val="006B0C74"/>
    <w:rsid w:val="006B0DF8"/>
    <w:rsid w:val="006B114A"/>
    <w:rsid w:val="006B1394"/>
    <w:rsid w:val="006B13F4"/>
    <w:rsid w:val="006B1955"/>
    <w:rsid w:val="006B2159"/>
    <w:rsid w:val="006B25F9"/>
    <w:rsid w:val="006B2EEC"/>
    <w:rsid w:val="006B313B"/>
    <w:rsid w:val="006B3721"/>
    <w:rsid w:val="006B3821"/>
    <w:rsid w:val="006B3CAF"/>
    <w:rsid w:val="006B3D26"/>
    <w:rsid w:val="006B3F55"/>
    <w:rsid w:val="006B4654"/>
    <w:rsid w:val="006B4B2F"/>
    <w:rsid w:val="006B4BA2"/>
    <w:rsid w:val="006B4CB0"/>
    <w:rsid w:val="006B4F6B"/>
    <w:rsid w:val="006B542D"/>
    <w:rsid w:val="006B66D9"/>
    <w:rsid w:val="006B6B72"/>
    <w:rsid w:val="006B7405"/>
    <w:rsid w:val="006B7C55"/>
    <w:rsid w:val="006B7F49"/>
    <w:rsid w:val="006C0166"/>
    <w:rsid w:val="006C01EC"/>
    <w:rsid w:val="006C133A"/>
    <w:rsid w:val="006C1EB4"/>
    <w:rsid w:val="006C229B"/>
    <w:rsid w:val="006C26A5"/>
    <w:rsid w:val="006C3058"/>
    <w:rsid w:val="006C345E"/>
    <w:rsid w:val="006C36CB"/>
    <w:rsid w:val="006C5029"/>
    <w:rsid w:val="006C519E"/>
    <w:rsid w:val="006C542A"/>
    <w:rsid w:val="006C5463"/>
    <w:rsid w:val="006C56EB"/>
    <w:rsid w:val="006C6395"/>
    <w:rsid w:val="006C6B8D"/>
    <w:rsid w:val="006C6BB5"/>
    <w:rsid w:val="006C6EEE"/>
    <w:rsid w:val="006C7A0A"/>
    <w:rsid w:val="006D00BA"/>
    <w:rsid w:val="006D0129"/>
    <w:rsid w:val="006D0FD9"/>
    <w:rsid w:val="006D1B85"/>
    <w:rsid w:val="006D2897"/>
    <w:rsid w:val="006D2910"/>
    <w:rsid w:val="006D2E67"/>
    <w:rsid w:val="006D2E9D"/>
    <w:rsid w:val="006D3628"/>
    <w:rsid w:val="006D48F6"/>
    <w:rsid w:val="006D4A23"/>
    <w:rsid w:val="006D4B1E"/>
    <w:rsid w:val="006D4F04"/>
    <w:rsid w:val="006D516B"/>
    <w:rsid w:val="006D539E"/>
    <w:rsid w:val="006D5A2B"/>
    <w:rsid w:val="006D6C6C"/>
    <w:rsid w:val="006D79A3"/>
    <w:rsid w:val="006D7A14"/>
    <w:rsid w:val="006D7AF4"/>
    <w:rsid w:val="006E01F4"/>
    <w:rsid w:val="006E02D2"/>
    <w:rsid w:val="006E07A7"/>
    <w:rsid w:val="006E0D62"/>
    <w:rsid w:val="006E0FCB"/>
    <w:rsid w:val="006E1103"/>
    <w:rsid w:val="006E1A98"/>
    <w:rsid w:val="006E1C49"/>
    <w:rsid w:val="006E2367"/>
    <w:rsid w:val="006E2450"/>
    <w:rsid w:val="006E3ADA"/>
    <w:rsid w:val="006E4134"/>
    <w:rsid w:val="006E468F"/>
    <w:rsid w:val="006E4A3E"/>
    <w:rsid w:val="006E4AE9"/>
    <w:rsid w:val="006E4F75"/>
    <w:rsid w:val="006E4FF8"/>
    <w:rsid w:val="006E595C"/>
    <w:rsid w:val="006E5981"/>
    <w:rsid w:val="006E6AE2"/>
    <w:rsid w:val="006E7292"/>
    <w:rsid w:val="006E7643"/>
    <w:rsid w:val="006E7AB9"/>
    <w:rsid w:val="006F013A"/>
    <w:rsid w:val="006F0850"/>
    <w:rsid w:val="006F08DA"/>
    <w:rsid w:val="006F0959"/>
    <w:rsid w:val="006F097D"/>
    <w:rsid w:val="006F0A8B"/>
    <w:rsid w:val="006F1182"/>
    <w:rsid w:val="006F1294"/>
    <w:rsid w:val="006F16AD"/>
    <w:rsid w:val="006F1B10"/>
    <w:rsid w:val="006F2395"/>
    <w:rsid w:val="006F3261"/>
    <w:rsid w:val="006F3756"/>
    <w:rsid w:val="006F3761"/>
    <w:rsid w:val="006F3EF8"/>
    <w:rsid w:val="006F48EE"/>
    <w:rsid w:val="006F4BA6"/>
    <w:rsid w:val="006F527C"/>
    <w:rsid w:val="006F5644"/>
    <w:rsid w:val="006F5A3A"/>
    <w:rsid w:val="006F5B63"/>
    <w:rsid w:val="006F5CA4"/>
    <w:rsid w:val="006F5EED"/>
    <w:rsid w:val="006F65AD"/>
    <w:rsid w:val="006F7139"/>
    <w:rsid w:val="006F749F"/>
    <w:rsid w:val="006F7931"/>
    <w:rsid w:val="006F7F08"/>
    <w:rsid w:val="006F7F6C"/>
    <w:rsid w:val="0070040B"/>
    <w:rsid w:val="00700BA4"/>
    <w:rsid w:val="00701DC9"/>
    <w:rsid w:val="007020A5"/>
    <w:rsid w:val="00702147"/>
    <w:rsid w:val="00702355"/>
    <w:rsid w:val="00702629"/>
    <w:rsid w:val="007028E7"/>
    <w:rsid w:val="00702BFD"/>
    <w:rsid w:val="00702E73"/>
    <w:rsid w:val="00703069"/>
    <w:rsid w:val="007033BD"/>
    <w:rsid w:val="00703DF3"/>
    <w:rsid w:val="00704361"/>
    <w:rsid w:val="0070510C"/>
    <w:rsid w:val="00705850"/>
    <w:rsid w:val="00705B42"/>
    <w:rsid w:val="0070681B"/>
    <w:rsid w:val="00707919"/>
    <w:rsid w:val="00710B92"/>
    <w:rsid w:val="00711370"/>
    <w:rsid w:val="0071143C"/>
    <w:rsid w:val="00711ADB"/>
    <w:rsid w:val="00711CE7"/>
    <w:rsid w:val="00713207"/>
    <w:rsid w:val="007133E0"/>
    <w:rsid w:val="00713F3C"/>
    <w:rsid w:val="0071469F"/>
    <w:rsid w:val="00714E6D"/>
    <w:rsid w:val="00715C11"/>
    <w:rsid w:val="00715EA8"/>
    <w:rsid w:val="0071611A"/>
    <w:rsid w:val="0071638A"/>
    <w:rsid w:val="007166F1"/>
    <w:rsid w:val="007168F4"/>
    <w:rsid w:val="007169E8"/>
    <w:rsid w:val="00716B9A"/>
    <w:rsid w:val="00716F19"/>
    <w:rsid w:val="0071732B"/>
    <w:rsid w:val="00717557"/>
    <w:rsid w:val="007176D3"/>
    <w:rsid w:val="007178BE"/>
    <w:rsid w:val="007203A5"/>
    <w:rsid w:val="00720797"/>
    <w:rsid w:val="007213A2"/>
    <w:rsid w:val="007214CD"/>
    <w:rsid w:val="007215F0"/>
    <w:rsid w:val="007216F0"/>
    <w:rsid w:val="00721A48"/>
    <w:rsid w:val="0072284D"/>
    <w:rsid w:val="00722A8D"/>
    <w:rsid w:val="00723019"/>
    <w:rsid w:val="00723F52"/>
    <w:rsid w:val="007243F9"/>
    <w:rsid w:val="0072476B"/>
    <w:rsid w:val="00724865"/>
    <w:rsid w:val="00724F8E"/>
    <w:rsid w:val="00725375"/>
    <w:rsid w:val="007253EC"/>
    <w:rsid w:val="007257E6"/>
    <w:rsid w:val="00725BBD"/>
    <w:rsid w:val="007268C9"/>
    <w:rsid w:val="007268D7"/>
    <w:rsid w:val="0072700E"/>
    <w:rsid w:val="0072787D"/>
    <w:rsid w:val="007278D0"/>
    <w:rsid w:val="00727F8F"/>
    <w:rsid w:val="00730454"/>
    <w:rsid w:val="0073046D"/>
    <w:rsid w:val="00730A5C"/>
    <w:rsid w:val="00730BD9"/>
    <w:rsid w:val="007311B7"/>
    <w:rsid w:val="007317BB"/>
    <w:rsid w:val="00731A06"/>
    <w:rsid w:val="00732143"/>
    <w:rsid w:val="007321DA"/>
    <w:rsid w:val="00732984"/>
    <w:rsid w:val="00732B14"/>
    <w:rsid w:val="00733626"/>
    <w:rsid w:val="0073398C"/>
    <w:rsid w:val="00733A0B"/>
    <w:rsid w:val="0073443B"/>
    <w:rsid w:val="007344B3"/>
    <w:rsid w:val="007345D4"/>
    <w:rsid w:val="00734ADD"/>
    <w:rsid w:val="00734B16"/>
    <w:rsid w:val="00734BA5"/>
    <w:rsid w:val="00734F04"/>
    <w:rsid w:val="0073610F"/>
    <w:rsid w:val="007367E9"/>
    <w:rsid w:val="0073719A"/>
    <w:rsid w:val="00737712"/>
    <w:rsid w:val="00737985"/>
    <w:rsid w:val="00737C36"/>
    <w:rsid w:val="00740017"/>
    <w:rsid w:val="007404AD"/>
    <w:rsid w:val="007408B6"/>
    <w:rsid w:val="00740A7F"/>
    <w:rsid w:val="0074114C"/>
    <w:rsid w:val="0074119C"/>
    <w:rsid w:val="00741201"/>
    <w:rsid w:val="007413EC"/>
    <w:rsid w:val="0074154D"/>
    <w:rsid w:val="00742002"/>
    <w:rsid w:val="007424D8"/>
    <w:rsid w:val="00742778"/>
    <w:rsid w:val="00742DB5"/>
    <w:rsid w:val="00743548"/>
    <w:rsid w:val="00743915"/>
    <w:rsid w:val="0074412B"/>
    <w:rsid w:val="00744726"/>
    <w:rsid w:val="00744C06"/>
    <w:rsid w:val="00744D7A"/>
    <w:rsid w:val="00744FAC"/>
    <w:rsid w:val="007455D6"/>
    <w:rsid w:val="00745700"/>
    <w:rsid w:val="00745820"/>
    <w:rsid w:val="00745FC4"/>
    <w:rsid w:val="0074600A"/>
    <w:rsid w:val="0074630E"/>
    <w:rsid w:val="00746420"/>
    <w:rsid w:val="00746C09"/>
    <w:rsid w:val="007471AC"/>
    <w:rsid w:val="0074729C"/>
    <w:rsid w:val="00747385"/>
    <w:rsid w:val="00747907"/>
    <w:rsid w:val="00750392"/>
    <w:rsid w:val="00750595"/>
    <w:rsid w:val="007508D2"/>
    <w:rsid w:val="00750943"/>
    <w:rsid w:val="00750A04"/>
    <w:rsid w:val="007514EE"/>
    <w:rsid w:val="007518BC"/>
    <w:rsid w:val="0075281C"/>
    <w:rsid w:val="00752C90"/>
    <w:rsid w:val="00752E2E"/>
    <w:rsid w:val="007530C2"/>
    <w:rsid w:val="0075317A"/>
    <w:rsid w:val="007534C9"/>
    <w:rsid w:val="007534CD"/>
    <w:rsid w:val="00753745"/>
    <w:rsid w:val="00753C89"/>
    <w:rsid w:val="00753D85"/>
    <w:rsid w:val="007541B6"/>
    <w:rsid w:val="007543A7"/>
    <w:rsid w:val="00754741"/>
    <w:rsid w:val="00754E2C"/>
    <w:rsid w:val="00754F88"/>
    <w:rsid w:val="0075689A"/>
    <w:rsid w:val="007568C3"/>
    <w:rsid w:val="00757125"/>
    <w:rsid w:val="0075718A"/>
    <w:rsid w:val="007577DE"/>
    <w:rsid w:val="00757F5B"/>
    <w:rsid w:val="00760B8B"/>
    <w:rsid w:val="0076110E"/>
    <w:rsid w:val="007619F4"/>
    <w:rsid w:val="00761DB9"/>
    <w:rsid w:val="007621A5"/>
    <w:rsid w:val="007621C4"/>
    <w:rsid w:val="00762245"/>
    <w:rsid w:val="007623A9"/>
    <w:rsid w:val="00762879"/>
    <w:rsid w:val="00762AEB"/>
    <w:rsid w:val="00762EB3"/>
    <w:rsid w:val="007632B5"/>
    <w:rsid w:val="00763FA2"/>
    <w:rsid w:val="00764CCC"/>
    <w:rsid w:val="00765F17"/>
    <w:rsid w:val="0076639D"/>
    <w:rsid w:val="007669B5"/>
    <w:rsid w:val="00766E8B"/>
    <w:rsid w:val="0076783D"/>
    <w:rsid w:val="00770828"/>
    <w:rsid w:val="007708E1"/>
    <w:rsid w:val="00770B62"/>
    <w:rsid w:val="00770DC3"/>
    <w:rsid w:val="0077121E"/>
    <w:rsid w:val="0077165B"/>
    <w:rsid w:val="007717D6"/>
    <w:rsid w:val="00771ADA"/>
    <w:rsid w:val="00772069"/>
    <w:rsid w:val="007722BC"/>
    <w:rsid w:val="00772BEB"/>
    <w:rsid w:val="00773197"/>
    <w:rsid w:val="007734ED"/>
    <w:rsid w:val="00773F01"/>
    <w:rsid w:val="00774119"/>
    <w:rsid w:val="00774450"/>
    <w:rsid w:val="00774A3D"/>
    <w:rsid w:val="0077537F"/>
    <w:rsid w:val="00775878"/>
    <w:rsid w:val="00775923"/>
    <w:rsid w:val="00775BD3"/>
    <w:rsid w:val="00775F2D"/>
    <w:rsid w:val="007762DE"/>
    <w:rsid w:val="00776E20"/>
    <w:rsid w:val="00777116"/>
    <w:rsid w:val="00777567"/>
    <w:rsid w:val="00777BCE"/>
    <w:rsid w:val="00780064"/>
    <w:rsid w:val="007806DD"/>
    <w:rsid w:val="00780839"/>
    <w:rsid w:val="00781273"/>
    <w:rsid w:val="0078142C"/>
    <w:rsid w:val="007821C6"/>
    <w:rsid w:val="00782550"/>
    <w:rsid w:val="00782634"/>
    <w:rsid w:val="00783E3D"/>
    <w:rsid w:val="00784F76"/>
    <w:rsid w:val="007859A2"/>
    <w:rsid w:val="0078657A"/>
    <w:rsid w:val="0078668B"/>
    <w:rsid w:val="0078699B"/>
    <w:rsid w:val="00787345"/>
    <w:rsid w:val="0078740B"/>
    <w:rsid w:val="00787619"/>
    <w:rsid w:val="0078774C"/>
    <w:rsid w:val="00787F22"/>
    <w:rsid w:val="00787FEB"/>
    <w:rsid w:val="00790147"/>
    <w:rsid w:val="0079044E"/>
    <w:rsid w:val="007919BC"/>
    <w:rsid w:val="00791DF9"/>
    <w:rsid w:val="00791F33"/>
    <w:rsid w:val="0079222A"/>
    <w:rsid w:val="0079237C"/>
    <w:rsid w:val="00793120"/>
    <w:rsid w:val="00793569"/>
    <w:rsid w:val="00793583"/>
    <w:rsid w:val="0079369E"/>
    <w:rsid w:val="00793924"/>
    <w:rsid w:val="00793C78"/>
    <w:rsid w:val="00793D3A"/>
    <w:rsid w:val="00794596"/>
    <w:rsid w:val="00794958"/>
    <w:rsid w:val="007953CA"/>
    <w:rsid w:val="00795989"/>
    <w:rsid w:val="007964B7"/>
    <w:rsid w:val="00796DA3"/>
    <w:rsid w:val="007975CC"/>
    <w:rsid w:val="00797A9A"/>
    <w:rsid w:val="00797FC8"/>
    <w:rsid w:val="00797FCF"/>
    <w:rsid w:val="007A099C"/>
    <w:rsid w:val="007A0E61"/>
    <w:rsid w:val="007A1372"/>
    <w:rsid w:val="007A1591"/>
    <w:rsid w:val="007A1871"/>
    <w:rsid w:val="007A1E9D"/>
    <w:rsid w:val="007A2C68"/>
    <w:rsid w:val="007A2E2D"/>
    <w:rsid w:val="007A3EA8"/>
    <w:rsid w:val="007A4360"/>
    <w:rsid w:val="007A43BF"/>
    <w:rsid w:val="007A445D"/>
    <w:rsid w:val="007A4AFC"/>
    <w:rsid w:val="007A4C9F"/>
    <w:rsid w:val="007A58B4"/>
    <w:rsid w:val="007A5A14"/>
    <w:rsid w:val="007A6387"/>
    <w:rsid w:val="007A64A8"/>
    <w:rsid w:val="007A67FF"/>
    <w:rsid w:val="007A74C5"/>
    <w:rsid w:val="007A76E1"/>
    <w:rsid w:val="007A7849"/>
    <w:rsid w:val="007A7B2B"/>
    <w:rsid w:val="007A7C38"/>
    <w:rsid w:val="007A7C6A"/>
    <w:rsid w:val="007A7C7B"/>
    <w:rsid w:val="007B1ABB"/>
    <w:rsid w:val="007B1AF4"/>
    <w:rsid w:val="007B1B43"/>
    <w:rsid w:val="007B1EE9"/>
    <w:rsid w:val="007B2050"/>
    <w:rsid w:val="007B20A1"/>
    <w:rsid w:val="007B2276"/>
    <w:rsid w:val="007B2465"/>
    <w:rsid w:val="007B261F"/>
    <w:rsid w:val="007B26E2"/>
    <w:rsid w:val="007B2F83"/>
    <w:rsid w:val="007B2F84"/>
    <w:rsid w:val="007B3D11"/>
    <w:rsid w:val="007B3DBC"/>
    <w:rsid w:val="007B482A"/>
    <w:rsid w:val="007B49FA"/>
    <w:rsid w:val="007B4A6C"/>
    <w:rsid w:val="007B4C1D"/>
    <w:rsid w:val="007B4FFC"/>
    <w:rsid w:val="007B6A76"/>
    <w:rsid w:val="007B6AE3"/>
    <w:rsid w:val="007B6D6E"/>
    <w:rsid w:val="007B6E14"/>
    <w:rsid w:val="007B7247"/>
    <w:rsid w:val="007C00FC"/>
    <w:rsid w:val="007C0502"/>
    <w:rsid w:val="007C0649"/>
    <w:rsid w:val="007C096C"/>
    <w:rsid w:val="007C0B57"/>
    <w:rsid w:val="007C0EAA"/>
    <w:rsid w:val="007C135E"/>
    <w:rsid w:val="007C174B"/>
    <w:rsid w:val="007C192B"/>
    <w:rsid w:val="007C1DEB"/>
    <w:rsid w:val="007C221C"/>
    <w:rsid w:val="007C27D5"/>
    <w:rsid w:val="007C28CB"/>
    <w:rsid w:val="007C37E0"/>
    <w:rsid w:val="007C3C6C"/>
    <w:rsid w:val="007C42C4"/>
    <w:rsid w:val="007C472E"/>
    <w:rsid w:val="007C58DD"/>
    <w:rsid w:val="007C5920"/>
    <w:rsid w:val="007C5E95"/>
    <w:rsid w:val="007C60BC"/>
    <w:rsid w:val="007C6364"/>
    <w:rsid w:val="007C6B9D"/>
    <w:rsid w:val="007C6F51"/>
    <w:rsid w:val="007C7288"/>
    <w:rsid w:val="007C757C"/>
    <w:rsid w:val="007D046B"/>
    <w:rsid w:val="007D1CB8"/>
    <w:rsid w:val="007D1DA0"/>
    <w:rsid w:val="007D1DA3"/>
    <w:rsid w:val="007D1E67"/>
    <w:rsid w:val="007D22B4"/>
    <w:rsid w:val="007D2885"/>
    <w:rsid w:val="007D2D45"/>
    <w:rsid w:val="007D2D7C"/>
    <w:rsid w:val="007D3132"/>
    <w:rsid w:val="007D3358"/>
    <w:rsid w:val="007D35CD"/>
    <w:rsid w:val="007D3856"/>
    <w:rsid w:val="007D41EE"/>
    <w:rsid w:val="007D45A8"/>
    <w:rsid w:val="007D48DE"/>
    <w:rsid w:val="007D4D8E"/>
    <w:rsid w:val="007D4EFB"/>
    <w:rsid w:val="007D4F8A"/>
    <w:rsid w:val="007D50B7"/>
    <w:rsid w:val="007D53E4"/>
    <w:rsid w:val="007D5745"/>
    <w:rsid w:val="007D5758"/>
    <w:rsid w:val="007D58FF"/>
    <w:rsid w:val="007D5EA3"/>
    <w:rsid w:val="007D6604"/>
    <w:rsid w:val="007D6C31"/>
    <w:rsid w:val="007D7583"/>
    <w:rsid w:val="007D75EE"/>
    <w:rsid w:val="007D7EC0"/>
    <w:rsid w:val="007D7FCB"/>
    <w:rsid w:val="007E0266"/>
    <w:rsid w:val="007E0613"/>
    <w:rsid w:val="007E0702"/>
    <w:rsid w:val="007E0AD9"/>
    <w:rsid w:val="007E0BD3"/>
    <w:rsid w:val="007E0CB8"/>
    <w:rsid w:val="007E0E9A"/>
    <w:rsid w:val="007E0EFD"/>
    <w:rsid w:val="007E0FB1"/>
    <w:rsid w:val="007E0FEE"/>
    <w:rsid w:val="007E13EF"/>
    <w:rsid w:val="007E18ED"/>
    <w:rsid w:val="007E1B4E"/>
    <w:rsid w:val="007E1DD5"/>
    <w:rsid w:val="007E1EA6"/>
    <w:rsid w:val="007E2C6C"/>
    <w:rsid w:val="007E2DAB"/>
    <w:rsid w:val="007E2F3C"/>
    <w:rsid w:val="007E324F"/>
    <w:rsid w:val="007E32A2"/>
    <w:rsid w:val="007E3603"/>
    <w:rsid w:val="007E3B6A"/>
    <w:rsid w:val="007E45B6"/>
    <w:rsid w:val="007E4A13"/>
    <w:rsid w:val="007E4D16"/>
    <w:rsid w:val="007E4D81"/>
    <w:rsid w:val="007E553F"/>
    <w:rsid w:val="007E5D57"/>
    <w:rsid w:val="007E6664"/>
    <w:rsid w:val="007E6B79"/>
    <w:rsid w:val="007E6C78"/>
    <w:rsid w:val="007E7362"/>
    <w:rsid w:val="007E74E2"/>
    <w:rsid w:val="007E77B5"/>
    <w:rsid w:val="007E7D81"/>
    <w:rsid w:val="007E7E6A"/>
    <w:rsid w:val="007E7EEC"/>
    <w:rsid w:val="007F020A"/>
    <w:rsid w:val="007F0BE8"/>
    <w:rsid w:val="007F0D88"/>
    <w:rsid w:val="007F0FAD"/>
    <w:rsid w:val="007F1376"/>
    <w:rsid w:val="007F2347"/>
    <w:rsid w:val="007F250A"/>
    <w:rsid w:val="007F2CDA"/>
    <w:rsid w:val="007F3083"/>
    <w:rsid w:val="007F3A05"/>
    <w:rsid w:val="007F3AC4"/>
    <w:rsid w:val="007F497F"/>
    <w:rsid w:val="007F4BCE"/>
    <w:rsid w:val="007F51B6"/>
    <w:rsid w:val="007F6728"/>
    <w:rsid w:val="007F6858"/>
    <w:rsid w:val="007F68E3"/>
    <w:rsid w:val="007F6B3D"/>
    <w:rsid w:val="007F6D4C"/>
    <w:rsid w:val="007F6EFD"/>
    <w:rsid w:val="007F767E"/>
    <w:rsid w:val="007F7E1A"/>
    <w:rsid w:val="0080009C"/>
    <w:rsid w:val="0080019C"/>
    <w:rsid w:val="0080023D"/>
    <w:rsid w:val="00800A59"/>
    <w:rsid w:val="00800FAE"/>
    <w:rsid w:val="00801104"/>
    <w:rsid w:val="008013F4"/>
    <w:rsid w:val="00801889"/>
    <w:rsid w:val="00801E4B"/>
    <w:rsid w:val="0080247C"/>
    <w:rsid w:val="00802513"/>
    <w:rsid w:val="008026F5"/>
    <w:rsid w:val="00802846"/>
    <w:rsid w:val="008029F8"/>
    <w:rsid w:val="00802B6D"/>
    <w:rsid w:val="008032BA"/>
    <w:rsid w:val="00803316"/>
    <w:rsid w:val="00803616"/>
    <w:rsid w:val="00803B18"/>
    <w:rsid w:val="00803B34"/>
    <w:rsid w:val="00803E7C"/>
    <w:rsid w:val="00804066"/>
    <w:rsid w:val="008046E8"/>
    <w:rsid w:val="008046F3"/>
    <w:rsid w:val="00805D51"/>
    <w:rsid w:val="00806018"/>
    <w:rsid w:val="00806AF2"/>
    <w:rsid w:val="00806BEE"/>
    <w:rsid w:val="00806C18"/>
    <w:rsid w:val="008075E1"/>
    <w:rsid w:val="008078ED"/>
    <w:rsid w:val="00807BA6"/>
    <w:rsid w:val="0081002E"/>
    <w:rsid w:val="00810471"/>
    <w:rsid w:val="0081070E"/>
    <w:rsid w:val="008109E2"/>
    <w:rsid w:val="00810A86"/>
    <w:rsid w:val="00810B05"/>
    <w:rsid w:val="00810C70"/>
    <w:rsid w:val="00810F4A"/>
    <w:rsid w:val="0081180C"/>
    <w:rsid w:val="00811F9C"/>
    <w:rsid w:val="008121C6"/>
    <w:rsid w:val="008128A2"/>
    <w:rsid w:val="00812A08"/>
    <w:rsid w:val="00812BD2"/>
    <w:rsid w:val="00813153"/>
    <w:rsid w:val="00813C45"/>
    <w:rsid w:val="00813E60"/>
    <w:rsid w:val="00813F6B"/>
    <w:rsid w:val="008141C3"/>
    <w:rsid w:val="00814368"/>
    <w:rsid w:val="00814795"/>
    <w:rsid w:val="00814DE6"/>
    <w:rsid w:val="00814F95"/>
    <w:rsid w:val="008151D9"/>
    <w:rsid w:val="00815234"/>
    <w:rsid w:val="0081563E"/>
    <w:rsid w:val="00815814"/>
    <w:rsid w:val="00815F42"/>
    <w:rsid w:val="0081600B"/>
    <w:rsid w:val="008164A2"/>
    <w:rsid w:val="0081664B"/>
    <w:rsid w:val="008166DC"/>
    <w:rsid w:val="00816C61"/>
    <w:rsid w:val="00817DF5"/>
    <w:rsid w:val="0082022A"/>
    <w:rsid w:val="008206F3"/>
    <w:rsid w:val="00820C9E"/>
    <w:rsid w:val="00820DA9"/>
    <w:rsid w:val="00821A02"/>
    <w:rsid w:val="00821E6D"/>
    <w:rsid w:val="008225D7"/>
    <w:rsid w:val="00823F30"/>
    <w:rsid w:val="0082400F"/>
    <w:rsid w:val="008240DD"/>
    <w:rsid w:val="008246EB"/>
    <w:rsid w:val="00825D92"/>
    <w:rsid w:val="008262C0"/>
    <w:rsid w:val="00826A3E"/>
    <w:rsid w:val="00826B19"/>
    <w:rsid w:val="00826BDD"/>
    <w:rsid w:val="00827413"/>
    <w:rsid w:val="0082755E"/>
    <w:rsid w:val="00827B18"/>
    <w:rsid w:val="00827F11"/>
    <w:rsid w:val="0083018E"/>
    <w:rsid w:val="00830353"/>
    <w:rsid w:val="00830372"/>
    <w:rsid w:val="0083054C"/>
    <w:rsid w:val="0083059F"/>
    <w:rsid w:val="008306A5"/>
    <w:rsid w:val="0083209D"/>
    <w:rsid w:val="00832111"/>
    <w:rsid w:val="008323E0"/>
    <w:rsid w:val="008327B7"/>
    <w:rsid w:val="00832D3B"/>
    <w:rsid w:val="008330F6"/>
    <w:rsid w:val="00833A7B"/>
    <w:rsid w:val="00834926"/>
    <w:rsid w:val="00834C63"/>
    <w:rsid w:val="00835380"/>
    <w:rsid w:val="008359DB"/>
    <w:rsid w:val="00835BA4"/>
    <w:rsid w:val="00836AE4"/>
    <w:rsid w:val="0083767E"/>
    <w:rsid w:val="00837794"/>
    <w:rsid w:val="00837B66"/>
    <w:rsid w:val="00837B8A"/>
    <w:rsid w:val="00837E17"/>
    <w:rsid w:val="00837F0D"/>
    <w:rsid w:val="0084026F"/>
    <w:rsid w:val="008402E5"/>
    <w:rsid w:val="00840ED7"/>
    <w:rsid w:val="008410E1"/>
    <w:rsid w:val="0084119E"/>
    <w:rsid w:val="00841C13"/>
    <w:rsid w:val="00841EDD"/>
    <w:rsid w:val="0084201B"/>
    <w:rsid w:val="008425BA"/>
    <w:rsid w:val="008425C1"/>
    <w:rsid w:val="00842721"/>
    <w:rsid w:val="00842B36"/>
    <w:rsid w:val="00842CA1"/>
    <w:rsid w:val="008439A0"/>
    <w:rsid w:val="00844025"/>
    <w:rsid w:val="00844141"/>
    <w:rsid w:val="008447DE"/>
    <w:rsid w:val="0084489A"/>
    <w:rsid w:val="008454C1"/>
    <w:rsid w:val="00845C14"/>
    <w:rsid w:val="008460DC"/>
    <w:rsid w:val="00846393"/>
    <w:rsid w:val="008467B3"/>
    <w:rsid w:val="00846A2D"/>
    <w:rsid w:val="00846C2B"/>
    <w:rsid w:val="00847614"/>
    <w:rsid w:val="008478E2"/>
    <w:rsid w:val="00847A6D"/>
    <w:rsid w:val="00847DFA"/>
    <w:rsid w:val="00850245"/>
    <w:rsid w:val="00850829"/>
    <w:rsid w:val="00850979"/>
    <w:rsid w:val="00850DF2"/>
    <w:rsid w:val="0085111F"/>
    <w:rsid w:val="00851275"/>
    <w:rsid w:val="008513E1"/>
    <w:rsid w:val="00851590"/>
    <w:rsid w:val="00852221"/>
    <w:rsid w:val="008525A7"/>
    <w:rsid w:val="0085267A"/>
    <w:rsid w:val="00852B4B"/>
    <w:rsid w:val="00852EFA"/>
    <w:rsid w:val="008531CA"/>
    <w:rsid w:val="0085331A"/>
    <w:rsid w:val="008538F4"/>
    <w:rsid w:val="008550E0"/>
    <w:rsid w:val="0085553C"/>
    <w:rsid w:val="0085560A"/>
    <w:rsid w:val="00856121"/>
    <w:rsid w:val="00856500"/>
    <w:rsid w:val="00856608"/>
    <w:rsid w:val="00857141"/>
    <w:rsid w:val="00857F15"/>
    <w:rsid w:val="00860489"/>
    <w:rsid w:val="0086080D"/>
    <w:rsid w:val="008609AE"/>
    <w:rsid w:val="00861B79"/>
    <w:rsid w:val="008620C4"/>
    <w:rsid w:val="00862111"/>
    <w:rsid w:val="008626FC"/>
    <w:rsid w:val="00862895"/>
    <w:rsid w:val="00862D57"/>
    <w:rsid w:val="00863D68"/>
    <w:rsid w:val="00863D6C"/>
    <w:rsid w:val="0086423E"/>
    <w:rsid w:val="00864242"/>
    <w:rsid w:val="0086458F"/>
    <w:rsid w:val="00864670"/>
    <w:rsid w:val="00864735"/>
    <w:rsid w:val="00865155"/>
    <w:rsid w:val="00865350"/>
    <w:rsid w:val="00865548"/>
    <w:rsid w:val="00865810"/>
    <w:rsid w:val="00865BCE"/>
    <w:rsid w:val="00866229"/>
    <w:rsid w:val="00866A8C"/>
    <w:rsid w:val="00866C4D"/>
    <w:rsid w:val="00866F17"/>
    <w:rsid w:val="008671A8"/>
    <w:rsid w:val="00867C35"/>
    <w:rsid w:val="00867F81"/>
    <w:rsid w:val="00870023"/>
    <w:rsid w:val="00870527"/>
    <w:rsid w:val="008707E1"/>
    <w:rsid w:val="00870EAA"/>
    <w:rsid w:val="00872A6D"/>
    <w:rsid w:val="00872B64"/>
    <w:rsid w:val="0087330B"/>
    <w:rsid w:val="00874EF6"/>
    <w:rsid w:val="008756FB"/>
    <w:rsid w:val="00875900"/>
    <w:rsid w:val="00875B10"/>
    <w:rsid w:val="00876ADD"/>
    <w:rsid w:val="00876EE6"/>
    <w:rsid w:val="0087704B"/>
    <w:rsid w:val="008775B0"/>
    <w:rsid w:val="00877782"/>
    <w:rsid w:val="00880190"/>
    <w:rsid w:val="008801AC"/>
    <w:rsid w:val="0088020A"/>
    <w:rsid w:val="008805F7"/>
    <w:rsid w:val="00880893"/>
    <w:rsid w:val="008812C9"/>
    <w:rsid w:val="0088159A"/>
    <w:rsid w:val="008818C2"/>
    <w:rsid w:val="00881FC2"/>
    <w:rsid w:val="00881FD0"/>
    <w:rsid w:val="00882A6C"/>
    <w:rsid w:val="00883383"/>
    <w:rsid w:val="00883DA6"/>
    <w:rsid w:val="00883E2C"/>
    <w:rsid w:val="00884139"/>
    <w:rsid w:val="008846A1"/>
    <w:rsid w:val="00884955"/>
    <w:rsid w:val="00885F11"/>
    <w:rsid w:val="00887217"/>
    <w:rsid w:val="008873A9"/>
    <w:rsid w:val="00887621"/>
    <w:rsid w:val="00890D03"/>
    <w:rsid w:val="00890E9E"/>
    <w:rsid w:val="0089136E"/>
    <w:rsid w:val="00891668"/>
    <w:rsid w:val="0089169F"/>
    <w:rsid w:val="008919E0"/>
    <w:rsid w:val="00892016"/>
    <w:rsid w:val="0089227E"/>
    <w:rsid w:val="0089238B"/>
    <w:rsid w:val="008927A6"/>
    <w:rsid w:val="0089282A"/>
    <w:rsid w:val="00892901"/>
    <w:rsid w:val="00893161"/>
    <w:rsid w:val="0089316A"/>
    <w:rsid w:val="00893503"/>
    <w:rsid w:val="008936DF"/>
    <w:rsid w:val="00893DAF"/>
    <w:rsid w:val="008943FC"/>
    <w:rsid w:val="008947CB"/>
    <w:rsid w:val="008951C0"/>
    <w:rsid w:val="00895913"/>
    <w:rsid w:val="00895931"/>
    <w:rsid w:val="00895ED4"/>
    <w:rsid w:val="00896778"/>
    <w:rsid w:val="008969B8"/>
    <w:rsid w:val="00896CC9"/>
    <w:rsid w:val="008978CF"/>
    <w:rsid w:val="008A040D"/>
    <w:rsid w:val="008A07B1"/>
    <w:rsid w:val="008A0AB9"/>
    <w:rsid w:val="008A0DF0"/>
    <w:rsid w:val="008A0E79"/>
    <w:rsid w:val="008A14DA"/>
    <w:rsid w:val="008A15D6"/>
    <w:rsid w:val="008A1A0B"/>
    <w:rsid w:val="008A1C3C"/>
    <w:rsid w:val="008A1C44"/>
    <w:rsid w:val="008A2625"/>
    <w:rsid w:val="008A2B84"/>
    <w:rsid w:val="008A30E4"/>
    <w:rsid w:val="008A3200"/>
    <w:rsid w:val="008A38FA"/>
    <w:rsid w:val="008A3EEB"/>
    <w:rsid w:val="008A4047"/>
    <w:rsid w:val="008A4612"/>
    <w:rsid w:val="008A4774"/>
    <w:rsid w:val="008A5790"/>
    <w:rsid w:val="008A5B0C"/>
    <w:rsid w:val="008A5BEA"/>
    <w:rsid w:val="008A5DB8"/>
    <w:rsid w:val="008A66DE"/>
    <w:rsid w:val="008A6888"/>
    <w:rsid w:val="008A738A"/>
    <w:rsid w:val="008A7488"/>
    <w:rsid w:val="008B04DC"/>
    <w:rsid w:val="008B0B85"/>
    <w:rsid w:val="008B0B93"/>
    <w:rsid w:val="008B0E5D"/>
    <w:rsid w:val="008B1515"/>
    <w:rsid w:val="008B197D"/>
    <w:rsid w:val="008B2AF2"/>
    <w:rsid w:val="008B2E8D"/>
    <w:rsid w:val="008B37BB"/>
    <w:rsid w:val="008B3F85"/>
    <w:rsid w:val="008B4590"/>
    <w:rsid w:val="008B4804"/>
    <w:rsid w:val="008B52EC"/>
    <w:rsid w:val="008B5745"/>
    <w:rsid w:val="008B58E8"/>
    <w:rsid w:val="008B5A14"/>
    <w:rsid w:val="008B5A51"/>
    <w:rsid w:val="008B5AD7"/>
    <w:rsid w:val="008B674B"/>
    <w:rsid w:val="008B68A8"/>
    <w:rsid w:val="008B6D06"/>
    <w:rsid w:val="008B73BD"/>
    <w:rsid w:val="008B755C"/>
    <w:rsid w:val="008B7F25"/>
    <w:rsid w:val="008C0915"/>
    <w:rsid w:val="008C2155"/>
    <w:rsid w:val="008C2972"/>
    <w:rsid w:val="008C2ECD"/>
    <w:rsid w:val="008C309F"/>
    <w:rsid w:val="008C3AF0"/>
    <w:rsid w:val="008C3F4E"/>
    <w:rsid w:val="008C449D"/>
    <w:rsid w:val="008C4904"/>
    <w:rsid w:val="008C4AA7"/>
    <w:rsid w:val="008C4ED9"/>
    <w:rsid w:val="008C5036"/>
    <w:rsid w:val="008C51FA"/>
    <w:rsid w:val="008C55E5"/>
    <w:rsid w:val="008C5877"/>
    <w:rsid w:val="008C5B9A"/>
    <w:rsid w:val="008C5E8A"/>
    <w:rsid w:val="008C5F07"/>
    <w:rsid w:val="008C5F23"/>
    <w:rsid w:val="008C697F"/>
    <w:rsid w:val="008C6AE1"/>
    <w:rsid w:val="008C6FD4"/>
    <w:rsid w:val="008C7333"/>
    <w:rsid w:val="008C75D3"/>
    <w:rsid w:val="008C75F5"/>
    <w:rsid w:val="008C7805"/>
    <w:rsid w:val="008C7CA8"/>
    <w:rsid w:val="008D0325"/>
    <w:rsid w:val="008D1E18"/>
    <w:rsid w:val="008D24E2"/>
    <w:rsid w:val="008D2774"/>
    <w:rsid w:val="008D27DD"/>
    <w:rsid w:val="008D2A0C"/>
    <w:rsid w:val="008D2ED2"/>
    <w:rsid w:val="008D30DF"/>
    <w:rsid w:val="008D35AB"/>
    <w:rsid w:val="008D3845"/>
    <w:rsid w:val="008D3F0D"/>
    <w:rsid w:val="008D452D"/>
    <w:rsid w:val="008D4B8E"/>
    <w:rsid w:val="008D4EEC"/>
    <w:rsid w:val="008D4F67"/>
    <w:rsid w:val="008D6A13"/>
    <w:rsid w:val="008D6A1C"/>
    <w:rsid w:val="008D6A2C"/>
    <w:rsid w:val="008D6A2F"/>
    <w:rsid w:val="008D707E"/>
    <w:rsid w:val="008D72D8"/>
    <w:rsid w:val="008D75B6"/>
    <w:rsid w:val="008D7893"/>
    <w:rsid w:val="008D79AE"/>
    <w:rsid w:val="008D7FF4"/>
    <w:rsid w:val="008E0741"/>
    <w:rsid w:val="008E07AF"/>
    <w:rsid w:val="008E0904"/>
    <w:rsid w:val="008E0B0A"/>
    <w:rsid w:val="008E0FA8"/>
    <w:rsid w:val="008E1D4F"/>
    <w:rsid w:val="008E1E5C"/>
    <w:rsid w:val="008E20BC"/>
    <w:rsid w:val="008E24AB"/>
    <w:rsid w:val="008E262A"/>
    <w:rsid w:val="008E2D58"/>
    <w:rsid w:val="008E35EF"/>
    <w:rsid w:val="008E4055"/>
    <w:rsid w:val="008E4EF1"/>
    <w:rsid w:val="008E4FB2"/>
    <w:rsid w:val="008E53B0"/>
    <w:rsid w:val="008E5640"/>
    <w:rsid w:val="008E6003"/>
    <w:rsid w:val="008E63E2"/>
    <w:rsid w:val="008E6490"/>
    <w:rsid w:val="008E653D"/>
    <w:rsid w:val="008E6730"/>
    <w:rsid w:val="008E6E37"/>
    <w:rsid w:val="008E7045"/>
    <w:rsid w:val="008E76E6"/>
    <w:rsid w:val="008F0009"/>
    <w:rsid w:val="008F0B39"/>
    <w:rsid w:val="008F0EFD"/>
    <w:rsid w:val="008F0FF6"/>
    <w:rsid w:val="008F1339"/>
    <w:rsid w:val="008F2376"/>
    <w:rsid w:val="008F263F"/>
    <w:rsid w:val="008F2E40"/>
    <w:rsid w:val="008F36CC"/>
    <w:rsid w:val="008F3AC7"/>
    <w:rsid w:val="008F47A7"/>
    <w:rsid w:val="008F4DE3"/>
    <w:rsid w:val="008F5369"/>
    <w:rsid w:val="008F5560"/>
    <w:rsid w:val="008F55D7"/>
    <w:rsid w:val="008F5687"/>
    <w:rsid w:val="008F5F61"/>
    <w:rsid w:val="008F6189"/>
    <w:rsid w:val="008F6DEB"/>
    <w:rsid w:val="008F770B"/>
    <w:rsid w:val="008F787C"/>
    <w:rsid w:val="008F796F"/>
    <w:rsid w:val="00900248"/>
    <w:rsid w:val="009004D5"/>
    <w:rsid w:val="00900CE2"/>
    <w:rsid w:val="0090115E"/>
    <w:rsid w:val="009013F2"/>
    <w:rsid w:val="00901439"/>
    <w:rsid w:val="00901829"/>
    <w:rsid w:val="0090213C"/>
    <w:rsid w:val="009021FC"/>
    <w:rsid w:val="0090316D"/>
    <w:rsid w:val="009033BA"/>
    <w:rsid w:val="0090386A"/>
    <w:rsid w:val="00904666"/>
    <w:rsid w:val="00904D0B"/>
    <w:rsid w:val="009050B2"/>
    <w:rsid w:val="009051A8"/>
    <w:rsid w:val="00905DBD"/>
    <w:rsid w:val="009062EC"/>
    <w:rsid w:val="00906649"/>
    <w:rsid w:val="00906AE8"/>
    <w:rsid w:val="00906C3F"/>
    <w:rsid w:val="00906DB3"/>
    <w:rsid w:val="00906E8A"/>
    <w:rsid w:val="00907E26"/>
    <w:rsid w:val="009100F4"/>
    <w:rsid w:val="009103A0"/>
    <w:rsid w:val="00910A1A"/>
    <w:rsid w:val="00910BB9"/>
    <w:rsid w:val="009117B7"/>
    <w:rsid w:val="00911862"/>
    <w:rsid w:val="00911EE6"/>
    <w:rsid w:val="0091267D"/>
    <w:rsid w:val="009126EB"/>
    <w:rsid w:val="00912B89"/>
    <w:rsid w:val="00912D09"/>
    <w:rsid w:val="00912DEE"/>
    <w:rsid w:val="00913353"/>
    <w:rsid w:val="00913A90"/>
    <w:rsid w:val="00913ABA"/>
    <w:rsid w:val="00913ED7"/>
    <w:rsid w:val="00914D1D"/>
    <w:rsid w:val="00914F63"/>
    <w:rsid w:val="00915068"/>
    <w:rsid w:val="0091582D"/>
    <w:rsid w:val="0091598F"/>
    <w:rsid w:val="009159D7"/>
    <w:rsid w:val="00916041"/>
    <w:rsid w:val="00916180"/>
    <w:rsid w:val="009161B1"/>
    <w:rsid w:val="009164A8"/>
    <w:rsid w:val="009167DF"/>
    <w:rsid w:val="0091690C"/>
    <w:rsid w:val="00916D3F"/>
    <w:rsid w:val="00916F7B"/>
    <w:rsid w:val="0091727C"/>
    <w:rsid w:val="00917648"/>
    <w:rsid w:val="00917AF3"/>
    <w:rsid w:val="00917E9F"/>
    <w:rsid w:val="00920297"/>
    <w:rsid w:val="0092066D"/>
    <w:rsid w:val="00920806"/>
    <w:rsid w:val="00920A98"/>
    <w:rsid w:val="0092103F"/>
    <w:rsid w:val="009210FF"/>
    <w:rsid w:val="009215B4"/>
    <w:rsid w:val="009219F9"/>
    <w:rsid w:val="009221D1"/>
    <w:rsid w:val="00922F8E"/>
    <w:rsid w:val="0092317E"/>
    <w:rsid w:val="009239A8"/>
    <w:rsid w:val="00923BCA"/>
    <w:rsid w:val="00923C4C"/>
    <w:rsid w:val="0092418C"/>
    <w:rsid w:val="009242B1"/>
    <w:rsid w:val="00924675"/>
    <w:rsid w:val="00924E97"/>
    <w:rsid w:val="00924F5C"/>
    <w:rsid w:val="00925B79"/>
    <w:rsid w:val="00925BBE"/>
    <w:rsid w:val="00925CF6"/>
    <w:rsid w:val="009260DA"/>
    <w:rsid w:val="00926290"/>
    <w:rsid w:val="00926934"/>
    <w:rsid w:val="009269EF"/>
    <w:rsid w:val="00926BC1"/>
    <w:rsid w:val="00926C26"/>
    <w:rsid w:val="0092716D"/>
    <w:rsid w:val="00927A64"/>
    <w:rsid w:val="00927BA4"/>
    <w:rsid w:val="00927BD7"/>
    <w:rsid w:val="00927F2C"/>
    <w:rsid w:val="009304CD"/>
    <w:rsid w:val="0093122E"/>
    <w:rsid w:val="0093153E"/>
    <w:rsid w:val="00931A36"/>
    <w:rsid w:val="00931CA8"/>
    <w:rsid w:val="009320EF"/>
    <w:rsid w:val="0093273F"/>
    <w:rsid w:val="00932AE6"/>
    <w:rsid w:val="0093324A"/>
    <w:rsid w:val="0093324C"/>
    <w:rsid w:val="00933315"/>
    <w:rsid w:val="0093374E"/>
    <w:rsid w:val="00933DBB"/>
    <w:rsid w:val="00934FE9"/>
    <w:rsid w:val="00935037"/>
    <w:rsid w:val="00935A6F"/>
    <w:rsid w:val="00936261"/>
    <w:rsid w:val="009365FA"/>
    <w:rsid w:val="00936D42"/>
    <w:rsid w:val="00936D97"/>
    <w:rsid w:val="0093720E"/>
    <w:rsid w:val="0093787C"/>
    <w:rsid w:val="00937AC5"/>
    <w:rsid w:val="0094045C"/>
    <w:rsid w:val="009404B9"/>
    <w:rsid w:val="009412B8"/>
    <w:rsid w:val="00941AA6"/>
    <w:rsid w:val="00941BF9"/>
    <w:rsid w:val="00941CBF"/>
    <w:rsid w:val="009421C7"/>
    <w:rsid w:val="009422B9"/>
    <w:rsid w:val="0094346C"/>
    <w:rsid w:val="00943968"/>
    <w:rsid w:val="00943B59"/>
    <w:rsid w:val="00943EB5"/>
    <w:rsid w:val="00944054"/>
    <w:rsid w:val="00944263"/>
    <w:rsid w:val="009447C4"/>
    <w:rsid w:val="00944ED2"/>
    <w:rsid w:val="00944F05"/>
    <w:rsid w:val="00945375"/>
    <w:rsid w:val="009454E9"/>
    <w:rsid w:val="00945669"/>
    <w:rsid w:val="009456E5"/>
    <w:rsid w:val="00945A33"/>
    <w:rsid w:val="0094620B"/>
    <w:rsid w:val="00946220"/>
    <w:rsid w:val="00946575"/>
    <w:rsid w:val="00946A3E"/>
    <w:rsid w:val="00946E8D"/>
    <w:rsid w:val="00947322"/>
    <w:rsid w:val="00947755"/>
    <w:rsid w:val="00947A60"/>
    <w:rsid w:val="00947E68"/>
    <w:rsid w:val="00950291"/>
    <w:rsid w:val="009503AB"/>
    <w:rsid w:val="00950475"/>
    <w:rsid w:val="009511D8"/>
    <w:rsid w:val="00951952"/>
    <w:rsid w:val="00952443"/>
    <w:rsid w:val="00952FF6"/>
    <w:rsid w:val="00953221"/>
    <w:rsid w:val="009536A5"/>
    <w:rsid w:val="009543F4"/>
    <w:rsid w:val="00954492"/>
    <w:rsid w:val="009548C1"/>
    <w:rsid w:val="00955BB0"/>
    <w:rsid w:val="00955BBD"/>
    <w:rsid w:val="00955C3A"/>
    <w:rsid w:val="00956C00"/>
    <w:rsid w:val="00956CF3"/>
    <w:rsid w:val="009570D8"/>
    <w:rsid w:val="009577B1"/>
    <w:rsid w:val="00957A9A"/>
    <w:rsid w:val="00957D72"/>
    <w:rsid w:val="00960081"/>
    <w:rsid w:val="00960095"/>
    <w:rsid w:val="00960971"/>
    <w:rsid w:val="00960C83"/>
    <w:rsid w:val="00960CF6"/>
    <w:rsid w:val="009611D4"/>
    <w:rsid w:val="00961603"/>
    <w:rsid w:val="0096238F"/>
    <w:rsid w:val="00962760"/>
    <w:rsid w:val="009627EA"/>
    <w:rsid w:val="0096292E"/>
    <w:rsid w:val="00962A1E"/>
    <w:rsid w:val="00962D6E"/>
    <w:rsid w:val="00962FCB"/>
    <w:rsid w:val="009630FE"/>
    <w:rsid w:val="009632BE"/>
    <w:rsid w:val="00963788"/>
    <w:rsid w:val="009637AC"/>
    <w:rsid w:val="00963828"/>
    <w:rsid w:val="009639D2"/>
    <w:rsid w:val="00963C2E"/>
    <w:rsid w:val="00963C8D"/>
    <w:rsid w:val="0096409D"/>
    <w:rsid w:val="009641A1"/>
    <w:rsid w:val="009649FE"/>
    <w:rsid w:val="00964D4A"/>
    <w:rsid w:val="009650AF"/>
    <w:rsid w:val="0096528B"/>
    <w:rsid w:val="009653BF"/>
    <w:rsid w:val="009654F1"/>
    <w:rsid w:val="00965529"/>
    <w:rsid w:val="00965692"/>
    <w:rsid w:val="00965AE4"/>
    <w:rsid w:val="00966DC0"/>
    <w:rsid w:val="00966E03"/>
    <w:rsid w:val="0096712C"/>
    <w:rsid w:val="00967850"/>
    <w:rsid w:val="00967F8E"/>
    <w:rsid w:val="009700C6"/>
    <w:rsid w:val="00970706"/>
    <w:rsid w:val="00970ADA"/>
    <w:rsid w:val="00971B27"/>
    <w:rsid w:val="00971B5A"/>
    <w:rsid w:val="00971C5E"/>
    <w:rsid w:val="00971E62"/>
    <w:rsid w:val="009721F4"/>
    <w:rsid w:val="00972619"/>
    <w:rsid w:val="00972822"/>
    <w:rsid w:val="0097293A"/>
    <w:rsid w:val="00972C6F"/>
    <w:rsid w:val="0097359D"/>
    <w:rsid w:val="00973815"/>
    <w:rsid w:val="00973A41"/>
    <w:rsid w:val="00973CE0"/>
    <w:rsid w:val="00974010"/>
    <w:rsid w:val="0097429D"/>
    <w:rsid w:val="00974377"/>
    <w:rsid w:val="00974907"/>
    <w:rsid w:val="00975636"/>
    <w:rsid w:val="009759B3"/>
    <w:rsid w:val="00975B6C"/>
    <w:rsid w:val="00975BD0"/>
    <w:rsid w:val="00975EDE"/>
    <w:rsid w:val="0097686C"/>
    <w:rsid w:val="00976921"/>
    <w:rsid w:val="00977B90"/>
    <w:rsid w:val="009800DB"/>
    <w:rsid w:val="00980884"/>
    <w:rsid w:val="009812DF"/>
    <w:rsid w:val="009819BB"/>
    <w:rsid w:val="00981DC5"/>
    <w:rsid w:val="00981EDB"/>
    <w:rsid w:val="00982D56"/>
    <w:rsid w:val="0098409D"/>
    <w:rsid w:val="009840DC"/>
    <w:rsid w:val="00984419"/>
    <w:rsid w:val="00984954"/>
    <w:rsid w:val="00984CE0"/>
    <w:rsid w:val="0098526D"/>
    <w:rsid w:val="00985556"/>
    <w:rsid w:val="00985CF9"/>
    <w:rsid w:val="009862C6"/>
    <w:rsid w:val="009865AE"/>
    <w:rsid w:val="0098672A"/>
    <w:rsid w:val="00986833"/>
    <w:rsid w:val="00987241"/>
    <w:rsid w:val="009875EC"/>
    <w:rsid w:val="0098798D"/>
    <w:rsid w:val="00987B8D"/>
    <w:rsid w:val="009902E2"/>
    <w:rsid w:val="00990404"/>
    <w:rsid w:val="00990AB6"/>
    <w:rsid w:val="00990DCB"/>
    <w:rsid w:val="0099163A"/>
    <w:rsid w:val="00991777"/>
    <w:rsid w:val="00992BE8"/>
    <w:rsid w:val="00992F81"/>
    <w:rsid w:val="00993104"/>
    <w:rsid w:val="0099381C"/>
    <w:rsid w:val="009943D4"/>
    <w:rsid w:val="00994623"/>
    <w:rsid w:val="0099482B"/>
    <w:rsid w:val="00995CE9"/>
    <w:rsid w:val="00995F4E"/>
    <w:rsid w:val="009963F0"/>
    <w:rsid w:val="00996B5F"/>
    <w:rsid w:val="009973BE"/>
    <w:rsid w:val="00997773"/>
    <w:rsid w:val="00997912"/>
    <w:rsid w:val="00997972"/>
    <w:rsid w:val="00997976"/>
    <w:rsid w:val="00997BFE"/>
    <w:rsid w:val="00997F58"/>
    <w:rsid w:val="009A013E"/>
    <w:rsid w:val="009A02F4"/>
    <w:rsid w:val="009A08B5"/>
    <w:rsid w:val="009A0AB6"/>
    <w:rsid w:val="009A115E"/>
    <w:rsid w:val="009A1410"/>
    <w:rsid w:val="009A158D"/>
    <w:rsid w:val="009A1600"/>
    <w:rsid w:val="009A181D"/>
    <w:rsid w:val="009A2812"/>
    <w:rsid w:val="009A31C6"/>
    <w:rsid w:val="009A3270"/>
    <w:rsid w:val="009A3753"/>
    <w:rsid w:val="009A3ADD"/>
    <w:rsid w:val="009A3F67"/>
    <w:rsid w:val="009A42EA"/>
    <w:rsid w:val="009A46D7"/>
    <w:rsid w:val="009A489A"/>
    <w:rsid w:val="009A4B5F"/>
    <w:rsid w:val="009A566D"/>
    <w:rsid w:val="009A5A6E"/>
    <w:rsid w:val="009A5EA2"/>
    <w:rsid w:val="009A662F"/>
    <w:rsid w:val="009A6820"/>
    <w:rsid w:val="009A6A5A"/>
    <w:rsid w:val="009A6F86"/>
    <w:rsid w:val="009A703A"/>
    <w:rsid w:val="009A7C80"/>
    <w:rsid w:val="009A7E43"/>
    <w:rsid w:val="009B0CCA"/>
    <w:rsid w:val="009B0D28"/>
    <w:rsid w:val="009B0F2B"/>
    <w:rsid w:val="009B1363"/>
    <w:rsid w:val="009B1B56"/>
    <w:rsid w:val="009B1CC2"/>
    <w:rsid w:val="009B2508"/>
    <w:rsid w:val="009B2CF5"/>
    <w:rsid w:val="009B2ED3"/>
    <w:rsid w:val="009B3067"/>
    <w:rsid w:val="009B3586"/>
    <w:rsid w:val="009B43A3"/>
    <w:rsid w:val="009B4414"/>
    <w:rsid w:val="009B4CD7"/>
    <w:rsid w:val="009B5151"/>
    <w:rsid w:val="009B5A07"/>
    <w:rsid w:val="009B5AC1"/>
    <w:rsid w:val="009B679F"/>
    <w:rsid w:val="009B6AAB"/>
    <w:rsid w:val="009B6B00"/>
    <w:rsid w:val="009B7105"/>
    <w:rsid w:val="009B76A8"/>
    <w:rsid w:val="009B7E15"/>
    <w:rsid w:val="009C00BE"/>
    <w:rsid w:val="009C057B"/>
    <w:rsid w:val="009C072F"/>
    <w:rsid w:val="009C089E"/>
    <w:rsid w:val="009C11B8"/>
    <w:rsid w:val="009C1228"/>
    <w:rsid w:val="009C1980"/>
    <w:rsid w:val="009C1A06"/>
    <w:rsid w:val="009C1D3C"/>
    <w:rsid w:val="009C25BF"/>
    <w:rsid w:val="009C2DFC"/>
    <w:rsid w:val="009C3235"/>
    <w:rsid w:val="009C3269"/>
    <w:rsid w:val="009C3C20"/>
    <w:rsid w:val="009C3DFF"/>
    <w:rsid w:val="009C48EB"/>
    <w:rsid w:val="009C4A31"/>
    <w:rsid w:val="009C4C9D"/>
    <w:rsid w:val="009C5699"/>
    <w:rsid w:val="009C5D2B"/>
    <w:rsid w:val="009C5EBF"/>
    <w:rsid w:val="009C604F"/>
    <w:rsid w:val="009C64B5"/>
    <w:rsid w:val="009C69B7"/>
    <w:rsid w:val="009C6E43"/>
    <w:rsid w:val="009C6F63"/>
    <w:rsid w:val="009C70DA"/>
    <w:rsid w:val="009C71CF"/>
    <w:rsid w:val="009C7900"/>
    <w:rsid w:val="009C7C39"/>
    <w:rsid w:val="009C7E16"/>
    <w:rsid w:val="009D04DB"/>
    <w:rsid w:val="009D0FFE"/>
    <w:rsid w:val="009D1AA1"/>
    <w:rsid w:val="009D1C12"/>
    <w:rsid w:val="009D1CFD"/>
    <w:rsid w:val="009D206E"/>
    <w:rsid w:val="009D21DA"/>
    <w:rsid w:val="009D251F"/>
    <w:rsid w:val="009D27E5"/>
    <w:rsid w:val="009D29E3"/>
    <w:rsid w:val="009D425B"/>
    <w:rsid w:val="009D471D"/>
    <w:rsid w:val="009D49C0"/>
    <w:rsid w:val="009D525D"/>
    <w:rsid w:val="009D534B"/>
    <w:rsid w:val="009D5767"/>
    <w:rsid w:val="009D5CC7"/>
    <w:rsid w:val="009D5F91"/>
    <w:rsid w:val="009D61F5"/>
    <w:rsid w:val="009D6299"/>
    <w:rsid w:val="009D62DC"/>
    <w:rsid w:val="009D6869"/>
    <w:rsid w:val="009D72C6"/>
    <w:rsid w:val="009E0722"/>
    <w:rsid w:val="009E0BF1"/>
    <w:rsid w:val="009E0D47"/>
    <w:rsid w:val="009E1C2D"/>
    <w:rsid w:val="009E20B7"/>
    <w:rsid w:val="009E21BD"/>
    <w:rsid w:val="009E2B8E"/>
    <w:rsid w:val="009E3805"/>
    <w:rsid w:val="009E38C7"/>
    <w:rsid w:val="009E3EC3"/>
    <w:rsid w:val="009E4BCC"/>
    <w:rsid w:val="009E4D9C"/>
    <w:rsid w:val="009E4DD4"/>
    <w:rsid w:val="009E5933"/>
    <w:rsid w:val="009E5D51"/>
    <w:rsid w:val="009E5E64"/>
    <w:rsid w:val="009E6E48"/>
    <w:rsid w:val="009E6EC7"/>
    <w:rsid w:val="009E7554"/>
    <w:rsid w:val="009E7AEA"/>
    <w:rsid w:val="009E7BA5"/>
    <w:rsid w:val="009F0457"/>
    <w:rsid w:val="009F0539"/>
    <w:rsid w:val="009F0665"/>
    <w:rsid w:val="009F14FD"/>
    <w:rsid w:val="009F1E77"/>
    <w:rsid w:val="009F2206"/>
    <w:rsid w:val="009F2356"/>
    <w:rsid w:val="009F264F"/>
    <w:rsid w:val="009F298B"/>
    <w:rsid w:val="009F35F8"/>
    <w:rsid w:val="009F38BC"/>
    <w:rsid w:val="009F3B62"/>
    <w:rsid w:val="009F4429"/>
    <w:rsid w:val="009F49DD"/>
    <w:rsid w:val="009F49E2"/>
    <w:rsid w:val="009F4ABA"/>
    <w:rsid w:val="009F4D65"/>
    <w:rsid w:val="009F4E82"/>
    <w:rsid w:val="009F5054"/>
    <w:rsid w:val="009F5078"/>
    <w:rsid w:val="009F5158"/>
    <w:rsid w:val="009F53EB"/>
    <w:rsid w:val="009F54DB"/>
    <w:rsid w:val="009F5A2A"/>
    <w:rsid w:val="009F5EE7"/>
    <w:rsid w:val="009F651A"/>
    <w:rsid w:val="009F6F55"/>
    <w:rsid w:val="009F78C5"/>
    <w:rsid w:val="009F7EF3"/>
    <w:rsid w:val="00A00371"/>
    <w:rsid w:val="00A00BAA"/>
    <w:rsid w:val="00A01436"/>
    <w:rsid w:val="00A01F25"/>
    <w:rsid w:val="00A02914"/>
    <w:rsid w:val="00A03A83"/>
    <w:rsid w:val="00A03AAA"/>
    <w:rsid w:val="00A03E20"/>
    <w:rsid w:val="00A0405F"/>
    <w:rsid w:val="00A04892"/>
    <w:rsid w:val="00A04C73"/>
    <w:rsid w:val="00A04E3B"/>
    <w:rsid w:val="00A04F62"/>
    <w:rsid w:val="00A0583E"/>
    <w:rsid w:val="00A05A1F"/>
    <w:rsid w:val="00A05A85"/>
    <w:rsid w:val="00A05F40"/>
    <w:rsid w:val="00A06260"/>
    <w:rsid w:val="00A0704E"/>
    <w:rsid w:val="00A07120"/>
    <w:rsid w:val="00A071FE"/>
    <w:rsid w:val="00A07345"/>
    <w:rsid w:val="00A079D7"/>
    <w:rsid w:val="00A07D5E"/>
    <w:rsid w:val="00A07FB0"/>
    <w:rsid w:val="00A100A4"/>
    <w:rsid w:val="00A10587"/>
    <w:rsid w:val="00A1083F"/>
    <w:rsid w:val="00A109F3"/>
    <w:rsid w:val="00A11325"/>
    <w:rsid w:val="00A119AE"/>
    <w:rsid w:val="00A126C2"/>
    <w:rsid w:val="00A13025"/>
    <w:rsid w:val="00A13088"/>
    <w:rsid w:val="00A14D82"/>
    <w:rsid w:val="00A152A5"/>
    <w:rsid w:val="00A153CC"/>
    <w:rsid w:val="00A1542A"/>
    <w:rsid w:val="00A1592E"/>
    <w:rsid w:val="00A15953"/>
    <w:rsid w:val="00A15F81"/>
    <w:rsid w:val="00A15FA5"/>
    <w:rsid w:val="00A16561"/>
    <w:rsid w:val="00A16A1A"/>
    <w:rsid w:val="00A16BF1"/>
    <w:rsid w:val="00A16CAB"/>
    <w:rsid w:val="00A16D94"/>
    <w:rsid w:val="00A16DA9"/>
    <w:rsid w:val="00A1715E"/>
    <w:rsid w:val="00A17271"/>
    <w:rsid w:val="00A17750"/>
    <w:rsid w:val="00A17801"/>
    <w:rsid w:val="00A17A8B"/>
    <w:rsid w:val="00A17E59"/>
    <w:rsid w:val="00A2129C"/>
    <w:rsid w:val="00A21913"/>
    <w:rsid w:val="00A21E6F"/>
    <w:rsid w:val="00A22423"/>
    <w:rsid w:val="00A2269A"/>
    <w:rsid w:val="00A22916"/>
    <w:rsid w:val="00A23254"/>
    <w:rsid w:val="00A237E9"/>
    <w:rsid w:val="00A23E3F"/>
    <w:rsid w:val="00A241AD"/>
    <w:rsid w:val="00A24B3B"/>
    <w:rsid w:val="00A24E98"/>
    <w:rsid w:val="00A25997"/>
    <w:rsid w:val="00A25B29"/>
    <w:rsid w:val="00A25B6C"/>
    <w:rsid w:val="00A2649E"/>
    <w:rsid w:val="00A26BF1"/>
    <w:rsid w:val="00A26FC5"/>
    <w:rsid w:val="00A272A3"/>
    <w:rsid w:val="00A27B93"/>
    <w:rsid w:val="00A30952"/>
    <w:rsid w:val="00A30957"/>
    <w:rsid w:val="00A30CB1"/>
    <w:rsid w:val="00A31043"/>
    <w:rsid w:val="00A31125"/>
    <w:rsid w:val="00A311E2"/>
    <w:rsid w:val="00A314A8"/>
    <w:rsid w:val="00A31847"/>
    <w:rsid w:val="00A318BA"/>
    <w:rsid w:val="00A32977"/>
    <w:rsid w:val="00A3297F"/>
    <w:rsid w:val="00A32C2D"/>
    <w:rsid w:val="00A32EA1"/>
    <w:rsid w:val="00A3338B"/>
    <w:rsid w:val="00A33E6C"/>
    <w:rsid w:val="00A343A5"/>
    <w:rsid w:val="00A34AB6"/>
    <w:rsid w:val="00A34F9D"/>
    <w:rsid w:val="00A34FD1"/>
    <w:rsid w:val="00A3513C"/>
    <w:rsid w:val="00A35864"/>
    <w:rsid w:val="00A35A30"/>
    <w:rsid w:val="00A35C18"/>
    <w:rsid w:val="00A36016"/>
    <w:rsid w:val="00A36BF1"/>
    <w:rsid w:val="00A36C35"/>
    <w:rsid w:val="00A36EAD"/>
    <w:rsid w:val="00A3744E"/>
    <w:rsid w:val="00A3790C"/>
    <w:rsid w:val="00A37DD3"/>
    <w:rsid w:val="00A402AE"/>
    <w:rsid w:val="00A40560"/>
    <w:rsid w:val="00A40747"/>
    <w:rsid w:val="00A40BD8"/>
    <w:rsid w:val="00A41467"/>
    <w:rsid w:val="00A41AB3"/>
    <w:rsid w:val="00A41D99"/>
    <w:rsid w:val="00A42154"/>
    <w:rsid w:val="00A42427"/>
    <w:rsid w:val="00A4254D"/>
    <w:rsid w:val="00A4301F"/>
    <w:rsid w:val="00A433EB"/>
    <w:rsid w:val="00A43A1A"/>
    <w:rsid w:val="00A44285"/>
    <w:rsid w:val="00A4447C"/>
    <w:rsid w:val="00A452D3"/>
    <w:rsid w:val="00A453E3"/>
    <w:rsid w:val="00A45CC4"/>
    <w:rsid w:val="00A45D50"/>
    <w:rsid w:val="00A4619E"/>
    <w:rsid w:val="00A467D5"/>
    <w:rsid w:val="00A46A3C"/>
    <w:rsid w:val="00A46A9B"/>
    <w:rsid w:val="00A46BF5"/>
    <w:rsid w:val="00A46C04"/>
    <w:rsid w:val="00A46E9E"/>
    <w:rsid w:val="00A46F34"/>
    <w:rsid w:val="00A4776F"/>
    <w:rsid w:val="00A4789C"/>
    <w:rsid w:val="00A47A39"/>
    <w:rsid w:val="00A47A81"/>
    <w:rsid w:val="00A47EFD"/>
    <w:rsid w:val="00A5057E"/>
    <w:rsid w:val="00A50A30"/>
    <w:rsid w:val="00A512A6"/>
    <w:rsid w:val="00A5166F"/>
    <w:rsid w:val="00A52518"/>
    <w:rsid w:val="00A52999"/>
    <w:rsid w:val="00A52FF7"/>
    <w:rsid w:val="00A5443D"/>
    <w:rsid w:val="00A5476C"/>
    <w:rsid w:val="00A54CE1"/>
    <w:rsid w:val="00A54EDB"/>
    <w:rsid w:val="00A55047"/>
    <w:rsid w:val="00A55281"/>
    <w:rsid w:val="00A552C3"/>
    <w:rsid w:val="00A55E2B"/>
    <w:rsid w:val="00A56788"/>
    <w:rsid w:val="00A56C81"/>
    <w:rsid w:val="00A56D33"/>
    <w:rsid w:val="00A57710"/>
    <w:rsid w:val="00A5779F"/>
    <w:rsid w:val="00A57820"/>
    <w:rsid w:val="00A607E8"/>
    <w:rsid w:val="00A60A33"/>
    <w:rsid w:val="00A61300"/>
    <w:rsid w:val="00A61423"/>
    <w:rsid w:val="00A61568"/>
    <w:rsid w:val="00A61770"/>
    <w:rsid w:val="00A61D4F"/>
    <w:rsid w:val="00A61DAD"/>
    <w:rsid w:val="00A61F4A"/>
    <w:rsid w:val="00A629B9"/>
    <w:rsid w:val="00A63791"/>
    <w:rsid w:val="00A642C6"/>
    <w:rsid w:val="00A643AC"/>
    <w:rsid w:val="00A64567"/>
    <w:rsid w:val="00A646E7"/>
    <w:rsid w:val="00A64902"/>
    <w:rsid w:val="00A64A0D"/>
    <w:rsid w:val="00A64BED"/>
    <w:rsid w:val="00A64CA0"/>
    <w:rsid w:val="00A655FD"/>
    <w:rsid w:val="00A657E3"/>
    <w:rsid w:val="00A65D51"/>
    <w:rsid w:val="00A65ED6"/>
    <w:rsid w:val="00A673D1"/>
    <w:rsid w:val="00A67560"/>
    <w:rsid w:val="00A67F1C"/>
    <w:rsid w:val="00A708F3"/>
    <w:rsid w:val="00A7092C"/>
    <w:rsid w:val="00A70DFC"/>
    <w:rsid w:val="00A70FAA"/>
    <w:rsid w:val="00A713CD"/>
    <w:rsid w:val="00A71B7F"/>
    <w:rsid w:val="00A720C5"/>
    <w:rsid w:val="00A72773"/>
    <w:rsid w:val="00A727BE"/>
    <w:rsid w:val="00A729E5"/>
    <w:rsid w:val="00A72A8E"/>
    <w:rsid w:val="00A72C57"/>
    <w:rsid w:val="00A73BC1"/>
    <w:rsid w:val="00A73BF0"/>
    <w:rsid w:val="00A73FAB"/>
    <w:rsid w:val="00A7456F"/>
    <w:rsid w:val="00A74E76"/>
    <w:rsid w:val="00A7531B"/>
    <w:rsid w:val="00A755EE"/>
    <w:rsid w:val="00A759AC"/>
    <w:rsid w:val="00A75B4B"/>
    <w:rsid w:val="00A75CAF"/>
    <w:rsid w:val="00A76971"/>
    <w:rsid w:val="00A778BB"/>
    <w:rsid w:val="00A77A82"/>
    <w:rsid w:val="00A77D61"/>
    <w:rsid w:val="00A800E3"/>
    <w:rsid w:val="00A803AF"/>
    <w:rsid w:val="00A80E99"/>
    <w:rsid w:val="00A81101"/>
    <w:rsid w:val="00A81161"/>
    <w:rsid w:val="00A811EA"/>
    <w:rsid w:val="00A81213"/>
    <w:rsid w:val="00A81503"/>
    <w:rsid w:val="00A8150E"/>
    <w:rsid w:val="00A81DCA"/>
    <w:rsid w:val="00A81FEB"/>
    <w:rsid w:val="00A82985"/>
    <w:rsid w:val="00A830F4"/>
    <w:rsid w:val="00A83BFC"/>
    <w:rsid w:val="00A83C6B"/>
    <w:rsid w:val="00A8455D"/>
    <w:rsid w:val="00A85745"/>
    <w:rsid w:val="00A85DFF"/>
    <w:rsid w:val="00A85E40"/>
    <w:rsid w:val="00A86F34"/>
    <w:rsid w:val="00A90065"/>
    <w:rsid w:val="00A908EA"/>
    <w:rsid w:val="00A91612"/>
    <w:rsid w:val="00A92318"/>
    <w:rsid w:val="00A929C4"/>
    <w:rsid w:val="00A92B36"/>
    <w:rsid w:val="00A937D5"/>
    <w:rsid w:val="00A93880"/>
    <w:rsid w:val="00A93CC2"/>
    <w:rsid w:val="00A93D72"/>
    <w:rsid w:val="00A93FC3"/>
    <w:rsid w:val="00A93FDA"/>
    <w:rsid w:val="00A947FE"/>
    <w:rsid w:val="00A94DE3"/>
    <w:rsid w:val="00A94F1B"/>
    <w:rsid w:val="00A95039"/>
    <w:rsid w:val="00A95882"/>
    <w:rsid w:val="00A95C81"/>
    <w:rsid w:val="00A95D24"/>
    <w:rsid w:val="00A95F75"/>
    <w:rsid w:val="00A966F2"/>
    <w:rsid w:val="00A96A6C"/>
    <w:rsid w:val="00A96C68"/>
    <w:rsid w:val="00A97325"/>
    <w:rsid w:val="00A97BF4"/>
    <w:rsid w:val="00AA0001"/>
    <w:rsid w:val="00AA0A49"/>
    <w:rsid w:val="00AA0AFF"/>
    <w:rsid w:val="00AA1341"/>
    <w:rsid w:val="00AA13C8"/>
    <w:rsid w:val="00AA1F7C"/>
    <w:rsid w:val="00AA24EE"/>
    <w:rsid w:val="00AA2643"/>
    <w:rsid w:val="00AA26F0"/>
    <w:rsid w:val="00AA2782"/>
    <w:rsid w:val="00AA294E"/>
    <w:rsid w:val="00AA2AED"/>
    <w:rsid w:val="00AA30B6"/>
    <w:rsid w:val="00AA3246"/>
    <w:rsid w:val="00AA3C4C"/>
    <w:rsid w:val="00AA3C6A"/>
    <w:rsid w:val="00AA4013"/>
    <w:rsid w:val="00AA42B8"/>
    <w:rsid w:val="00AA4898"/>
    <w:rsid w:val="00AA4E65"/>
    <w:rsid w:val="00AA52F7"/>
    <w:rsid w:val="00AA5406"/>
    <w:rsid w:val="00AA6A4A"/>
    <w:rsid w:val="00AA6A79"/>
    <w:rsid w:val="00AA6DBE"/>
    <w:rsid w:val="00AA7538"/>
    <w:rsid w:val="00AA77D6"/>
    <w:rsid w:val="00AA7898"/>
    <w:rsid w:val="00AB0543"/>
    <w:rsid w:val="00AB0870"/>
    <w:rsid w:val="00AB1272"/>
    <w:rsid w:val="00AB1620"/>
    <w:rsid w:val="00AB1922"/>
    <w:rsid w:val="00AB1A51"/>
    <w:rsid w:val="00AB210F"/>
    <w:rsid w:val="00AB25C4"/>
    <w:rsid w:val="00AB2760"/>
    <w:rsid w:val="00AB2EAF"/>
    <w:rsid w:val="00AB31FC"/>
    <w:rsid w:val="00AB3829"/>
    <w:rsid w:val="00AB3D69"/>
    <w:rsid w:val="00AB3FA9"/>
    <w:rsid w:val="00AB430B"/>
    <w:rsid w:val="00AB450F"/>
    <w:rsid w:val="00AB4C70"/>
    <w:rsid w:val="00AB5370"/>
    <w:rsid w:val="00AB570A"/>
    <w:rsid w:val="00AB5B22"/>
    <w:rsid w:val="00AB5BF9"/>
    <w:rsid w:val="00AB6464"/>
    <w:rsid w:val="00AB6AE8"/>
    <w:rsid w:val="00AB74C8"/>
    <w:rsid w:val="00AB7EC8"/>
    <w:rsid w:val="00AC0549"/>
    <w:rsid w:val="00AC0665"/>
    <w:rsid w:val="00AC0DB5"/>
    <w:rsid w:val="00AC17C4"/>
    <w:rsid w:val="00AC1840"/>
    <w:rsid w:val="00AC1952"/>
    <w:rsid w:val="00AC2557"/>
    <w:rsid w:val="00AC25E6"/>
    <w:rsid w:val="00AC2A01"/>
    <w:rsid w:val="00AC453D"/>
    <w:rsid w:val="00AC4D0A"/>
    <w:rsid w:val="00AC503B"/>
    <w:rsid w:val="00AC53B5"/>
    <w:rsid w:val="00AC60DD"/>
    <w:rsid w:val="00AC6776"/>
    <w:rsid w:val="00AC76FD"/>
    <w:rsid w:val="00AC7952"/>
    <w:rsid w:val="00AC7B02"/>
    <w:rsid w:val="00AC7B13"/>
    <w:rsid w:val="00AC7BB5"/>
    <w:rsid w:val="00AC7DE1"/>
    <w:rsid w:val="00AD0021"/>
    <w:rsid w:val="00AD05AF"/>
    <w:rsid w:val="00AD05BA"/>
    <w:rsid w:val="00AD0E92"/>
    <w:rsid w:val="00AD12C1"/>
    <w:rsid w:val="00AD16FC"/>
    <w:rsid w:val="00AD1CE9"/>
    <w:rsid w:val="00AD2045"/>
    <w:rsid w:val="00AD2646"/>
    <w:rsid w:val="00AD331E"/>
    <w:rsid w:val="00AD344E"/>
    <w:rsid w:val="00AD3762"/>
    <w:rsid w:val="00AD3BC8"/>
    <w:rsid w:val="00AD48E0"/>
    <w:rsid w:val="00AD569F"/>
    <w:rsid w:val="00AD5769"/>
    <w:rsid w:val="00AD65DA"/>
    <w:rsid w:val="00AD6BAB"/>
    <w:rsid w:val="00AD6D9C"/>
    <w:rsid w:val="00AD7492"/>
    <w:rsid w:val="00AD74EA"/>
    <w:rsid w:val="00AD7D6B"/>
    <w:rsid w:val="00AE0241"/>
    <w:rsid w:val="00AE04D5"/>
    <w:rsid w:val="00AE0794"/>
    <w:rsid w:val="00AE0F06"/>
    <w:rsid w:val="00AE1A19"/>
    <w:rsid w:val="00AE1AF1"/>
    <w:rsid w:val="00AE1E23"/>
    <w:rsid w:val="00AE1F4E"/>
    <w:rsid w:val="00AE294F"/>
    <w:rsid w:val="00AE2FC4"/>
    <w:rsid w:val="00AE32A2"/>
    <w:rsid w:val="00AE3F32"/>
    <w:rsid w:val="00AE3FC9"/>
    <w:rsid w:val="00AE4018"/>
    <w:rsid w:val="00AE4175"/>
    <w:rsid w:val="00AE4676"/>
    <w:rsid w:val="00AE472C"/>
    <w:rsid w:val="00AE4993"/>
    <w:rsid w:val="00AE4AF6"/>
    <w:rsid w:val="00AE4BE9"/>
    <w:rsid w:val="00AE5085"/>
    <w:rsid w:val="00AE5837"/>
    <w:rsid w:val="00AE5AD7"/>
    <w:rsid w:val="00AE5CF9"/>
    <w:rsid w:val="00AE611F"/>
    <w:rsid w:val="00AE6305"/>
    <w:rsid w:val="00AE63C4"/>
    <w:rsid w:val="00AE63E4"/>
    <w:rsid w:val="00AE6499"/>
    <w:rsid w:val="00AE6BB8"/>
    <w:rsid w:val="00AE6E47"/>
    <w:rsid w:val="00AF0026"/>
    <w:rsid w:val="00AF0746"/>
    <w:rsid w:val="00AF0805"/>
    <w:rsid w:val="00AF082E"/>
    <w:rsid w:val="00AF10B7"/>
    <w:rsid w:val="00AF12C9"/>
    <w:rsid w:val="00AF1E80"/>
    <w:rsid w:val="00AF2229"/>
    <w:rsid w:val="00AF33AD"/>
    <w:rsid w:val="00AF3DBE"/>
    <w:rsid w:val="00AF407B"/>
    <w:rsid w:val="00AF5115"/>
    <w:rsid w:val="00AF5A35"/>
    <w:rsid w:val="00AF5AFB"/>
    <w:rsid w:val="00AF6053"/>
    <w:rsid w:val="00AF6917"/>
    <w:rsid w:val="00AF6D62"/>
    <w:rsid w:val="00AF7579"/>
    <w:rsid w:val="00AF77D5"/>
    <w:rsid w:val="00B00EA4"/>
    <w:rsid w:val="00B0125C"/>
    <w:rsid w:val="00B026C1"/>
    <w:rsid w:val="00B02776"/>
    <w:rsid w:val="00B02C49"/>
    <w:rsid w:val="00B031CA"/>
    <w:rsid w:val="00B0352F"/>
    <w:rsid w:val="00B03DBA"/>
    <w:rsid w:val="00B03E4B"/>
    <w:rsid w:val="00B0468D"/>
    <w:rsid w:val="00B05238"/>
    <w:rsid w:val="00B05400"/>
    <w:rsid w:val="00B0610F"/>
    <w:rsid w:val="00B06335"/>
    <w:rsid w:val="00B063CC"/>
    <w:rsid w:val="00B06477"/>
    <w:rsid w:val="00B066B4"/>
    <w:rsid w:val="00B06979"/>
    <w:rsid w:val="00B06A3D"/>
    <w:rsid w:val="00B06CEA"/>
    <w:rsid w:val="00B06D5C"/>
    <w:rsid w:val="00B071BA"/>
    <w:rsid w:val="00B07321"/>
    <w:rsid w:val="00B07D56"/>
    <w:rsid w:val="00B10149"/>
    <w:rsid w:val="00B102B3"/>
    <w:rsid w:val="00B10366"/>
    <w:rsid w:val="00B1052F"/>
    <w:rsid w:val="00B10978"/>
    <w:rsid w:val="00B10B4B"/>
    <w:rsid w:val="00B10E0F"/>
    <w:rsid w:val="00B1125F"/>
    <w:rsid w:val="00B11537"/>
    <w:rsid w:val="00B11D23"/>
    <w:rsid w:val="00B126F0"/>
    <w:rsid w:val="00B12F7D"/>
    <w:rsid w:val="00B130D2"/>
    <w:rsid w:val="00B13B1D"/>
    <w:rsid w:val="00B13E80"/>
    <w:rsid w:val="00B143DD"/>
    <w:rsid w:val="00B144AB"/>
    <w:rsid w:val="00B148BE"/>
    <w:rsid w:val="00B15A14"/>
    <w:rsid w:val="00B15AD5"/>
    <w:rsid w:val="00B15ADF"/>
    <w:rsid w:val="00B1655D"/>
    <w:rsid w:val="00B17384"/>
    <w:rsid w:val="00B20068"/>
    <w:rsid w:val="00B20125"/>
    <w:rsid w:val="00B2023D"/>
    <w:rsid w:val="00B203AA"/>
    <w:rsid w:val="00B21162"/>
    <w:rsid w:val="00B215A0"/>
    <w:rsid w:val="00B215D5"/>
    <w:rsid w:val="00B21D06"/>
    <w:rsid w:val="00B21EC2"/>
    <w:rsid w:val="00B21FD7"/>
    <w:rsid w:val="00B22512"/>
    <w:rsid w:val="00B22519"/>
    <w:rsid w:val="00B226FB"/>
    <w:rsid w:val="00B22B87"/>
    <w:rsid w:val="00B22EDE"/>
    <w:rsid w:val="00B2454A"/>
    <w:rsid w:val="00B24951"/>
    <w:rsid w:val="00B24DC6"/>
    <w:rsid w:val="00B24E34"/>
    <w:rsid w:val="00B250B7"/>
    <w:rsid w:val="00B26BE1"/>
    <w:rsid w:val="00B271B0"/>
    <w:rsid w:val="00B27B4F"/>
    <w:rsid w:val="00B27B61"/>
    <w:rsid w:val="00B27CDB"/>
    <w:rsid w:val="00B27E8D"/>
    <w:rsid w:val="00B305AC"/>
    <w:rsid w:val="00B305CF"/>
    <w:rsid w:val="00B30EF0"/>
    <w:rsid w:val="00B30F5A"/>
    <w:rsid w:val="00B316E5"/>
    <w:rsid w:val="00B31925"/>
    <w:rsid w:val="00B31AF7"/>
    <w:rsid w:val="00B32BDB"/>
    <w:rsid w:val="00B331D3"/>
    <w:rsid w:val="00B333DC"/>
    <w:rsid w:val="00B33B15"/>
    <w:rsid w:val="00B33B87"/>
    <w:rsid w:val="00B33D60"/>
    <w:rsid w:val="00B34585"/>
    <w:rsid w:val="00B34C2D"/>
    <w:rsid w:val="00B34CF5"/>
    <w:rsid w:val="00B34F2F"/>
    <w:rsid w:val="00B34F49"/>
    <w:rsid w:val="00B35A7E"/>
    <w:rsid w:val="00B35CC1"/>
    <w:rsid w:val="00B35FD8"/>
    <w:rsid w:val="00B36697"/>
    <w:rsid w:val="00B36FBA"/>
    <w:rsid w:val="00B378B6"/>
    <w:rsid w:val="00B406A1"/>
    <w:rsid w:val="00B4092C"/>
    <w:rsid w:val="00B40DE9"/>
    <w:rsid w:val="00B40E07"/>
    <w:rsid w:val="00B40E11"/>
    <w:rsid w:val="00B40F36"/>
    <w:rsid w:val="00B4129E"/>
    <w:rsid w:val="00B4137B"/>
    <w:rsid w:val="00B414DC"/>
    <w:rsid w:val="00B4161F"/>
    <w:rsid w:val="00B41647"/>
    <w:rsid w:val="00B419F9"/>
    <w:rsid w:val="00B41AC2"/>
    <w:rsid w:val="00B41E15"/>
    <w:rsid w:val="00B427E8"/>
    <w:rsid w:val="00B42CFC"/>
    <w:rsid w:val="00B43C93"/>
    <w:rsid w:val="00B454F3"/>
    <w:rsid w:val="00B45A4B"/>
    <w:rsid w:val="00B45A65"/>
    <w:rsid w:val="00B45B17"/>
    <w:rsid w:val="00B466AD"/>
    <w:rsid w:val="00B46CD5"/>
    <w:rsid w:val="00B46DEC"/>
    <w:rsid w:val="00B47CA8"/>
    <w:rsid w:val="00B47D0B"/>
    <w:rsid w:val="00B51297"/>
    <w:rsid w:val="00B51341"/>
    <w:rsid w:val="00B5176C"/>
    <w:rsid w:val="00B51791"/>
    <w:rsid w:val="00B51CE1"/>
    <w:rsid w:val="00B51DDC"/>
    <w:rsid w:val="00B5274B"/>
    <w:rsid w:val="00B52CB2"/>
    <w:rsid w:val="00B53075"/>
    <w:rsid w:val="00B5335B"/>
    <w:rsid w:val="00B534A5"/>
    <w:rsid w:val="00B543AC"/>
    <w:rsid w:val="00B5454D"/>
    <w:rsid w:val="00B54DEC"/>
    <w:rsid w:val="00B55274"/>
    <w:rsid w:val="00B55C11"/>
    <w:rsid w:val="00B55CA7"/>
    <w:rsid w:val="00B5629B"/>
    <w:rsid w:val="00B56349"/>
    <w:rsid w:val="00B56AAA"/>
    <w:rsid w:val="00B56FE3"/>
    <w:rsid w:val="00B57187"/>
    <w:rsid w:val="00B572A3"/>
    <w:rsid w:val="00B5784E"/>
    <w:rsid w:val="00B57DCD"/>
    <w:rsid w:val="00B57DED"/>
    <w:rsid w:val="00B600E7"/>
    <w:rsid w:val="00B60AC8"/>
    <w:rsid w:val="00B61481"/>
    <w:rsid w:val="00B618C5"/>
    <w:rsid w:val="00B619CE"/>
    <w:rsid w:val="00B61BAD"/>
    <w:rsid w:val="00B62040"/>
    <w:rsid w:val="00B62A62"/>
    <w:rsid w:val="00B62BC9"/>
    <w:rsid w:val="00B62E15"/>
    <w:rsid w:val="00B62FDB"/>
    <w:rsid w:val="00B63A81"/>
    <w:rsid w:val="00B63B38"/>
    <w:rsid w:val="00B63C3F"/>
    <w:rsid w:val="00B655CF"/>
    <w:rsid w:val="00B65655"/>
    <w:rsid w:val="00B6568F"/>
    <w:rsid w:val="00B6576A"/>
    <w:rsid w:val="00B65A4C"/>
    <w:rsid w:val="00B65E10"/>
    <w:rsid w:val="00B66AEA"/>
    <w:rsid w:val="00B66CF9"/>
    <w:rsid w:val="00B67400"/>
    <w:rsid w:val="00B70425"/>
    <w:rsid w:val="00B70E32"/>
    <w:rsid w:val="00B70E74"/>
    <w:rsid w:val="00B710E2"/>
    <w:rsid w:val="00B715DC"/>
    <w:rsid w:val="00B716CB"/>
    <w:rsid w:val="00B7183E"/>
    <w:rsid w:val="00B724DC"/>
    <w:rsid w:val="00B72648"/>
    <w:rsid w:val="00B727B6"/>
    <w:rsid w:val="00B7314B"/>
    <w:rsid w:val="00B732B8"/>
    <w:rsid w:val="00B7352A"/>
    <w:rsid w:val="00B73750"/>
    <w:rsid w:val="00B73A5B"/>
    <w:rsid w:val="00B73DE6"/>
    <w:rsid w:val="00B7415F"/>
    <w:rsid w:val="00B742FA"/>
    <w:rsid w:val="00B7438A"/>
    <w:rsid w:val="00B7480C"/>
    <w:rsid w:val="00B74A2F"/>
    <w:rsid w:val="00B74B51"/>
    <w:rsid w:val="00B74B65"/>
    <w:rsid w:val="00B74C7E"/>
    <w:rsid w:val="00B7546D"/>
    <w:rsid w:val="00B754E5"/>
    <w:rsid w:val="00B75776"/>
    <w:rsid w:val="00B759BB"/>
    <w:rsid w:val="00B75C37"/>
    <w:rsid w:val="00B76679"/>
    <w:rsid w:val="00B76B5D"/>
    <w:rsid w:val="00B77705"/>
    <w:rsid w:val="00B80AB6"/>
    <w:rsid w:val="00B80B52"/>
    <w:rsid w:val="00B80F86"/>
    <w:rsid w:val="00B80F9B"/>
    <w:rsid w:val="00B81A97"/>
    <w:rsid w:val="00B81D7A"/>
    <w:rsid w:val="00B82BB3"/>
    <w:rsid w:val="00B82CC6"/>
    <w:rsid w:val="00B82CE4"/>
    <w:rsid w:val="00B82D6F"/>
    <w:rsid w:val="00B82E5B"/>
    <w:rsid w:val="00B82FDC"/>
    <w:rsid w:val="00B8342D"/>
    <w:rsid w:val="00B83824"/>
    <w:rsid w:val="00B83D95"/>
    <w:rsid w:val="00B8404C"/>
    <w:rsid w:val="00B8422B"/>
    <w:rsid w:val="00B84829"/>
    <w:rsid w:val="00B859E2"/>
    <w:rsid w:val="00B85DC4"/>
    <w:rsid w:val="00B8600D"/>
    <w:rsid w:val="00B86147"/>
    <w:rsid w:val="00B86838"/>
    <w:rsid w:val="00B9054C"/>
    <w:rsid w:val="00B9114C"/>
    <w:rsid w:val="00B91151"/>
    <w:rsid w:val="00B915C3"/>
    <w:rsid w:val="00B919CE"/>
    <w:rsid w:val="00B921AD"/>
    <w:rsid w:val="00B92301"/>
    <w:rsid w:val="00B9230E"/>
    <w:rsid w:val="00B92BF4"/>
    <w:rsid w:val="00B92E3D"/>
    <w:rsid w:val="00B93988"/>
    <w:rsid w:val="00B94780"/>
    <w:rsid w:val="00B94789"/>
    <w:rsid w:val="00B949B4"/>
    <w:rsid w:val="00B94E40"/>
    <w:rsid w:val="00B950EC"/>
    <w:rsid w:val="00B95D59"/>
    <w:rsid w:val="00B95EBA"/>
    <w:rsid w:val="00B9721B"/>
    <w:rsid w:val="00B972A8"/>
    <w:rsid w:val="00B97A67"/>
    <w:rsid w:val="00B97AE4"/>
    <w:rsid w:val="00BA0139"/>
    <w:rsid w:val="00BA017C"/>
    <w:rsid w:val="00BA0365"/>
    <w:rsid w:val="00BA07AA"/>
    <w:rsid w:val="00BA07EE"/>
    <w:rsid w:val="00BA2A12"/>
    <w:rsid w:val="00BA2B3F"/>
    <w:rsid w:val="00BA2D34"/>
    <w:rsid w:val="00BA349B"/>
    <w:rsid w:val="00BA3817"/>
    <w:rsid w:val="00BA3CE9"/>
    <w:rsid w:val="00BA4636"/>
    <w:rsid w:val="00BA48F0"/>
    <w:rsid w:val="00BA545D"/>
    <w:rsid w:val="00BA5FC4"/>
    <w:rsid w:val="00BA653E"/>
    <w:rsid w:val="00BA6AAE"/>
    <w:rsid w:val="00BA6CD3"/>
    <w:rsid w:val="00BA7823"/>
    <w:rsid w:val="00BA7A49"/>
    <w:rsid w:val="00BB02D8"/>
    <w:rsid w:val="00BB07D7"/>
    <w:rsid w:val="00BB092A"/>
    <w:rsid w:val="00BB098D"/>
    <w:rsid w:val="00BB0F06"/>
    <w:rsid w:val="00BB1340"/>
    <w:rsid w:val="00BB14CC"/>
    <w:rsid w:val="00BB166D"/>
    <w:rsid w:val="00BB1AB1"/>
    <w:rsid w:val="00BB2D5E"/>
    <w:rsid w:val="00BB3345"/>
    <w:rsid w:val="00BB38B0"/>
    <w:rsid w:val="00BB3989"/>
    <w:rsid w:val="00BB3D47"/>
    <w:rsid w:val="00BB4168"/>
    <w:rsid w:val="00BB488C"/>
    <w:rsid w:val="00BB4CD7"/>
    <w:rsid w:val="00BB51C6"/>
    <w:rsid w:val="00BB57A5"/>
    <w:rsid w:val="00BB6225"/>
    <w:rsid w:val="00BB6762"/>
    <w:rsid w:val="00BB6766"/>
    <w:rsid w:val="00BB6C48"/>
    <w:rsid w:val="00BB6CCF"/>
    <w:rsid w:val="00BB7616"/>
    <w:rsid w:val="00BB76E0"/>
    <w:rsid w:val="00BC0311"/>
    <w:rsid w:val="00BC0374"/>
    <w:rsid w:val="00BC0AF3"/>
    <w:rsid w:val="00BC0F0F"/>
    <w:rsid w:val="00BC0F15"/>
    <w:rsid w:val="00BC10EE"/>
    <w:rsid w:val="00BC14F0"/>
    <w:rsid w:val="00BC192D"/>
    <w:rsid w:val="00BC1A8A"/>
    <w:rsid w:val="00BC1B09"/>
    <w:rsid w:val="00BC217D"/>
    <w:rsid w:val="00BC23AD"/>
    <w:rsid w:val="00BC25ED"/>
    <w:rsid w:val="00BC2BC4"/>
    <w:rsid w:val="00BC4B3E"/>
    <w:rsid w:val="00BC4C46"/>
    <w:rsid w:val="00BC5103"/>
    <w:rsid w:val="00BC513E"/>
    <w:rsid w:val="00BC571D"/>
    <w:rsid w:val="00BC58CD"/>
    <w:rsid w:val="00BC5974"/>
    <w:rsid w:val="00BC5FC0"/>
    <w:rsid w:val="00BC628E"/>
    <w:rsid w:val="00BC657D"/>
    <w:rsid w:val="00BC659E"/>
    <w:rsid w:val="00BC6ABB"/>
    <w:rsid w:val="00BC6E49"/>
    <w:rsid w:val="00BC731C"/>
    <w:rsid w:val="00BC7356"/>
    <w:rsid w:val="00BC76B1"/>
    <w:rsid w:val="00BC7828"/>
    <w:rsid w:val="00BC7946"/>
    <w:rsid w:val="00BD09D8"/>
    <w:rsid w:val="00BD14B2"/>
    <w:rsid w:val="00BD1CC2"/>
    <w:rsid w:val="00BD2272"/>
    <w:rsid w:val="00BD3F9E"/>
    <w:rsid w:val="00BD4A67"/>
    <w:rsid w:val="00BD4DDB"/>
    <w:rsid w:val="00BD4F85"/>
    <w:rsid w:val="00BD54BD"/>
    <w:rsid w:val="00BD6B2C"/>
    <w:rsid w:val="00BD6E32"/>
    <w:rsid w:val="00BD70F6"/>
    <w:rsid w:val="00BD76A9"/>
    <w:rsid w:val="00BD78E5"/>
    <w:rsid w:val="00BD7CAB"/>
    <w:rsid w:val="00BE0AE3"/>
    <w:rsid w:val="00BE0CF1"/>
    <w:rsid w:val="00BE0EE1"/>
    <w:rsid w:val="00BE10D2"/>
    <w:rsid w:val="00BE12B4"/>
    <w:rsid w:val="00BE13BB"/>
    <w:rsid w:val="00BE1E66"/>
    <w:rsid w:val="00BE298C"/>
    <w:rsid w:val="00BE3364"/>
    <w:rsid w:val="00BE3374"/>
    <w:rsid w:val="00BE39D4"/>
    <w:rsid w:val="00BE3D78"/>
    <w:rsid w:val="00BE3DB7"/>
    <w:rsid w:val="00BE45D1"/>
    <w:rsid w:val="00BE4801"/>
    <w:rsid w:val="00BE4D90"/>
    <w:rsid w:val="00BE5082"/>
    <w:rsid w:val="00BE5272"/>
    <w:rsid w:val="00BE53A8"/>
    <w:rsid w:val="00BE67E0"/>
    <w:rsid w:val="00BE6964"/>
    <w:rsid w:val="00BE6A63"/>
    <w:rsid w:val="00BE6C11"/>
    <w:rsid w:val="00BE6DBB"/>
    <w:rsid w:val="00BE6E35"/>
    <w:rsid w:val="00BE6EB8"/>
    <w:rsid w:val="00BE7319"/>
    <w:rsid w:val="00BE7B8B"/>
    <w:rsid w:val="00BF04D9"/>
    <w:rsid w:val="00BF056B"/>
    <w:rsid w:val="00BF11A7"/>
    <w:rsid w:val="00BF1EAF"/>
    <w:rsid w:val="00BF21DB"/>
    <w:rsid w:val="00BF2448"/>
    <w:rsid w:val="00BF2885"/>
    <w:rsid w:val="00BF3805"/>
    <w:rsid w:val="00BF3E76"/>
    <w:rsid w:val="00BF3F54"/>
    <w:rsid w:val="00BF4720"/>
    <w:rsid w:val="00BF4A0D"/>
    <w:rsid w:val="00BF4A6D"/>
    <w:rsid w:val="00BF4B20"/>
    <w:rsid w:val="00BF4FC4"/>
    <w:rsid w:val="00BF5279"/>
    <w:rsid w:val="00BF54BF"/>
    <w:rsid w:val="00BF54E8"/>
    <w:rsid w:val="00BF567A"/>
    <w:rsid w:val="00BF5F04"/>
    <w:rsid w:val="00BF6C42"/>
    <w:rsid w:val="00BF77C7"/>
    <w:rsid w:val="00BF7CF0"/>
    <w:rsid w:val="00C0049B"/>
    <w:rsid w:val="00C00FC3"/>
    <w:rsid w:val="00C01562"/>
    <w:rsid w:val="00C01F77"/>
    <w:rsid w:val="00C01FB2"/>
    <w:rsid w:val="00C0255D"/>
    <w:rsid w:val="00C02C77"/>
    <w:rsid w:val="00C02CBA"/>
    <w:rsid w:val="00C02F23"/>
    <w:rsid w:val="00C035B0"/>
    <w:rsid w:val="00C03685"/>
    <w:rsid w:val="00C0394F"/>
    <w:rsid w:val="00C03BF1"/>
    <w:rsid w:val="00C04A8A"/>
    <w:rsid w:val="00C04AD6"/>
    <w:rsid w:val="00C04B88"/>
    <w:rsid w:val="00C057D0"/>
    <w:rsid w:val="00C05B04"/>
    <w:rsid w:val="00C05BAC"/>
    <w:rsid w:val="00C05D6C"/>
    <w:rsid w:val="00C0673A"/>
    <w:rsid w:val="00C069F6"/>
    <w:rsid w:val="00C06C01"/>
    <w:rsid w:val="00C06CB3"/>
    <w:rsid w:val="00C10553"/>
    <w:rsid w:val="00C10767"/>
    <w:rsid w:val="00C1096F"/>
    <w:rsid w:val="00C10CC2"/>
    <w:rsid w:val="00C111AF"/>
    <w:rsid w:val="00C11465"/>
    <w:rsid w:val="00C11949"/>
    <w:rsid w:val="00C11B36"/>
    <w:rsid w:val="00C11DA8"/>
    <w:rsid w:val="00C12685"/>
    <w:rsid w:val="00C12A47"/>
    <w:rsid w:val="00C12DF0"/>
    <w:rsid w:val="00C12E4A"/>
    <w:rsid w:val="00C141D2"/>
    <w:rsid w:val="00C14771"/>
    <w:rsid w:val="00C14BBF"/>
    <w:rsid w:val="00C14F4E"/>
    <w:rsid w:val="00C1609C"/>
    <w:rsid w:val="00C1690C"/>
    <w:rsid w:val="00C16C7E"/>
    <w:rsid w:val="00C175B6"/>
    <w:rsid w:val="00C17B31"/>
    <w:rsid w:val="00C17D0B"/>
    <w:rsid w:val="00C17DBF"/>
    <w:rsid w:val="00C206B4"/>
    <w:rsid w:val="00C20F49"/>
    <w:rsid w:val="00C2123F"/>
    <w:rsid w:val="00C217C6"/>
    <w:rsid w:val="00C21909"/>
    <w:rsid w:val="00C22053"/>
    <w:rsid w:val="00C22447"/>
    <w:rsid w:val="00C22457"/>
    <w:rsid w:val="00C2263B"/>
    <w:rsid w:val="00C23FD9"/>
    <w:rsid w:val="00C240D9"/>
    <w:rsid w:val="00C240E7"/>
    <w:rsid w:val="00C249B4"/>
    <w:rsid w:val="00C257B6"/>
    <w:rsid w:val="00C259E9"/>
    <w:rsid w:val="00C25AA2"/>
    <w:rsid w:val="00C25B54"/>
    <w:rsid w:val="00C25BAD"/>
    <w:rsid w:val="00C266EF"/>
    <w:rsid w:val="00C2686D"/>
    <w:rsid w:val="00C26BB5"/>
    <w:rsid w:val="00C26D39"/>
    <w:rsid w:val="00C26FE1"/>
    <w:rsid w:val="00C278DA"/>
    <w:rsid w:val="00C27A02"/>
    <w:rsid w:val="00C27D06"/>
    <w:rsid w:val="00C302A1"/>
    <w:rsid w:val="00C30B7D"/>
    <w:rsid w:val="00C315EF"/>
    <w:rsid w:val="00C31629"/>
    <w:rsid w:val="00C3252B"/>
    <w:rsid w:val="00C326CC"/>
    <w:rsid w:val="00C32748"/>
    <w:rsid w:val="00C32FEC"/>
    <w:rsid w:val="00C3344F"/>
    <w:rsid w:val="00C33847"/>
    <w:rsid w:val="00C339E2"/>
    <w:rsid w:val="00C33A4C"/>
    <w:rsid w:val="00C33F0A"/>
    <w:rsid w:val="00C33F11"/>
    <w:rsid w:val="00C33F20"/>
    <w:rsid w:val="00C342F6"/>
    <w:rsid w:val="00C346DC"/>
    <w:rsid w:val="00C34932"/>
    <w:rsid w:val="00C34987"/>
    <w:rsid w:val="00C34A2B"/>
    <w:rsid w:val="00C34BD9"/>
    <w:rsid w:val="00C34CC1"/>
    <w:rsid w:val="00C34F40"/>
    <w:rsid w:val="00C35473"/>
    <w:rsid w:val="00C35669"/>
    <w:rsid w:val="00C356DF"/>
    <w:rsid w:val="00C35841"/>
    <w:rsid w:val="00C35985"/>
    <w:rsid w:val="00C36273"/>
    <w:rsid w:val="00C3645A"/>
    <w:rsid w:val="00C375A0"/>
    <w:rsid w:val="00C37604"/>
    <w:rsid w:val="00C378BA"/>
    <w:rsid w:val="00C378E1"/>
    <w:rsid w:val="00C4000D"/>
    <w:rsid w:val="00C4060C"/>
    <w:rsid w:val="00C41460"/>
    <w:rsid w:val="00C41917"/>
    <w:rsid w:val="00C41DAC"/>
    <w:rsid w:val="00C42027"/>
    <w:rsid w:val="00C432AD"/>
    <w:rsid w:val="00C4383D"/>
    <w:rsid w:val="00C43B31"/>
    <w:rsid w:val="00C43D72"/>
    <w:rsid w:val="00C44691"/>
    <w:rsid w:val="00C4575E"/>
    <w:rsid w:val="00C458DE"/>
    <w:rsid w:val="00C45D76"/>
    <w:rsid w:val="00C46BCA"/>
    <w:rsid w:val="00C4743A"/>
    <w:rsid w:val="00C478A6"/>
    <w:rsid w:val="00C5089B"/>
    <w:rsid w:val="00C5212B"/>
    <w:rsid w:val="00C523EB"/>
    <w:rsid w:val="00C532E5"/>
    <w:rsid w:val="00C53407"/>
    <w:rsid w:val="00C534F4"/>
    <w:rsid w:val="00C53856"/>
    <w:rsid w:val="00C53D71"/>
    <w:rsid w:val="00C5419D"/>
    <w:rsid w:val="00C54BE7"/>
    <w:rsid w:val="00C557E4"/>
    <w:rsid w:val="00C55C3A"/>
    <w:rsid w:val="00C56E2F"/>
    <w:rsid w:val="00C56E34"/>
    <w:rsid w:val="00C57112"/>
    <w:rsid w:val="00C5731A"/>
    <w:rsid w:val="00C57C57"/>
    <w:rsid w:val="00C57F0F"/>
    <w:rsid w:val="00C60115"/>
    <w:rsid w:val="00C6051D"/>
    <w:rsid w:val="00C6077F"/>
    <w:rsid w:val="00C60B7D"/>
    <w:rsid w:val="00C60F8C"/>
    <w:rsid w:val="00C6100C"/>
    <w:rsid w:val="00C61460"/>
    <w:rsid w:val="00C61847"/>
    <w:rsid w:val="00C61906"/>
    <w:rsid w:val="00C623F9"/>
    <w:rsid w:val="00C62533"/>
    <w:rsid w:val="00C62627"/>
    <w:rsid w:val="00C62FAC"/>
    <w:rsid w:val="00C62FE9"/>
    <w:rsid w:val="00C63128"/>
    <w:rsid w:val="00C631A3"/>
    <w:rsid w:val="00C6399E"/>
    <w:rsid w:val="00C64DBD"/>
    <w:rsid w:val="00C65016"/>
    <w:rsid w:val="00C6514B"/>
    <w:rsid w:val="00C65225"/>
    <w:rsid w:val="00C660B4"/>
    <w:rsid w:val="00C66E1B"/>
    <w:rsid w:val="00C67051"/>
    <w:rsid w:val="00C67883"/>
    <w:rsid w:val="00C67896"/>
    <w:rsid w:val="00C67E24"/>
    <w:rsid w:val="00C701EE"/>
    <w:rsid w:val="00C70C03"/>
    <w:rsid w:val="00C70D3F"/>
    <w:rsid w:val="00C71159"/>
    <w:rsid w:val="00C71BBD"/>
    <w:rsid w:val="00C71E1B"/>
    <w:rsid w:val="00C71F4A"/>
    <w:rsid w:val="00C72160"/>
    <w:rsid w:val="00C72C29"/>
    <w:rsid w:val="00C72CB1"/>
    <w:rsid w:val="00C72CE1"/>
    <w:rsid w:val="00C734C8"/>
    <w:rsid w:val="00C73698"/>
    <w:rsid w:val="00C73931"/>
    <w:rsid w:val="00C73CF7"/>
    <w:rsid w:val="00C7478C"/>
    <w:rsid w:val="00C74A73"/>
    <w:rsid w:val="00C754FC"/>
    <w:rsid w:val="00C76055"/>
    <w:rsid w:val="00C764D5"/>
    <w:rsid w:val="00C76DB6"/>
    <w:rsid w:val="00C7704F"/>
    <w:rsid w:val="00C774B6"/>
    <w:rsid w:val="00C77B36"/>
    <w:rsid w:val="00C80045"/>
    <w:rsid w:val="00C80529"/>
    <w:rsid w:val="00C8130B"/>
    <w:rsid w:val="00C8163B"/>
    <w:rsid w:val="00C81649"/>
    <w:rsid w:val="00C81DB9"/>
    <w:rsid w:val="00C81F56"/>
    <w:rsid w:val="00C825E4"/>
    <w:rsid w:val="00C82637"/>
    <w:rsid w:val="00C82B03"/>
    <w:rsid w:val="00C8312F"/>
    <w:rsid w:val="00C83690"/>
    <w:rsid w:val="00C84247"/>
    <w:rsid w:val="00C84D51"/>
    <w:rsid w:val="00C85873"/>
    <w:rsid w:val="00C858D0"/>
    <w:rsid w:val="00C85BA3"/>
    <w:rsid w:val="00C85E27"/>
    <w:rsid w:val="00C85F5A"/>
    <w:rsid w:val="00C86300"/>
    <w:rsid w:val="00C86379"/>
    <w:rsid w:val="00C869C7"/>
    <w:rsid w:val="00C86BC2"/>
    <w:rsid w:val="00C86D37"/>
    <w:rsid w:val="00C8772B"/>
    <w:rsid w:val="00C87A7B"/>
    <w:rsid w:val="00C87CF6"/>
    <w:rsid w:val="00C87EC4"/>
    <w:rsid w:val="00C9004C"/>
    <w:rsid w:val="00C90839"/>
    <w:rsid w:val="00C90E45"/>
    <w:rsid w:val="00C91481"/>
    <w:rsid w:val="00C917B3"/>
    <w:rsid w:val="00C9221F"/>
    <w:rsid w:val="00C92C50"/>
    <w:rsid w:val="00C92FA8"/>
    <w:rsid w:val="00C93FC0"/>
    <w:rsid w:val="00C94159"/>
    <w:rsid w:val="00C94A4E"/>
    <w:rsid w:val="00C95263"/>
    <w:rsid w:val="00C95313"/>
    <w:rsid w:val="00C95507"/>
    <w:rsid w:val="00C95709"/>
    <w:rsid w:val="00C95915"/>
    <w:rsid w:val="00C96D75"/>
    <w:rsid w:val="00C96E4A"/>
    <w:rsid w:val="00C96E97"/>
    <w:rsid w:val="00C97058"/>
    <w:rsid w:val="00C972B4"/>
    <w:rsid w:val="00C97D60"/>
    <w:rsid w:val="00C97F18"/>
    <w:rsid w:val="00CA0739"/>
    <w:rsid w:val="00CA14A7"/>
    <w:rsid w:val="00CA1CD4"/>
    <w:rsid w:val="00CA1FBA"/>
    <w:rsid w:val="00CA22FC"/>
    <w:rsid w:val="00CA2832"/>
    <w:rsid w:val="00CA2836"/>
    <w:rsid w:val="00CA34CC"/>
    <w:rsid w:val="00CA3835"/>
    <w:rsid w:val="00CA3A1E"/>
    <w:rsid w:val="00CA3EC5"/>
    <w:rsid w:val="00CA4266"/>
    <w:rsid w:val="00CA430E"/>
    <w:rsid w:val="00CA4969"/>
    <w:rsid w:val="00CA512F"/>
    <w:rsid w:val="00CA54BB"/>
    <w:rsid w:val="00CA57F2"/>
    <w:rsid w:val="00CA598B"/>
    <w:rsid w:val="00CA630D"/>
    <w:rsid w:val="00CA672D"/>
    <w:rsid w:val="00CA6F66"/>
    <w:rsid w:val="00CA7655"/>
    <w:rsid w:val="00CA77A1"/>
    <w:rsid w:val="00CB04C5"/>
    <w:rsid w:val="00CB0C46"/>
    <w:rsid w:val="00CB16B7"/>
    <w:rsid w:val="00CB1927"/>
    <w:rsid w:val="00CB1A99"/>
    <w:rsid w:val="00CB1B2A"/>
    <w:rsid w:val="00CB1C85"/>
    <w:rsid w:val="00CB20FA"/>
    <w:rsid w:val="00CB3537"/>
    <w:rsid w:val="00CB436B"/>
    <w:rsid w:val="00CB4719"/>
    <w:rsid w:val="00CB4A85"/>
    <w:rsid w:val="00CB530F"/>
    <w:rsid w:val="00CB5BB2"/>
    <w:rsid w:val="00CB60FA"/>
    <w:rsid w:val="00CB6662"/>
    <w:rsid w:val="00CB6792"/>
    <w:rsid w:val="00CB68BB"/>
    <w:rsid w:val="00CB6BFD"/>
    <w:rsid w:val="00CB6D58"/>
    <w:rsid w:val="00CB7046"/>
    <w:rsid w:val="00CB7F6B"/>
    <w:rsid w:val="00CC00C3"/>
    <w:rsid w:val="00CC03E2"/>
    <w:rsid w:val="00CC1D65"/>
    <w:rsid w:val="00CC1DC7"/>
    <w:rsid w:val="00CC205B"/>
    <w:rsid w:val="00CC26FC"/>
    <w:rsid w:val="00CC28C5"/>
    <w:rsid w:val="00CC2A47"/>
    <w:rsid w:val="00CC2FFD"/>
    <w:rsid w:val="00CC3075"/>
    <w:rsid w:val="00CC317C"/>
    <w:rsid w:val="00CC33E8"/>
    <w:rsid w:val="00CC3B3B"/>
    <w:rsid w:val="00CC3D25"/>
    <w:rsid w:val="00CC4688"/>
    <w:rsid w:val="00CC47CB"/>
    <w:rsid w:val="00CC4F38"/>
    <w:rsid w:val="00CC5747"/>
    <w:rsid w:val="00CC58ED"/>
    <w:rsid w:val="00CC59DB"/>
    <w:rsid w:val="00CC5AA3"/>
    <w:rsid w:val="00CC5FB1"/>
    <w:rsid w:val="00CC64D7"/>
    <w:rsid w:val="00CC66A6"/>
    <w:rsid w:val="00CC7BF4"/>
    <w:rsid w:val="00CD001F"/>
    <w:rsid w:val="00CD01FE"/>
    <w:rsid w:val="00CD0741"/>
    <w:rsid w:val="00CD0816"/>
    <w:rsid w:val="00CD146D"/>
    <w:rsid w:val="00CD16B4"/>
    <w:rsid w:val="00CD1C32"/>
    <w:rsid w:val="00CD1EAE"/>
    <w:rsid w:val="00CD236D"/>
    <w:rsid w:val="00CD2D8E"/>
    <w:rsid w:val="00CD365E"/>
    <w:rsid w:val="00CD3754"/>
    <w:rsid w:val="00CD4207"/>
    <w:rsid w:val="00CD4B1A"/>
    <w:rsid w:val="00CD4C1B"/>
    <w:rsid w:val="00CD50D8"/>
    <w:rsid w:val="00CD5AE1"/>
    <w:rsid w:val="00CD5E95"/>
    <w:rsid w:val="00CD65D4"/>
    <w:rsid w:val="00CD663F"/>
    <w:rsid w:val="00CD6E2D"/>
    <w:rsid w:val="00CD6FF2"/>
    <w:rsid w:val="00CD755D"/>
    <w:rsid w:val="00CD757D"/>
    <w:rsid w:val="00CD7638"/>
    <w:rsid w:val="00CD7742"/>
    <w:rsid w:val="00CD77EB"/>
    <w:rsid w:val="00CD7C4B"/>
    <w:rsid w:val="00CE00B9"/>
    <w:rsid w:val="00CE022B"/>
    <w:rsid w:val="00CE1427"/>
    <w:rsid w:val="00CE1548"/>
    <w:rsid w:val="00CE1760"/>
    <w:rsid w:val="00CE19A4"/>
    <w:rsid w:val="00CE1B7C"/>
    <w:rsid w:val="00CE2689"/>
    <w:rsid w:val="00CE2FAD"/>
    <w:rsid w:val="00CE301F"/>
    <w:rsid w:val="00CE3C71"/>
    <w:rsid w:val="00CE3FC2"/>
    <w:rsid w:val="00CE5454"/>
    <w:rsid w:val="00CE584B"/>
    <w:rsid w:val="00CE5999"/>
    <w:rsid w:val="00CE5F1A"/>
    <w:rsid w:val="00CE5FD3"/>
    <w:rsid w:val="00CE6073"/>
    <w:rsid w:val="00CE646C"/>
    <w:rsid w:val="00CE6626"/>
    <w:rsid w:val="00CE6827"/>
    <w:rsid w:val="00CE6B92"/>
    <w:rsid w:val="00CE760C"/>
    <w:rsid w:val="00CE7690"/>
    <w:rsid w:val="00CE7908"/>
    <w:rsid w:val="00CE7D01"/>
    <w:rsid w:val="00CE7DEE"/>
    <w:rsid w:val="00CF0B77"/>
    <w:rsid w:val="00CF127C"/>
    <w:rsid w:val="00CF1638"/>
    <w:rsid w:val="00CF19EB"/>
    <w:rsid w:val="00CF1BEF"/>
    <w:rsid w:val="00CF1D59"/>
    <w:rsid w:val="00CF2AA8"/>
    <w:rsid w:val="00CF2E0E"/>
    <w:rsid w:val="00CF376E"/>
    <w:rsid w:val="00CF4942"/>
    <w:rsid w:val="00CF49EB"/>
    <w:rsid w:val="00CF4D95"/>
    <w:rsid w:val="00CF53E5"/>
    <w:rsid w:val="00CF56A4"/>
    <w:rsid w:val="00CF5A2B"/>
    <w:rsid w:val="00CF5B3B"/>
    <w:rsid w:val="00CF5F01"/>
    <w:rsid w:val="00CF6225"/>
    <w:rsid w:val="00CF65F2"/>
    <w:rsid w:val="00CF66EE"/>
    <w:rsid w:val="00CF68F6"/>
    <w:rsid w:val="00CF74F9"/>
    <w:rsid w:val="00CF7669"/>
    <w:rsid w:val="00CF766D"/>
    <w:rsid w:val="00CF7F00"/>
    <w:rsid w:val="00D004A6"/>
    <w:rsid w:val="00D009FE"/>
    <w:rsid w:val="00D00E3D"/>
    <w:rsid w:val="00D00F7C"/>
    <w:rsid w:val="00D01031"/>
    <w:rsid w:val="00D0122C"/>
    <w:rsid w:val="00D0277F"/>
    <w:rsid w:val="00D03468"/>
    <w:rsid w:val="00D034F4"/>
    <w:rsid w:val="00D03579"/>
    <w:rsid w:val="00D03904"/>
    <w:rsid w:val="00D03B46"/>
    <w:rsid w:val="00D03B9F"/>
    <w:rsid w:val="00D0475D"/>
    <w:rsid w:val="00D04ACD"/>
    <w:rsid w:val="00D04C90"/>
    <w:rsid w:val="00D04D6E"/>
    <w:rsid w:val="00D05CAF"/>
    <w:rsid w:val="00D05EF1"/>
    <w:rsid w:val="00D06421"/>
    <w:rsid w:val="00D067B2"/>
    <w:rsid w:val="00D06E1D"/>
    <w:rsid w:val="00D06EE6"/>
    <w:rsid w:val="00D0701C"/>
    <w:rsid w:val="00D0759B"/>
    <w:rsid w:val="00D075F4"/>
    <w:rsid w:val="00D0775B"/>
    <w:rsid w:val="00D079FA"/>
    <w:rsid w:val="00D100F9"/>
    <w:rsid w:val="00D1023B"/>
    <w:rsid w:val="00D11114"/>
    <w:rsid w:val="00D14264"/>
    <w:rsid w:val="00D142E3"/>
    <w:rsid w:val="00D14ED6"/>
    <w:rsid w:val="00D14F3E"/>
    <w:rsid w:val="00D150AA"/>
    <w:rsid w:val="00D153B3"/>
    <w:rsid w:val="00D153D7"/>
    <w:rsid w:val="00D156FF"/>
    <w:rsid w:val="00D15A4D"/>
    <w:rsid w:val="00D15D9D"/>
    <w:rsid w:val="00D1617D"/>
    <w:rsid w:val="00D16220"/>
    <w:rsid w:val="00D179A5"/>
    <w:rsid w:val="00D2041E"/>
    <w:rsid w:val="00D209A6"/>
    <w:rsid w:val="00D2110A"/>
    <w:rsid w:val="00D21CF9"/>
    <w:rsid w:val="00D2205D"/>
    <w:rsid w:val="00D22125"/>
    <w:rsid w:val="00D22AD4"/>
    <w:rsid w:val="00D23220"/>
    <w:rsid w:val="00D235F6"/>
    <w:rsid w:val="00D23B18"/>
    <w:rsid w:val="00D23C19"/>
    <w:rsid w:val="00D2430B"/>
    <w:rsid w:val="00D24388"/>
    <w:rsid w:val="00D247D0"/>
    <w:rsid w:val="00D24EC2"/>
    <w:rsid w:val="00D256E0"/>
    <w:rsid w:val="00D25DC6"/>
    <w:rsid w:val="00D26AA3"/>
    <w:rsid w:val="00D26AC3"/>
    <w:rsid w:val="00D26E8B"/>
    <w:rsid w:val="00D27170"/>
    <w:rsid w:val="00D27C32"/>
    <w:rsid w:val="00D27FC3"/>
    <w:rsid w:val="00D30888"/>
    <w:rsid w:val="00D308A0"/>
    <w:rsid w:val="00D308C1"/>
    <w:rsid w:val="00D3099F"/>
    <w:rsid w:val="00D30E96"/>
    <w:rsid w:val="00D3121A"/>
    <w:rsid w:val="00D31726"/>
    <w:rsid w:val="00D31D75"/>
    <w:rsid w:val="00D32970"/>
    <w:rsid w:val="00D33065"/>
    <w:rsid w:val="00D33080"/>
    <w:rsid w:val="00D338C5"/>
    <w:rsid w:val="00D33A55"/>
    <w:rsid w:val="00D33C59"/>
    <w:rsid w:val="00D33EC1"/>
    <w:rsid w:val="00D34412"/>
    <w:rsid w:val="00D34707"/>
    <w:rsid w:val="00D3504A"/>
    <w:rsid w:val="00D35176"/>
    <w:rsid w:val="00D3558A"/>
    <w:rsid w:val="00D36221"/>
    <w:rsid w:val="00D377E0"/>
    <w:rsid w:val="00D37BE8"/>
    <w:rsid w:val="00D40185"/>
    <w:rsid w:val="00D4047D"/>
    <w:rsid w:val="00D408F1"/>
    <w:rsid w:val="00D40FF8"/>
    <w:rsid w:val="00D417D3"/>
    <w:rsid w:val="00D4352C"/>
    <w:rsid w:val="00D4361F"/>
    <w:rsid w:val="00D43850"/>
    <w:rsid w:val="00D43A6F"/>
    <w:rsid w:val="00D4416D"/>
    <w:rsid w:val="00D45110"/>
    <w:rsid w:val="00D45168"/>
    <w:rsid w:val="00D4564F"/>
    <w:rsid w:val="00D45671"/>
    <w:rsid w:val="00D457EC"/>
    <w:rsid w:val="00D45CDB"/>
    <w:rsid w:val="00D45E05"/>
    <w:rsid w:val="00D461A9"/>
    <w:rsid w:val="00D465CB"/>
    <w:rsid w:val="00D46D7A"/>
    <w:rsid w:val="00D46F76"/>
    <w:rsid w:val="00D47089"/>
    <w:rsid w:val="00D4736A"/>
    <w:rsid w:val="00D4784D"/>
    <w:rsid w:val="00D47D73"/>
    <w:rsid w:val="00D5098D"/>
    <w:rsid w:val="00D50F8A"/>
    <w:rsid w:val="00D51B3C"/>
    <w:rsid w:val="00D51C13"/>
    <w:rsid w:val="00D5282E"/>
    <w:rsid w:val="00D52A0F"/>
    <w:rsid w:val="00D52B65"/>
    <w:rsid w:val="00D52D00"/>
    <w:rsid w:val="00D53703"/>
    <w:rsid w:val="00D5398D"/>
    <w:rsid w:val="00D53F12"/>
    <w:rsid w:val="00D53FFC"/>
    <w:rsid w:val="00D541A4"/>
    <w:rsid w:val="00D5472D"/>
    <w:rsid w:val="00D54761"/>
    <w:rsid w:val="00D54FD5"/>
    <w:rsid w:val="00D551D3"/>
    <w:rsid w:val="00D55583"/>
    <w:rsid w:val="00D55819"/>
    <w:rsid w:val="00D5625C"/>
    <w:rsid w:val="00D565E2"/>
    <w:rsid w:val="00D56A29"/>
    <w:rsid w:val="00D56B8F"/>
    <w:rsid w:val="00D56CB9"/>
    <w:rsid w:val="00D57742"/>
    <w:rsid w:val="00D577F2"/>
    <w:rsid w:val="00D579AC"/>
    <w:rsid w:val="00D57CA4"/>
    <w:rsid w:val="00D57FA6"/>
    <w:rsid w:val="00D60202"/>
    <w:rsid w:val="00D60379"/>
    <w:rsid w:val="00D60510"/>
    <w:rsid w:val="00D61C5F"/>
    <w:rsid w:val="00D61D67"/>
    <w:rsid w:val="00D61D7B"/>
    <w:rsid w:val="00D61F70"/>
    <w:rsid w:val="00D62163"/>
    <w:rsid w:val="00D6278D"/>
    <w:rsid w:val="00D632B8"/>
    <w:rsid w:val="00D63FF8"/>
    <w:rsid w:val="00D64049"/>
    <w:rsid w:val="00D641BC"/>
    <w:rsid w:val="00D65069"/>
    <w:rsid w:val="00D656DD"/>
    <w:rsid w:val="00D657EE"/>
    <w:rsid w:val="00D65B1B"/>
    <w:rsid w:val="00D67007"/>
    <w:rsid w:val="00D673C7"/>
    <w:rsid w:val="00D674F4"/>
    <w:rsid w:val="00D67531"/>
    <w:rsid w:val="00D70784"/>
    <w:rsid w:val="00D70BFB"/>
    <w:rsid w:val="00D70E21"/>
    <w:rsid w:val="00D7226B"/>
    <w:rsid w:val="00D72425"/>
    <w:rsid w:val="00D725FA"/>
    <w:rsid w:val="00D728BD"/>
    <w:rsid w:val="00D73162"/>
    <w:rsid w:val="00D737C2"/>
    <w:rsid w:val="00D73C50"/>
    <w:rsid w:val="00D740CB"/>
    <w:rsid w:val="00D745B8"/>
    <w:rsid w:val="00D74ABF"/>
    <w:rsid w:val="00D74D88"/>
    <w:rsid w:val="00D753EB"/>
    <w:rsid w:val="00D75B76"/>
    <w:rsid w:val="00D75D4F"/>
    <w:rsid w:val="00D75E43"/>
    <w:rsid w:val="00D7601E"/>
    <w:rsid w:val="00D761E7"/>
    <w:rsid w:val="00D77157"/>
    <w:rsid w:val="00D77AD2"/>
    <w:rsid w:val="00D77B00"/>
    <w:rsid w:val="00D77BB0"/>
    <w:rsid w:val="00D77CAB"/>
    <w:rsid w:val="00D807DF"/>
    <w:rsid w:val="00D80A53"/>
    <w:rsid w:val="00D80B28"/>
    <w:rsid w:val="00D80D0E"/>
    <w:rsid w:val="00D80E7F"/>
    <w:rsid w:val="00D81030"/>
    <w:rsid w:val="00D81125"/>
    <w:rsid w:val="00D82016"/>
    <w:rsid w:val="00D8225D"/>
    <w:rsid w:val="00D828C4"/>
    <w:rsid w:val="00D832CC"/>
    <w:rsid w:val="00D83315"/>
    <w:rsid w:val="00D83992"/>
    <w:rsid w:val="00D83A80"/>
    <w:rsid w:val="00D84671"/>
    <w:rsid w:val="00D846DF"/>
    <w:rsid w:val="00D851C3"/>
    <w:rsid w:val="00D85270"/>
    <w:rsid w:val="00D85966"/>
    <w:rsid w:val="00D85C6E"/>
    <w:rsid w:val="00D86157"/>
    <w:rsid w:val="00D86275"/>
    <w:rsid w:val="00D87126"/>
    <w:rsid w:val="00D87478"/>
    <w:rsid w:val="00D87FDE"/>
    <w:rsid w:val="00D91153"/>
    <w:rsid w:val="00D9193A"/>
    <w:rsid w:val="00D9198E"/>
    <w:rsid w:val="00D919AE"/>
    <w:rsid w:val="00D91B27"/>
    <w:rsid w:val="00D920A8"/>
    <w:rsid w:val="00D92910"/>
    <w:rsid w:val="00D92951"/>
    <w:rsid w:val="00D92D21"/>
    <w:rsid w:val="00D92EF5"/>
    <w:rsid w:val="00D931D1"/>
    <w:rsid w:val="00D935E8"/>
    <w:rsid w:val="00D96051"/>
    <w:rsid w:val="00D965DC"/>
    <w:rsid w:val="00D96B1F"/>
    <w:rsid w:val="00D96CC9"/>
    <w:rsid w:val="00D96F0A"/>
    <w:rsid w:val="00D96FED"/>
    <w:rsid w:val="00D97809"/>
    <w:rsid w:val="00D97942"/>
    <w:rsid w:val="00DA1936"/>
    <w:rsid w:val="00DA235B"/>
    <w:rsid w:val="00DA248A"/>
    <w:rsid w:val="00DA26B0"/>
    <w:rsid w:val="00DA2825"/>
    <w:rsid w:val="00DA3070"/>
    <w:rsid w:val="00DA3426"/>
    <w:rsid w:val="00DA34F8"/>
    <w:rsid w:val="00DA352C"/>
    <w:rsid w:val="00DA3C2A"/>
    <w:rsid w:val="00DA3E7B"/>
    <w:rsid w:val="00DA3E95"/>
    <w:rsid w:val="00DA4140"/>
    <w:rsid w:val="00DA46A5"/>
    <w:rsid w:val="00DA4FCC"/>
    <w:rsid w:val="00DA522D"/>
    <w:rsid w:val="00DA59F5"/>
    <w:rsid w:val="00DA5DC0"/>
    <w:rsid w:val="00DA62D2"/>
    <w:rsid w:val="00DA678E"/>
    <w:rsid w:val="00DA68DE"/>
    <w:rsid w:val="00DA7161"/>
    <w:rsid w:val="00DA77D7"/>
    <w:rsid w:val="00DA7D24"/>
    <w:rsid w:val="00DA7F28"/>
    <w:rsid w:val="00DB025B"/>
    <w:rsid w:val="00DB0BDB"/>
    <w:rsid w:val="00DB14F1"/>
    <w:rsid w:val="00DB170E"/>
    <w:rsid w:val="00DB171F"/>
    <w:rsid w:val="00DB1B8E"/>
    <w:rsid w:val="00DB29F9"/>
    <w:rsid w:val="00DB2A3F"/>
    <w:rsid w:val="00DB2B9E"/>
    <w:rsid w:val="00DB2F7B"/>
    <w:rsid w:val="00DB3124"/>
    <w:rsid w:val="00DB5AB5"/>
    <w:rsid w:val="00DB5C79"/>
    <w:rsid w:val="00DB5EB1"/>
    <w:rsid w:val="00DB67D9"/>
    <w:rsid w:val="00DB7676"/>
    <w:rsid w:val="00DB7CF8"/>
    <w:rsid w:val="00DB7EA1"/>
    <w:rsid w:val="00DC0A8A"/>
    <w:rsid w:val="00DC0CA9"/>
    <w:rsid w:val="00DC0D9D"/>
    <w:rsid w:val="00DC1487"/>
    <w:rsid w:val="00DC1732"/>
    <w:rsid w:val="00DC1FD8"/>
    <w:rsid w:val="00DC2166"/>
    <w:rsid w:val="00DC24D3"/>
    <w:rsid w:val="00DC24DD"/>
    <w:rsid w:val="00DC25F8"/>
    <w:rsid w:val="00DC28B5"/>
    <w:rsid w:val="00DC2A9E"/>
    <w:rsid w:val="00DC2E74"/>
    <w:rsid w:val="00DC2FB6"/>
    <w:rsid w:val="00DC30BA"/>
    <w:rsid w:val="00DC38ED"/>
    <w:rsid w:val="00DC485D"/>
    <w:rsid w:val="00DC53C9"/>
    <w:rsid w:val="00DC5F54"/>
    <w:rsid w:val="00DC62CE"/>
    <w:rsid w:val="00DC6C55"/>
    <w:rsid w:val="00DC72FC"/>
    <w:rsid w:val="00DC7459"/>
    <w:rsid w:val="00DD0005"/>
    <w:rsid w:val="00DD0926"/>
    <w:rsid w:val="00DD0C89"/>
    <w:rsid w:val="00DD0E2F"/>
    <w:rsid w:val="00DD1229"/>
    <w:rsid w:val="00DD184E"/>
    <w:rsid w:val="00DD1C14"/>
    <w:rsid w:val="00DD1F74"/>
    <w:rsid w:val="00DD23A8"/>
    <w:rsid w:val="00DD274F"/>
    <w:rsid w:val="00DD2B0E"/>
    <w:rsid w:val="00DD443E"/>
    <w:rsid w:val="00DD4832"/>
    <w:rsid w:val="00DD4E14"/>
    <w:rsid w:val="00DD54AF"/>
    <w:rsid w:val="00DD55A8"/>
    <w:rsid w:val="00DD62CC"/>
    <w:rsid w:val="00DD635C"/>
    <w:rsid w:val="00DD64F5"/>
    <w:rsid w:val="00DD6CD1"/>
    <w:rsid w:val="00DD71E4"/>
    <w:rsid w:val="00DD727D"/>
    <w:rsid w:val="00DD7B59"/>
    <w:rsid w:val="00DE0458"/>
    <w:rsid w:val="00DE0C0C"/>
    <w:rsid w:val="00DE1146"/>
    <w:rsid w:val="00DE1530"/>
    <w:rsid w:val="00DE1B08"/>
    <w:rsid w:val="00DE1EFC"/>
    <w:rsid w:val="00DE1FB4"/>
    <w:rsid w:val="00DE2667"/>
    <w:rsid w:val="00DE2869"/>
    <w:rsid w:val="00DE28F0"/>
    <w:rsid w:val="00DE326D"/>
    <w:rsid w:val="00DE3C26"/>
    <w:rsid w:val="00DE4430"/>
    <w:rsid w:val="00DE496E"/>
    <w:rsid w:val="00DE49FB"/>
    <w:rsid w:val="00DE4A07"/>
    <w:rsid w:val="00DE4AFB"/>
    <w:rsid w:val="00DE4B18"/>
    <w:rsid w:val="00DE4C0F"/>
    <w:rsid w:val="00DE4E21"/>
    <w:rsid w:val="00DE50BE"/>
    <w:rsid w:val="00DE5923"/>
    <w:rsid w:val="00DE6127"/>
    <w:rsid w:val="00DE6DD3"/>
    <w:rsid w:val="00DE6F14"/>
    <w:rsid w:val="00DE6F1A"/>
    <w:rsid w:val="00DE7036"/>
    <w:rsid w:val="00DE7181"/>
    <w:rsid w:val="00DE7808"/>
    <w:rsid w:val="00DE7874"/>
    <w:rsid w:val="00DF07EA"/>
    <w:rsid w:val="00DF08E4"/>
    <w:rsid w:val="00DF0A66"/>
    <w:rsid w:val="00DF0C8B"/>
    <w:rsid w:val="00DF1062"/>
    <w:rsid w:val="00DF12EA"/>
    <w:rsid w:val="00DF16AF"/>
    <w:rsid w:val="00DF1C18"/>
    <w:rsid w:val="00DF1C4B"/>
    <w:rsid w:val="00DF1FCC"/>
    <w:rsid w:val="00DF2064"/>
    <w:rsid w:val="00DF2888"/>
    <w:rsid w:val="00DF28A5"/>
    <w:rsid w:val="00DF3007"/>
    <w:rsid w:val="00DF36D8"/>
    <w:rsid w:val="00DF3A3D"/>
    <w:rsid w:val="00DF3AE4"/>
    <w:rsid w:val="00DF3BB7"/>
    <w:rsid w:val="00DF4093"/>
    <w:rsid w:val="00DF481D"/>
    <w:rsid w:val="00DF48E1"/>
    <w:rsid w:val="00DF553A"/>
    <w:rsid w:val="00DF57A5"/>
    <w:rsid w:val="00DF5DA1"/>
    <w:rsid w:val="00DF6664"/>
    <w:rsid w:val="00DF66BB"/>
    <w:rsid w:val="00DF6907"/>
    <w:rsid w:val="00DF6D67"/>
    <w:rsid w:val="00DF73C5"/>
    <w:rsid w:val="00DF7497"/>
    <w:rsid w:val="00DF786C"/>
    <w:rsid w:val="00DF7FFA"/>
    <w:rsid w:val="00E0076E"/>
    <w:rsid w:val="00E00B15"/>
    <w:rsid w:val="00E00DEE"/>
    <w:rsid w:val="00E013E6"/>
    <w:rsid w:val="00E01CE5"/>
    <w:rsid w:val="00E01CFA"/>
    <w:rsid w:val="00E02428"/>
    <w:rsid w:val="00E024A3"/>
    <w:rsid w:val="00E03B77"/>
    <w:rsid w:val="00E03BF3"/>
    <w:rsid w:val="00E03F42"/>
    <w:rsid w:val="00E04475"/>
    <w:rsid w:val="00E045BA"/>
    <w:rsid w:val="00E0492E"/>
    <w:rsid w:val="00E04B34"/>
    <w:rsid w:val="00E04DD9"/>
    <w:rsid w:val="00E0525C"/>
    <w:rsid w:val="00E052F0"/>
    <w:rsid w:val="00E05620"/>
    <w:rsid w:val="00E05CE9"/>
    <w:rsid w:val="00E05F16"/>
    <w:rsid w:val="00E05FF0"/>
    <w:rsid w:val="00E0695D"/>
    <w:rsid w:val="00E07022"/>
    <w:rsid w:val="00E0744F"/>
    <w:rsid w:val="00E07ABA"/>
    <w:rsid w:val="00E07FED"/>
    <w:rsid w:val="00E104A5"/>
    <w:rsid w:val="00E1154D"/>
    <w:rsid w:val="00E1179C"/>
    <w:rsid w:val="00E11873"/>
    <w:rsid w:val="00E119DB"/>
    <w:rsid w:val="00E11A68"/>
    <w:rsid w:val="00E11AC7"/>
    <w:rsid w:val="00E11B1F"/>
    <w:rsid w:val="00E12A3E"/>
    <w:rsid w:val="00E12D60"/>
    <w:rsid w:val="00E13887"/>
    <w:rsid w:val="00E14343"/>
    <w:rsid w:val="00E15222"/>
    <w:rsid w:val="00E15731"/>
    <w:rsid w:val="00E15B1C"/>
    <w:rsid w:val="00E15C6F"/>
    <w:rsid w:val="00E16119"/>
    <w:rsid w:val="00E162FB"/>
    <w:rsid w:val="00E16C06"/>
    <w:rsid w:val="00E16C0F"/>
    <w:rsid w:val="00E16C83"/>
    <w:rsid w:val="00E16CB5"/>
    <w:rsid w:val="00E16E36"/>
    <w:rsid w:val="00E17094"/>
    <w:rsid w:val="00E17E9C"/>
    <w:rsid w:val="00E20B59"/>
    <w:rsid w:val="00E2138F"/>
    <w:rsid w:val="00E2140C"/>
    <w:rsid w:val="00E21C5C"/>
    <w:rsid w:val="00E22007"/>
    <w:rsid w:val="00E220F0"/>
    <w:rsid w:val="00E22697"/>
    <w:rsid w:val="00E22721"/>
    <w:rsid w:val="00E22D17"/>
    <w:rsid w:val="00E23817"/>
    <w:rsid w:val="00E2462B"/>
    <w:rsid w:val="00E2490B"/>
    <w:rsid w:val="00E24D62"/>
    <w:rsid w:val="00E256B3"/>
    <w:rsid w:val="00E2577F"/>
    <w:rsid w:val="00E25974"/>
    <w:rsid w:val="00E259AB"/>
    <w:rsid w:val="00E25A71"/>
    <w:rsid w:val="00E25D1B"/>
    <w:rsid w:val="00E25DA9"/>
    <w:rsid w:val="00E25F85"/>
    <w:rsid w:val="00E262ED"/>
    <w:rsid w:val="00E269FF"/>
    <w:rsid w:val="00E27371"/>
    <w:rsid w:val="00E27461"/>
    <w:rsid w:val="00E276F4"/>
    <w:rsid w:val="00E27E22"/>
    <w:rsid w:val="00E30CAA"/>
    <w:rsid w:val="00E30CC6"/>
    <w:rsid w:val="00E311DB"/>
    <w:rsid w:val="00E3136F"/>
    <w:rsid w:val="00E316F6"/>
    <w:rsid w:val="00E31A92"/>
    <w:rsid w:val="00E31DAD"/>
    <w:rsid w:val="00E31E43"/>
    <w:rsid w:val="00E31EF0"/>
    <w:rsid w:val="00E32080"/>
    <w:rsid w:val="00E32CF8"/>
    <w:rsid w:val="00E32EE9"/>
    <w:rsid w:val="00E33053"/>
    <w:rsid w:val="00E33066"/>
    <w:rsid w:val="00E333AA"/>
    <w:rsid w:val="00E337F2"/>
    <w:rsid w:val="00E33B7E"/>
    <w:rsid w:val="00E34168"/>
    <w:rsid w:val="00E34E85"/>
    <w:rsid w:val="00E35225"/>
    <w:rsid w:val="00E355BE"/>
    <w:rsid w:val="00E35AEC"/>
    <w:rsid w:val="00E35E54"/>
    <w:rsid w:val="00E35EED"/>
    <w:rsid w:val="00E36290"/>
    <w:rsid w:val="00E36493"/>
    <w:rsid w:val="00E36601"/>
    <w:rsid w:val="00E36810"/>
    <w:rsid w:val="00E36E88"/>
    <w:rsid w:val="00E370A0"/>
    <w:rsid w:val="00E3770B"/>
    <w:rsid w:val="00E37AC4"/>
    <w:rsid w:val="00E40041"/>
    <w:rsid w:val="00E40BF2"/>
    <w:rsid w:val="00E40E23"/>
    <w:rsid w:val="00E40F63"/>
    <w:rsid w:val="00E41B86"/>
    <w:rsid w:val="00E4287A"/>
    <w:rsid w:val="00E42A37"/>
    <w:rsid w:val="00E43381"/>
    <w:rsid w:val="00E43975"/>
    <w:rsid w:val="00E447A3"/>
    <w:rsid w:val="00E44AA8"/>
    <w:rsid w:val="00E45059"/>
    <w:rsid w:val="00E453C2"/>
    <w:rsid w:val="00E46359"/>
    <w:rsid w:val="00E46B60"/>
    <w:rsid w:val="00E46B88"/>
    <w:rsid w:val="00E4762B"/>
    <w:rsid w:val="00E47898"/>
    <w:rsid w:val="00E47DFD"/>
    <w:rsid w:val="00E51197"/>
    <w:rsid w:val="00E511D4"/>
    <w:rsid w:val="00E5166D"/>
    <w:rsid w:val="00E51728"/>
    <w:rsid w:val="00E51994"/>
    <w:rsid w:val="00E51D08"/>
    <w:rsid w:val="00E525C4"/>
    <w:rsid w:val="00E52768"/>
    <w:rsid w:val="00E530E1"/>
    <w:rsid w:val="00E531AE"/>
    <w:rsid w:val="00E534EB"/>
    <w:rsid w:val="00E53B91"/>
    <w:rsid w:val="00E53CC2"/>
    <w:rsid w:val="00E53E06"/>
    <w:rsid w:val="00E542A3"/>
    <w:rsid w:val="00E545DF"/>
    <w:rsid w:val="00E54C71"/>
    <w:rsid w:val="00E54D5A"/>
    <w:rsid w:val="00E5587D"/>
    <w:rsid w:val="00E56212"/>
    <w:rsid w:val="00E56292"/>
    <w:rsid w:val="00E56FB3"/>
    <w:rsid w:val="00E579DD"/>
    <w:rsid w:val="00E602FB"/>
    <w:rsid w:val="00E6066E"/>
    <w:rsid w:val="00E6077D"/>
    <w:rsid w:val="00E60802"/>
    <w:rsid w:val="00E60DDD"/>
    <w:rsid w:val="00E61CFD"/>
    <w:rsid w:val="00E624BA"/>
    <w:rsid w:val="00E625E6"/>
    <w:rsid w:val="00E62635"/>
    <w:rsid w:val="00E627FE"/>
    <w:rsid w:val="00E630E7"/>
    <w:rsid w:val="00E6341D"/>
    <w:rsid w:val="00E63506"/>
    <w:rsid w:val="00E63B5A"/>
    <w:rsid w:val="00E63EA9"/>
    <w:rsid w:val="00E64863"/>
    <w:rsid w:val="00E648E5"/>
    <w:rsid w:val="00E64B75"/>
    <w:rsid w:val="00E64CE9"/>
    <w:rsid w:val="00E65E75"/>
    <w:rsid w:val="00E6786B"/>
    <w:rsid w:val="00E67DD0"/>
    <w:rsid w:val="00E7063D"/>
    <w:rsid w:val="00E706DC"/>
    <w:rsid w:val="00E7079C"/>
    <w:rsid w:val="00E70823"/>
    <w:rsid w:val="00E70C27"/>
    <w:rsid w:val="00E71EA8"/>
    <w:rsid w:val="00E722EE"/>
    <w:rsid w:val="00E726C2"/>
    <w:rsid w:val="00E72BF5"/>
    <w:rsid w:val="00E72C17"/>
    <w:rsid w:val="00E73DA5"/>
    <w:rsid w:val="00E74109"/>
    <w:rsid w:val="00E74337"/>
    <w:rsid w:val="00E74AF7"/>
    <w:rsid w:val="00E75159"/>
    <w:rsid w:val="00E75698"/>
    <w:rsid w:val="00E7581F"/>
    <w:rsid w:val="00E759DE"/>
    <w:rsid w:val="00E762BA"/>
    <w:rsid w:val="00E764E1"/>
    <w:rsid w:val="00E76FD3"/>
    <w:rsid w:val="00E77185"/>
    <w:rsid w:val="00E774FE"/>
    <w:rsid w:val="00E77B43"/>
    <w:rsid w:val="00E77ED4"/>
    <w:rsid w:val="00E80335"/>
    <w:rsid w:val="00E80FEB"/>
    <w:rsid w:val="00E81EE9"/>
    <w:rsid w:val="00E8265E"/>
    <w:rsid w:val="00E827D3"/>
    <w:rsid w:val="00E83230"/>
    <w:rsid w:val="00E8344F"/>
    <w:rsid w:val="00E83DC4"/>
    <w:rsid w:val="00E84061"/>
    <w:rsid w:val="00E84811"/>
    <w:rsid w:val="00E84B28"/>
    <w:rsid w:val="00E84D9A"/>
    <w:rsid w:val="00E84FB2"/>
    <w:rsid w:val="00E85026"/>
    <w:rsid w:val="00E85DC7"/>
    <w:rsid w:val="00E8656B"/>
    <w:rsid w:val="00E865EC"/>
    <w:rsid w:val="00E865FE"/>
    <w:rsid w:val="00E8665B"/>
    <w:rsid w:val="00E86887"/>
    <w:rsid w:val="00E869E4"/>
    <w:rsid w:val="00E86EA7"/>
    <w:rsid w:val="00E86F61"/>
    <w:rsid w:val="00E86F83"/>
    <w:rsid w:val="00E87063"/>
    <w:rsid w:val="00E87076"/>
    <w:rsid w:val="00E878D9"/>
    <w:rsid w:val="00E90997"/>
    <w:rsid w:val="00E90CB3"/>
    <w:rsid w:val="00E90FE7"/>
    <w:rsid w:val="00E91677"/>
    <w:rsid w:val="00E91A8C"/>
    <w:rsid w:val="00E92414"/>
    <w:rsid w:val="00E933E6"/>
    <w:rsid w:val="00E936C2"/>
    <w:rsid w:val="00E937D2"/>
    <w:rsid w:val="00E93A72"/>
    <w:rsid w:val="00E93E99"/>
    <w:rsid w:val="00E94016"/>
    <w:rsid w:val="00E94711"/>
    <w:rsid w:val="00E94755"/>
    <w:rsid w:val="00E94949"/>
    <w:rsid w:val="00E951C7"/>
    <w:rsid w:val="00E9530E"/>
    <w:rsid w:val="00E953F6"/>
    <w:rsid w:val="00E954BC"/>
    <w:rsid w:val="00E95603"/>
    <w:rsid w:val="00E95703"/>
    <w:rsid w:val="00E9575F"/>
    <w:rsid w:val="00E979F0"/>
    <w:rsid w:val="00EA02A1"/>
    <w:rsid w:val="00EA0C9E"/>
    <w:rsid w:val="00EA1001"/>
    <w:rsid w:val="00EA150C"/>
    <w:rsid w:val="00EA262F"/>
    <w:rsid w:val="00EA2BE7"/>
    <w:rsid w:val="00EA2DAD"/>
    <w:rsid w:val="00EA32B2"/>
    <w:rsid w:val="00EA35BF"/>
    <w:rsid w:val="00EA3877"/>
    <w:rsid w:val="00EA3DF7"/>
    <w:rsid w:val="00EA40DC"/>
    <w:rsid w:val="00EA4229"/>
    <w:rsid w:val="00EA4346"/>
    <w:rsid w:val="00EA4D25"/>
    <w:rsid w:val="00EA4D44"/>
    <w:rsid w:val="00EA4E24"/>
    <w:rsid w:val="00EA5159"/>
    <w:rsid w:val="00EA5612"/>
    <w:rsid w:val="00EA5E56"/>
    <w:rsid w:val="00EA64E2"/>
    <w:rsid w:val="00EA68A5"/>
    <w:rsid w:val="00EA69CF"/>
    <w:rsid w:val="00EA6C7C"/>
    <w:rsid w:val="00EA6E57"/>
    <w:rsid w:val="00EA6FF2"/>
    <w:rsid w:val="00EA72E2"/>
    <w:rsid w:val="00EA78E0"/>
    <w:rsid w:val="00EA7F3C"/>
    <w:rsid w:val="00EB0027"/>
    <w:rsid w:val="00EB023C"/>
    <w:rsid w:val="00EB1360"/>
    <w:rsid w:val="00EB16B1"/>
    <w:rsid w:val="00EB180E"/>
    <w:rsid w:val="00EB1994"/>
    <w:rsid w:val="00EB1BBC"/>
    <w:rsid w:val="00EB1BD3"/>
    <w:rsid w:val="00EB1C14"/>
    <w:rsid w:val="00EB1F2C"/>
    <w:rsid w:val="00EB1FB7"/>
    <w:rsid w:val="00EB2574"/>
    <w:rsid w:val="00EB2983"/>
    <w:rsid w:val="00EB2C24"/>
    <w:rsid w:val="00EB2C77"/>
    <w:rsid w:val="00EB2E8D"/>
    <w:rsid w:val="00EB2EEC"/>
    <w:rsid w:val="00EB363D"/>
    <w:rsid w:val="00EB3B68"/>
    <w:rsid w:val="00EB4D1B"/>
    <w:rsid w:val="00EB51B1"/>
    <w:rsid w:val="00EB5CC1"/>
    <w:rsid w:val="00EB65A3"/>
    <w:rsid w:val="00EB6BD6"/>
    <w:rsid w:val="00EB6E46"/>
    <w:rsid w:val="00EB6F3E"/>
    <w:rsid w:val="00EB7E1E"/>
    <w:rsid w:val="00EC0035"/>
    <w:rsid w:val="00EC079E"/>
    <w:rsid w:val="00EC0991"/>
    <w:rsid w:val="00EC0BB4"/>
    <w:rsid w:val="00EC0BC3"/>
    <w:rsid w:val="00EC0FE2"/>
    <w:rsid w:val="00EC18A5"/>
    <w:rsid w:val="00EC18DE"/>
    <w:rsid w:val="00EC1F47"/>
    <w:rsid w:val="00EC25CB"/>
    <w:rsid w:val="00EC2875"/>
    <w:rsid w:val="00EC2A1C"/>
    <w:rsid w:val="00EC2D0B"/>
    <w:rsid w:val="00EC2DE0"/>
    <w:rsid w:val="00EC3347"/>
    <w:rsid w:val="00EC3D3E"/>
    <w:rsid w:val="00EC40E1"/>
    <w:rsid w:val="00EC4221"/>
    <w:rsid w:val="00EC45C8"/>
    <w:rsid w:val="00EC5905"/>
    <w:rsid w:val="00EC5A06"/>
    <w:rsid w:val="00EC5A38"/>
    <w:rsid w:val="00EC642A"/>
    <w:rsid w:val="00EC6FEA"/>
    <w:rsid w:val="00EC7208"/>
    <w:rsid w:val="00EC726E"/>
    <w:rsid w:val="00EC72CF"/>
    <w:rsid w:val="00EC7308"/>
    <w:rsid w:val="00EC732E"/>
    <w:rsid w:val="00EC78BC"/>
    <w:rsid w:val="00EC7DFE"/>
    <w:rsid w:val="00ED0CD2"/>
    <w:rsid w:val="00ED0E0A"/>
    <w:rsid w:val="00ED1106"/>
    <w:rsid w:val="00ED117D"/>
    <w:rsid w:val="00ED13F6"/>
    <w:rsid w:val="00ED1654"/>
    <w:rsid w:val="00ED1C71"/>
    <w:rsid w:val="00ED1D46"/>
    <w:rsid w:val="00ED1D84"/>
    <w:rsid w:val="00ED22A2"/>
    <w:rsid w:val="00ED23A2"/>
    <w:rsid w:val="00ED2AEC"/>
    <w:rsid w:val="00ED31A6"/>
    <w:rsid w:val="00ED3B24"/>
    <w:rsid w:val="00ED48C8"/>
    <w:rsid w:val="00ED4D85"/>
    <w:rsid w:val="00ED5505"/>
    <w:rsid w:val="00ED5776"/>
    <w:rsid w:val="00ED5E0B"/>
    <w:rsid w:val="00ED643E"/>
    <w:rsid w:val="00ED6627"/>
    <w:rsid w:val="00ED7083"/>
    <w:rsid w:val="00ED7671"/>
    <w:rsid w:val="00ED7A6B"/>
    <w:rsid w:val="00EE04EF"/>
    <w:rsid w:val="00EE1235"/>
    <w:rsid w:val="00EE1408"/>
    <w:rsid w:val="00EE1B6E"/>
    <w:rsid w:val="00EE1E58"/>
    <w:rsid w:val="00EE1EB1"/>
    <w:rsid w:val="00EE1FE0"/>
    <w:rsid w:val="00EE256B"/>
    <w:rsid w:val="00EE2C15"/>
    <w:rsid w:val="00EE36AC"/>
    <w:rsid w:val="00EE3B34"/>
    <w:rsid w:val="00EE3BCD"/>
    <w:rsid w:val="00EE3DD5"/>
    <w:rsid w:val="00EE4208"/>
    <w:rsid w:val="00EE45AA"/>
    <w:rsid w:val="00EE4A4E"/>
    <w:rsid w:val="00EE4D76"/>
    <w:rsid w:val="00EE4F85"/>
    <w:rsid w:val="00EE50E7"/>
    <w:rsid w:val="00EE5180"/>
    <w:rsid w:val="00EE5E6D"/>
    <w:rsid w:val="00EE634B"/>
    <w:rsid w:val="00EE6674"/>
    <w:rsid w:val="00EE725C"/>
    <w:rsid w:val="00EE7747"/>
    <w:rsid w:val="00EE7B0C"/>
    <w:rsid w:val="00EF0496"/>
    <w:rsid w:val="00EF0959"/>
    <w:rsid w:val="00EF1323"/>
    <w:rsid w:val="00EF15E5"/>
    <w:rsid w:val="00EF251E"/>
    <w:rsid w:val="00EF285B"/>
    <w:rsid w:val="00EF2BD6"/>
    <w:rsid w:val="00EF2D32"/>
    <w:rsid w:val="00EF2DAA"/>
    <w:rsid w:val="00EF3229"/>
    <w:rsid w:val="00EF3245"/>
    <w:rsid w:val="00EF3B24"/>
    <w:rsid w:val="00EF3DDC"/>
    <w:rsid w:val="00EF3DED"/>
    <w:rsid w:val="00EF44FB"/>
    <w:rsid w:val="00EF4845"/>
    <w:rsid w:val="00EF59A2"/>
    <w:rsid w:val="00EF64EC"/>
    <w:rsid w:val="00EF6585"/>
    <w:rsid w:val="00EF7863"/>
    <w:rsid w:val="00EF7B6C"/>
    <w:rsid w:val="00F004BC"/>
    <w:rsid w:val="00F00CE0"/>
    <w:rsid w:val="00F00FB7"/>
    <w:rsid w:val="00F01053"/>
    <w:rsid w:val="00F01658"/>
    <w:rsid w:val="00F016CC"/>
    <w:rsid w:val="00F01798"/>
    <w:rsid w:val="00F0180C"/>
    <w:rsid w:val="00F01FC0"/>
    <w:rsid w:val="00F022FD"/>
    <w:rsid w:val="00F025FE"/>
    <w:rsid w:val="00F02C59"/>
    <w:rsid w:val="00F02F70"/>
    <w:rsid w:val="00F032DE"/>
    <w:rsid w:val="00F03727"/>
    <w:rsid w:val="00F04060"/>
    <w:rsid w:val="00F04300"/>
    <w:rsid w:val="00F04504"/>
    <w:rsid w:val="00F04893"/>
    <w:rsid w:val="00F04E55"/>
    <w:rsid w:val="00F05BDF"/>
    <w:rsid w:val="00F05F8B"/>
    <w:rsid w:val="00F06154"/>
    <w:rsid w:val="00F06B16"/>
    <w:rsid w:val="00F06B51"/>
    <w:rsid w:val="00F06DC5"/>
    <w:rsid w:val="00F073FE"/>
    <w:rsid w:val="00F07E48"/>
    <w:rsid w:val="00F07F2D"/>
    <w:rsid w:val="00F10324"/>
    <w:rsid w:val="00F10B07"/>
    <w:rsid w:val="00F1129D"/>
    <w:rsid w:val="00F114B3"/>
    <w:rsid w:val="00F11990"/>
    <w:rsid w:val="00F11BBB"/>
    <w:rsid w:val="00F11BFA"/>
    <w:rsid w:val="00F121A6"/>
    <w:rsid w:val="00F124E8"/>
    <w:rsid w:val="00F12A17"/>
    <w:rsid w:val="00F12E13"/>
    <w:rsid w:val="00F13C41"/>
    <w:rsid w:val="00F13CA6"/>
    <w:rsid w:val="00F148F2"/>
    <w:rsid w:val="00F14B65"/>
    <w:rsid w:val="00F14E34"/>
    <w:rsid w:val="00F161EB"/>
    <w:rsid w:val="00F1723B"/>
    <w:rsid w:val="00F176DF"/>
    <w:rsid w:val="00F17D05"/>
    <w:rsid w:val="00F203E0"/>
    <w:rsid w:val="00F207A2"/>
    <w:rsid w:val="00F20DA5"/>
    <w:rsid w:val="00F20EB9"/>
    <w:rsid w:val="00F2118A"/>
    <w:rsid w:val="00F21385"/>
    <w:rsid w:val="00F21567"/>
    <w:rsid w:val="00F219AD"/>
    <w:rsid w:val="00F21DDA"/>
    <w:rsid w:val="00F21E7D"/>
    <w:rsid w:val="00F22158"/>
    <w:rsid w:val="00F2236A"/>
    <w:rsid w:val="00F22E5C"/>
    <w:rsid w:val="00F22EC1"/>
    <w:rsid w:val="00F22FAE"/>
    <w:rsid w:val="00F23066"/>
    <w:rsid w:val="00F2363F"/>
    <w:rsid w:val="00F23ABC"/>
    <w:rsid w:val="00F23E1D"/>
    <w:rsid w:val="00F242D8"/>
    <w:rsid w:val="00F2440A"/>
    <w:rsid w:val="00F24434"/>
    <w:rsid w:val="00F244A8"/>
    <w:rsid w:val="00F2457C"/>
    <w:rsid w:val="00F2488C"/>
    <w:rsid w:val="00F25434"/>
    <w:rsid w:val="00F256E2"/>
    <w:rsid w:val="00F25B20"/>
    <w:rsid w:val="00F25C4A"/>
    <w:rsid w:val="00F25DFE"/>
    <w:rsid w:val="00F2620E"/>
    <w:rsid w:val="00F26E7E"/>
    <w:rsid w:val="00F27BC3"/>
    <w:rsid w:val="00F30062"/>
    <w:rsid w:val="00F30A6D"/>
    <w:rsid w:val="00F30BE6"/>
    <w:rsid w:val="00F30D41"/>
    <w:rsid w:val="00F30FDE"/>
    <w:rsid w:val="00F3157D"/>
    <w:rsid w:val="00F316B0"/>
    <w:rsid w:val="00F322BB"/>
    <w:rsid w:val="00F323DE"/>
    <w:rsid w:val="00F329D6"/>
    <w:rsid w:val="00F32C51"/>
    <w:rsid w:val="00F3382E"/>
    <w:rsid w:val="00F33BBB"/>
    <w:rsid w:val="00F33E86"/>
    <w:rsid w:val="00F34036"/>
    <w:rsid w:val="00F341AB"/>
    <w:rsid w:val="00F346C5"/>
    <w:rsid w:val="00F34FBC"/>
    <w:rsid w:val="00F35376"/>
    <w:rsid w:val="00F35418"/>
    <w:rsid w:val="00F35721"/>
    <w:rsid w:val="00F35881"/>
    <w:rsid w:val="00F35B09"/>
    <w:rsid w:val="00F3628E"/>
    <w:rsid w:val="00F36352"/>
    <w:rsid w:val="00F36653"/>
    <w:rsid w:val="00F36C4E"/>
    <w:rsid w:val="00F36E33"/>
    <w:rsid w:val="00F374A4"/>
    <w:rsid w:val="00F37B7E"/>
    <w:rsid w:val="00F4005B"/>
    <w:rsid w:val="00F40899"/>
    <w:rsid w:val="00F40AE9"/>
    <w:rsid w:val="00F4126F"/>
    <w:rsid w:val="00F4162D"/>
    <w:rsid w:val="00F41719"/>
    <w:rsid w:val="00F41B0D"/>
    <w:rsid w:val="00F42CBD"/>
    <w:rsid w:val="00F42E46"/>
    <w:rsid w:val="00F4365F"/>
    <w:rsid w:val="00F436B4"/>
    <w:rsid w:val="00F43ACC"/>
    <w:rsid w:val="00F440C9"/>
    <w:rsid w:val="00F4450E"/>
    <w:rsid w:val="00F449B0"/>
    <w:rsid w:val="00F45385"/>
    <w:rsid w:val="00F4577D"/>
    <w:rsid w:val="00F45910"/>
    <w:rsid w:val="00F45EB7"/>
    <w:rsid w:val="00F46C6B"/>
    <w:rsid w:val="00F4704B"/>
    <w:rsid w:val="00F474E4"/>
    <w:rsid w:val="00F4775C"/>
    <w:rsid w:val="00F47924"/>
    <w:rsid w:val="00F50408"/>
    <w:rsid w:val="00F50F55"/>
    <w:rsid w:val="00F51C31"/>
    <w:rsid w:val="00F525BA"/>
    <w:rsid w:val="00F526BA"/>
    <w:rsid w:val="00F52751"/>
    <w:rsid w:val="00F527AD"/>
    <w:rsid w:val="00F52C93"/>
    <w:rsid w:val="00F53BBF"/>
    <w:rsid w:val="00F53BF6"/>
    <w:rsid w:val="00F53DC6"/>
    <w:rsid w:val="00F53DF8"/>
    <w:rsid w:val="00F54C34"/>
    <w:rsid w:val="00F5511E"/>
    <w:rsid w:val="00F551AE"/>
    <w:rsid w:val="00F56BB3"/>
    <w:rsid w:val="00F56F46"/>
    <w:rsid w:val="00F57338"/>
    <w:rsid w:val="00F57760"/>
    <w:rsid w:val="00F57A13"/>
    <w:rsid w:val="00F608E2"/>
    <w:rsid w:val="00F610D9"/>
    <w:rsid w:val="00F61365"/>
    <w:rsid w:val="00F6266E"/>
    <w:rsid w:val="00F62849"/>
    <w:rsid w:val="00F62CB4"/>
    <w:rsid w:val="00F638D3"/>
    <w:rsid w:val="00F63F12"/>
    <w:rsid w:val="00F644BD"/>
    <w:rsid w:val="00F646C8"/>
    <w:rsid w:val="00F64EA4"/>
    <w:rsid w:val="00F65868"/>
    <w:rsid w:val="00F65B83"/>
    <w:rsid w:val="00F65EB4"/>
    <w:rsid w:val="00F65EE5"/>
    <w:rsid w:val="00F66B87"/>
    <w:rsid w:val="00F67490"/>
    <w:rsid w:val="00F676D6"/>
    <w:rsid w:val="00F709BA"/>
    <w:rsid w:val="00F70A4B"/>
    <w:rsid w:val="00F70BA5"/>
    <w:rsid w:val="00F711D9"/>
    <w:rsid w:val="00F71BD4"/>
    <w:rsid w:val="00F72239"/>
    <w:rsid w:val="00F7225D"/>
    <w:rsid w:val="00F72DA3"/>
    <w:rsid w:val="00F72FE9"/>
    <w:rsid w:val="00F73397"/>
    <w:rsid w:val="00F74105"/>
    <w:rsid w:val="00F746DE"/>
    <w:rsid w:val="00F7544D"/>
    <w:rsid w:val="00F75ED9"/>
    <w:rsid w:val="00F7610F"/>
    <w:rsid w:val="00F76501"/>
    <w:rsid w:val="00F76BAB"/>
    <w:rsid w:val="00F76E11"/>
    <w:rsid w:val="00F770C0"/>
    <w:rsid w:val="00F775F3"/>
    <w:rsid w:val="00F777F2"/>
    <w:rsid w:val="00F77B2B"/>
    <w:rsid w:val="00F800E2"/>
    <w:rsid w:val="00F80391"/>
    <w:rsid w:val="00F8060C"/>
    <w:rsid w:val="00F80D1F"/>
    <w:rsid w:val="00F80DC9"/>
    <w:rsid w:val="00F811F0"/>
    <w:rsid w:val="00F811F6"/>
    <w:rsid w:val="00F81873"/>
    <w:rsid w:val="00F81981"/>
    <w:rsid w:val="00F81B1E"/>
    <w:rsid w:val="00F82558"/>
    <w:rsid w:val="00F8319B"/>
    <w:rsid w:val="00F839D0"/>
    <w:rsid w:val="00F83AC0"/>
    <w:rsid w:val="00F83AF4"/>
    <w:rsid w:val="00F83BD3"/>
    <w:rsid w:val="00F8428D"/>
    <w:rsid w:val="00F84495"/>
    <w:rsid w:val="00F8464F"/>
    <w:rsid w:val="00F84FF2"/>
    <w:rsid w:val="00F85FDB"/>
    <w:rsid w:val="00F860F0"/>
    <w:rsid w:val="00F8635C"/>
    <w:rsid w:val="00F8682F"/>
    <w:rsid w:val="00F86DF5"/>
    <w:rsid w:val="00F86E0D"/>
    <w:rsid w:val="00F87126"/>
    <w:rsid w:val="00F876B1"/>
    <w:rsid w:val="00F87BD6"/>
    <w:rsid w:val="00F90910"/>
    <w:rsid w:val="00F913CD"/>
    <w:rsid w:val="00F921D4"/>
    <w:rsid w:val="00F92B9A"/>
    <w:rsid w:val="00F9378A"/>
    <w:rsid w:val="00F93890"/>
    <w:rsid w:val="00F93AA3"/>
    <w:rsid w:val="00F93E85"/>
    <w:rsid w:val="00F93F8B"/>
    <w:rsid w:val="00F940E7"/>
    <w:rsid w:val="00F941E5"/>
    <w:rsid w:val="00F94AEC"/>
    <w:rsid w:val="00F94BF1"/>
    <w:rsid w:val="00F94EB3"/>
    <w:rsid w:val="00F95A07"/>
    <w:rsid w:val="00F95ADF"/>
    <w:rsid w:val="00F9658E"/>
    <w:rsid w:val="00F968DD"/>
    <w:rsid w:val="00F96967"/>
    <w:rsid w:val="00F96AB7"/>
    <w:rsid w:val="00F96DD6"/>
    <w:rsid w:val="00F97229"/>
    <w:rsid w:val="00F97472"/>
    <w:rsid w:val="00F976ED"/>
    <w:rsid w:val="00F976F0"/>
    <w:rsid w:val="00F97954"/>
    <w:rsid w:val="00F97A73"/>
    <w:rsid w:val="00F97FB3"/>
    <w:rsid w:val="00FA09DA"/>
    <w:rsid w:val="00FA0D85"/>
    <w:rsid w:val="00FA14BF"/>
    <w:rsid w:val="00FA1C35"/>
    <w:rsid w:val="00FA1D31"/>
    <w:rsid w:val="00FA2051"/>
    <w:rsid w:val="00FA22C3"/>
    <w:rsid w:val="00FA2511"/>
    <w:rsid w:val="00FA288C"/>
    <w:rsid w:val="00FA385F"/>
    <w:rsid w:val="00FA3A1A"/>
    <w:rsid w:val="00FA3CE9"/>
    <w:rsid w:val="00FA4032"/>
    <w:rsid w:val="00FA4132"/>
    <w:rsid w:val="00FA47C8"/>
    <w:rsid w:val="00FA4AFB"/>
    <w:rsid w:val="00FA5005"/>
    <w:rsid w:val="00FA53D5"/>
    <w:rsid w:val="00FA5705"/>
    <w:rsid w:val="00FA5A21"/>
    <w:rsid w:val="00FA5DE8"/>
    <w:rsid w:val="00FA614B"/>
    <w:rsid w:val="00FA6FAF"/>
    <w:rsid w:val="00FB0007"/>
    <w:rsid w:val="00FB0159"/>
    <w:rsid w:val="00FB0614"/>
    <w:rsid w:val="00FB0655"/>
    <w:rsid w:val="00FB0982"/>
    <w:rsid w:val="00FB0A70"/>
    <w:rsid w:val="00FB0ABD"/>
    <w:rsid w:val="00FB0D01"/>
    <w:rsid w:val="00FB0DE1"/>
    <w:rsid w:val="00FB131A"/>
    <w:rsid w:val="00FB1449"/>
    <w:rsid w:val="00FB1994"/>
    <w:rsid w:val="00FB1AB4"/>
    <w:rsid w:val="00FB23DC"/>
    <w:rsid w:val="00FB2798"/>
    <w:rsid w:val="00FB2EC1"/>
    <w:rsid w:val="00FB3415"/>
    <w:rsid w:val="00FB3621"/>
    <w:rsid w:val="00FB3DE8"/>
    <w:rsid w:val="00FB3F40"/>
    <w:rsid w:val="00FB4493"/>
    <w:rsid w:val="00FB4DF1"/>
    <w:rsid w:val="00FB61F4"/>
    <w:rsid w:val="00FB6213"/>
    <w:rsid w:val="00FB6926"/>
    <w:rsid w:val="00FB6ACB"/>
    <w:rsid w:val="00FB6D4C"/>
    <w:rsid w:val="00FB74EA"/>
    <w:rsid w:val="00FB7598"/>
    <w:rsid w:val="00FB7894"/>
    <w:rsid w:val="00FB7B85"/>
    <w:rsid w:val="00FB7D17"/>
    <w:rsid w:val="00FB7D34"/>
    <w:rsid w:val="00FB7FA8"/>
    <w:rsid w:val="00FC06BB"/>
    <w:rsid w:val="00FC112A"/>
    <w:rsid w:val="00FC1291"/>
    <w:rsid w:val="00FC152A"/>
    <w:rsid w:val="00FC15D1"/>
    <w:rsid w:val="00FC17FD"/>
    <w:rsid w:val="00FC1AD8"/>
    <w:rsid w:val="00FC1E0D"/>
    <w:rsid w:val="00FC216B"/>
    <w:rsid w:val="00FC3075"/>
    <w:rsid w:val="00FC349A"/>
    <w:rsid w:val="00FC3AE2"/>
    <w:rsid w:val="00FC3B8A"/>
    <w:rsid w:val="00FC3CFE"/>
    <w:rsid w:val="00FC43F4"/>
    <w:rsid w:val="00FC4C4F"/>
    <w:rsid w:val="00FC5324"/>
    <w:rsid w:val="00FC56AA"/>
    <w:rsid w:val="00FC5B1F"/>
    <w:rsid w:val="00FC5B26"/>
    <w:rsid w:val="00FC5CE1"/>
    <w:rsid w:val="00FC6505"/>
    <w:rsid w:val="00FC6B83"/>
    <w:rsid w:val="00FC6F35"/>
    <w:rsid w:val="00FC6F36"/>
    <w:rsid w:val="00FC7664"/>
    <w:rsid w:val="00FD04B3"/>
    <w:rsid w:val="00FD0B8F"/>
    <w:rsid w:val="00FD0C1C"/>
    <w:rsid w:val="00FD16CF"/>
    <w:rsid w:val="00FD1A57"/>
    <w:rsid w:val="00FD1D2C"/>
    <w:rsid w:val="00FD21F1"/>
    <w:rsid w:val="00FD2C9C"/>
    <w:rsid w:val="00FD2D20"/>
    <w:rsid w:val="00FD2D9C"/>
    <w:rsid w:val="00FD2E5A"/>
    <w:rsid w:val="00FD2EBE"/>
    <w:rsid w:val="00FD30E9"/>
    <w:rsid w:val="00FD331D"/>
    <w:rsid w:val="00FD3A7F"/>
    <w:rsid w:val="00FD459B"/>
    <w:rsid w:val="00FD4850"/>
    <w:rsid w:val="00FD4ADA"/>
    <w:rsid w:val="00FD4F10"/>
    <w:rsid w:val="00FD59F5"/>
    <w:rsid w:val="00FD63DD"/>
    <w:rsid w:val="00FD65BC"/>
    <w:rsid w:val="00FD6755"/>
    <w:rsid w:val="00FD692B"/>
    <w:rsid w:val="00FD6E4A"/>
    <w:rsid w:val="00FD72A6"/>
    <w:rsid w:val="00FD76E7"/>
    <w:rsid w:val="00FD7D01"/>
    <w:rsid w:val="00FD7D77"/>
    <w:rsid w:val="00FD7D84"/>
    <w:rsid w:val="00FE0061"/>
    <w:rsid w:val="00FE0778"/>
    <w:rsid w:val="00FE08B3"/>
    <w:rsid w:val="00FE0D65"/>
    <w:rsid w:val="00FE1313"/>
    <w:rsid w:val="00FE1C77"/>
    <w:rsid w:val="00FE1F4A"/>
    <w:rsid w:val="00FE20E6"/>
    <w:rsid w:val="00FE20E8"/>
    <w:rsid w:val="00FE2336"/>
    <w:rsid w:val="00FE2409"/>
    <w:rsid w:val="00FE241F"/>
    <w:rsid w:val="00FE2467"/>
    <w:rsid w:val="00FE2A2F"/>
    <w:rsid w:val="00FE33D6"/>
    <w:rsid w:val="00FE36D5"/>
    <w:rsid w:val="00FE39D7"/>
    <w:rsid w:val="00FE4204"/>
    <w:rsid w:val="00FE4863"/>
    <w:rsid w:val="00FE4A62"/>
    <w:rsid w:val="00FE4AA7"/>
    <w:rsid w:val="00FE4CCD"/>
    <w:rsid w:val="00FE5239"/>
    <w:rsid w:val="00FE54A1"/>
    <w:rsid w:val="00FE55CC"/>
    <w:rsid w:val="00FE5CB9"/>
    <w:rsid w:val="00FE6173"/>
    <w:rsid w:val="00FE6DC5"/>
    <w:rsid w:val="00FE7B2D"/>
    <w:rsid w:val="00FE7FF0"/>
    <w:rsid w:val="00FF060C"/>
    <w:rsid w:val="00FF0E68"/>
    <w:rsid w:val="00FF1266"/>
    <w:rsid w:val="00FF133B"/>
    <w:rsid w:val="00FF2887"/>
    <w:rsid w:val="00FF2CA0"/>
    <w:rsid w:val="00FF2E82"/>
    <w:rsid w:val="00FF3468"/>
    <w:rsid w:val="00FF3544"/>
    <w:rsid w:val="00FF3C65"/>
    <w:rsid w:val="00FF3D48"/>
    <w:rsid w:val="00FF40FE"/>
    <w:rsid w:val="00FF47CB"/>
    <w:rsid w:val="00FF517C"/>
    <w:rsid w:val="00FF54DD"/>
    <w:rsid w:val="00FF5E52"/>
    <w:rsid w:val="00FF5F32"/>
    <w:rsid w:val="00FF5F84"/>
    <w:rsid w:val="00FF664F"/>
    <w:rsid w:val="00FF68AA"/>
    <w:rsid w:val="00FF73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392DB1"/>
  <w15:chartTrackingRefBased/>
  <w15:docId w15:val="{D8250C10-871E-41A2-8E63-552339D2B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Body Text"/>
    <w:qFormat/>
    <w:rsid w:val="00CE7D01"/>
    <w:pPr>
      <w:spacing w:after="0" w:line="480" w:lineRule="auto"/>
      <w:jc w:val="both"/>
    </w:pPr>
    <w:rPr>
      <w:rFonts w:ascii="Times New Roman" w:hAnsi="Times New Roman"/>
      <w:sz w:val="24"/>
    </w:rPr>
  </w:style>
  <w:style w:type="paragraph" w:styleId="Heading1">
    <w:name w:val="heading 1"/>
    <w:basedOn w:val="Normal"/>
    <w:next w:val="Normal"/>
    <w:link w:val="Heading1Char"/>
    <w:uiPriority w:val="9"/>
    <w:qFormat/>
    <w:rsid w:val="00E951C7"/>
    <w:pPr>
      <w:keepNext/>
      <w:keepLines/>
      <w:pageBreakBefore/>
      <w:numPr>
        <w:numId w:val="1"/>
      </w:numPr>
      <w:spacing w:after="240"/>
      <w:jc w:val="center"/>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F04060"/>
    <w:pPr>
      <w:keepNext/>
      <w:keepLines/>
      <w:spacing w:before="120"/>
      <w:outlineLvl w:val="1"/>
    </w:pPr>
    <w:rPr>
      <w:rFonts w:eastAsiaTheme="majorEastAsia" w:cstheme="majorBidi"/>
      <w:b/>
      <w:bCs/>
      <w:szCs w:val="26"/>
    </w:rPr>
  </w:style>
  <w:style w:type="paragraph" w:styleId="Heading3">
    <w:name w:val="heading 3"/>
    <w:basedOn w:val="Normal"/>
    <w:next w:val="Normal"/>
    <w:link w:val="Heading3Char"/>
    <w:autoRedefine/>
    <w:uiPriority w:val="9"/>
    <w:unhideWhenUsed/>
    <w:qFormat/>
    <w:rsid w:val="003E1B51"/>
    <w:pPr>
      <w:keepNext/>
      <w:keepLines/>
      <w:numPr>
        <w:ilvl w:val="1"/>
        <w:numId w:val="1"/>
      </w:numPr>
      <w:spacing w:before="120"/>
      <w:outlineLvl w:val="2"/>
    </w:pPr>
    <w:rPr>
      <w:rFonts w:eastAsiaTheme="majorEastAsia" w:cstheme="majorBidi"/>
      <w:b/>
      <w:szCs w:val="24"/>
    </w:rPr>
  </w:style>
  <w:style w:type="paragraph" w:styleId="Heading4">
    <w:name w:val="heading 4"/>
    <w:basedOn w:val="Normal"/>
    <w:next w:val="Normal"/>
    <w:link w:val="Heading4Char"/>
    <w:autoRedefine/>
    <w:uiPriority w:val="9"/>
    <w:unhideWhenUsed/>
    <w:qFormat/>
    <w:rsid w:val="003E1B51"/>
    <w:pPr>
      <w:keepNext/>
      <w:keepLines/>
      <w:numPr>
        <w:ilvl w:val="2"/>
        <w:numId w:val="1"/>
      </w:numPr>
      <w:spacing w:before="120"/>
      <w:outlineLvl w:val="3"/>
    </w:pPr>
    <w:rPr>
      <w:rFonts w:eastAsiaTheme="majorEastAsia" w:cstheme="majorBidi"/>
      <w:b/>
      <w:iCs/>
      <w:color w:val="000000" w:themeColor="text1"/>
    </w:rPr>
  </w:style>
  <w:style w:type="paragraph" w:styleId="Heading5">
    <w:name w:val="heading 5"/>
    <w:basedOn w:val="Normal"/>
    <w:next w:val="Normal"/>
    <w:link w:val="Heading5Char"/>
    <w:autoRedefine/>
    <w:uiPriority w:val="9"/>
    <w:unhideWhenUsed/>
    <w:qFormat/>
    <w:rsid w:val="00DF3A3D"/>
    <w:pPr>
      <w:keepNext/>
      <w:keepLines/>
      <w:numPr>
        <w:ilvl w:val="4"/>
        <w:numId w:val="1"/>
      </w:numPr>
      <w:spacing w:before="120"/>
      <w:outlineLvl w:val="4"/>
    </w:pPr>
    <w:rPr>
      <w:rFonts w:eastAsiaTheme="majorEastAsia" w:cstheme="majorBidi"/>
      <w:b/>
      <w:color w:val="000000" w:themeColor="text1"/>
    </w:rPr>
  </w:style>
  <w:style w:type="paragraph" w:styleId="Heading6">
    <w:name w:val="heading 6"/>
    <w:basedOn w:val="Normal"/>
    <w:next w:val="Normal"/>
    <w:link w:val="Heading6Char"/>
    <w:autoRedefine/>
    <w:uiPriority w:val="9"/>
    <w:unhideWhenUsed/>
    <w:qFormat/>
    <w:rsid w:val="005A1FEF"/>
    <w:pPr>
      <w:keepNext/>
      <w:keepLines/>
      <w:numPr>
        <w:ilvl w:val="5"/>
        <w:numId w:val="1"/>
      </w:numPr>
      <w:spacing w:before="120"/>
      <w:outlineLvl w:val="5"/>
    </w:pPr>
    <w:rPr>
      <w:rFonts w:eastAsiaTheme="majorEastAsia" w:cstheme="majorBidi"/>
      <w:b/>
      <w:color w:val="000000" w:themeColor="text1"/>
    </w:rPr>
  </w:style>
  <w:style w:type="paragraph" w:styleId="Heading7">
    <w:name w:val="heading 7"/>
    <w:basedOn w:val="Normal"/>
    <w:next w:val="Normal"/>
    <w:link w:val="Heading7Char"/>
    <w:uiPriority w:val="9"/>
    <w:semiHidden/>
    <w:unhideWhenUsed/>
    <w:qFormat/>
    <w:rsid w:val="005C2C70"/>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C2C70"/>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C2C70"/>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51C7"/>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F04060"/>
    <w:rPr>
      <w:rFonts w:ascii="Times New Roman" w:eastAsiaTheme="majorEastAsia" w:hAnsi="Times New Roman" w:cstheme="majorBidi"/>
      <w:b/>
      <w:bCs/>
      <w:sz w:val="24"/>
      <w:szCs w:val="26"/>
    </w:rPr>
  </w:style>
  <w:style w:type="character" w:customStyle="1" w:styleId="Heading3Char">
    <w:name w:val="Heading 3 Char"/>
    <w:basedOn w:val="DefaultParagraphFont"/>
    <w:link w:val="Heading3"/>
    <w:uiPriority w:val="9"/>
    <w:rsid w:val="003E1B51"/>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9"/>
    <w:rsid w:val="003E1B51"/>
    <w:rPr>
      <w:rFonts w:ascii="Times New Roman" w:eastAsiaTheme="majorEastAsia" w:hAnsi="Times New Roman" w:cstheme="majorBidi"/>
      <w:b/>
      <w:iCs/>
      <w:color w:val="000000" w:themeColor="text1"/>
      <w:sz w:val="24"/>
    </w:rPr>
  </w:style>
  <w:style w:type="character" w:customStyle="1" w:styleId="Heading5Char">
    <w:name w:val="Heading 5 Char"/>
    <w:basedOn w:val="DefaultParagraphFont"/>
    <w:link w:val="Heading5"/>
    <w:uiPriority w:val="9"/>
    <w:rsid w:val="00DF3A3D"/>
    <w:rPr>
      <w:rFonts w:ascii="Times New Roman" w:eastAsiaTheme="majorEastAsia" w:hAnsi="Times New Roman" w:cstheme="majorBidi"/>
      <w:b/>
      <w:color w:val="000000" w:themeColor="text1"/>
      <w:sz w:val="24"/>
    </w:rPr>
  </w:style>
  <w:style w:type="character" w:customStyle="1" w:styleId="Heading6Char">
    <w:name w:val="Heading 6 Char"/>
    <w:basedOn w:val="DefaultParagraphFont"/>
    <w:link w:val="Heading6"/>
    <w:uiPriority w:val="9"/>
    <w:rsid w:val="005A1FEF"/>
    <w:rPr>
      <w:rFonts w:ascii="Times New Roman" w:eastAsiaTheme="majorEastAsia" w:hAnsi="Times New Roman" w:cstheme="majorBidi"/>
      <w:b/>
      <w:color w:val="000000" w:themeColor="text1"/>
      <w:sz w:val="24"/>
    </w:rPr>
  </w:style>
  <w:style w:type="character" w:customStyle="1" w:styleId="Heading7Char">
    <w:name w:val="Heading 7 Char"/>
    <w:basedOn w:val="DefaultParagraphFont"/>
    <w:link w:val="Heading7"/>
    <w:uiPriority w:val="9"/>
    <w:semiHidden/>
    <w:rsid w:val="005C2C70"/>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5C2C7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C2C70"/>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6C7A0A"/>
    <w:pPr>
      <w:ind w:left="720"/>
      <w:contextualSpacing/>
    </w:pPr>
  </w:style>
  <w:style w:type="paragraph" w:styleId="NoSpacing">
    <w:name w:val="No Spacing"/>
    <w:aliases w:val="Figure"/>
    <w:basedOn w:val="Caption"/>
    <w:autoRedefine/>
    <w:uiPriority w:val="1"/>
    <w:qFormat/>
    <w:rsid w:val="00CC47CB"/>
    <w:pPr>
      <w:spacing w:after="0"/>
      <w:jc w:val="center"/>
    </w:pPr>
    <w:rPr>
      <w:b w:val="0"/>
      <w:color w:val="auto"/>
    </w:rPr>
  </w:style>
  <w:style w:type="paragraph" w:styleId="Caption">
    <w:name w:val="caption"/>
    <w:basedOn w:val="Normal"/>
    <w:next w:val="Normal"/>
    <w:link w:val="CaptionChar"/>
    <w:autoRedefine/>
    <w:uiPriority w:val="35"/>
    <w:unhideWhenUsed/>
    <w:qFormat/>
    <w:rsid w:val="00BC23AD"/>
    <w:pPr>
      <w:keepNext/>
      <w:spacing w:after="240" w:line="240" w:lineRule="auto"/>
    </w:pPr>
    <w:rPr>
      <w:b/>
      <w:iCs/>
      <w:color w:val="000000" w:themeColor="text1"/>
      <w:sz w:val="20"/>
      <w:szCs w:val="18"/>
    </w:rPr>
  </w:style>
  <w:style w:type="paragraph" w:styleId="Subtitle">
    <w:name w:val="Subtitle"/>
    <w:aliases w:val="Table"/>
    <w:basedOn w:val="Caption"/>
    <w:next w:val="Normal"/>
    <w:link w:val="SubtitleChar"/>
    <w:uiPriority w:val="11"/>
    <w:qFormat/>
    <w:rsid w:val="00103F66"/>
    <w:pPr>
      <w:numPr>
        <w:ilvl w:val="1"/>
      </w:numPr>
      <w:spacing w:after="0" w:line="480" w:lineRule="auto"/>
    </w:pPr>
    <w:rPr>
      <w:rFonts w:eastAsiaTheme="minorEastAsia"/>
      <w:b w:val="0"/>
      <w:i/>
      <w:color w:val="auto"/>
    </w:rPr>
  </w:style>
  <w:style w:type="character" w:customStyle="1" w:styleId="SubtitleChar">
    <w:name w:val="Subtitle Char"/>
    <w:aliases w:val="Table Char"/>
    <w:basedOn w:val="DefaultParagraphFont"/>
    <w:link w:val="Subtitle"/>
    <w:uiPriority w:val="11"/>
    <w:rsid w:val="00103F66"/>
    <w:rPr>
      <w:rFonts w:ascii="Times New Roman" w:eastAsiaTheme="minorEastAsia" w:hAnsi="Times New Roman"/>
      <w:b/>
      <w:iCs/>
      <w:sz w:val="20"/>
      <w:szCs w:val="18"/>
    </w:rPr>
  </w:style>
  <w:style w:type="table" w:styleId="TableGrid">
    <w:name w:val="Table Grid"/>
    <w:basedOn w:val="TableNormal"/>
    <w:rsid w:val="00D24E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D83A80"/>
    <w:pPr>
      <w:tabs>
        <w:tab w:val="center" w:pos="4680"/>
        <w:tab w:val="right" w:pos="9360"/>
      </w:tabs>
      <w:spacing w:line="240" w:lineRule="auto"/>
    </w:pPr>
  </w:style>
  <w:style w:type="character" w:customStyle="1" w:styleId="HeaderChar">
    <w:name w:val="Header Char"/>
    <w:basedOn w:val="DefaultParagraphFont"/>
    <w:link w:val="Header"/>
    <w:uiPriority w:val="99"/>
    <w:rsid w:val="00D83A80"/>
    <w:rPr>
      <w:rFonts w:ascii="Times New Roman" w:hAnsi="Times New Roman"/>
      <w:sz w:val="24"/>
    </w:rPr>
  </w:style>
  <w:style w:type="paragraph" w:styleId="Footer">
    <w:name w:val="footer"/>
    <w:basedOn w:val="Normal"/>
    <w:link w:val="FooterChar"/>
    <w:uiPriority w:val="99"/>
    <w:unhideWhenUsed/>
    <w:rsid w:val="00D83A80"/>
    <w:pPr>
      <w:tabs>
        <w:tab w:val="center" w:pos="4680"/>
        <w:tab w:val="right" w:pos="9360"/>
      </w:tabs>
      <w:spacing w:line="240" w:lineRule="auto"/>
    </w:pPr>
  </w:style>
  <w:style w:type="character" w:customStyle="1" w:styleId="FooterChar">
    <w:name w:val="Footer Char"/>
    <w:basedOn w:val="DefaultParagraphFont"/>
    <w:link w:val="Footer"/>
    <w:uiPriority w:val="99"/>
    <w:rsid w:val="00D83A80"/>
    <w:rPr>
      <w:rFonts w:ascii="Times New Roman" w:hAnsi="Times New Roman"/>
      <w:sz w:val="24"/>
    </w:rPr>
  </w:style>
  <w:style w:type="paragraph" w:styleId="TOC1">
    <w:name w:val="toc 1"/>
    <w:basedOn w:val="Normal"/>
    <w:next w:val="Normal"/>
    <w:autoRedefine/>
    <w:uiPriority w:val="39"/>
    <w:unhideWhenUsed/>
    <w:rsid w:val="00956CF3"/>
    <w:pPr>
      <w:spacing w:after="100"/>
    </w:pPr>
  </w:style>
  <w:style w:type="paragraph" w:styleId="TOC2">
    <w:name w:val="toc 2"/>
    <w:basedOn w:val="Normal"/>
    <w:next w:val="Normal"/>
    <w:autoRedefine/>
    <w:uiPriority w:val="39"/>
    <w:unhideWhenUsed/>
    <w:rsid w:val="00956CF3"/>
    <w:pPr>
      <w:spacing w:after="100"/>
      <w:ind w:left="240"/>
    </w:pPr>
  </w:style>
  <w:style w:type="character" w:styleId="Hyperlink">
    <w:name w:val="Hyperlink"/>
    <w:basedOn w:val="DefaultParagraphFont"/>
    <w:uiPriority w:val="99"/>
    <w:unhideWhenUsed/>
    <w:rsid w:val="00956CF3"/>
    <w:rPr>
      <w:color w:val="0563C1" w:themeColor="hyperlink"/>
      <w:u w:val="single"/>
    </w:rPr>
  </w:style>
  <w:style w:type="paragraph" w:styleId="TableofFigures">
    <w:name w:val="table of figures"/>
    <w:basedOn w:val="Normal"/>
    <w:next w:val="Normal"/>
    <w:uiPriority w:val="99"/>
    <w:unhideWhenUsed/>
    <w:rsid w:val="0027214D"/>
  </w:style>
  <w:style w:type="paragraph" w:styleId="TOC3">
    <w:name w:val="toc 3"/>
    <w:basedOn w:val="Normal"/>
    <w:next w:val="Normal"/>
    <w:autoRedefine/>
    <w:uiPriority w:val="39"/>
    <w:unhideWhenUsed/>
    <w:rsid w:val="00D67531"/>
    <w:pPr>
      <w:spacing w:after="100"/>
      <w:ind w:left="480"/>
    </w:pPr>
  </w:style>
  <w:style w:type="paragraph" w:styleId="BalloonText">
    <w:name w:val="Balloon Text"/>
    <w:basedOn w:val="Normal"/>
    <w:link w:val="BalloonTextChar"/>
    <w:uiPriority w:val="99"/>
    <w:semiHidden/>
    <w:unhideWhenUsed/>
    <w:rsid w:val="00587BE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7BE8"/>
    <w:rPr>
      <w:rFonts w:ascii="Segoe UI" w:hAnsi="Segoe UI" w:cs="Segoe UI"/>
      <w:sz w:val="18"/>
      <w:szCs w:val="18"/>
    </w:rPr>
  </w:style>
  <w:style w:type="character" w:customStyle="1" w:styleId="fontstyle01">
    <w:name w:val="fontstyle01"/>
    <w:basedOn w:val="DefaultParagraphFont"/>
    <w:rsid w:val="00B34CF5"/>
    <w:rPr>
      <w:rFonts w:ascii="TimesNewRomanPSMT" w:hAnsi="TimesNewRomanPSMT" w:hint="default"/>
      <w:b w:val="0"/>
      <w:bCs w:val="0"/>
      <w:i w:val="0"/>
      <w:iCs w:val="0"/>
      <w:color w:val="000000"/>
      <w:sz w:val="24"/>
      <w:szCs w:val="24"/>
    </w:rPr>
  </w:style>
  <w:style w:type="paragraph" w:customStyle="1" w:styleId="FigureCaption">
    <w:name w:val="Figure Caption"/>
    <w:basedOn w:val="Normal"/>
    <w:qFormat/>
    <w:rsid w:val="00F40AE9"/>
    <w:pPr>
      <w:spacing w:before="120" w:after="240" w:line="240" w:lineRule="auto"/>
      <w:jc w:val="center"/>
    </w:pPr>
    <w:rPr>
      <w:rFonts w:cs="Times New Roman"/>
      <w:b/>
      <w:sz w:val="20"/>
    </w:rPr>
  </w:style>
  <w:style w:type="paragraph" w:styleId="Revision">
    <w:name w:val="Revision"/>
    <w:hidden/>
    <w:uiPriority w:val="99"/>
    <w:semiHidden/>
    <w:rsid w:val="00F75ED9"/>
    <w:pPr>
      <w:spacing w:after="0" w:line="240" w:lineRule="auto"/>
    </w:pPr>
    <w:rPr>
      <w:rFonts w:ascii="Times New Roman" w:hAnsi="Times New Roman"/>
      <w:sz w:val="24"/>
    </w:rPr>
  </w:style>
  <w:style w:type="paragraph" w:styleId="NormalWeb">
    <w:name w:val="Normal (Web)"/>
    <w:basedOn w:val="Normal"/>
    <w:uiPriority w:val="99"/>
    <w:unhideWhenUsed/>
    <w:rsid w:val="00E0744F"/>
    <w:pPr>
      <w:spacing w:before="100" w:beforeAutospacing="1" w:after="100" w:afterAutospacing="1" w:line="240" w:lineRule="auto"/>
      <w:jc w:val="left"/>
    </w:pPr>
    <w:rPr>
      <w:rFonts w:eastAsia="Times New Roman" w:cs="Times New Roman"/>
      <w:szCs w:val="24"/>
    </w:rPr>
  </w:style>
  <w:style w:type="character" w:styleId="PlaceholderText">
    <w:name w:val="Placeholder Text"/>
    <w:basedOn w:val="DefaultParagraphFont"/>
    <w:uiPriority w:val="99"/>
    <w:semiHidden/>
    <w:rsid w:val="00201D26"/>
    <w:rPr>
      <w:color w:val="808080"/>
    </w:rPr>
  </w:style>
  <w:style w:type="paragraph" w:customStyle="1" w:styleId="TableCaption">
    <w:name w:val="Table Caption"/>
    <w:basedOn w:val="FigureCaption"/>
    <w:qFormat/>
    <w:rsid w:val="005D02C8"/>
    <w:pPr>
      <w:spacing w:before="480" w:line="276" w:lineRule="auto"/>
    </w:pPr>
  </w:style>
  <w:style w:type="character" w:customStyle="1" w:styleId="fontstyle21">
    <w:name w:val="fontstyle21"/>
    <w:basedOn w:val="DefaultParagraphFont"/>
    <w:rsid w:val="00396A5E"/>
    <w:rPr>
      <w:rFonts w:ascii="TimesNewRomanPS-BoldMT" w:hAnsi="TimesNewRomanPS-BoldMT" w:hint="default"/>
      <w:b/>
      <w:bCs/>
      <w:i w:val="0"/>
      <w:iCs w:val="0"/>
      <w:color w:val="000000"/>
      <w:sz w:val="16"/>
      <w:szCs w:val="16"/>
    </w:rPr>
  </w:style>
  <w:style w:type="character" w:customStyle="1" w:styleId="UnresolvedMention1">
    <w:name w:val="Unresolved Mention1"/>
    <w:basedOn w:val="DefaultParagraphFont"/>
    <w:uiPriority w:val="99"/>
    <w:semiHidden/>
    <w:unhideWhenUsed/>
    <w:rsid w:val="006E1A98"/>
    <w:rPr>
      <w:color w:val="605E5C"/>
      <w:shd w:val="clear" w:color="auto" w:fill="E1DFDD"/>
    </w:rPr>
  </w:style>
  <w:style w:type="character" w:styleId="CommentReference">
    <w:name w:val="annotation reference"/>
    <w:basedOn w:val="DefaultParagraphFont"/>
    <w:uiPriority w:val="99"/>
    <w:semiHidden/>
    <w:unhideWhenUsed/>
    <w:rsid w:val="00846393"/>
    <w:rPr>
      <w:sz w:val="16"/>
      <w:szCs w:val="16"/>
    </w:rPr>
  </w:style>
  <w:style w:type="paragraph" w:styleId="CommentText">
    <w:name w:val="annotation text"/>
    <w:basedOn w:val="Normal"/>
    <w:link w:val="CommentTextChar"/>
    <w:uiPriority w:val="99"/>
    <w:unhideWhenUsed/>
    <w:rsid w:val="00846393"/>
    <w:pPr>
      <w:spacing w:line="240" w:lineRule="auto"/>
    </w:pPr>
    <w:rPr>
      <w:sz w:val="20"/>
      <w:szCs w:val="20"/>
    </w:rPr>
  </w:style>
  <w:style w:type="character" w:customStyle="1" w:styleId="CommentTextChar">
    <w:name w:val="Comment Text Char"/>
    <w:basedOn w:val="DefaultParagraphFont"/>
    <w:link w:val="CommentText"/>
    <w:uiPriority w:val="99"/>
    <w:rsid w:val="0084639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46393"/>
    <w:rPr>
      <w:b/>
      <w:bCs/>
    </w:rPr>
  </w:style>
  <w:style w:type="character" w:customStyle="1" w:styleId="CommentSubjectChar">
    <w:name w:val="Comment Subject Char"/>
    <w:basedOn w:val="CommentTextChar"/>
    <w:link w:val="CommentSubject"/>
    <w:uiPriority w:val="99"/>
    <w:semiHidden/>
    <w:rsid w:val="00846393"/>
    <w:rPr>
      <w:rFonts w:ascii="Times New Roman" w:hAnsi="Times New Roman"/>
      <w:b/>
      <w:bCs/>
      <w:sz w:val="20"/>
      <w:szCs w:val="20"/>
    </w:rPr>
  </w:style>
  <w:style w:type="character" w:styleId="FollowedHyperlink">
    <w:name w:val="FollowedHyperlink"/>
    <w:basedOn w:val="DefaultParagraphFont"/>
    <w:uiPriority w:val="99"/>
    <w:semiHidden/>
    <w:unhideWhenUsed/>
    <w:rsid w:val="006039E8"/>
    <w:rPr>
      <w:color w:val="954F72" w:themeColor="followedHyperlink"/>
      <w:u w:val="single"/>
    </w:rPr>
  </w:style>
  <w:style w:type="character" w:customStyle="1" w:styleId="UnresolvedMention2">
    <w:name w:val="Unresolved Mention2"/>
    <w:basedOn w:val="DefaultParagraphFont"/>
    <w:uiPriority w:val="99"/>
    <w:semiHidden/>
    <w:unhideWhenUsed/>
    <w:rsid w:val="00BB6CCF"/>
    <w:rPr>
      <w:color w:val="605E5C"/>
      <w:shd w:val="clear" w:color="auto" w:fill="E1DFDD"/>
    </w:rPr>
  </w:style>
  <w:style w:type="paragraph" w:styleId="Title">
    <w:name w:val="Title"/>
    <w:basedOn w:val="Normal"/>
    <w:next w:val="Normal"/>
    <w:link w:val="TitleChar"/>
    <w:uiPriority w:val="10"/>
    <w:qFormat/>
    <w:rsid w:val="00FB131A"/>
    <w:pPr>
      <w:spacing w:line="276" w:lineRule="auto"/>
      <w:contextualSpacing/>
      <w:jc w:val="center"/>
    </w:pPr>
    <w:rPr>
      <w:rFonts w:eastAsiaTheme="majorEastAsia" w:cstheme="majorBidi"/>
      <w:b/>
      <w:spacing w:val="-10"/>
      <w:kern w:val="28"/>
      <w:sz w:val="28"/>
      <w:szCs w:val="56"/>
    </w:rPr>
  </w:style>
  <w:style w:type="character" w:customStyle="1" w:styleId="TitleChar">
    <w:name w:val="Title Char"/>
    <w:basedOn w:val="DefaultParagraphFont"/>
    <w:link w:val="Title"/>
    <w:uiPriority w:val="10"/>
    <w:rsid w:val="00FB131A"/>
    <w:rPr>
      <w:rFonts w:ascii="Times New Roman" w:eastAsiaTheme="majorEastAsia" w:hAnsi="Times New Roman" w:cstheme="majorBidi"/>
      <w:b/>
      <w:spacing w:val="-10"/>
      <w:kern w:val="28"/>
      <w:sz w:val="28"/>
      <w:szCs w:val="56"/>
    </w:rPr>
  </w:style>
  <w:style w:type="paragraph" w:styleId="TOCHeading">
    <w:name w:val="TOC Heading"/>
    <w:basedOn w:val="Heading1"/>
    <w:next w:val="Normal"/>
    <w:uiPriority w:val="39"/>
    <w:unhideWhenUsed/>
    <w:qFormat/>
    <w:rsid w:val="00FB131A"/>
    <w:pPr>
      <w:pageBreakBefore w:val="0"/>
      <w:spacing w:after="0" w:line="259" w:lineRule="auto"/>
      <w:jc w:val="left"/>
      <w:outlineLvl w:val="9"/>
    </w:pPr>
    <w:rPr>
      <w:rFonts w:asciiTheme="majorHAnsi" w:hAnsiTheme="majorHAnsi"/>
      <w:b w:val="0"/>
      <w:caps/>
      <w:color w:val="2F5496" w:themeColor="accent1" w:themeShade="BF"/>
      <w:sz w:val="32"/>
    </w:rPr>
  </w:style>
  <w:style w:type="paragraph" w:styleId="TOC4">
    <w:name w:val="toc 4"/>
    <w:basedOn w:val="Normal"/>
    <w:next w:val="Normal"/>
    <w:autoRedefine/>
    <w:uiPriority w:val="39"/>
    <w:unhideWhenUsed/>
    <w:rsid w:val="00FB131A"/>
    <w:pPr>
      <w:spacing w:after="100" w:line="276" w:lineRule="auto"/>
      <w:ind w:left="720"/>
    </w:pPr>
  </w:style>
  <w:style w:type="character" w:styleId="Emphasis">
    <w:name w:val="Emphasis"/>
    <w:basedOn w:val="DefaultParagraphFont"/>
    <w:uiPriority w:val="20"/>
    <w:qFormat/>
    <w:rsid w:val="00FB131A"/>
    <w:rPr>
      <w:i/>
      <w:iCs/>
    </w:rPr>
  </w:style>
  <w:style w:type="character" w:customStyle="1" w:styleId="CaptionChar">
    <w:name w:val="Caption Char"/>
    <w:link w:val="Caption"/>
    <w:uiPriority w:val="35"/>
    <w:rsid w:val="00BC23AD"/>
    <w:rPr>
      <w:rFonts w:ascii="Times New Roman" w:hAnsi="Times New Roman"/>
      <w:b/>
      <w:iCs/>
      <w:color w:val="000000" w:themeColor="text1"/>
      <w:sz w:val="20"/>
      <w:szCs w:val="18"/>
    </w:rPr>
  </w:style>
  <w:style w:type="paragraph" w:customStyle="1" w:styleId="Paragraph">
    <w:name w:val="Paragraph"/>
    <w:basedOn w:val="BodyText"/>
    <w:link w:val="ParagraphChar"/>
    <w:rsid w:val="003F159B"/>
    <w:pPr>
      <w:spacing w:line="240" w:lineRule="auto"/>
      <w:jc w:val="left"/>
    </w:pPr>
    <w:rPr>
      <w:rFonts w:eastAsia="Times New Roman" w:cs="Times New Roman"/>
      <w:kern w:val="14"/>
      <w:szCs w:val="24"/>
    </w:rPr>
  </w:style>
  <w:style w:type="character" w:customStyle="1" w:styleId="ParagraphChar">
    <w:name w:val="Paragraph Char"/>
    <w:basedOn w:val="BodyTextChar"/>
    <w:link w:val="Paragraph"/>
    <w:rsid w:val="003F159B"/>
    <w:rPr>
      <w:rFonts w:ascii="Times New Roman" w:eastAsia="Times New Roman" w:hAnsi="Times New Roman" w:cs="Times New Roman"/>
      <w:kern w:val="14"/>
      <w:sz w:val="24"/>
      <w:szCs w:val="24"/>
    </w:rPr>
  </w:style>
  <w:style w:type="paragraph" w:styleId="BodyText">
    <w:name w:val="Body Text"/>
    <w:basedOn w:val="Normal"/>
    <w:link w:val="BodyTextChar"/>
    <w:uiPriority w:val="99"/>
    <w:semiHidden/>
    <w:unhideWhenUsed/>
    <w:rsid w:val="003F159B"/>
    <w:pPr>
      <w:spacing w:after="120"/>
    </w:pPr>
  </w:style>
  <w:style w:type="character" w:customStyle="1" w:styleId="BodyTextChar">
    <w:name w:val="Body Text Char"/>
    <w:basedOn w:val="DefaultParagraphFont"/>
    <w:link w:val="BodyText"/>
    <w:uiPriority w:val="99"/>
    <w:semiHidden/>
    <w:rsid w:val="003F159B"/>
    <w:rPr>
      <w:rFonts w:ascii="Times New Roman" w:hAnsi="Times New Roman"/>
      <w:sz w:val="24"/>
    </w:rPr>
  </w:style>
  <w:style w:type="table" w:customStyle="1" w:styleId="TableGrid1">
    <w:name w:val="Table Grid1"/>
    <w:basedOn w:val="TableNormal"/>
    <w:next w:val="TableGrid"/>
    <w:uiPriority w:val="59"/>
    <w:rsid w:val="00F00F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Heading">
    <w:name w:val="Level1Heading"/>
    <w:basedOn w:val="Normal"/>
    <w:next w:val="Paragraph"/>
    <w:rsid w:val="004F4C2A"/>
    <w:pPr>
      <w:numPr>
        <w:numId w:val="6"/>
      </w:numPr>
      <w:spacing w:before="120" w:after="120" w:line="240" w:lineRule="auto"/>
      <w:jc w:val="left"/>
    </w:pPr>
    <w:rPr>
      <w:rFonts w:eastAsia="Times New Roman" w:cs="Times New Roman"/>
      <w:caps/>
      <w:szCs w:val="24"/>
    </w:rPr>
  </w:style>
  <w:style w:type="paragraph" w:customStyle="1" w:styleId="Level2Heading">
    <w:name w:val="Level2Heading"/>
    <w:basedOn w:val="Normal"/>
    <w:next w:val="Paragraph"/>
    <w:rsid w:val="004F4C2A"/>
    <w:pPr>
      <w:numPr>
        <w:ilvl w:val="1"/>
        <w:numId w:val="6"/>
      </w:numPr>
      <w:spacing w:line="240" w:lineRule="auto"/>
      <w:jc w:val="left"/>
    </w:pPr>
    <w:rPr>
      <w:rFonts w:eastAsia="Times New Roman" w:cs="Times New Roman"/>
      <w:i/>
      <w:szCs w:val="24"/>
    </w:rPr>
  </w:style>
  <w:style w:type="table" w:customStyle="1" w:styleId="TableGrid2">
    <w:name w:val="Table Grid2"/>
    <w:basedOn w:val="TableNormal"/>
    <w:next w:val="TableGrid"/>
    <w:uiPriority w:val="59"/>
    <w:rsid w:val="00465D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810A86"/>
    <w:pPr>
      <w:spacing w:line="240" w:lineRule="auto"/>
    </w:pPr>
    <w:rPr>
      <w:rFonts w:eastAsiaTheme="minorEastAsia"/>
      <w:color w:val="000000" w:themeColor="text1"/>
      <w:sz w:val="20"/>
      <w:szCs w:val="20"/>
    </w:rPr>
  </w:style>
  <w:style w:type="character" w:customStyle="1" w:styleId="FootnoteTextChar">
    <w:name w:val="Footnote Text Char"/>
    <w:basedOn w:val="DefaultParagraphFont"/>
    <w:link w:val="FootnoteText"/>
    <w:semiHidden/>
    <w:rsid w:val="00810A86"/>
    <w:rPr>
      <w:rFonts w:ascii="Times New Roman" w:eastAsiaTheme="minorEastAsia" w:hAnsi="Times New Roman"/>
      <w:color w:val="000000" w:themeColor="text1"/>
      <w:sz w:val="20"/>
      <w:szCs w:val="20"/>
    </w:rPr>
  </w:style>
  <w:style w:type="character" w:styleId="FootnoteReference">
    <w:name w:val="footnote reference"/>
    <w:basedOn w:val="DefaultParagraphFont"/>
    <w:semiHidden/>
    <w:unhideWhenUsed/>
    <w:rsid w:val="00810A86"/>
    <w:rPr>
      <w:vertAlign w:val="superscript"/>
    </w:rPr>
  </w:style>
  <w:style w:type="table" w:customStyle="1" w:styleId="TableGrid0">
    <w:name w:val="TableGrid"/>
    <w:rsid w:val="00CC205B"/>
    <w:pPr>
      <w:spacing w:after="0" w:line="240" w:lineRule="auto"/>
    </w:pPr>
    <w:rPr>
      <w:rFonts w:eastAsiaTheme="minorEastAsia"/>
    </w:rPr>
    <w:tblPr>
      <w:tblCellMar>
        <w:top w:w="0" w:type="dxa"/>
        <w:left w:w="0" w:type="dxa"/>
        <w:bottom w:w="0" w:type="dxa"/>
        <w:right w:w="0" w:type="dxa"/>
      </w:tblCellMar>
    </w:tblPr>
  </w:style>
  <w:style w:type="paragraph" w:styleId="BodyTextIndent">
    <w:name w:val="Body Text Indent"/>
    <w:basedOn w:val="Normal"/>
    <w:link w:val="BodyTextIndentChar"/>
    <w:uiPriority w:val="99"/>
    <w:semiHidden/>
    <w:unhideWhenUsed/>
    <w:rsid w:val="007A2C68"/>
    <w:pPr>
      <w:spacing w:after="120"/>
      <w:ind w:left="360"/>
    </w:pPr>
  </w:style>
  <w:style w:type="character" w:customStyle="1" w:styleId="BodyTextIndentChar">
    <w:name w:val="Body Text Indent Char"/>
    <w:basedOn w:val="DefaultParagraphFont"/>
    <w:link w:val="BodyTextIndent"/>
    <w:uiPriority w:val="99"/>
    <w:semiHidden/>
    <w:rsid w:val="007A2C68"/>
    <w:rPr>
      <w:rFonts w:ascii="Times New Roman" w:hAnsi="Times New Roman"/>
      <w:sz w:val="24"/>
    </w:rPr>
  </w:style>
  <w:style w:type="paragraph" w:customStyle="1" w:styleId="FigureCaption0">
    <w:name w:val="FigureCaption"/>
    <w:basedOn w:val="BodyText"/>
    <w:next w:val="Paragraph"/>
    <w:rsid w:val="00D05CAF"/>
    <w:pPr>
      <w:spacing w:after="240" w:line="240" w:lineRule="auto"/>
      <w:jc w:val="left"/>
    </w:pPr>
    <w:rPr>
      <w:rFonts w:eastAsia="Times New Roman" w:cs="Times New Roman"/>
      <w:sz w:val="20"/>
      <w:szCs w:val="24"/>
    </w:rPr>
  </w:style>
  <w:style w:type="paragraph" w:customStyle="1" w:styleId="MainText">
    <w:name w:val="Main Text"/>
    <w:basedOn w:val="Paragraph"/>
    <w:link w:val="MainTextChar"/>
    <w:qFormat/>
    <w:rsid w:val="0096409D"/>
    <w:pPr>
      <w:jc w:val="both"/>
    </w:pPr>
    <w:rPr>
      <w:kern w:val="0"/>
      <w:sz w:val="22"/>
      <w:szCs w:val="22"/>
    </w:rPr>
  </w:style>
  <w:style w:type="character" w:customStyle="1" w:styleId="MainTextChar">
    <w:name w:val="Main Text Char"/>
    <w:link w:val="MainText"/>
    <w:rsid w:val="0096409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420779">
      <w:bodyDiv w:val="1"/>
      <w:marLeft w:val="0"/>
      <w:marRight w:val="0"/>
      <w:marTop w:val="0"/>
      <w:marBottom w:val="0"/>
      <w:divBdr>
        <w:top w:val="none" w:sz="0" w:space="0" w:color="auto"/>
        <w:left w:val="none" w:sz="0" w:space="0" w:color="auto"/>
        <w:bottom w:val="none" w:sz="0" w:space="0" w:color="auto"/>
        <w:right w:val="none" w:sz="0" w:space="0" w:color="auto"/>
      </w:divBdr>
    </w:div>
    <w:div w:id="71899153">
      <w:bodyDiv w:val="1"/>
      <w:marLeft w:val="0"/>
      <w:marRight w:val="0"/>
      <w:marTop w:val="0"/>
      <w:marBottom w:val="0"/>
      <w:divBdr>
        <w:top w:val="none" w:sz="0" w:space="0" w:color="auto"/>
        <w:left w:val="none" w:sz="0" w:space="0" w:color="auto"/>
        <w:bottom w:val="none" w:sz="0" w:space="0" w:color="auto"/>
        <w:right w:val="none" w:sz="0" w:space="0" w:color="auto"/>
      </w:divBdr>
    </w:div>
    <w:div w:id="90515621">
      <w:bodyDiv w:val="1"/>
      <w:marLeft w:val="0"/>
      <w:marRight w:val="0"/>
      <w:marTop w:val="0"/>
      <w:marBottom w:val="0"/>
      <w:divBdr>
        <w:top w:val="none" w:sz="0" w:space="0" w:color="auto"/>
        <w:left w:val="none" w:sz="0" w:space="0" w:color="auto"/>
        <w:bottom w:val="none" w:sz="0" w:space="0" w:color="auto"/>
        <w:right w:val="none" w:sz="0" w:space="0" w:color="auto"/>
      </w:divBdr>
      <w:divsChild>
        <w:div w:id="369385323">
          <w:marLeft w:val="720"/>
          <w:marRight w:val="0"/>
          <w:marTop w:val="0"/>
          <w:marBottom w:val="240"/>
          <w:divBdr>
            <w:top w:val="none" w:sz="0" w:space="0" w:color="auto"/>
            <w:left w:val="none" w:sz="0" w:space="0" w:color="auto"/>
            <w:bottom w:val="none" w:sz="0" w:space="0" w:color="auto"/>
            <w:right w:val="none" w:sz="0" w:space="0" w:color="auto"/>
          </w:divBdr>
        </w:div>
        <w:div w:id="880090853">
          <w:marLeft w:val="547"/>
          <w:marRight w:val="0"/>
          <w:marTop w:val="0"/>
          <w:marBottom w:val="240"/>
          <w:divBdr>
            <w:top w:val="none" w:sz="0" w:space="0" w:color="auto"/>
            <w:left w:val="none" w:sz="0" w:space="0" w:color="auto"/>
            <w:bottom w:val="none" w:sz="0" w:space="0" w:color="auto"/>
            <w:right w:val="none" w:sz="0" w:space="0" w:color="auto"/>
          </w:divBdr>
        </w:div>
        <w:div w:id="989947065">
          <w:marLeft w:val="720"/>
          <w:marRight w:val="0"/>
          <w:marTop w:val="0"/>
          <w:marBottom w:val="240"/>
          <w:divBdr>
            <w:top w:val="none" w:sz="0" w:space="0" w:color="auto"/>
            <w:left w:val="none" w:sz="0" w:space="0" w:color="auto"/>
            <w:bottom w:val="none" w:sz="0" w:space="0" w:color="auto"/>
            <w:right w:val="none" w:sz="0" w:space="0" w:color="auto"/>
          </w:divBdr>
        </w:div>
        <w:div w:id="1398091208">
          <w:marLeft w:val="547"/>
          <w:marRight w:val="0"/>
          <w:marTop w:val="0"/>
          <w:marBottom w:val="240"/>
          <w:divBdr>
            <w:top w:val="none" w:sz="0" w:space="0" w:color="auto"/>
            <w:left w:val="none" w:sz="0" w:space="0" w:color="auto"/>
            <w:bottom w:val="none" w:sz="0" w:space="0" w:color="auto"/>
            <w:right w:val="none" w:sz="0" w:space="0" w:color="auto"/>
          </w:divBdr>
        </w:div>
        <w:div w:id="1563904739">
          <w:marLeft w:val="720"/>
          <w:marRight w:val="0"/>
          <w:marTop w:val="0"/>
          <w:marBottom w:val="240"/>
          <w:divBdr>
            <w:top w:val="none" w:sz="0" w:space="0" w:color="auto"/>
            <w:left w:val="none" w:sz="0" w:space="0" w:color="auto"/>
            <w:bottom w:val="none" w:sz="0" w:space="0" w:color="auto"/>
            <w:right w:val="none" w:sz="0" w:space="0" w:color="auto"/>
          </w:divBdr>
        </w:div>
        <w:div w:id="1671592459">
          <w:marLeft w:val="720"/>
          <w:marRight w:val="0"/>
          <w:marTop w:val="0"/>
          <w:marBottom w:val="240"/>
          <w:divBdr>
            <w:top w:val="none" w:sz="0" w:space="0" w:color="auto"/>
            <w:left w:val="none" w:sz="0" w:space="0" w:color="auto"/>
            <w:bottom w:val="none" w:sz="0" w:space="0" w:color="auto"/>
            <w:right w:val="none" w:sz="0" w:space="0" w:color="auto"/>
          </w:divBdr>
        </w:div>
        <w:div w:id="1773276982">
          <w:marLeft w:val="547"/>
          <w:marRight w:val="0"/>
          <w:marTop w:val="0"/>
          <w:marBottom w:val="240"/>
          <w:divBdr>
            <w:top w:val="none" w:sz="0" w:space="0" w:color="auto"/>
            <w:left w:val="none" w:sz="0" w:space="0" w:color="auto"/>
            <w:bottom w:val="none" w:sz="0" w:space="0" w:color="auto"/>
            <w:right w:val="none" w:sz="0" w:space="0" w:color="auto"/>
          </w:divBdr>
        </w:div>
      </w:divsChild>
    </w:div>
    <w:div w:id="196092868">
      <w:bodyDiv w:val="1"/>
      <w:marLeft w:val="0"/>
      <w:marRight w:val="0"/>
      <w:marTop w:val="0"/>
      <w:marBottom w:val="0"/>
      <w:divBdr>
        <w:top w:val="none" w:sz="0" w:space="0" w:color="auto"/>
        <w:left w:val="none" w:sz="0" w:space="0" w:color="auto"/>
        <w:bottom w:val="none" w:sz="0" w:space="0" w:color="auto"/>
        <w:right w:val="none" w:sz="0" w:space="0" w:color="auto"/>
      </w:divBdr>
    </w:div>
    <w:div w:id="291206056">
      <w:bodyDiv w:val="1"/>
      <w:marLeft w:val="0"/>
      <w:marRight w:val="0"/>
      <w:marTop w:val="0"/>
      <w:marBottom w:val="0"/>
      <w:divBdr>
        <w:top w:val="none" w:sz="0" w:space="0" w:color="auto"/>
        <w:left w:val="none" w:sz="0" w:space="0" w:color="auto"/>
        <w:bottom w:val="none" w:sz="0" w:space="0" w:color="auto"/>
        <w:right w:val="none" w:sz="0" w:space="0" w:color="auto"/>
      </w:divBdr>
      <w:divsChild>
        <w:div w:id="2104916582">
          <w:marLeft w:val="0"/>
          <w:marRight w:val="0"/>
          <w:marTop w:val="0"/>
          <w:marBottom w:val="0"/>
          <w:divBdr>
            <w:top w:val="none" w:sz="0" w:space="0" w:color="auto"/>
            <w:left w:val="none" w:sz="0" w:space="0" w:color="auto"/>
            <w:bottom w:val="none" w:sz="0" w:space="0" w:color="auto"/>
            <w:right w:val="none" w:sz="0" w:space="0" w:color="auto"/>
          </w:divBdr>
        </w:div>
      </w:divsChild>
    </w:div>
    <w:div w:id="311065510">
      <w:bodyDiv w:val="1"/>
      <w:marLeft w:val="0"/>
      <w:marRight w:val="0"/>
      <w:marTop w:val="0"/>
      <w:marBottom w:val="0"/>
      <w:divBdr>
        <w:top w:val="none" w:sz="0" w:space="0" w:color="auto"/>
        <w:left w:val="none" w:sz="0" w:space="0" w:color="auto"/>
        <w:bottom w:val="none" w:sz="0" w:space="0" w:color="auto"/>
        <w:right w:val="none" w:sz="0" w:space="0" w:color="auto"/>
      </w:divBdr>
    </w:div>
    <w:div w:id="348217329">
      <w:bodyDiv w:val="1"/>
      <w:marLeft w:val="0"/>
      <w:marRight w:val="0"/>
      <w:marTop w:val="0"/>
      <w:marBottom w:val="0"/>
      <w:divBdr>
        <w:top w:val="none" w:sz="0" w:space="0" w:color="auto"/>
        <w:left w:val="none" w:sz="0" w:space="0" w:color="auto"/>
        <w:bottom w:val="none" w:sz="0" w:space="0" w:color="auto"/>
        <w:right w:val="none" w:sz="0" w:space="0" w:color="auto"/>
      </w:divBdr>
    </w:div>
    <w:div w:id="389424059">
      <w:bodyDiv w:val="1"/>
      <w:marLeft w:val="0"/>
      <w:marRight w:val="0"/>
      <w:marTop w:val="0"/>
      <w:marBottom w:val="0"/>
      <w:divBdr>
        <w:top w:val="none" w:sz="0" w:space="0" w:color="auto"/>
        <w:left w:val="none" w:sz="0" w:space="0" w:color="auto"/>
        <w:bottom w:val="none" w:sz="0" w:space="0" w:color="auto"/>
        <w:right w:val="none" w:sz="0" w:space="0" w:color="auto"/>
      </w:divBdr>
    </w:div>
    <w:div w:id="426119776">
      <w:bodyDiv w:val="1"/>
      <w:marLeft w:val="0"/>
      <w:marRight w:val="0"/>
      <w:marTop w:val="0"/>
      <w:marBottom w:val="0"/>
      <w:divBdr>
        <w:top w:val="none" w:sz="0" w:space="0" w:color="auto"/>
        <w:left w:val="none" w:sz="0" w:space="0" w:color="auto"/>
        <w:bottom w:val="none" w:sz="0" w:space="0" w:color="auto"/>
        <w:right w:val="none" w:sz="0" w:space="0" w:color="auto"/>
      </w:divBdr>
      <w:divsChild>
        <w:div w:id="1169373525">
          <w:marLeft w:val="1267"/>
          <w:marRight w:val="0"/>
          <w:marTop w:val="0"/>
          <w:marBottom w:val="240"/>
          <w:divBdr>
            <w:top w:val="none" w:sz="0" w:space="0" w:color="auto"/>
            <w:left w:val="none" w:sz="0" w:space="0" w:color="auto"/>
            <w:bottom w:val="none" w:sz="0" w:space="0" w:color="auto"/>
            <w:right w:val="none" w:sz="0" w:space="0" w:color="auto"/>
          </w:divBdr>
        </w:div>
      </w:divsChild>
    </w:div>
    <w:div w:id="584993734">
      <w:bodyDiv w:val="1"/>
      <w:marLeft w:val="0"/>
      <w:marRight w:val="0"/>
      <w:marTop w:val="0"/>
      <w:marBottom w:val="0"/>
      <w:divBdr>
        <w:top w:val="none" w:sz="0" w:space="0" w:color="auto"/>
        <w:left w:val="none" w:sz="0" w:space="0" w:color="auto"/>
        <w:bottom w:val="none" w:sz="0" w:space="0" w:color="auto"/>
        <w:right w:val="none" w:sz="0" w:space="0" w:color="auto"/>
      </w:divBdr>
    </w:div>
    <w:div w:id="594755141">
      <w:bodyDiv w:val="1"/>
      <w:marLeft w:val="0"/>
      <w:marRight w:val="0"/>
      <w:marTop w:val="0"/>
      <w:marBottom w:val="0"/>
      <w:divBdr>
        <w:top w:val="none" w:sz="0" w:space="0" w:color="auto"/>
        <w:left w:val="none" w:sz="0" w:space="0" w:color="auto"/>
        <w:bottom w:val="none" w:sz="0" w:space="0" w:color="auto"/>
        <w:right w:val="none" w:sz="0" w:space="0" w:color="auto"/>
      </w:divBdr>
    </w:div>
    <w:div w:id="628779817">
      <w:bodyDiv w:val="1"/>
      <w:marLeft w:val="0"/>
      <w:marRight w:val="0"/>
      <w:marTop w:val="0"/>
      <w:marBottom w:val="0"/>
      <w:divBdr>
        <w:top w:val="none" w:sz="0" w:space="0" w:color="auto"/>
        <w:left w:val="none" w:sz="0" w:space="0" w:color="auto"/>
        <w:bottom w:val="none" w:sz="0" w:space="0" w:color="auto"/>
        <w:right w:val="none" w:sz="0" w:space="0" w:color="auto"/>
      </w:divBdr>
      <w:divsChild>
        <w:div w:id="36048174">
          <w:marLeft w:val="547"/>
          <w:marRight w:val="0"/>
          <w:marTop w:val="0"/>
          <w:marBottom w:val="240"/>
          <w:divBdr>
            <w:top w:val="none" w:sz="0" w:space="0" w:color="auto"/>
            <w:left w:val="none" w:sz="0" w:space="0" w:color="auto"/>
            <w:bottom w:val="none" w:sz="0" w:space="0" w:color="auto"/>
            <w:right w:val="none" w:sz="0" w:space="0" w:color="auto"/>
          </w:divBdr>
        </w:div>
        <w:div w:id="726802918">
          <w:marLeft w:val="720"/>
          <w:marRight w:val="0"/>
          <w:marTop w:val="0"/>
          <w:marBottom w:val="240"/>
          <w:divBdr>
            <w:top w:val="none" w:sz="0" w:space="0" w:color="auto"/>
            <w:left w:val="none" w:sz="0" w:space="0" w:color="auto"/>
            <w:bottom w:val="none" w:sz="0" w:space="0" w:color="auto"/>
            <w:right w:val="none" w:sz="0" w:space="0" w:color="auto"/>
          </w:divBdr>
        </w:div>
        <w:div w:id="1026717183">
          <w:marLeft w:val="547"/>
          <w:marRight w:val="0"/>
          <w:marTop w:val="0"/>
          <w:marBottom w:val="240"/>
          <w:divBdr>
            <w:top w:val="none" w:sz="0" w:space="0" w:color="auto"/>
            <w:left w:val="none" w:sz="0" w:space="0" w:color="auto"/>
            <w:bottom w:val="none" w:sz="0" w:space="0" w:color="auto"/>
            <w:right w:val="none" w:sz="0" w:space="0" w:color="auto"/>
          </w:divBdr>
        </w:div>
        <w:div w:id="1406296378">
          <w:marLeft w:val="720"/>
          <w:marRight w:val="0"/>
          <w:marTop w:val="0"/>
          <w:marBottom w:val="240"/>
          <w:divBdr>
            <w:top w:val="none" w:sz="0" w:space="0" w:color="auto"/>
            <w:left w:val="none" w:sz="0" w:space="0" w:color="auto"/>
            <w:bottom w:val="none" w:sz="0" w:space="0" w:color="auto"/>
            <w:right w:val="none" w:sz="0" w:space="0" w:color="auto"/>
          </w:divBdr>
        </w:div>
        <w:div w:id="1585262288">
          <w:marLeft w:val="547"/>
          <w:marRight w:val="0"/>
          <w:marTop w:val="0"/>
          <w:marBottom w:val="240"/>
          <w:divBdr>
            <w:top w:val="none" w:sz="0" w:space="0" w:color="auto"/>
            <w:left w:val="none" w:sz="0" w:space="0" w:color="auto"/>
            <w:bottom w:val="none" w:sz="0" w:space="0" w:color="auto"/>
            <w:right w:val="none" w:sz="0" w:space="0" w:color="auto"/>
          </w:divBdr>
        </w:div>
        <w:div w:id="1700542715">
          <w:marLeft w:val="720"/>
          <w:marRight w:val="0"/>
          <w:marTop w:val="0"/>
          <w:marBottom w:val="240"/>
          <w:divBdr>
            <w:top w:val="none" w:sz="0" w:space="0" w:color="auto"/>
            <w:left w:val="none" w:sz="0" w:space="0" w:color="auto"/>
            <w:bottom w:val="none" w:sz="0" w:space="0" w:color="auto"/>
            <w:right w:val="none" w:sz="0" w:space="0" w:color="auto"/>
          </w:divBdr>
        </w:div>
        <w:div w:id="1859805736">
          <w:marLeft w:val="720"/>
          <w:marRight w:val="0"/>
          <w:marTop w:val="0"/>
          <w:marBottom w:val="240"/>
          <w:divBdr>
            <w:top w:val="none" w:sz="0" w:space="0" w:color="auto"/>
            <w:left w:val="none" w:sz="0" w:space="0" w:color="auto"/>
            <w:bottom w:val="none" w:sz="0" w:space="0" w:color="auto"/>
            <w:right w:val="none" w:sz="0" w:space="0" w:color="auto"/>
          </w:divBdr>
        </w:div>
      </w:divsChild>
    </w:div>
    <w:div w:id="655769637">
      <w:bodyDiv w:val="1"/>
      <w:marLeft w:val="0"/>
      <w:marRight w:val="0"/>
      <w:marTop w:val="0"/>
      <w:marBottom w:val="0"/>
      <w:divBdr>
        <w:top w:val="none" w:sz="0" w:space="0" w:color="auto"/>
        <w:left w:val="none" w:sz="0" w:space="0" w:color="auto"/>
        <w:bottom w:val="none" w:sz="0" w:space="0" w:color="auto"/>
        <w:right w:val="none" w:sz="0" w:space="0" w:color="auto"/>
      </w:divBdr>
    </w:div>
    <w:div w:id="662704047">
      <w:bodyDiv w:val="1"/>
      <w:marLeft w:val="0"/>
      <w:marRight w:val="0"/>
      <w:marTop w:val="0"/>
      <w:marBottom w:val="0"/>
      <w:divBdr>
        <w:top w:val="none" w:sz="0" w:space="0" w:color="auto"/>
        <w:left w:val="none" w:sz="0" w:space="0" w:color="auto"/>
        <w:bottom w:val="none" w:sz="0" w:space="0" w:color="auto"/>
        <w:right w:val="none" w:sz="0" w:space="0" w:color="auto"/>
      </w:divBdr>
    </w:div>
    <w:div w:id="673068610">
      <w:bodyDiv w:val="1"/>
      <w:marLeft w:val="0"/>
      <w:marRight w:val="0"/>
      <w:marTop w:val="0"/>
      <w:marBottom w:val="0"/>
      <w:divBdr>
        <w:top w:val="none" w:sz="0" w:space="0" w:color="auto"/>
        <w:left w:val="none" w:sz="0" w:space="0" w:color="auto"/>
        <w:bottom w:val="none" w:sz="0" w:space="0" w:color="auto"/>
        <w:right w:val="none" w:sz="0" w:space="0" w:color="auto"/>
      </w:divBdr>
    </w:div>
    <w:div w:id="769856408">
      <w:bodyDiv w:val="1"/>
      <w:marLeft w:val="0"/>
      <w:marRight w:val="0"/>
      <w:marTop w:val="0"/>
      <w:marBottom w:val="0"/>
      <w:divBdr>
        <w:top w:val="none" w:sz="0" w:space="0" w:color="auto"/>
        <w:left w:val="none" w:sz="0" w:space="0" w:color="auto"/>
        <w:bottom w:val="none" w:sz="0" w:space="0" w:color="auto"/>
        <w:right w:val="none" w:sz="0" w:space="0" w:color="auto"/>
      </w:divBdr>
    </w:div>
    <w:div w:id="813521783">
      <w:bodyDiv w:val="1"/>
      <w:marLeft w:val="0"/>
      <w:marRight w:val="0"/>
      <w:marTop w:val="0"/>
      <w:marBottom w:val="0"/>
      <w:divBdr>
        <w:top w:val="none" w:sz="0" w:space="0" w:color="auto"/>
        <w:left w:val="none" w:sz="0" w:space="0" w:color="auto"/>
        <w:bottom w:val="none" w:sz="0" w:space="0" w:color="auto"/>
        <w:right w:val="none" w:sz="0" w:space="0" w:color="auto"/>
      </w:divBdr>
    </w:div>
    <w:div w:id="829097761">
      <w:bodyDiv w:val="1"/>
      <w:marLeft w:val="0"/>
      <w:marRight w:val="0"/>
      <w:marTop w:val="0"/>
      <w:marBottom w:val="0"/>
      <w:divBdr>
        <w:top w:val="none" w:sz="0" w:space="0" w:color="auto"/>
        <w:left w:val="none" w:sz="0" w:space="0" w:color="auto"/>
        <w:bottom w:val="none" w:sz="0" w:space="0" w:color="auto"/>
        <w:right w:val="none" w:sz="0" w:space="0" w:color="auto"/>
      </w:divBdr>
    </w:div>
    <w:div w:id="1137911871">
      <w:bodyDiv w:val="1"/>
      <w:marLeft w:val="0"/>
      <w:marRight w:val="0"/>
      <w:marTop w:val="0"/>
      <w:marBottom w:val="0"/>
      <w:divBdr>
        <w:top w:val="none" w:sz="0" w:space="0" w:color="auto"/>
        <w:left w:val="none" w:sz="0" w:space="0" w:color="auto"/>
        <w:bottom w:val="none" w:sz="0" w:space="0" w:color="auto"/>
        <w:right w:val="none" w:sz="0" w:space="0" w:color="auto"/>
      </w:divBdr>
    </w:div>
    <w:div w:id="1426416039">
      <w:bodyDiv w:val="1"/>
      <w:marLeft w:val="0"/>
      <w:marRight w:val="0"/>
      <w:marTop w:val="0"/>
      <w:marBottom w:val="0"/>
      <w:divBdr>
        <w:top w:val="none" w:sz="0" w:space="0" w:color="auto"/>
        <w:left w:val="none" w:sz="0" w:space="0" w:color="auto"/>
        <w:bottom w:val="none" w:sz="0" w:space="0" w:color="auto"/>
        <w:right w:val="none" w:sz="0" w:space="0" w:color="auto"/>
      </w:divBdr>
      <w:divsChild>
        <w:div w:id="181434821">
          <w:marLeft w:val="547"/>
          <w:marRight w:val="0"/>
          <w:marTop w:val="0"/>
          <w:marBottom w:val="0"/>
          <w:divBdr>
            <w:top w:val="none" w:sz="0" w:space="0" w:color="auto"/>
            <w:left w:val="none" w:sz="0" w:space="0" w:color="auto"/>
            <w:bottom w:val="none" w:sz="0" w:space="0" w:color="auto"/>
            <w:right w:val="none" w:sz="0" w:space="0" w:color="auto"/>
          </w:divBdr>
        </w:div>
        <w:div w:id="585845227">
          <w:marLeft w:val="547"/>
          <w:marRight w:val="0"/>
          <w:marTop w:val="0"/>
          <w:marBottom w:val="0"/>
          <w:divBdr>
            <w:top w:val="none" w:sz="0" w:space="0" w:color="auto"/>
            <w:left w:val="none" w:sz="0" w:space="0" w:color="auto"/>
            <w:bottom w:val="none" w:sz="0" w:space="0" w:color="auto"/>
            <w:right w:val="none" w:sz="0" w:space="0" w:color="auto"/>
          </w:divBdr>
        </w:div>
        <w:div w:id="1531988856">
          <w:marLeft w:val="547"/>
          <w:marRight w:val="0"/>
          <w:marTop w:val="0"/>
          <w:marBottom w:val="0"/>
          <w:divBdr>
            <w:top w:val="none" w:sz="0" w:space="0" w:color="auto"/>
            <w:left w:val="none" w:sz="0" w:space="0" w:color="auto"/>
            <w:bottom w:val="none" w:sz="0" w:space="0" w:color="auto"/>
            <w:right w:val="none" w:sz="0" w:space="0" w:color="auto"/>
          </w:divBdr>
        </w:div>
        <w:div w:id="1612978788">
          <w:marLeft w:val="547"/>
          <w:marRight w:val="0"/>
          <w:marTop w:val="0"/>
          <w:marBottom w:val="0"/>
          <w:divBdr>
            <w:top w:val="none" w:sz="0" w:space="0" w:color="auto"/>
            <w:left w:val="none" w:sz="0" w:space="0" w:color="auto"/>
            <w:bottom w:val="none" w:sz="0" w:space="0" w:color="auto"/>
            <w:right w:val="none" w:sz="0" w:space="0" w:color="auto"/>
          </w:divBdr>
        </w:div>
        <w:div w:id="1852257244">
          <w:marLeft w:val="547"/>
          <w:marRight w:val="0"/>
          <w:marTop w:val="0"/>
          <w:marBottom w:val="0"/>
          <w:divBdr>
            <w:top w:val="none" w:sz="0" w:space="0" w:color="auto"/>
            <w:left w:val="none" w:sz="0" w:space="0" w:color="auto"/>
            <w:bottom w:val="none" w:sz="0" w:space="0" w:color="auto"/>
            <w:right w:val="none" w:sz="0" w:space="0" w:color="auto"/>
          </w:divBdr>
        </w:div>
        <w:div w:id="2024354611">
          <w:marLeft w:val="547"/>
          <w:marRight w:val="0"/>
          <w:marTop w:val="0"/>
          <w:marBottom w:val="0"/>
          <w:divBdr>
            <w:top w:val="none" w:sz="0" w:space="0" w:color="auto"/>
            <w:left w:val="none" w:sz="0" w:space="0" w:color="auto"/>
            <w:bottom w:val="none" w:sz="0" w:space="0" w:color="auto"/>
            <w:right w:val="none" w:sz="0" w:space="0" w:color="auto"/>
          </w:divBdr>
        </w:div>
      </w:divsChild>
    </w:div>
    <w:div w:id="1495873349">
      <w:bodyDiv w:val="1"/>
      <w:marLeft w:val="0"/>
      <w:marRight w:val="0"/>
      <w:marTop w:val="0"/>
      <w:marBottom w:val="0"/>
      <w:divBdr>
        <w:top w:val="none" w:sz="0" w:space="0" w:color="auto"/>
        <w:left w:val="none" w:sz="0" w:space="0" w:color="auto"/>
        <w:bottom w:val="none" w:sz="0" w:space="0" w:color="auto"/>
        <w:right w:val="none" w:sz="0" w:space="0" w:color="auto"/>
      </w:divBdr>
    </w:div>
    <w:div w:id="1532835950">
      <w:bodyDiv w:val="1"/>
      <w:marLeft w:val="0"/>
      <w:marRight w:val="0"/>
      <w:marTop w:val="0"/>
      <w:marBottom w:val="0"/>
      <w:divBdr>
        <w:top w:val="none" w:sz="0" w:space="0" w:color="auto"/>
        <w:left w:val="none" w:sz="0" w:space="0" w:color="auto"/>
        <w:bottom w:val="none" w:sz="0" w:space="0" w:color="auto"/>
        <w:right w:val="none" w:sz="0" w:space="0" w:color="auto"/>
      </w:divBdr>
    </w:div>
    <w:div w:id="1534030985">
      <w:bodyDiv w:val="1"/>
      <w:marLeft w:val="0"/>
      <w:marRight w:val="0"/>
      <w:marTop w:val="0"/>
      <w:marBottom w:val="0"/>
      <w:divBdr>
        <w:top w:val="none" w:sz="0" w:space="0" w:color="auto"/>
        <w:left w:val="none" w:sz="0" w:space="0" w:color="auto"/>
        <w:bottom w:val="none" w:sz="0" w:space="0" w:color="auto"/>
        <w:right w:val="none" w:sz="0" w:space="0" w:color="auto"/>
      </w:divBdr>
    </w:div>
    <w:div w:id="1583418252">
      <w:bodyDiv w:val="1"/>
      <w:marLeft w:val="0"/>
      <w:marRight w:val="0"/>
      <w:marTop w:val="0"/>
      <w:marBottom w:val="0"/>
      <w:divBdr>
        <w:top w:val="none" w:sz="0" w:space="0" w:color="auto"/>
        <w:left w:val="none" w:sz="0" w:space="0" w:color="auto"/>
        <w:bottom w:val="none" w:sz="0" w:space="0" w:color="auto"/>
        <w:right w:val="none" w:sz="0" w:space="0" w:color="auto"/>
      </w:divBdr>
    </w:div>
    <w:div w:id="1588003352">
      <w:bodyDiv w:val="1"/>
      <w:marLeft w:val="0"/>
      <w:marRight w:val="0"/>
      <w:marTop w:val="0"/>
      <w:marBottom w:val="0"/>
      <w:divBdr>
        <w:top w:val="none" w:sz="0" w:space="0" w:color="auto"/>
        <w:left w:val="none" w:sz="0" w:space="0" w:color="auto"/>
        <w:bottom w:val="none" w:sz="0" w:space="0" w:color="auto"/>
        <w:right w:val="none" w:sz="0" w:space="0" w:color="auto"/>
      </w:divBdr>
    </w:div>
    <w:div w:id="1605184279">
      <w:bodyDiv w:val="1"/>
      <w:marLeft w:val="0"/>
      <w:marRight w:val="0"/>
      <w:marTop w:val="0"/>
      <w:marBottom w:val="0"/>
      <w:divBdr>
        <w:top w:val="none" w:sz="0" w:space="0" w:color="auto"/>
        <w:left w:val="none" w:sz="0" w:space="0" w:color="auto"/>
        <w:bottom w:val="none" w:sz="0" w:space="0" w:color="auto"/>
        <w:right w:val="none" w:sz="0" w:space="0" w:color="auto"/>
      </w:divBdr>
      <w:divsChild>
        <w:div w:id="1847744244">
          <w:marLeft w:val="0"/>
          <w:marRight w:val="0"/>
          <w:marTop w:val="0"/>
          <w:marBottom w:val="0"/>
          <w:divBdr>
            <w:top w:val="none" w:sz="0" w:space="0" w:color="auto"/>
            <w:left w:val="none" w:sz="0" w:space="0" w:color="auto"/>
            <w:bottom w:val="none" w:sz="0" w:space="0" w:color="auto"/>
            <w:right w:val="none" w:sz="0" w:space="0" w:color="auto"/>
          </w:divBdr>
        </w:div>
      </w:divsChild>
    </w:div>
    <w:div w:id="1618561472">
      <w:bodyDiv w:val="1"/>
      <w:marLeft w:val="0"/>
      <w:marRight w:val="0"/>
      <w:marTop w:val="0"/>
      <w:marBottom w:val="0"/>
      <w:divBdr>
        <w:top w:val="none" w:sz="0" w:space="0" w:color="auto"/>
        <w:left w:val="none" w:sz="0" w:space="0" w:color="auto"/>
        <w:bottom w:val="none" w:sz="0" w:space="0" w:color="auto"/>
        <w:right w:val="none" w:sz="0" w:space="0" w:color="auto"/>
      </w:divBdr>
    </w:div>
    <w:div w:id="1660768026">
      <w:bodyDiv w:val="1"/>
      <w:marLeft w:val="0"/>
      <w:marRight w:val="0"/>
      <w:marTop w:val="0"/>
      <w:marBottom w:val="0"/>
      <w:divBdr>
        <w:top w:val="none" w:sz="0" w:space="0" w:color="auto"/>
        <w:left w:val="none" w:sz="0" w:space="0" w:color="auto"/>
        <w:bottom w:val="none" w:sz="0" w:space="0" w:color="auto"/>
        <w:right w:val="none" w:sz="0" w:space="0" w:color="auto"/>
      </w:divBdr>
      <w:divsChild>
        <w:div w:id="1888446923">
          <w:marLeft w:val="0"/>
          <w:marRight w:val="0"/>
          <w:marTop w:val="0"/>
          <w:marBottom w:val="0"/>
          <w:divBdr>
            <w:top w:val="none" w:sz="0" w:space="0" w:color="auto"/>
            <w:left w:val="none" w:sz="0" w:space="0" w:color="auto"/>
            <w:bottom w:val="none" w:sz="0" w:space="0" w:color="auto"/>
            <w:right w:val="none" w:sz="0" w:space="0" w:color="auto"/>
          </w:divBdr>
        </w:div>
      </w:divsChild>
    </w:div>
    <w:div w:id="1661808256">
      <w:bodyDiv w:val="1"/>
      <w:marLeft w:val="0"/>
      <w:marRight w:val="0"/>
      <w:marTop w:val="0"/>
      <w:marBottom w:val="0"/>
      <w:divBdr>
        <w:top w:val="none" w:sz="0" w:space="0" w:color="auto"/>
        <w:left w:val="none" w:sz="0" w:space="0" w:color="auto"/>
        <w:bottom w:val="none" w:sz="0" w:space="0" w:color="auto"/>
        <w:right w:val="none" w:sz="0" w:space="0" w:color="auto"/>
      </w:divBdr>
      <w:divsChild>
        <w:div w:id="1325667719">
          <w:marLeft w:val="720"/>
          <w:marRight w:val="0"/>
          <w:marTop w:val="0"/>
          <w:marBottom w:val="240"/>
          <w:divBdr>
            <w:top w:val="none" w:sz="0" w:space="0" w:color="auto"/>
            <w:left w:val="none" w:sz="0" w:space="0" w:color="auto"/>
            <w:bottom w:val="none" w:sz="0" w:space="0" w:color="auto"/>
            <w:right w:val="none" w:sz="0" w:space="0" w:color="auto"/>
          </w:divBdr>
        </w:div>
      </w:divsChild>
    </w:div>
    <w:div w:id="1814516104">
      <w:bodyDiv w:val="1"/>
      <w:marLeft w:val="0"/>
      <w:marRight w:val="0"/>
      <w:marTop w:val="0"/>
      <w:marBottom w:val="0"/>
      <w:divBdr>
        <w:top w:val="none" w:sz="0" w:space="0" w:color="auto"/>
        <w:left w:val="none" w:sz="0" w:space="0" w:color="auto"/>
        <w:bottom w:val="none" w:sz="0" w:space="0" w:color="auto"/>
        <w:right w:val="none" w:sz="0" w:space="0" w:color="auto"/>
      </w:divBdr>
    </w:div>
    <w:div w:id="1909075270">
      <w:bodyDiv w:val="1"/>
      <w:marLeft w:val="0"/>
      <w:marRight w:val="0"/>
      <w:marTop w:val="0"/>
      <w:marBottom w:val="0"/>
      <w:divBdr>
        <w:top w:val="none" w:sz="0" w:space="0" w:color="auto"/>
        <w:left w:val="none" w:sz="0" w:space="0" w:color="auto"/>
        <w:bottom w:val="none" w:sz="0" w:space="0" w:color="auto"/>
        <w:right w:val="none" w:sz="0" w:space="0" w:color="auto"/>
      </w:divBdr>
    </w:div>
    <w:div w:id="1961908556">
      <w:bodyDiv w:val="1"/>
      <w:marLeft w:val="0"/>
      <w:marRight w:val="0"/>
      <w:marTop w:val="0"/>
      <w:marBottom w:val="0"/>
      <w:divBdr>
        <w:top w:val="none" w:sz="0" w:space="0" w:color="auto"/>
        <w:left w:val="none" w:sz="0" w:space="0" w:color="auto"/>
        <w:bottom w:val="none" w:sz="0" w:space="0" w:color="auto"/>
        <w:right w:val="none" w:sz="0" w:space="0" w:color="auto"/>
      </w:divBdr>
    </w:div>
    <w:div w:id="1979527374">
      <w:bodyDiv w:val="1"/>
      <w:marLeft w:val="0"/>
      <w:marRight w:val="0"/>
      <w:marTop w:val="0"/>
      <w:marBottom w:val="0"/>
      <w:divBdr>
        <w:top w:val="none" w:sz="0" w:space="0" w:color="auto"/>
        <w:left w:val="none" w:sz="0" w:space="0" w:color="auto"/>
        <w:bottom w:val="none" w:sz="0" w:space="0" w:color="auto"/>
        <w:right w:val="none" w:sz="0" w:space="0" w:color="auto"/>
      </w:divBdr>
    </w:div>
    <w:div w:id="2088652444">
      <w:bodyDiv w:val="1"/>
      <w:marLeft w:val="0"/>
      <w:marRight w:val="0"/>
      <w:marTop w:val="0"/>
      <w:marBottom w:val="0"/>
      <w:divBdr>
        <w:top w:val="none" w:sz="0" w:space="0" w:color="auto"/>
        <w:left w:val="none" w:sz="0" w:space="0" w:color="auto"/>
        <w:bottom w:val="none" w:sz="0" w:space="0" w:color="auto"/>
        <w:right w:val="none" w:sz="0" w:space="0" w:color="auto"/>
      </w:divBdr>
    </w:div>
    <w:div w:id="2092651855">
      <w:bodyDiv w:val="1"/>
      <w:marLeft w:val="0"/>
      <w:marRight w:val="0"/>
      <w:marTop w:val="0"/>
      <w:marBottom w:val="0"/>
      <w:divBdr>
        <w:top w:val="none" w:sz="0" w:space="0" w:color="auto"/>
        <w:left w:val="none" w:sz="0" w:space="0" w:color="auto"/>
        <w:bottom w:val="none" w:sz="0" w:space="0" w:color="auto"/>
        <w:right w:val="none" w:sz="0" w:space="0" w:color="auto"/>
      </w:divBdr>
    </w:div>
    <w:div w:id="2113741707">
      <w:bodyDiv w:val="1"/>
      <w:marLeft w:val="0"/>
      <w:marRight w:val="0"/>
      <w:marTop w:val="0"/>
      <w:marBottom w:val="0"/>
      <w:divBdr>
        <w:top w:val="none" w:sz="0" w:space="0" w:color="auto"/>
        <w:left w:val="none" w:sz="0" w:space="0" w:color="auto"/>
        <w:bottom w:val="none" w:sz="0" w:space="0" w:color="auto"/>
        <w:right w:val="none" w:sz="0" w:space="0" w:color="auto"/>
      </w:divBdr>
    </w:div>
    <w:div w:id="2123958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2118/171066-MS" TargetMode="External"/><Relationship Id="rId21" Type="http://schemas.openxmlformats.org/officeDocument/2006/relationships/image" Target="media/image9.png"/><Relationship Id="rId42" Type="http://schemas.openxmlformats.org/officeDocument/2006/relationships/image" Target="media/image29.png"/><Relationship Id="rId63" Type="http://schemas.openxmlformats.org/officeDocument/2006/relationships/image" Target="media/image50.png"/><Relationship Id="rId84" Type="http://schemas.openxmlformats.org/officeDocument/2006/relationships/image" Target="media/image71.png"/><Relationship Id="rId138" Type="http://schemas.openxmlformats.org/officeDocument/2006/relationships/hyperlink" Target="https://doi.org/10.2118/189384-MS" TargetMode="External"/><Relationship Id="rId159" Type="http://schemas.openxmlformats.org/officeDocument/2006/relationships/image" Target="media/image88.png"/><Relationship Id="rId170" Type="http://schemas.openxmlformats.org/officeDocument/2006/relationships/image" Target="media/image99.png"/><Relationship Id="rId191" Type="http://schemas.openxmlformats.org/officeDocument/2006/relationships/image" Target="media/image118.png"/><Relationship Id="rId107" Type="http://schemas.openxmlformats.org/officeDocument/2006/relationships/hyperlink" Target="https://doi.org/10.2118/185890-MS" TargetMode="External"/><Relationship Id="rId11" Type="http://schemas.openxmlformats.org/officeDocument/2006/relationships/footer" Target="footer1.xml"/><Relationship Id="rId32" Type="http://schemas.openxmlformats.org/officeDocument/2006/relationships/image" Target="media/image20.png"/><Relationship Id="rId53" Type="http://schemas.openxmlformats.org/officeDocument/2006/relationships/image" Target="media/image40.png"/><Relationship Id="rId74" Type="http://schemas.openxmlformats.org/officeDocument/2006/relationships/image" Target="media/image61.png"/><Relationship Id="rId128" Type="http://schemas.openxmlformats.org/officeDocument/2006/relationships/hyperlink" Target="https://doi.org/10.2118/189505-MS" TargetMode="External"/><Relationship Id="rId149" Type="http://schemas.openxmlformats.org/officeDocument/2006/relationships/image" Target="media/image78.png"/><Relationship Id="rId5" Type="http://schemas.openxmlformats.org/officeDocument/2006/relationships/numbering" Target="numbering.xml"/><Relationship Id="rId95" Type="http://schemas.openxmlformats.org/officeDocument/2006/relationships/hyperlink" Target="https://doi.org/10.2118/124719-PA" TargetMode="External"/><Relationship Id="rId160" Type="http://schemas.openxmlformats.org/officeDocument/2006/relationships/image" Target="media/image89.png"/><Relationship Id="rId181" Type="http://schemas.openxmlformats.org/officeDocument/2006/relationships/image" Target="media/image108.png"/><Relationship Id="rId22" Type="http://schemas.openxmlformats.org/officeDocument/2006/relationships/image" Target="media/image10.png"/><Relationship Id="rId43" Type="http://schemas.openxmlformats.org/officeDocument/2006/relationships/image" Target="media/image30.png"/><Relationship Id="rId64" Type="http://schemas.openxmlformats.org/officeDocument/2006/relationships/image" Target="media/image51.png"/><Relationship Id="rId118" Type="http://schemas.openxmlformats.org/officeDocument/2006/relationships/hyperlink" Target="https://doi.org/10.15530/URTEC-2014-1913405" TargetMode="External"/><Relationship Id="rId139" Type="http://schemas.openxmlformats.org/officeDocument/2006/relationships/hyperlink" Target="https://doi.org/10.1016/j.petrol.2014.05.024" TargetMode="External"/><Relationship Id="rId85" Type="http://schemas.openxmlformats.org/officeDocument/2006/relationships/image" Target="media/image72.png"/><Relationship Id="rId150" Type="http://schemas.openxmlformats.org/officeDocument/2006/relationships/image" Target="media/image79.png"/><Relationship Id="rId171" Type="http://schemas.openxmlformats.org/officeDocument/2006/relationships/image" Target="media/image100.png"/><Relationship Id="rId192" Type="http://schemas.openxmlformats.org/officeDocument/2006/relationships/image" Target="media/image119.wmf"/><Relationship Id="rId12" Type="http://schemas.openxmlformats.org/officeDocument/2006/relationships/footer" Target="footer2.xml"/><Relationship Id="rId33" Type="http://schemas.openxmlformats.org/officeDocument/2006/relationships/image" Target="media/image21.png"/><Relationship Id="rId108" Type="http://schemas.openxmlformats.org/officeDocument/2006/relationships/hyperlink" Target="https://doi.org/10.2118/94176-MS" TargetMode="External"/><Relationship Id="rId129" Type="http://schemas.openxmlformats.org/officeDocument/2006/relationships/hyperlink" Target="https://doi.org/10.2118/194091-MS" TargetMode="External"/><Relationship Id="rId54" Type="http://schemas.openxmlformats.org/officeDocument/2006/relationships/image" Target="media/image41.png"/><Relationship Id="rId75" Type="http://schemas.openxmlformats.org/officeDocument/2006/relationships/image" Target="media/image62.jpg"/><Relationship Id="rId96" Type="http://schemas.openxmlformats.org/officeDocument/2006/relationships/hyperlink" Target="https://doi.org/10.2118/191335-PA" TargetMode="External"/><Relationship Id="rId140" Type="http://schemas.openxmlformats.org/officeDocument/2006/relationships/hyperlink" Target="https://doi.org/10.2118/112924-MS" TargetMode="External"/><Relationship Id="rId161" Type="http://schemas.openxmlformats.org/officeDocument/2006/relationships/image" Target="media/image90.png"/><Relationship Id="rId182" Type="http://schemas.openxmlformats.org/officeDocument/2006/relationships/image" Target="media/image109.png"/><Relationship Id="rId6" Type="http://schemas.openxmlformats.org/officeDocument/2006/relationships/styles" Target="styles.xml"/><Relationship Id="rId23" Type="http://schemas.openxmlformats.org/officeDocument/2006/relationships/image" Target="media/image11.png"/><Relationship Id="rId119" Type="http://schemas.openxmlformats.org/officeDocument/2006/relationships/hyperlink" Target="https://doi.org/10.1016/j.ijggc.2018.11.006" TargetMode="External"/><Relationship Id="rId44" Type="http://schemas.openxmlformats.org/officeDocument/2006/relationships/image" Target="media/image31.png"/><Relationship Id="rId65" Type="http://schemas.openxmlformats.org/officeDocument/2006/relationships/image" Target="media/image52.png"/><Relationship Id="rId86" Type="http://schemas.openxmlformats.org/officeDocument/2006/relationships/image" Target="media/image73.png"/><Relationship Id="rId130" Type="http://schemas.openxmlformats.org/officeDocument/2006/relationships/hyperlink" Target="https://doi.org/10.2118/180019-PA" TargetMode="External"/><Relationship Id="rId151" Type="http://schemas.openxmlformats.org/officeDocument/2006/relationships/image" Target="media/image80.png"/><Relationship Id="rId172" Type="http://schemas.openxmlformats.org/officeDocument/2006/relationships/image" Target="media/image101.png"/><Relationship Id="rId193" Type="http://schemas.openxmlformats.org/officeDocument/2006/relationships/image" Target="media/image120.png"/><Relationship Id="rId13" Type="http://schemas.openxmlformats.org/officeDocument/2006/relationships/image" Target="media/image1.png"/><Relationship Id="rId109" Type="http://schemas.openxmlformats.org/officeDocument/2006/relationships/hyperlink" Target="https://doi.org/10.2118/106998-PA" TargetMode="External"/><Relationship Id="rId34" Type="http://schemas.openxmlformats.org/officeDocument/2006/relationships/image" Target="media/image22.png"/><Relationship Id="rId55" Type="http://schemas.openxmlformats.org/officeDocument/2006/relationships/image" Target="media/image42.png"/><Relationship Id="rId76" Type="http://schemas.openxmlformats.org/officeDocument/2006/relationships/image" Target="media/image63.jpg"/><Relationship Id="rId97" Type="http://schemas.openxmlformats.org/officeDocument/2006/relationships/hyperlink" Target="https://doi.org/10.2118/56536-MS" TargetMode="External"/><Relationship Id="rId120" Type="http://schemas.openxmlformats.org/officeDocument/2006/relationships/hyperlink" Target="https://doi.org/10.2118/185890-PA" TargetMode="External"/><Relationship Id="rId141" Type="http://schemas.openxmlformats.org/officeDocument/2006/relationships/hyperlink" Target="https://doi.org/10.2118/106817-MS" TargetMode="External"/><Relationship Id="rId7" Type="http://schemas.openxmlformats.org/officeDocument/2006/relationships/settings" Target="settings.xml"/><Relationship Id="rId162" Type="http://schemas.openxmlformats.org/officeDocument/2006/relationships/image" Target="media/image91.png"/><Relationship Id="rId183" Type="http://schemas.openxmlformats.org/officeDocument/2006/relationships/image" Target="media/image110.png"/><Relationship Id="rId2" Type="http://schemas.openxmlformats.org/officeDocument/2006/relationships/customXml" Target="../customXml/item2.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53.png"/><Relationship Id="rId87" Type="http://schemas.openxmlformats.org/officeDocument/2006/relationships/image" Target="media/image74.png"/><Relationship Id="rId110" Type="http://schemas.openxmlformats.org/officeDocument/2006/relationships/hyperlink" Target="https://doi.org/10.1016/0008-8846(76)90007-7" TargetMode="External"/><Relationship Id="rId115" Type="http://schemas.openxmlformats.org/officeDocument/2006/relationships/hyperlink" Target="https://doi.org/10.1016/j.petrol.2018.09.067" TargetMode="External"/><Relationship Id="rId131" Type="http://schemas.openxmlformats.org/officeDocument/2006/relationships/hyperlink" Target="https://doi.org/10.1016/j.gete.2017.12.001" TargetMode="External"/><Relationship Id="rId136" Type="http://schemas.openxmlformats.org/officeDocument/2006/relationships/hyperlink" Target="https://doi.org/10.1016/j.petrol.2018.10.049" TargetMode="External"/><Relationship Id="rId157" Type="http://schemas.openxmlformats.org/officeDocument/2006/relationships/image" Target="media/image86.png"/><Relationship Id="rId178" Type="http://schemas.openxmlformats.org/officeDocument/2006/relationships/hyperlink" Target="https://www.data.boem.gov/Main/HtmlPage.aspx?page=2017sands" TargetMode="External"/><Relationship Id="rId61" Type="http://schemas.openxmlformats.org/officeDocument/2006/relationships/image" Target="media/image48.png"/><Relationship Id="rId82" Type="http://schemas.openxmlformats.org/officeDocument/2006/relationships/image" Target="media/image69.jpg"/><Relationship Id="rId152" Type="http://schemas.openxmlformats.org/officeDocument/2006/relationships/image" Target="media/image81.png"/><Relationship Id="rId173" Type="http://schemas.openxmlformats.org/officeDocument/2006/relationships/image" Target="media/image102.png"/><Relationship Id="rId194" Type="http://schemas.openxmlformats.org/officeDocument/2006/relationships/image" Target="media/image121.png"/><Relationship Id="rId199" Type="http://schemas.openxmlformats.org/officeDocument/2006/relationships/footer" Target="footer3.xml"/><Relationship Id="rId19" Type="http://schemas.openxmlformats.org/officeDocument/2006/relationships/image" Target="media/image7.png"/><Relationship Id="rId14" Type="http://schemas.openxmlformats.org/officeDocument/2006/relationships/image" Target="media/image2.png"/><Relationship Id="rId30" Type="http://schemas.openxmlformats.org/officeDocument/2006/relationships/image" Target="media/image18.png"/><Relationship Id="rId35" Type="http://schemas.openxmlformats.org/officeDocument/2006/relationships/hyperlink" Target="http://www.boem.gov" TargetMode="External"/><Relationship Id="rId56" Type="http://schemas.openxmlformats.org/officeDocument/2006/relationships/image" Target="media/image43.png"/><Relationship Id="rId77" Type="http://schemas.openxmlformats.org/officeDocument/2006/relationships/image" Target="media/image64.jpeg"/><Relationship Id="rId100" Type="http://schemas.openxmlformats.org/officeDocument/2006/relationships/hyperlink" Target="https://doi.org/10.1016/j.egypro.2017.03.1439" TargetMode="External"/><Relationship Id="rId105" Type="http://schemas.openxmlformats.org/officeDocument/2006/relationships/hyperlink" Target="https://doi.org/10.2118/194918-MS" TargetMode="External"/><Relationship Id="rId126" Type="http://schemas.openxmlformats.org/officeDocument/2006/relationships/hyperlink" Target="https://doi.org/10.2118/74497-MS" TargetMode="External"/><Relationship Id="rId147" Type="http://schemas.openxmlformats.org/officeDocument/2006/relationships/image" Target="media/image76.png"/><Relationship Id="rId168" Type="http://schemas.openxmlformats.org/officeDocument/2006/relationships/image" Target="media/image97.png"/><Relationship Id="rId8" Type="http://schemas.openxmlformats.org/officeDocument/2006/relationships/webSettings" Target="webSettings.xml"/><Relationship Id="rId51" Type="http://schemas.openxmlformats.org/officeDocument/2006/relationships/image" Target="media/image38.png"/><Relationship Id="rId72" Type="http://schemas.openxmlformats.org/officeDocument/2006/relationships/image" Target="media/image59.png"/><Relationship Id="rId93" Type="http://schemas.openxmlformats.org/officeDocument/2006/relationships/hyperlink" Target="https://doi.org/10.2118/139668-PA" TargetMode="External"/><Relationship Id="rId98" Type="http://schemas.openxmlformats.org/officeDocument/2006/relationships/hyperlink" Target="https://doi.org/10.2118/10336-PA" TargetMode="External"/><Relationship Id="rId121" Type="http://schemas.openxmlformats.org/officeDocument/2006/relationships/hyperlink" Target="https://doi.org/10.2118/81001-MS" TargetMode="External"/><Relationship Id="rId142" Type="http://schemas.openxmlformats.org/officeDocument/2006/relationships/hyperlink" Target="Https://doi.org/10.2118/106817-PA" TargetMode="External"/><Relationship Id="rId163" Type="http://schemas.openxmlformats.org/officeDocument/2006/relationships/image" Target="media/image92.png"/><Relationship Id="rId184" Type="http://schemas.openxmlformats.org/officeDocument/2006/relationships/image" Target="media/image111.png"/><Relationship Id="rId189" Type="http://schemas.openxmlformats.org/officeDocument/2006/relationships/image" Target="media/image116.png"/><Relationship Id="rId3" Type="http://schemas.openxmlformats.org/officeDocument/2006/relationships/customXml" Target="../customXml/item3.xml"/><Relationship Id="rId25" Type="http://schemas.openxmlformats.org/officeDocument/2006/relationships/image" Target="media/image13.png"/><Relationship Id="rId46" Type="http://schemas.openxmlformats.org/officeDocument/2006/relationships/image" Target="media/image33.png"/><Relationship Id="rId67" Type="http://schemas.openxmlformats.org/officeDocument/2006/relationships/image" Target="media/image54.png"/><Relationship Id="rId116" Type="http://schemas.openxmlformats.org/officeDocument/2006/relationships/hyperlink" Target="https://doi.org/10.2118/59132-MS" TargetMode="External"/><Relationship Id="rId137" Type="http://schemas.openxmlformats.org/officeDocument/2006/relationships/hyperlink" Target="https://doi.org/10.2118/178467-MS" TargetMode="External"/><Relationship Id="rId158" Type="http://schemas.openxmlformats.org/officeDocument/2006/relationships/image" Target="media/image87.png"/><Relationship Id="rId20" Type="http://schemas.openxmlformats.org/officeDocument/2006/relationships/image" Target="media/image8.png"/><Relationship Id="rId41" Type="http://schemas.openxmlformats.org/officeDocument/2006/relationships/image" Target="media/image28.png"/><Relationship Id="rId62" Type="http://schemas.openxmlformats.org/officeDocument/2006/relationships/image" Target="media/image49.png"/><Relationship Id="rId83" Type="http://schemas.openxmlformats.org/officeDocument/2006/relationships/image" Target="media/image70.png"/><Relationship Id="rId88" Type="http://schemas.openxmlformats.org/officeDocument/2006/relationships/hyperlink" Target="https://doi.org/10.2118/178840-MS" TargetMode="External"/><Relationship Id="rId111" Type="http://schemas.openxmlformats.org/officeDocument/2006/relationships/hyperlink" Target="https://doi.org/10.2118/185089-MS" TargetMode="External"/><Relationship Id="rId132" Type="http://schemas.openxmlformats.org/officeDocument/2006/relationships/hyperlink" Target="https://doi.org/10.2118/142004-PA" TargetMode="External"/><Relationship Id="rId153" Type="http://schemas.openxmlformats.org/officeDocument/2006/relationships/image" Target="media/image82.png"/><Relationship Id="rId174" Type="http://schemas.openxmlformats.org/officeDocument/2006/relationships/image" Target="media/image103.png"/><Relationship Id="rId179" Type="http://schemas.openxmlformats.org/officeDocument/2006/relationships/image" Target="media/image106.png"/><Relationship Id="rId195" Type="http://schemas.openxmlformats.org/officeDocument/2006/relationships/image" Target="media/image122.png"/><Relationship Id="rId190" Type="http://schemas.openxmlformats.org/officeDocument/2006/relationships/image" Target="media/image117.png"/><Relationship Id="rId15" Type="http://schemas.openxmlformats.org/officeDocument/2006/relationships/image" Target="media/image3.png"/><Relationship Id="rId36" Type="http://schemas.openxmlformats.org/officeDocument/2006/relationships/image" Target="media/image23.png"/><Relationship Id="rId57" Type="http://schemas.openxmlformats.org/officeDocument/2006/relationships/image" Target="media/image44.png"/><Relationship Id="rId106" Type="http://schemas.openxmlformats.org/officeDocument/2006/relationships/hyperlink" Target="https://doi.org/10.1016/j.ijggc.2017.04.008" TargetMode="External"/><Relationship Id="rId127" Type="http://schemas.openxmlformats.org/officeDocument/2006/relationships/hyperlink" Target="https://doi.org/10.2118/116651-MS" TargetMode="External"/><Relationship Id="rId10" Type="http://schemas.openxmlformats.org/officeDocument/2006/relationships/endnotes" Target="endnotes.xml"/><Relationship Id="rId31" Type="http://schemas.openxmlformats.org/officeDocument/2006/relationships/image" Target="media/image19.png"/><Relationship Id="rId52" Type="http://schemas.openxmlformats.org/officeDocument/2006/relationships/image" Target="media/image39.png"/><Relationship Id="rId73" Type="http://schemas.openxmlformats.org/officeDocument/2006/relationships/image" Target="media/image60.png"/><Relationship Id="rId78" Type="http://schemas.openxmlformats.org/officeDocument/2006/relationships/image" Target="media/image65.jpeg"/><Relationship Id="rId94" Type="http://schemas.openxmlformats.org/officeDocument/2006/relationships/hyperlink" Target="https://doi.org/10.1016/j.egypro.2013.06.485" TargetMode="External"/><Relationship Id="rId99" Type="http://schemas.openxmlformats.org/officeDocument/2006/relationships/hyperlink" Target="https://doi.org/10.1016/S1750-5836(06)00004-1" TargetMode="External"/><Relationship Id="rId101" Type="http://schemas.openxmlformats.org/officeDocument/2006/relationships/hyperlink" Target="https://doi.org/10.2118/194158-PA" TargetMode="External"/><Relationship Id="rId122" Type="http://schemas.openxmlformats.org/officeDocument/2006/relationships/hyperlink" Target="https://doi.org/10.2118/146640-MS." TargetMode="External"/><Relationship Id="rId143" Type="http://schemas.openxmlformats.org/officeDocument/2006/relationships/hyperlink" Target="https://doi.org/10.1016/j.renene.2015.01.067" TargetMode="External"/><Relationship Id="rId148" Type="http://schemas.openxmlformats.org/officeDocument/2006/relationships/image" Target="media/image77.png"/><Relationship Id="rId164" Type="http://schemas.openxmlformats.org/officeDocument/2006/relationships/image" Target="media/image93.png"/><Relationship Id="rId169" Type="http://schemas.openxmlformats.org/officeDocument/2006/relationships/image" Target="media/image98.png"/><Relationship Id="rId185" Type="http://schemas.openxmlformats.org/officeDocument/2006/relationships/image" Target="media/image112.png"/><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107.png"/><Relationship Id="rId26" Type="http://schemas.openxmlformats.org/officeDocument/2006/relationships/image" Target="media/image14.png"/><Relationship Id="rId47" Type="http://schemas.openxmlformats.org/officeDocument/2006/relationships/image" Target="media/image34.png"/><Relationship Id="rId68" Type="http://schemas.openxmlformats.org/officeDocument/2006/relationships/image" Target="media/image55.png"/><Relationship Id="rId89" Type="http://schemas.openxmlformats.org/officeDocument/2006/relationships/hyperlink" Target="https://doi.org/10.4043/24587-MS" TargetMode="External"/><Relationship Id="rId112" Type="http://schemas.openxmlformats.org/officeDocument/2006/relationships/hyperlink" Target="https://doi.org/10.2118/101310-MS" TargetMode="External"/><Relationship Id="rId133" Type="http://schemas.openxmlformats.org/officeDocument/2006/relationships/hyperlink" Target="https://doi.org/10.3997/2214-4609-pdb.285.spe153007" TargetMode="External"/><Relationship Id="rId154" Type="http://schemas.openxmlformats.org/officeDocument/2006/relationships/image" Target="media/image83.png"/><Relationship Id="rId175" Type="http://schemas.openxmlformats.org/officeDocument/2006/relationships/image" Target="media/image104.png"/><Relationship Id="rId196" Type="http://schemas.openxmlformats.org/officeDocument/2006/relationships/image" Target="media/image123.png"/><Relationship Id="rId200" Type="http://schemas.openxmlformats.org/officeDocument/2006/relationships/fontTable" Target="fontTable.xml"/><Relationship Id="rId16" Type="http://schemas.openxmlformats.org/officeDocument/2006/relationships/image" Target="media/image4.png"/><Relationship Id="rId37" Type="http://schemas.openxmlformats.org/officeDocument/2006/relationships/image" Target="media/image24.png"/><Relationship Id="rId58" Type="http://schemas.openxmlformats.org/officeDocument/2006/relationships/image" Target="media/image45.png"/><Relationship Id="rId79" Type="http://schemas.openxmlformats.org/officeDocument/2006/relationships/image" Target="media/image66.jpg"/><Relationship Id="rId102" Type="http://schemas.openxmlformats.org/officeDocument/2006/relationships/hyperlink" Target="https://doi.org/10.1016/j.ijggc.2009.10.010" TargetMode="External"/><Relationship Id="rId123" Type="http://schemas.openxmlformats.org/officeDocument/2006/relationships/hyperlink" Target="https://doi.org/10.2118/146640-PA" TargetMode="External"/><Relationship Id="rId144" Type="http://schemas.openxmlformats.org/officeDocument/2006/relationships/hyperlink" Target="https://doi.org/10.2118/139713-PA" TargetMode="External"/><Relationship Id="rId90" Type="http://schemas.openxmlformats.org/officeDocument/2006/relationships/hyperlink" Target="https://doi.org/10.2118/196799-RU" TargetMode="External"/><Relationship Id="rId165" Type="http://schemas.openxmlformats.org/officeDocument/2006/relationships/image" Target="media/image94.png"/><Relationship Id="rId186" Type="http://schemas.openxmlformats.org/officeDocument/2006/relationships/image" Target="media/image113.png"/><Relationship Id="rId27" Type="http://schemas.openxmlformats.org/officeDocument/2006/relationships/image" Target="media/image15.png"/><Relationship Id="rId48" Type="http://schemas.openxmlformats.org/officeDocument/2006/relationships/image" Target="media/image35.png"/><Relationship Id="rId69" Type="http://schemas.openxmlformats.org/officeDocument/2006/relationships/image" Target="media/image56.png"/><Relationship Id="rId113" Type="http://schemas.openxmlformats.org/officeDocument/2006/relationships/hyperlink" Target="https://doi.org/10.2118/167759-MS" TargetMode="External"/><Relationship Id="rId134" Type="http://schemas.openxmlformats.org/officeDocument/2006/relationships/hyperlink" Target="https://doi.org/10.1016/j.engfracmech.2006.08.025" TargetMode="External"/><Relationship Id="rId80" Type="http://schemas.openxmlformats.org/officeDocument/2006/relationships/image" Target="media/image67.jpg"/><Relationship Id="rId155" Type="http://schemas.openxmlformats.org/officeDocument/2006/relationships/image" Target="media/image84.png"/><Relationship Id="rId176" Type="http://schemas.openxmlformats.org/officeDocument/2006/relationships/image" Target="media/image105.png"/><Relationship Id="rId197" Type="http://schemas.openxmlformats.org/officeDocument/2006/relationships/image" Target="media/image124.png"/><Relationship Id="rId201" Type="http://schemas.openxmlformats.org/officeDocument/2006/relationships/theme" Target="theme/theme1.xml"/><Relationship Id="rId17" Type="http://schemas.openxmlformats.org/officeDocument/2006/relationships/image" Target="media/image5.png"/><Relationship Id="rId38" Type="http://schemas.openxmlformats.org/officeDocument/2006/relationships/image" Target="media/image25.png"/><Relationship Id="rId59" Type="http://schemas.openxmlformats.org/officeDocument/2006/relationships/image" Target="media/image46.png"/><Relationship Id="rId103" Type="http://schemas.openxmlformats.org/officeDocument/2006/relationships/hyperlink" Target="https://doi.org/10.2118/194135-MS" TargetMode="External"/><Relationship Id="rId124" Type="http://schemas.openxmlformats.org/officeDocument/2006/relationships/hyperlink" Target="https://doi.org/10.1115/1.4043137" TargetMode="External"/><Relationship Id="rId70" Type="http://schemas.openxmlformats.org/officeDocument/2006/relationships/image" Target="media/image57.png"/><Relationship Id="rId91" Type="http://schemas.openxmlformats.org/officeDocument/2006/relationships/hyperlink" Target="https://doi.org/10.2118/173852-MS" TargetMode="External"/><Relationship Id="rId145" Type="http://schemas.openxmlformats.org/officeDocument/2006/relationships/hyperlink" Target="https://doi.org/10.2118/198584-MS" TargetMode="External"/><Relationship Id="rId166" Type="http://schemas.openxmlformats.org/officeDocument/2006/relationships/image" Target="media/image95.png"/><Relationship Id="rId187" Type="http://schemas.openxmlformats.org/officeDocument/2006/relationships/image" Target="media/image114.png"/><Relationship Id="rId1" Type="http://schemas.openxmlformats.org/officeDocument/2006/relationships/customXml" Target="../customXml/item1.xml"/><Relationship Id="rId28" Type="http://schemas.openxmlformats.org/officeDocument/2006/relationships/image" Target="media/image16.png"/><Relationship Id="rId49" Type="http://schemas.openxmlformats.org/officeDocument/2006/relationships/image" Target="media/image36.png"/><Relationship Id="rId114" Type="http://schemas.openxmlformats.org/officeDocument/2006/relationships/hyperlink" Target="https://doi.org/10.1016/j.ijggc.2018.09.001" TargetMode="External"/><Relationship Id="rId60" Type="http://schemas.openxmlformats.org/officeDocument/2006/relationships/image" Target="media/image47.png"/><Relationship Id="rId81" Type="http://schemas.openxmlformats.org/officeDocument/2006/relationships/image" Target="media/image68.jpg"/><Relationship Id="rId135" Type="http://schemas.openxmlformats.org/officeDocument/2006/relationships/hyperlink" Target="https://doi.org/10.2118/112535-MS" TargetMode="External"/><Relationship Id="rId156" Type="http://schemas.openxmlformats.org/officeDocument/2006/relationships/image" Target="media/image85.png"/><Relationship Id="rId177" Type="http://schemas.openxmlformats.org/officeDocument/2006/relationships/hyperlink" Target="https://www.data.boem.gov/Main/GandG.aspx%20for%20API%20427094116400" TargetMode="External"/><Relationship Id="rId198" Type="http://schemas.openxmlformats.org/officeDocument/2006/relationships/image" Target="media/image125.png"/><Relationship Id="rId18" Type="http://schemas.openxmlformats.org/officeDocument/2006/relationships/image" Target="media/image6.png"/><Relationship Id="rId39" Type="http://schemas.openxmlformats.org/officeDocument/2006/relationships/image" Target="media/image26.png"/><Relationship Id="rId50" Type="http://schemas.openxmlformats.org/officeDocument/2006/relationships/image" Target="media/image37.jpeg"/><Relationship Id="rId104" Type="http://schemas.openxmlformats.org/officeDocument/2006/relationships/hyperlink" Target="https://doi.org/10.2118/173871-PA" TargetMode="External"/><Relationship Id="rId125" Type="http://schemas.openxmlformats.org/officeDocument/2006/relationships/hyperlink" Target="https://doi.org/10.2118/77755-MS" TargetMode="External"/><Relationship Id="rId146" Type="http://schemas.openxmlformats.org/officeDocument/2006/relationships/image" Target="media/image75.png"/><Relationship Id="rId167" Type="http://schemas.openxmlformats.org/officeDocument/2006/relationships/image" Target="media/image96.png"/><Relationship Id="rId188" Type="http://schemas.openxmlformats.org/officeDocument/2006/relationships/image" Target="media/image115.png"/><Relationship Id="rId71" Type="http://schemas.openxmlformats.org/officeDocument/2006/relationships/image" Target="media/image58.png"/><Relationship Id="rId92" Type="http://schemas.openxmlformats.org/officeDocument/2006/relationships/hyperlink" Target="https://doi.org/10.2523/IPTC-18504-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E843101F82584EBB341BD8077C1E41" ma:contentTypeVersion="8" ma:contentTypeDescription="Create a new document." ma:contentTypeScope="" ma:versionID="4fee9d32ce27bb6398eb79a635d454c2">
  <xsd:schema xmlns:xsd="http://www.w3.org/2001/XMLSchema" xmlns:xs="http://www.w3.org/2001/XMLSchema" xmlns:p="http://schemas.microsoft.com/office/2006/metadata/properties" xmlns:ns3="7b4b2e5e-6f72-4c7e-a23e-7835a5a7d892" xmlns:ns4="c0fcee4e-6d65-40cc-b584-f46192293477" targetNamespace="http://schemas.microsoft.com/office/2006/metadata/properties" ma:root="true" ma:fieldsID="67c3e2b8e01ebb2504132bfbd2ac4bcb" ns3:_="" ns4:_="">
    <xsd:import namespace="7b4b2e5e-6f72-4c7e-a23e-7835a5a7d892"/>
    <xsd:import namespace="c0fcee4e-6d65-40cc-b584-f4619229347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4b2e5e-6f72-4c7e-a23e-7835a5a7d89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fcee4e-6d65-40cc-b584-f4619229347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CC9B4-5F7C-446A-9F0C-D6B089C111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4b2e5e-6f72-4c7e-a23e-7835a5a7d892"/>
    <ds:schemaRef ds:uri="c0fcee4e-6d65-40cc-b584-f461922934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27C504-C2F9-42E1-B502-7D9834A70DE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7D9413C-F9EF-4D7D-A40A-79C08A380D98}">
  <ds:schemaRefs>
    <ds:schemaRef ds:uri="http://schemas.microsoft.com/sharepoint/v3/contenttype/forms"/>
  </ds:schemaRefs>
</ds:datastoreItem>
</file>

<file path=customXml/itemProps4.xml><?xml version="1.0" encoding="utf-8"?>
<ds:datastoreItem xmlns:ds="http://schemas.openxmlformats.org/officeDocument/2006/customXml" ds:itemID="{784D7A93-E913-4A90-9A62-372EDDAD2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291</Pages>
  <Words>55834</Words>
  <Characters>318254</Characters>
  <Application>Microsoft Office Word</Application>
  <DocSecurity>0</DocSecurity>
  <Lines>2652</Lines>
  <Paragraphs>746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Jarrett Wise</dc:creator>
  <cp:keywords/>
  <dc:description/>
  <cp:lastModifiedBy>Jarrett</cp:lastModifiedBy>
  <cp:revision>14</cp:revision>
  <cp:lastPrinted>2021-03-25T17:00:00Z</cp:lastPrinted>
  <dcterms:created xsi:type="dcterms:W3CDTF">2021-03-24T21:09:00Z</dcterms:created>
  <dcterms:modified xsi:type="dcterms:W3CDTF">2021-04-01T15:58:00Z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0x01010058E843101F82584EBB341BD8077C1E41</vt:lpwstr>
  </property>
</Properties>
</file>