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E17A7" w14:textId="77777777" w:rsidR="004A2313" w:rsidRDefault="004A2313" w:rsidP="00DB49BD">
      <w:pPr>
        <w:spacing w:line="240" w:lineRule="auto"/>
        <w:rPr>
          <w:bCs/>
        </w:rPr>
      </w:pPr>
    </w:p>
    <w:p w14:paraId="66067C9E" w14:textId="77777777" w:rsidR="004A2313" w:rsidRDefault="004A2313" w:rsidP="00DB49BD">
      <w:pPr>
        <w:spacing w:line="240" w:lineRule="auto"/>
        <w:rPr>
          <w:bCs/>
        </w:rPr>
      </w:pPr>
    </w:p>
    <w:p w14:paraId="627F3027" w14:textId="1008CB82" w:rsidR="00E10CBA" w:rsidRDefault="00F805B9" w:rsidP="00DB49BD">
      <w:pPr>
        <w:spacing w:line="240" w:lineRule="auto"/>
        <w:rPr>
          <w:bCs/>
        </w:rPr>
      </w:pPr>
      <w:r>
        <w:rPr>
          <w:bCs/>
        </w:rPr>
        <w:t>UNIVERSITY OF OKLAHOMA</w:t>
      </w:r>
    </w:p>
    <w:p w14:paraId="3B3C36A2" w14:textId="77777777" w:rsidR="00F805B9" w:rsidRDefault="00F805B9" w:rsidP="00DB49BD">
      <w:pPr>
        <w:spacing w:line="240" w:lineRule="auto"/>
        <w:rPr>
          <w:bCs/>
        </w:rPr>
      </w:pPr>
    </w:p>
    <w:p w14:paraId="3C73E7DC" w14:textId="4592AE26" w:rsidR="00F805B9" w:rsidRPr="00F805B9" w:rsidRDefault="00F805B9" w:rsidP="00DB49BD">
      <w:pPr>
        <w:spacing w:line="240" w:lineRule="auto"/>
        <w:rPr>
          <w:bCs/>
        </w:rPr>
      </w:pPr>
      <w:r>
        <w:rPr>
          <w:bCs/>
        </w:rPr>
        <w:t>GRADUATE COLLEGE</w:t>
      </w:r>
    </w:p>
    <w:p w14:paraId="43BE7654" w14:textId="77777777" w:rsidR="00E10CBA" w:rsidRDefault="00E10CBA" w:rsidP="00DB49BD">
      <w:pPr>
        <w:spacing w:line="240" w:lineRule="auto"/>
        <w:rPr>
          <w:b/>
        </w:rPr>
      </w:pPr>
    </w:p>
    <w:p w14:paraId="272FCFBB" w14:textId="77777777" w:rsidR="00F805B9" w:rsidRDefault="00F805B9" w:rsidP="00DB49BD">
      <w:pPr>
        <w:spacing w:line="240" w:lineRule="auto"/>
        <w:rPr>
          <w:b/>
        </w:rPr>
      </w:pPr>
    </w:p>
    <w:p w14:paraId="63100195" w14:textId="77777777" w:rsidR="004A2313" w:rsidRDefault="004A2313" w:rsidP="00DB49BD">
      <w:pPr>
        <w:spacing w:line="240" w:lineRule="auto"/>
        <w:rPr>
          <w:b/>
        </w:rPr>
      </w:pPr>
    </w:p>
    <w:p w14:paraId="78198F9C" w14:textId="77777777" w:rsidR="004A2313" w:rsidRDefault="004A2313" w:rsidP="00DB49BD">
      <w:pPr>
        <w:spacing w:line="240" w:lineRule="auto"/>
        <w:rPr>
          <w:b/>
        </w:rPr>
      </w:pPr>
    </w:p>
    <w:p w14:paraId="07A755C0" w14:textId="77777777" w:rsidR="004A2313" w:rsidRDefault="004A2313" w:rsidP="00DB49BD">
      <w:pPr>
        <w:spacing w:line="240" w:lineRule="auto"/>
        <w:rPr>
          <w:b/>
        </w:rPr>
      </w:pPr>
    </w:p>
    <w:p w14:paraId="7CCE58B1" w14:textId="77777777" w:rsidR="00E10CBA" w:rsidRDefault="00E10CBA" w:rsidP="00DB49BD">
      <w:pPr>
        <w:spacing w:line="240" w:lineRule="auto"/>
        <w:rPr>
          <w:b/>
        </w:rPr>
      </w:pPr>
    </w:p>
    <w:p w14:paraId="156B4E9C" w14:textId="7DCA210C" w:rsidR="008E338E" w:rsidRPr="004A2313" w:rsidRDefault="004A2313" w:rsidP="008E338E">
      <w:pPr>
        <w:spacing w:line="240" w:lineRule="auto"/>
        <w:rPr>
          <w:bCs/>
        </w:rPr>
      </w:pPr>
      <w:r>
        <w:rPr>
          <w:bCs/>
        </w:rPr>
        <w:t>VALIDAT</w:t>
      </w:r>
      <w:r w:rsidR="00CA12B4">
        <w:rPr>
          <w:bCs/>
        </w:rPr>
        <w:t>I</w:t>
      </w:r>
      <w:r>
        <w:rPr>
          <w:bCs/>
        </w:rPr>
        <w:t>ON OF</w:t>
      </w:r>
      <w:r w:rsidR="00F64D94" w:rsidRPr="004A2313">
        <w:rPr>
          <w:bCs/>
        </w:rPr>
        <w:t xml:space="preserve"> </w:t>
      </w:r>
      <w:r w:rsidR="007C0D88" w:rsidRPr="004A2313">
        <w:rPr>
          <w:bCs/>
        </w:rPr>
        <w:t>PORTABLE HANDHELD</w:t>
      </w:r>
      <w:r w:rsidR="00DB49BD" w:rsidRPr="004A2313">
        <w:rPr>
          <w:bCs/>
        </w:rPr>
        <w:t xml:space="preserve"> </w:t>
      </w:r>
      <w:r w:rsidR="00771F08" w:rsidRPr="004A2313">
        <w:rPr>
          <w:bCs/>
        </w:rPr>
        <w:t>X-RAY</w:t>
      </w:r>
      <w:r w:rsidR="00DB49BD" w:rsidRPr="004A2313">
        <w:rPr>
          <w:bCs/>
        </w:rPr>
        <w:t xml:space="preserve"> </w:t>
      </w:r>
    </w:p>
    <w:p w14:paraId="2583D9E9" w14:textId="77777777" w:rsidR="008E338E" w:rsidRPr="004A2313" w:rsidRDefault="008E338E" w:rsidP="008E338E">
      <w:pPr>
        <w:spacing w:line="240" w:lineRule="auto"/>
        <w:rPr>
          <w:bCs/>
        </w:rPr>
      </w:pPr>
    </w:p>
    <w:p w14:paraId="65CA95D0" w14:textId="77777777" w:rsidR="004A2313" w:rsidRDefault="00DB49BD" w:rsidP="008E338E">
      <w:pPr>
        <w:spacing w:line="240" w:lineRule="auto"/>
        <w:rPr>
          <w:bCs/>
        </w:rPr>
      </w:pPr>
      <w:r w:rsidRPr="004A2313">
        <w:rPr>
          <w:bCs/>
        </w:rPr>
        <w:t xml:space="preserve">FLUORESCENCE </w:t>
      </w:r>
      <w:r w:rsidR="008E338E" w:rsidRPr="004A2313">
        <w:rPr>
          <w:bCs/>
        </w:rPr>
        <w:t xml:space="preserve">(PHXRF) </w:t>
      </w:r>
      <w:r w:rsidR="004A2313">
        <w:rPr>
          <w:bCs/>
        </w:rPr>
        <w:t xml:space="preserve">ON STABILIZED SUBGRADE PROJECTS </w:t>
      </w:r>
    </w:p>
    <w:p w14:paraId="2CB6AEC3" w14:textId="77777777" w:rsidR="004A2313" w:rsidRDefault="004A2313" w:rsidP="008E338E">
      <w:pPr>
        <w:spacing w:line="240" w:lineRule="auto"/>
        <w:rPr>
          <w:bCs/>
        </w:rPr>
      </w:pPr>
    </w:p>
    <w:p w14:paraId="226F844C" w14:textId="7F03C64D" w:rsidR="004A2313" w:rsidRDefault="00F64D94" w:rsidP="004A2313">
      <w:pPr>
        <w:spacing w:line="240" w:lineRule="auto"/>
        <w:rPr>
          <w:bCs/>
        </w:rPr>
      </w:pPr>
      <w:r w:rsidRPr="004A2313">
        <w:rPr>
          <w:bCs/>
        </w:rPr>
        <w:t>FOR CONSTRUCTION QUALITY</w:t>
      </w:r>
      <w:r w:rsidR="004A2313">
        <w:rPr>
          <w:bCs/>
        </w:rPr>
        <w:t xml:space="preserve"> </w:t>
      </w:r>
      <w:r w:rsidRPr="004A2313">
        <w:rPr>
          <w:bCs/>
        </w:rPr>
        <w:t>CONTROL</w:t>
      </w:r>
      <w:r w:rsidR="00F445D1" w:rsidRPr="004A2313">
        <w:rPr>
          <w:bCs/>
        </w:rPr>
        <w:t xml:space="preserve"> </w:t>
      </w:r>
      <w:r w:rsidRPr="004A2313">
        <w:rPr>
          <w:bCs/>
        </w:rPr>
        <w:t>AND GEOTECHNICAL</w:t>
      </w:r>
    </w:p>
    <w:p w14:paraId="593D17C1" w14:textId="77777777" w:rsidR="004A2313" w:rsidRDefault="004A2313" w:rsidP="004A2313">
      <w:pPr>
        <w:spacing w:line="240" w:lineRule="auto"/>
        <w:rPr>
          <w:bCs/>
        </w:rPr>
      </w:pPr>
    </w:p>
    <w:p w14:paraId="253961C7" w14:textId="705AC87F" w:rsidR="00F64D94" w:rsidRPr="004A2313" w:rsidRDefault="004A2313" w:rsidP="004A2313">
      <w:pPr>
        <w:spacing w:line="240" w:lineRule="auto"/>
        <w:rPr>
          <w:bCs/>
        </w:rPr>
      </w:pPr>
      <w:r>
        <w:rPr>
          <w:bCs/>
        </w:rPr>
        <w:t>FORENSIC</w:t>
      </w:r>
      <w:r w:rsidR="00F64D94" w:rsidRPr="004A2313">
        <w:rPr>
          <w:bCs/>
        </w:rPr>
        <w:t xml:space="preserve"> INVESTIGATIONS</w:t>
      </w:r>
    </w:p>
    <w:p w14:paraId="608C848C" w14:textId="77777777" w:rsidR="00DB49BD" w:rsidRDefault="00DB49BD" w:rsidP="00DB49BD">
      <w:pPr>
        <w:spacing w:line="240" w:lineRule="auto"/>
      </w:pPr>
    </w:p>
    <w:p w14:paraId="132D78E3" w14:textId="77777777" w:rsidR="00E10CBA" w:rsidRDefault="00E10CBA" w:rsidP="00DB49BD">
      <w:pPr>
        <w:spacing w:line="240" w:lineRule="auto"/>
      </w:pPr>
    </w:p>
    <w:p w14:paraId="1A0E39EC" w14:textId="77777777" w:rsidR="004A2313" w:rsidRDefault="004A2313" w:rsidP="00DB49BD">
      <w:pPr>
        <w:spacing w:line="240" w:lineRule="auto"/>
      </w:pPr>
    </w:p>
    <w:p w14:paraId="2ED0D0ED" w14:textId="77777777" w:rsidR="004A2313" w:rsidRDefault="004A2313" w:rsidP="00DB49BD">
      <w:pPr>
        <w:spacing w:line="240" w:lineRule="auto"/>
      </w:pPr>
    </w:p>
    <w:p w14:paraId="1BEBE4CC" w14:textId="77777777" w:rsidR="004A2313" w:rsidRDefault="004A2313" w:rsidP="00DB49BD">
      <w:pPr>
        <w:spacing w:line="240" w:lineRule="auto"/>
      </w:pPr>
    </w:p>
    <w:p w14:paraId="43B531A3" w14:textId="77777777" w:rsidR="004A2313" w:rsidRDefault="004A2313" w:rsidP="00DB49BD">
      <w:pPr>
        <w:spacing w:line="240" w:lineRule="auto"/>
      </w:pPr>
    </w:p>
    <w:p w14:paraId="49FFF04C" w14:textId="266F6D20" w:rsidR="00F64D94" w:rsidRDefault="00F64D94" w:rsidP="00DB49BD">
      <w:pPr>
        <w:spacing w:line="240" w:lineRule="auto"/>
      </w:pPr>
      <w:r>
        <w:t xml:space="preserve">A </w:t>
      </w:r>
      <w:r w:rsidR="004A2A63">
        <w:t>THESIS</w:t>
      </w:r>
    </w:p>
    <w:p w14:paraId="0BF39001" w14:textId="77777777" w:rsidR="00DB49BD" w:rsidRDefault="00DB49BD" w:rsidP="00DB49BD">
      <w:pPr>
        <w:spacing w:line="240" w:lineRule="auto"/>
      </w:pPr>
    </w:p>
    <w:p w14:paraId="7AB25D43" w14:textId="79E02942" w:rsidR="00F64D94" w:rsidRDefault="00F64D94" w:rsidP="004A2313">
      <w:pPr>
        <w:spacing w:line="240" w:lineRule="auto"/>
      </w:pPr>
      <w:r>
        <w:t xml:space="preserve">SUBMITTED TO THE GRADUATE </w:t>
      </w:r>
      <w:r w:rsidR="004A2313">
        <w:t>FACULTY</w:t>
      </w:r>
    </w:p>
    <w:p w14:paraId="19E836F4" w14:textId="77777777" w:rsidR="00DB49BD" w:rsidRDefault="00DB49BD" w:rsidP="00DB49BD">
      <w:pPr>
        <w:spacing w:line="240" w:lineRule="auto"/>
      </w:pPr>
    </w:p>
    <w:p w14:paraId="279BC7E8" w14:textId="77777777" w:rsidR="004A2313" w:rsidRDefault="00F64D94" w:rsidP="00DB49BD">
      <w:pPr>
        <w:spacing w:line="240" w:lineRule="auto"/>
      </w:pPr>
      <w:r>
        <w:t xml:space="preserve">in partial fulfillment of the requirements for the </w:t>
      </w:r>
    </w:p>
    <w:p w14:paraId="1F572F98" w14:textId="77777777" w:rsidR="004A2313" w:rsidRDefault="004A2313" w:rsidP="00DB49BD">
      <w:pPr>
        <w:spacing w:line="240" w:lineRule="auto"/>
      </w:pPr>
    </w:p>
    <w:p w14:paraId="431E0AEF" w14:textId="471F6263" w:rsidR="00F64D94" w:rsidRDefault="004A2313" w:rsidP="00DB49BD">
      <w:pPr>
        <w:spacing w:line="240" w:lineRule="auto"/>
      </w:pPr>
      <w:r>
        <w:t>D</w:t>
      </w:r>
      <w:r w:rsidR="00F64D94">
        <w:t>egree of</w:t>
      </w:r>
    </w:p>
    <w:p w14:paraId="09C5D84A" w14:textId="77777777" w:rsidR="00DB49BD" w:rsidRDefault="00DB49BD" w:rsidP="00DB49BD">
      <w:pPr>
        <w:spacing w:line="240" w:lineRule="auto"/>
      </w:pPr>
    </w:p>
    <w:p w14:paraId="72964ACA" w14:textId="77777777" w:rsidR="00F64D94" w:rsidRDefault="00F64D94" w:rsidP="00DB49BD">
      <w:pPr>
        <w:spacing w:line="240" w:lineRule="auto"/>
      </w:pPr>
      <w:r w:rsidRPr="00DB49BD">
        <w:t>MASTER OF SCIENCE</w:t>
      </w:r>
    </w:p>
    <w:p w14:paraId="060731CE" w14:textId="77777777" w:rsidR="00DB49BD" w:rsidRDefault="00DB49BD" w:rsidP="008E338E">
      <w:pPr>
        <w:spacing w:line="240" w:lineRule="auto"/>
      </w:pPr>
    </w:p>
    <w:p w14:paraId="4367903E" w14:textId="3D5CED5B" w:rsidR="00DB49BD" w:rsidRDefault="00DB49BD" w:rsidP="008E338E">
      <w:pPr>
        <w:spacing w:line="240" w:lineRule="auto"/>
      </w:pPr>
    </w:p>
    <w:p w14:paraId="21E799AF" w14:textId="77777777" w:rsidR="004A2313" w:rsidRDefault="004A2313" w:rsidP="008E338E">
      <w:pPr>
        <w:spacing w:line="240" w:lineRule="auto"/>
      </w:pPr>
    </w:p>
    <w:p w14:paraId="52D23CC9" w14:textId="77777777" w:rsidR="004A2313" w:rsidRDefault="004A2313" w:rsidP="008E338E">
      <w:pPr>
        <w:spacing w:line="240" w:lineRule="auto"/>
      </w:pPr>
    </w:p>
    <w:p w14:paraId="6672D292" w14:textId="77777777" w:rsidR="004A2313" w:rsidRDefault="004A2313" w:rsidP="008E338E">
      <w:pPr>
        <w:spacing w:line="240" w:lineRule="auto"/>
      </w:pPr>
    </w:p>
    <w:p w14:paraId="4CFF91B6" w14:textId="77777777" w:rsidR="004A2313" w:rsidRDefault="004A2313" w:rsidP="008E338E">
      <w:pPr>
        <w:spacing w:line="240" w:lineRule="auto"/>
      </w:pPr>
    </w:p>
    <w:p w14:paraId="72C9683B" w14:textId="77777777" w:rsidR="004A2313" w:rsidRDefault="004A2313" w:rsidP="008E338E">
      <w:pPr>
        <w:spacing w:line="240" w:lineRule="auto"/>
      </w:pPr>
    </w:p>
    <w:p w14:paraId="54AE95B9" w14:textId="3D69BB14" w:rsidR="00F64D94" w:rsidRDefault="004A2313" w:rsidP="004A2313">
      <w:pPr>
        <w:spacing w:line="240" w:lineRule="auto"/>
      </w:pPr>
      <w:r>
        <w:t>B</w:t>
      </w:r>
      <w:r w:rsidR="00F64D94">
        <w:t>y</w:t>
      </w:r>
    </w:p>
    <w:p w14:paraId="7C90F824" w14:textId="77777777" w:rsidR="00DB49BD" w:rsidRDefault="00DB49BD" w:rsidP="00DB49BD">
      <w:pPr>
        <w:spacing w:line="240" w:lineRule="auto"/>
      </w:pPr>
    </w:p>
    <w:p w14:paraId="48B2AD27" w14:textId="77777777" w:rsidR="00F64D94" w:rsidRDefault="00F64D94" w:rsidP="00DB49BD">
      <w:pPr>
        <w:spacing w:line="240" w:lineRule="auto"/>
        <w:rPr>
          <w:bCs/>
          <w:iCs/>
        </w:rPr>
      </w:pPr>
      <w:r w:rsidRPr="004A2313">
        <w:rPr>
          <w:bCs/>
          <w:iCs/>
        </w:rPr>
        <w:t>NATHAN FERRARO</w:t>
      </w:r>
    </w:p>
    <w:p w14:paraId="1C3AC5EF" w14:textId="3AE29A3F" w:rsidR="004A2313" w:rsidRDefault="004A2313" w:rsidP="00DB49BD">
      <w:pPr>
        <w:spacing w:line="240" w:lineRule="auto"/>
        <w:rPr>
          <w:bCs/>
          <w:iCs/>
        </w:rPr>
      </w:pPr>
      <w:r>
        <w:rPr>
          <w:bCs/>
          <w:iCs/>
        </w:rPr>
        <w:t>Norman, Oklahoma</w:t>
      </w:r>
    </w:p>
    <w:p w14:paraId="15C8293C" w14:textId="22442640" w:rsidR="004A2313" w:rsidRDefault="004A2313" w:rsidP="00DB49BD">
      <w:pPr>
        <w:spacing w:line="240" w:lineRule="auto"/>
        <w:rPr>
          <w:bCs/>
          <w:iCs/>
        </w:rPr>
      </w:pPr>
      <w:r>
        <w:rPr>
          <w:bCs/>
          <w:iCs/>
        </w:rPr>
        <w:t>2016</w:t>
      </w:r>
    </w:p>
    <w:p w14:paraId="5E0505ED" w14:textId="77777777" w:rsidR="004A2313" w:rsidRDefault="004A2313" w:rsidP="00DB49BD">
      <w:pPr>
        <w:spacing w:line="240" w:lineRule="auto"/>
        <w:rPr>
          <w:bCs/>
          <w:iCs/>
        </w:rPr>
      </w:pPr>
    </w:p>
    <w:p w14:paraId="423B493F" w14:textId="77777777" w:rsidR="004A2313" w:rsidRDefault="004A2313" w:rsidP="004A2313">
      <w:pPr>
        <w:spacing w:line="240" w:lineRule="auto"/>
        <w:rPr>
          <w:bCs/>
        </w:rPr>
      </w:pPr>
    </w:p>
    <w:p w14:paraId="7775DD23" w14:textId="77777777" w:rsidR="004A2313" w:rsidRDefault="004A2313" w:rsidP="004A2313">
      <w:pPr>
        <w:spacing w:line="240" w:lineRule="auto"/>
        <w:rPr>
          <w:bCs/>
        </w:rPr>
      </w:pPr>
    </w:p>
    <w:p w14:paraId="57BF1AAB" w14:textId="4E62C2F8" w:rsidR="004A2313" w:rsidRPr="004A2313" w:rsidRDefault="004A2313" w:rsidP="00B00086">
      <w:pPr>
        <w:spacing w:line="240" w:lineRule="auto"/>
        <w:rPr>
          <w:bCs/>
        </w:rPr>
      </w:pPr>
      <w:r>
        <w:rPr>
          <w:bCs/>
        </w:rPr>
        <w:t>VALIDAT</w:t>
      </w:r>
      <w:r w:rsidR="00CA12B4">
        <w:rPr>
          <w:bCs/>
        </w:rPr>
        <w:t>I</w:t>
      </w:r>
      <w:r>
        <w:rPr>
          <w:bCs/>
        </w:rPr>
        <w:t>ON OF</w:t>
      </w:r>
      <w:r w:rsidRPr="004A2313">
        <w:rPr>
          <w:bCs/>
        </w:rPr>
        <w:t xml:space="preserve"> PORTABLE HANDHELD X-RAY </w:t>
      </w:r>
    </w:p>
    <w:p w14:paraId="1186F536" w14:textId="52596264" w:rsidR="004A2313" w:rsidRDefault="004A2313" w:rsidP="00B00086">
      <w:pPr>
        <w:spacing w:line="240" w:lineRule="auto"/>
        <w:rPr>
          <w:bCs/>
        </w:rPr>
      </w:pPr>
      <w:r w:rsidRPr="004A2313">
        <w:rPr>
          <w:bCs/>
        </w:rPr>
        <w:t xml:space="preserve">FLUORESCENCE (PHXRF) </w:t>
      </w:r>
      <w:r>
        <w:rPr>
          <w:bCs/>
        </w:rPr>
        <w:t xml:space="preserve">ON STABILIZED SUBGRADE PROJECTS </w:t>
      </w:r>
    </w:p>
    <w:p w14:paraId="3AAE2E56" w14:textId="4A207962" w:rsidR="004A2313" w:rsidRDefault="004A2313" w:rsidP="00B00086">
      <w:pPr>
        <w:spacing w:line="240" w:lineRule="auto"/>
        <w:rPr>
          <w:bCs/>
        </w:rPr>
      </w:pPr>
      <w:r w:rsidRPr="004A2313">
        <w:rPr>
          <w:bCs/>
        </w:rPr>
        <w:t>FOR CONSTRUCTION QUALITY</w:t>
      </w:r>
      <w:r>
        <w:rPr>
          <w:bCs/>
        </w:rPr>
        <w:t xml:space="preserve"> </w:t>
      </w:r>
      <w:r w:rsidRPr="004A2313">
        <w:rPr>
          <w:bCs/>
        </w:rPr>
        <w:t>CONTROL AND GEOTECHNICAL</w:t>
      </w:r>
    </w:p>
    <w:p w14:paraId="47347362" w14:textId="77777777" w:rsidR="004A2313" w:rsidRDefault="004A2313" w:rsidP="004A2313">
      <w:pPr>
        <w:spacing w:line="240" w:lineRule="auto"/>
        <w:rPr>
          <w:bCs/>
        </w:rPr>
      </w:pPr>
      <w:r>
        <w:rPr>
          <w:bCs/>
        </w:rPr>
        <w:t>FORENSIC</w:t>
      </w:r>
      <w:r w:rsidRPr="004A2313">
        <w:rPr>
          <w:bCs/>
        </w:rPr>
        <w:t xml:space="preserve"> INVESTIGATIONS</w:t>
      </w:r>
    </w:p>
    <w:p w14:paraId="7FB16D17" w14:textId="77777777" w:rsidR="004A2313" w:rsidRDefault="004A2313" w:rsidP="004A2313">
      <w:pPr>
        <w:spacing w:line="240" w:lineRule="auto"/>
        <w:rPr>
          <w:bCs/>
        </w:rPr>
      </w:pPr>
    </w:p>
    <w:p w14:paraId="72708E79" w14:textId="77777777" w:rsidR="004A2313" w:rsidRDefault="004A2313" w:rsidP="004A2313">
      <w:pPr>
        <w:spacing w:line="240" w:lineRule="auto"/>
        <w:rPr>
          <w:bCs/>
        </w:rPr>
      </w:pPr>
    </w:p>
    <w:p w14:paraId="63169C5C" w14:textId="4C2CF4A1" w:rsidR="004A2313" w:rsidRDefault="004A2313" w:rsidP="004A2313">
      <w:pPr>
        <w:spacing w:line="240" w:lineRule="auto"/>
        <w:rPr>
          <w:bCs/>
        </w:rPr>
      </w:pPr>
      <w:r>
        <w:rPr>
          <w:bCs/>
        </w:rPr>
        <w:t xml:space="preserve">A THESIS APPROVED FOR THE </w:t>
      </w:r>
    </w:p>
    <w:p w14:paraId="75795E8B" w14:textId="4DDA6C9A" w:rsidR="004A2313" w:rsidRPr="004A2313" w:rsidRDefault="00B00086" w:rsidP="004A2313">
      <w:pPr>
        <w:spacing w:line="240" w:lineRule="auto"/>
        <w:rPr>
          <w:bCs/>
        </w:rPr>
      </w:pPr>
      <w:r>
        <w:rPr>
          <w:bCs/>
        </w:rPr>
        <w:t>SCHOOL OF CIVIL ENGINEERING AND ENVIRONMENTAL SCIENCE</w:t>
      </w:r>
    </w:p>
    <w:p w14:paraId="01C13B9B" w14:textId="77777777" w:rsidR="004A2313" w:rsidRDefault="004A2313" w:rsidP="00DB49BD">
      <w:pPr>
        <w:spacing w:line="240" w:lineRule="auto"/>
        <w:rPr>
          <w:bCs/>
          <w:iCs/>
        </w:rPr>
      </w:pPr>
    </w:p>
    <w:p w14:paraId="6D184900" w14:textId="77777777" w:rsidR="004A2313" w:rsidRDefault="004A2313" w:rsidP="00DB49BD">
      <w:pPr>
        <w:spacing w:line="240" w:lineRule="auto"/>
        <w:rPr>
          <w:bCs/>
          <w:iCs/>
        </w:rPr>
      </w:pPr>
    </w:p>
    <w:p w14:paraId="4F853B18" w14:textId="77777777" w:rsidR="00B00086" w:rsidRDefault="00B00086" w:rsidP="00DB49BD">
      <w:pPr>
        <w:spacing w:line="240" w:lineRule="auto"/>
        <w:rPr>
          <w:bCs/>
          <w:iCs/>
        </w:rPr>
      </w:pPr>
    </w:p>
    <w:p w14:paraId="4538E348" w14:textId="77777777" w:rsidR="00B00086" w:rsidRDefault="00B00086" w:rsidP="00DB49BD">
      <w:pPr>
        <w:spacing w:line="240" w:lineRule="auto"/>
        <w:rPr>
          <w:bCs/>
          <w:iCs/>
        </w:rPr>
      </w:pPr>
    </w:p>
    <w:p w14:paraId="5ADD8362" w14:textId="77777777" w:rsidR="00B00086" w:rsidRDefault="00B00086" w:rsidP="00DB49BD">
      <w:pPr>
        <w:spacing w:line="240" w:lineRule="auto"/>
        <w:rPr>
          <w:bCs/>
          <w:iCs/>
        </w:rPr>
      </w:pPr>
    </w:p>
    <w:p w14:paraId="7F063E2F" w14:textId="77777777" w:rsidR="00B00086" w:rsidRDefault="00B00086" w:rsidP="00DB49BD">
      <w:pPr>
        <w:spacing w:line="240" w:lineRule="auto"/>
        <w:rPr>
          <w:bCs/>
          <w:iCs/>
        </w:rPr>
      </w:pPr>
    </w:p>
    <w:p w14:paraId="327419A6" w14:textId="77777777" w:rsidR="00B00086" w:rsidRDefault="00B00086" w:rsidP="00DB49BD">
      <w:pPr>
        <w:spacing w:line="240" w:lineRule="auto"/>
        <w:rPr>
          <w:bCs/>
          <w:iCs/>
        </w:rPr>
      </w:pPr>
    </w:p>
    <w:p w14:paraId="2B08BCA3" w14:textId="77777777" w:rsidR="00B00086" w:rsidRDefault="00B00086" w:rsidP="00DB49BD">
      <w:pPr>
        <w:spacing w:line="240" w:lineRule="auto"/>
        <w:rPr>
          <w:bCs/>
          <w:iCs/>
        </w:rPr>
      </w:pPr>
    </w:p>
    <w:p w14:paraId="57CD82C3" w14:textId="77777777" w:rsidR="00B00086" w:rsidRDefault="00B00086" w:rsidP="00DB49BD">
      <w:pPr>
        <w:spacing w:line="240" w:lineRule="auto"/>
        <w:rPr>
          <w:bCs/>
          <w:iCs/>
        </w:rPr>
      </w:pPr>
    </w:p>
    <w:p w14:paraId="021E66C2" w14:textId="77777777" w:rsidR="00B00086" w:rsidRDefault="00B00086" w:rsidP="00DB49BD">
      <w:pPr>
        <w:spacing w:line="240" w:lineRule="auto"/>
        <w:rPr>
          <w:bCs/>
          <w:iCs/>
        </w:rPr>
      </w:pPr>
    </w:p>
    <w:p w14:paraId="6358D3E0" w14:textId="77777777" w:rsidR="00B00086" w:rsidRDefault="00B00086" w:rsidP="00DB49BD">
      <w:pPr>
        <w:spacing w:line="240" w:lineRule="auto"/>
        <w:rPr>
          <w:bCs/>
          <w:iCs/>
        </w:rPr>
      </w:pPr>
    </w:p>
    <w:p w14:paraId="61C52971" w14:textId="4235493D" w:rsidR="00B00086" w:rsidRDefault="00B00086" w:rsidP="00DB49BD">
      <w:pPr>
        <w:spacing w:line="240" w:lineRule="auto"/>
        <w:rPr>
          <w:bCs/>
          <w:iCs/>
        </w:rPr>
      </w:pPr>
      <w:r>
        <w:rPr>
          <w:bCs/>
          <w:iCs/>
        </w:rPr>
        <w:t>BY</w:t>
      </w:r>
    </w:p>
    <w:p w14:paraId="63D3C890" w14:textId="77777777" w:rsidR="00B00086" w:rsidRDefault="00B00086" w:rsidP="00DB49BD">
      <w:pPr>
        <w:spacing w:line="240" w:lineRule="auto"/>
        <w:rPr>
          <w:bCs/>
          <w:iCs/>
        </w:rPr>
      </w:pPr>
    </w:p>
    <w:p w14:paraId="0970A9F8" w14:textId="77777777" w:rsidR="00B00086" w:rsidRDefault="00B00086" w:rsidP="00DB49BD">
      <w:pPr>
        <w:spacing w:line="240" w:lineRule="auto"/>
        <w:rPr>
          <w:bCs/>
          <w:iCs/>
        </w:rPr>
      </w:pPr>
    </w:p>
    <w:p w14:paraId="4122662D" w14:textId="77777777" w:rsidR="00B00086" w:rsidRDefault="00B00086" w:rsidP="00DB49BD">
      <w:pPr>
        <w:spacing w:line="240" w:lineRule="auto"/>
        <w:rPr>
          <w:bCs/>
          <w:iCs/>
        </w:rPr>
      </w:pPr>
    </w:p>
    <w:p w14:paraId="57B57ED6" w14:textId="77777777" w:rsidR="004A2313" w:rsidRPr="004A2313" w:rsidRDefault="004A2313" w:rsidP="00DB49BD">
      <w:pPr>
        <w:spacing w:line="240" w:lineRule="auto"/>
        <w:rPr>
          <w:bCs/>
          <w:iCs/>
        </w:rPr>
      </w:pPr>
    </w:p>
    <w:p w14:paraId="66FE92E0" w14:textId="77777777" w:rsidR="00DB49BD" w:rsidRDefault="00DB49BD" w:rsidP="00DB49BD">
      <w:pPr>
        <w:spacing w:line="240" w:lineRule="auto"/>
        <w:jc w:val="left"/>
      </w:pPr>
    </w:p>
    <w:p w14:paraId="480FE4B1" w14:textId="77777777" w:rsidR="00735403" w:rsidRDefault="00735403" w:rsidP="00DB49BD">
      <w:pPr>
        <w:spacing w:line="240" w:lineRule="auto"/>
        <w:jc w:val="left"/>
      </w:pPr>
    </w:p>
    <w:p w14:paraId="18A55EB4" w14:textId="7F346BC6" w:rsidR="003D0823" w:rsidRPr="00B00086" w:rsidRDefault="00B00086" w:rsidP="00B00086">
      <w:pPr>
        <w:spacing w:line="240" w:lineRule="auto"/>
        <w:jc w:val="right"/>
      </w:pPr>
      <w:r>
        <w:t>_____________________________</w:t>
      </w:r>
    </w:p>
    <w:p w14:paraId="1B2EE8E6" w14:textId="16821644" w:rsidR="003D0823" w:rsidRDefault="00B00086" w:rsidP="00B00086">
      <w:pPr>
        <w:spacing w:line="240" w:lineRule="auto"/>
        <w:jc w:val="right"/>
      </w:pPr>
      <w:r>
        <w:t>Dr. Amy Cerato, Chair</w:t>
      </w:r>
    </w:p>
    <w:p w14:paraId="523D58BC" w14:textId="77777777" w:rsidR="00B00086" w:rsidRDefault="00B00086" w:rsidP="00B00086">
      <w:pPr>
        <w:spacing w:line="240" w:lineRule="auto"/>
        <w:jc w:val="right"/>
      </w:pPr>
    </w:p>
    <w:p w14:paraId="179CECBF" w14:textId="77777777" w:rsidR="00B00086" w:rsidRDefault="00B00086" w:rsidP="00B00086">
      <w:pPr>
        <w:spacing w:line="240" w:lineRule="auto"/>
        <w:jc w:val="right"/>
      </w:pPr>
    </w:p>
    <w:p w14:paraId="7A331E25" w14:textId="77777777" w:rsidR="00B00086" w:rsidRDefault="00B00086" w:rsidP="00B00086">
      <w:pPr>
        <w:spacing w:line="240" w:lineRule="auto"/>
        <w:jc w:val="right"/>
      </w:pPr>
    </w:p>
    <w:p w14:paraId="15D6CF2F" w14:textId="77777777" w:rsidR="00B00086" w:rsidRPr="00B00086" w:rsidRDefault="00B00086" w:rsidP="00B00086">
      <w:pPr>
        <w:spacing w:line="240" w:lineRule="auto"/>
        <w:jc w:val="right"/>
      </w:pPr>
      <w:r>
        <w:t>_____________________________</w:t>
      </w:r>
    </w:p>
    <w:p w14:paraId="6CD6F4EB" w14:textId="2ABA145A" w:rsidR="00B00086" w:rsidRDefault="00B00086" w:rsidP="00B00086">
      <w:pPr>
        <w:spacing w:line="240" w:lineRule="auto"/>
        <w:jc w:val="right"/>
      </w:pPr>
      <w:r>
        <w:t>Dr. Gerald Miller</w:t>
      </w:r>
    </w:p>
    <w:p w14:paraId="5680EABC" w14:textId="77777777" w:rsidR="00B00086" w:rsidRDefault="00B00086" w:rsidP="00B00086">
      <w:pPr>
        <w:spacing w:line="240" w:lineRule="auto"/>
        <w:jc w:val="right"/>
      </w:pPr>
    </w:p>
    <w:p w14:paraId="31D93389" w14:textId="77777777" w:rsidR="00B00086" w:rsidRDefault="00B00086" w:rsidP="00B00086">
      <w:pPr>
        <w:spacing w:line="240" w:lineRule="auto"/>
        <w:jc w:val="right"/>
      </w:pPr>
    </w:p>
    <w:p w14:paraId="749ACD55" w14:textId="77777777" w:rsidR="00B00086" w:rsidRDefault="00B00086" w:rsidP="00B00086">
      <w:pPr>
        <w:spacing w:line="240" w:lineRule="auto"/>
        <w:jc w:val="right"/>
      </w:pPr>
    </w:p>
    <w:p w14:paraId="7B055CA7" w14:textId="77777777" w:rsidR="00B00086" w:rsidRPr="00B00086" w:rsidRDefault="00B00086" w:rsidP="00B00086">
      <w:pPr>
        <w:spacing w:line="240" w:lineRule="auto"/>
        <w:jc w:val="right"/>
      </w:pPr>
      <w:r>
        <w:t>_____________________________</w:t>
      </w:r>
    </w:p>
    <w:p w14:paraId="17C07366" w14:textId="73F848DA" w:rsidR="00B00086" w:rsidRDefault="00B00086" w:rsidP="00B00086">
      <w:pPr>
        <w:spacing w:line="240" w:lineRule="auto"/>
        <w:jc w:val="right"/>
      </w:pPr>
      <w:r>
        <w:t>Dr. Kanthasamy Muraleetharan</w:t>
      </w:r>
    </w:p>
    <w:p w14:paraId="16186B94" w14:textId="77777777" w:rsidR="00B00086" w:rsidRDefault="00B00086" w:rsidP="00B00086">
      <w:pPr>
        <w:spacing w:line="240" w:lineRule="auto"/>
        <w:jc w:val="right"/>
      </w:pPr>
    </w:p>
    <w:p w14:paraId="71A97A4C" w14:textId="77777777" w:rsidR="003D0823" w:rsidRDefault="003D0823" w:rsidP="003D0823">
      <w:pPr>
        <w:spacing w:line="240" w:lineRule="auto"/>
      </w:pPr>
    </w:p>
    <w:p w14:paraId="0DC59F09" w14:textId="77777777" w:rsidR="003D0823" w:rsidRDefault="003D0823" w:rsidP="003D0823">
      <w:pPr>
        <w:spacing w:line="240" w:lineRule="auto"/>
      </w:pPr>
    </w:p>
    <w:p w14:paraId="7172E59F" w14:textId="77777777" w:rsidR="003D0823" w:rsidRDefault="003D0823" w:rsidP="003D0823">
      <w:pPr>
        <w:spacing w:line="240" w:lineRule="auto"/>
      </w:pPr>
    </w:p>
    <w:p w14:paraId="5FDFFE4B" w14:textId="77777777" w:rsidR="003D0823" w:rsidRDefault="003D0823" w:rsidP="003D0823">
      <w:pPr>
        <w:spacing w:line="240" w:lineRule="auto"/>
      </w:pPr>
    </w:p>
    <w:p w14:paraId="2F2B7510" w14:textId="77777777" w:rsidR="003D0823" w:rsidRDefault="003D0823" w:rsidP="003D0823">
      <w:pPr>
        <w:spacing w:line="240" w:lineRule="auto"/>
      </w:pPr>
    </w:p>
    <w:p w14:paraId="3136BD48" w14:textId="77777777" w:rsidR="003D0823" w:rsidRDefault="003D0823" w:rsidP="003D0823">
      <w:pPr>
        <w:spacing w:line="240" w:lineRule="auto"/>
      </w:pPr>
    </w:p>
    <w:p w14:paraId="1C083E29" w14:textId="77777777" w:rsidR="003D0823" w:rsidRDefault="003D0823" w:rsidP="003D0823">
      <w:pPr>
        <w:spacing w:line="240" w:lineRule="auto"/>
      </w:pPr>
    </w:p>
    <w:p w14:paraId="03457DEB" w14:textId="77777777" w:rsidR="003D0823" w:rsidRDefault="003D0823" w:rsidP="003D0823">
      <w:pPr>
        <w:spacing w:line="240" w:lineRule="auto"/>
      </w:pPr>
    </w:p>
    <w:p w14:paraId="1BFC5DBD" w14:textId="77777777" w:rsidR="003D0823" w:rsidRDefault="003D0823" w:rsidP="003D0823">
      <w:pPr>
        <w:spacing w:line="240" w:lineRule="auto"/>
      </w:pPr>
    </w:p>
    <w:p w14:paraId="3BA4EC70" w14:textId="77777777" w:rsidR="003D0823" w:rsidRDefault="003D0823" w:rsidP="003D0823">
      <w:pPr>
        <w:spacing w:line="240" w:lineRule="auto"/>
      </w:pPr>
    </w:p>
    <w:p w14:paraId="410F47D3" w14:textId="77777777" w:rsidR="003D0823" w:rsidRDefault="003D0823" w:rsidP="003D0823">
      <w:pPr>
        <w:spacing w:line="240" w:lineRule="auto"/>
      </w:pPr>
    </w:p>
    <w:p w14:paraId="024339E8" w14:textId="77777777" w:rsidR="003D0823" w:rsidRDefault="003D0823" w:rsidP="003D0823">
      <w:pPr>
        <w:spacing w:line="240" w:lineRule="auto"/>
      </w:pPr>
    </w:p>
    <w:p w14:paraId="68111AFF" w14:textId="77777777" w:rsidR="003D0823" w:rsidRDefault="003D0823" w:rsidP="003D0823">
      <w:pPr>
        <w:spacing w:line="240" w:lineRule="auto"/>
      </w:pPr>
    </w:p>
    <w:p w14:paraId="73459ECC" w14:textId="77777777" w:rsidR="003D0823" w:rsidRDefault="003D0823" w:rsidP="003D0823">
      <w:pPr>
        <w:spacing w:line="240" w:lineRule="auto"/>
      </w:pPr>
    </w:p>
    <w:p w14:paraId="50E9FA1C" w14:textId="77777777" w:rsidR="003D0823" w:rsidRDefault="003D0823" w:rsidP="003D0823">
      <w:pPr>
        <w:spacing w:line="240" w:lineRule="auto"/>
      </w:pPr>
    </w:p>
    <w:p w14:paraId="3B2CE3B5" w14:textId="77777777" w:rsidR="003D0823" w:rsidRDefault="003D0823" w:rsidP="003D0823">
      <w:pPr>
        <w:spacing w:line="240" w:lineRule="auto"/>
      </w:pPr>
    </w:p>
    <w:p w14:paraId="442860EF" w14:textId="77777777" w:rsidR="003D0823" w:rsidRDefault="003D0823" w:rsidP="003D0823">
      <w:pPr>
        <w:spacing w:line="240" w:lineRule="auto"/>
      </w:pPr>
    </w:p>
    <w:p w14:paraId="5C1B83EB" w14:textId="77777777" w:rsidR="003D0823" w:rsidRDefault="003D0823" w:rsidP="003D0823">
      <w:pPr>
        <w:spacing w:line="240" w:lineRule="auto"/>
      </w:pPr>
    </w:p>
    <w:p w14:paraId="26A0B912" w14:textId="77777777" w:rsidR="003D0823" w:rsidRDefault="003D0823" w:rsidP="003D0823">
      <w:pPr>
        <w:spacing w:line="240" w:lineRule="auto"/>
      </w:pPr>
    </w:p>
    <w:p w14:paraId="7EE8B430" w14:textId="77777777" w:rsidR="003D0823" w:rsidRDefault="003D0823" w:rsidP="003D0823">
      <w:pPr>
        <w:spacing w:line="240" w:lineRule="auto"/>
      </w:pPr>
    </w:p>
    <w:p w14:paraId="40558EAC" w14:textId="77777777" w:rsidR="003D0823" w:rsidRDefault="003D0823" w:rsidP="003D0823">
      <w:pPr>
        <w:spacing w:line="240" w:lineRule="auto"/>
      </w:pPr>
    </w:p>
    <w:p w14:paraId="2D4F326E" w14:textId="77777777" w:rsidR="003D0823" w:rsidRDefault="003D0823" w:rsidP="003D0823">
      <w:pPr>
        <w:spacing w:line="240" w:lineRule="auto"/>
      </w:pPr>
    </w:p>
    <w:p w14:paraId="524E668C" w14:textId="77777777" w:rsidR="003D0823" w:rsidRDefault="003D0823" w:rsidP="003D0823">
      <w:pPr>
        <w:spacing w:line="240" w:lineRule="auto"/>
      </w:pPr>
    </w:p>
    <w:p w14:paraId="24C0F8BB" w14:textId="77777777" w:rsidR="003D0823" w:rsidRDefault="003D0823" w:rsidP="003D0823">
      <w:pPr>
        <w:spacing w:line="240" w:lineRule="auto"/>
      </w:pPr>
    </w:p>
    <w:p w14:paraId="1A12D8AE" w14:textId="77777777" w:rsidR="003D0823" w:rsidRDefault="003D0823" w:rsidP="003D0823">
      <w:pPr>
        <w:spacing w:line="240" w:lineRule="auto"/>
      </w:pPr>
    </w:p>
    <w:p w14:paraId="600F4E45" w14:textId="77777777" w:rsidR="003D0823" w:rsidRDefault="003D0823" w:rsidP="003D0823">
      <w:pPr>
        <w:spacing w:line="240" w:lineRule="auto"/>
      </w:pPr>
    </w:p>
    <w:p w14:paraId="463A9CB6" w14:textId="77777777" w:rsidR="003D0823" w:rsidRDefault="003D0823" w:rsidP="003D0823">
      <w:pPr>
        <w:spacing w:line="240" w:lineRule="auto"/>
      </w:pPr>
    </w:p>
    <w:p w14:paraId="519ABE52" w14:textId="77777777" w:rsidR="003D0823" w:rsidRDefault="003D0823" w:rsidP="003D0823">
      <w:pPr>
        <w:spacing w:line="240" w:lineRule="auto"/>
      </w:pPr>
    </w:p>
    <w:p w14:paraId="38841F37" w14:textId="77777777" w:rsidR="003D0823" w:rsidRDefault="003D0823" w:rsidP="003D0823">
      <w:pPr>
        <w:spacing w:line="240" w:lineRule="auto"/>
      </w:pPr>
    </w:p>
    <w:p w14:paraId="3FAE4923" w14:textId="77777777" w:rsidR="003D0823" w:rsidRDefault="003D0823" w:rsidP="003D0823">
      <w:pPr>
        <w:spacing w:line="240" w:lineRule="auto"/>
      </w:pPr>
    </w:p>
    <w:p w14:paraId="1C389A7C" w14:textId="77777777" w:rsidR="003D0823" w:rsidRDefault="003D0823" w:rsidP="003D0823">
      <w:pPr>
        <w:spacing w:line="240" w:lineRule="auto"/>
      </w:pPr>
    </w:p>
    <w:p w14:paraId="428B478F" w14:textId="77777777" w:rsidR="003D0823" w:rsidRDefault="003D0823" w:rsidP="003D0823">
      <w:pPr>
        <w:spacing w:line="240" w:lineRule="auto"/>
      </w:pPr>
    </w:p>
    <w:p w14:paraId="744521D9" w14:textId="77777777" w:rsidR="003D0823" w:rsidRDefault="003D0823" w:rsidP="003D0823">
      <w:pPr>
        <w:spacing w:line="240" w:lineRule="auto"/>
      </w:pPr>
    </w:p>
    <w:p w14:paraId="1B306710" w14:textId="77777777" w:rsidR="003D0823" w:rsidRDefault="003D0823" w:rsidP="003D0823">
      <w:pPr>
        <w:spacing w:line="240" w:lineRule="auto"/>
      </w:pPr>
    </w:p>
    <w:p w14:paraId="2AEE9393" w14:textId="77777777" w:rsidR="003D0823" w:rsidRDefault="003D0823" w:rsidP="003D0823">
      <w:pPr>
        <w:spacing w:line="240" w:lineRule="auto"/>
      </w:pPr>
    </w:p>
    <w:p w14:paraId="1DA0422D" w14:textId="77777777" w:rsidR="003D0823" w:rsidRDefault="003D0823" w:rsidP="003D0823">
      <w:pPr>
        <w:spacing w:line="240" w:lineRule="auto"/>
      </w:pPr>
    </w:p>
    <w:p w14:paraId="5FB6A955" w14:textId="77777777" w:rsidR="00B00086" w:rsidRDefault="00B00086" w:rsidP="003D0823">
      <w:pPr>
        <w:spacing w:line="240" w:lineRule="auto"/>
      </w:pPr>
    </w:p>
    <w:p w14:paraId="7D8B0BAD" w14:textId="77777777" w:rsidR="00B00086" w:rsidRDefault="00B00086" w:rsidP="003D0823">
      <w:pPr>
        <w:spacing w:line="240" w:lineRule="auto"/>
      </w:pPr>
    </w:p>
    <w:p w14:paraId="5A4BD7F8" w14:textId="77777777" w:rsidR="00B00086" w:rsidRDefault="00B00086" w:rsidP="003D0823">
      <w:pPr>
        <w:spacing w:line="240" w:lineRule="auto"/>
      </w:pPr>
    </w:p>
    <w:p w14:paraId="2AA92321" w14:textId="77777777" w:rsidR="00B00086" w:rsidRDefault="00B00086" w:rsidP="003D0823">
      <w:pPr>
        <w:spacing w:line="240" w:lineRule="auto"/>
      </w:pPr>
    </w:p>
    <w:p w14:paraId="35B58141" w14:textId="77777777" w:rsidR="00B00086" w:rsidRDefault="00B00086" w:rsidP="003D0823">
      <w:pPr>
        <w:spacing w:line="240" w:lineRule="auto"/>
      </w:pPr>
    </w:p>
    <w:p w14:paraId="25FD8A69" w14:textId="77777777" w:rsidR="003D0823" w:rsidRDefault="003D0823" w:rsidP="003D0823">
      <w:pPr>
        <w:spacing w:line="240" w:lineRule="auto"/>
      </w:pPr>
    </w:p>
    <w:p w14:paraId="24C52861" w14:textId="77777777" w:rsidR="00735403" w:rsidRDefault="00735403" w:rsidP="003D0823">
      <w:pPr>
        <w:spacing w:line="240" w:lineRule="auto"/>
      </w:pPr>
    </w:p>
    <w:p w14:paraId="0AB3B464" w14:textId="77777777" w:rsidR="003D0823" w:rsidRDefault="003D0823" w:rsidP="003D0823">
      <w:pPr>
        <w:spacing w:line="240" w:lineRule="auto"/>
      </w:pPr>
    </w:p>
    <w:p w14:paraId="2B1C166E" w14:textId="77777777" w:rsidR="003D0823" w:rsidRDefault="003D0823" w:rsidP="003D0823">
      <w:pPr>
        <w:spacing w:line="240" w:lineRule="auto"/>
      </w:pPr>
    </w:p>
    <w:p w14:paraId="6F9532FB" w14:textId="77777777" w:rsidR="003D0823" w:rsidRDefault="003D0823" w:rsidP="003D0823">
      <w:pPr>
        <w:spacing w:line="240" w:lineRule="auto"/>
      </w:pPr>
    </w:p>
    <w:p w14:paraId="64016ED4" w14:textId="5F1C9172" w:rsidR="00DB49BD" w:rsidRDefault="003D0823" w:rsidP="00CA12B4">
      <w:pPr>
        <w:spacing w:line="240" w:lineRule="auto"/>
      </w:pPr>
      <w:r>
        <w:t>© Copyright by N</w:t>
      </w:r>
      <w:r w:rsidR="00CA12B4">
        <w:t>ATHAN FERRARO</w:t>
      </w:r>
      <w:r>
        <w:t xml:space="preserve"> 2016</w:t>
      </w:r>
    </w:p>
    <w:p w14:paraId="6E72476B" w14:textId="520B5AC0" w:rsidR="003D0823" w:rsidRDefault="003D0823" w:rsidP="003D0823">
      <w:pPr>
        <w:spacing w:line="240" w:lineRule="auto"/>
      </w:pPr>
      <w:r>
        <w:t>All Rights Reserved.</w:t>
      </w:r>
    </w:p>
    <w:p w14:paraId="3AAACF0E" w14:textId="77777777" w:rsidR="00735403" w:rsidRDefault="00735403" w:rsidP="003D0823">
      <w:pPr>
        <w:spacing w:line="240" w:lineRule="auto"/>
      </w:pPr>
    </w:p>
    <w:p w14:paraId="45D6204E" w14:textId="77777777" w:rsidR="00735403" w:rsidRDefault="00735403" w:rsidP="003D0823">
      <w:pPr>
        <w:spacing w:line="240" w:lineRule="auto"/>
      </w:pPr>
    </w:p>
    <w:p w14:paraId="42A23078" w14:textId="77777777" w:rsidR="00735403" w:rsidRDefault="00735403" w:rsidP="003D0823">
      <w:pPr>
        <w:spacing w:line="240" w:lineRule="auto"/>
      </w:pPr>
    </w:p>
    <w:p w14:paraId="632A4728" w14:textId="77777777" w:rsidR="00735403" w:rsidRDefault="00735403" w:rsidP="003D0823">
      <w:pPr>
        <w:spacing w:line="240" w:lineRule="auto"/>
      </w:pPr>
    </w:p>
    <w:p w14:paraId="67F8A205" w14:textId="77777777" w:rsidR="00735403" w:rsidRDefault="00735403" w:rsidP="003D0823">
      <w:pPr>
        <w:spacing w:line="240" w:lineRule="auto"/>
      </w:pPr>
    </w:p>
    <w:p w14:paraId="486C8783" w14:textId="77777777" w:rsidR="00735403" w:rsidRDefault="00735403" w:rsidP="003D0823">
      <w:pPr>
        <w:spacing w:line="240" w:lineRule="auto"/>
      </w:pPr>
    </w:p>
    <w:p w14:paraId="06978370" w14:textId="77777777" w:rsidR="00735403" w:rsidRDefault="00735403" w:rsidP="003D0823">
      <w:pPr>
        <w:spacing w:line="240" w:lineRule="auto"/>
      </w:pPr>
    </w:p>
    <w:p w14:paraId="7D9A00CD" w14:textId="77777777" w:rsidR="00735403" w:rsidRDefault="00735403" w:rsidP="003D0823">
      <w:pPr>
        <w:spacing w:line="240" w:lineRule="auto"/>
      </w:pPr>
    </w:p>
    <w:p w14:paraId="181DC39E" w14:textId="77777777" w:rsidR="00735403" w:rsidRDefault="00735403" w:rsidP="003D0823">
      <w:pPr>
        <w:spacing w:line="240" w:lineRule="auto"/>
      </w:pPr>
    </w:p>
    <w:p w14:paraId="48E643B6" w14:textId="77777777" w:rsidR="00735403" w:rsidRDefault="00735403" w:rsidP="003D0823">
      <w:pPr>
        <w:spacing w:line="240" w:lineRule="auto"/>
      </w:pPr>
    </w:p>
    <w:p w14:paraId="2C890E39" w14:textId="383BBA49" w:rsidR="00735403" w:rsidRDefault="00067A4A" w:rsidP="003D0823">
      <w:pPr>
        <w:spacing w:line="240" w:lineRule="auto"/>
      </w:pPr>
      <w:r>
        <w:t xml:space="preserve">To </w:t>
      </w:r>
      <w:r w:rsidR="00735403">
        <w:t xml:space="preserve">friends and family for their unwavering support </w:t>
      </w:r>
      <w:r>
        <w:t>throughout the years</w:t>
      </w:r>
    </w:p>
    <w:p w14:paraId="14E16BD9" w14:textId="77777777" w:rsidR="00067A4A" w:rsidRDefault="00735403" w:rsidP="00067A4A">
      <w:pPr>
        <w:spacing w:line="240" w:lineRule="auto"/>
      </w:pPr>
      <w:r>
        <w:t xml:space="preserve">and to the </w:t>
      </w:r>
      <w:r w:rsidR="00067A4A">
        <w:t xml:space="preserve">many mentors who showed me that my biggest obstacle was self-doubt, </w:t>
      </w:r>
    </w:p>
    <w:p w14:paraId="44C0899D" w14:textId="0B5DA10B" w:rsidR="00735403" w:rsidRDefault="00067A4A" w:rsidP="00067A4A">
      <w:pPr>
        <w:spacing w:line="240" w:lineRule="auto"/>
      </w:pPr>
      <w:r>
        <w:t>I dedicate this thesis</w:t>
      </w:r>
      <w:r w:rsidR="00B27912">
        <w:t>.</w:t>
      </w:r>
    </w:p>
    <w:p w14:paraId="21F7DC2B" w14:textId="77777777" w:rsidR="00B27912" w:rsidRDefault="00B27912" w:rsidP="00067A4A">
      <w:pPr>
        <w:spacing w:line="240" w:lineRule="auto"/>
      </w:pPr>
    </w:p>
    <w:p w14:paraId="3CC627CD" w14:textId="77777777" w:rsidR="00B27912" w:rsidRDefault="00B27912" w:rsidP="00067A4A">
      <w:pPr>
        <w:spacing w:line="240" w:lineRule="auto"/>
      </w:pPr>
    </w:p>
    <w:p w14:paraId="18F1B692" w14:textId="77777777" w:rsidR="00B27912" w:rsidRDefault="00B27912" w:rsidP="00067A4A">
      <w:pPr>
        <w:spacing w:line="240" w:lineRule="auto"/>
      </w:pPr>
    </w:p>
    <w:p w14:paraId="0BF5C361" w14:textId="77777777" w:rsidR="00B27912" w:rsidRDefault="00B27912" w:rsidP="00067A4A">
      <w:pPr>
        <w:spacing w:line="240" w:lineRule="auto"/>
      </w:pPr>
    </w:p>
    <w:p w14:paraId="6E550686" w14:textId="77777777" w:rsidR="00B27912" w:rsidRDefault="00B27912" w:rsidP="00067A4A">
      <w:pPr>
        <w:spacing w:line="240" w:lineRule="auto"/>
      </w:pPr>
    </w:p>
    <w:p w14:paraId="4EE83BEA" w14:textId="77777777" w:rsidR="00B27912" w:rsidRDefault="00B27912" w:rsidP="00067A4A">
      <w:pPr>
        <w:spacing w:line="240" w:lineRule="auto"/>
      </w:pPr>
    </w:p>
    <w:p w14:paraId="3D646ABC" w14:textId="77777777" w:rsidR="001B2180" w:rsidRDefault="001B2180" w:rsidP="00067A4A">
      <w:pPr>
        <w:spacing w:line="240" w:lineRule="auto"/>
        <w:sectPr w:rsidR="001B2180" w:rsidSect="00A45898">
          <w:footerReference w:type="default" r:id="rId8"/>
          <w:pgSz w:w="12240" w:h="15840"/>
          <w:pgMar w:top="1440" w:right="1440" w:bottom="1440" w:left="2304" w:header="720" w:footer="720" w:gutter="0"/>
          <w:cols w:space="720"/>
          <w:docGrid w:linePitch="360"/>
        </w:sectPr>
      </w:pPr>
    </w:p>
    <w:p w14:paraId="505F769A" w14:textId="5F7DECE9" w:rsidR="001B2180" w:rsidRDefault="001B2180" w:rsidP="001B2180">
      <w:pPr>
        <w:rPr>
          <w:b/>
        </w:rPr>
      </w:pPr>
      <w:r>
        <w:rPr>
          <w:b/>
        </w:rPr>
        <w:lastRenderedPageBreak/>
        <w:t>ACKNOWLEDGEMENTS</w:t>
      </w:r>
    </w:p>
    <w:p w14:paraId="7CF68BDF" w14:textId="77777777" w:rsidR="001B2180" w:rsidRDefault="001B2180" w:rsidP="001B2180">
      <w:pPr>
        <w:rPr>
          <w:b/>
        </w:rPr>
      </w:pPr>
    </w:p>
    <w:p w14:paraId="0B71E922" w14:textId="15CB2004" w:rsidR="001B2180" w:rsidRDefault="001B2180" w:rsidP="009E5DBD">
      <w:pPr>
        <w:jc w:val="both"/>
      </w:pPr>
      <w:r w:rsidRPr="00F64D94">
        <w:tab/>
      </w:r>
      <w:r>
        <w:t>I would like to offer his sincerest gratitude to Dr. Amy B. Cerato, Rapp Foundation Presidential Professor at the University of Oklahoma’s School of Civil Engineering and Environmental Science (CEES), for her invaluable guidance throughout the course of my graduate studies. Her mentorship and persistent encouragement have allowed me to achieve more academically and professionally than I thought was</w:t>
      </w:r>
      <w:r w:rsidR="009E5DBD">
        <w:t xml:space="preserve"> possible. </w:t>
      </w:r>
      <w:r>
        <w:t xml:space="preserve">For these reasons, amongst </w:t>
      </w:r>
      <w:r w:rsidR="009E5DBD">
        <w:t xml:space="preserve">many </w:t>
      </w:r>
      <w:r>
        <w:t>others, I am extraordinarily grateful</w:t>
      </w:r>
      <w:r w:rsidR="009E5DBD">
        <w:t xml:space="preserve"> and feel truly blessed</w:t>
      </w:r>
      <w:r>
        <w:t>.</w:t>
      </w:r>
    </w:p>
    <w:p w14:paraId="0AE22440" w14:textId="774EDEA4" w:rsidR="009A1D64" w:rsidRDefault="001B2180" w:rsidP="009A1D64">
      <w:pPr>
        <w:jc w:val="both"/>
      </w:pPr>
      <w:r>
        <w:tab/>
        <w:t>Many thanks are extended to Dr. Robert Nairn, Sam K. Viersen Family Foundation Presidential Professor of CEES, and Rick Ramsey, Senior Sales Representative of Houston Analytical Systems Co., for generously allowing me to borrow their XRF spectrometers for this research. Similar gratitude is extended to the staff of the Materials Division at the Oklahoma Department of Transportation for opening up their laboratory to me and assisting me with soil sample preparation. The benevolence of these individuals significantly improved the efficiency of the experiment</w:t>
      </w:r>
      <w:r w:rsidR="00334B14">
        <w:t>s</w:t>
      </w:r>
      <w:r>
        <w:t xml:space="preserve">, saving both time and money, for which I am extremely appreciative. </w:t>
      </w:r>
    </w:p>
    <w:p w14:paraId="20004C7F" w14:textId="27C02720" w:rsidR="00CD1C66" w:rsidRDefault="009A1D64" w:rsidP="00CD1C66">
      <w:pPr>
        <w:jc w:val="both"/>
      </w:pPr>
      <w:r>
        <w:tab/>
        <w:t xml:space="preserve">To Dr. Gerald Miller, Rodney Collins, </w:t>
      </w:r>
      <w:r w:rsidR="00334B14">
        <w:t xml:space="preserve">and </w:t>
      </w:r>
      <w:r w:rsidR="00B65735">
        <w:t xml:space="preserve">Dr. </w:t>
      </w:r>
      <w:r>
        <w:t xml:space="preserve">Wassim Tabet, thank you for all of your assistance with this project. The reduction in workload for me </w:t>
      </w:r>
      <w:r w:rsidR="00CD1C66">
        <w:t xml:space="preserve">in the field aspects </w:t>
      </w:r>
      <w:r>
        <w:t>was very much appreciated.</w:t>
      </w:r>
      <w:r w:rsidR="00CD1C66">
        <w:t xml:space="preserve"> Additionally, your advice during the analysis and writing of this thesis was invaluable. </w:t>
      </w:r>
    </w:p>
    <w:p w14:paraId="1E572DAE" w14:textId="11803DF6" w:rsidR="00CD1C66" w:rsidRDefault="00CD1C66" w:rsidP="00CD1C66"/>
    <w:p w14:paraId="7FD5C05C" w14:textId="77777777" w:rsidR="009A1D64" w:rsidRPr="00CD1C66" w:rsidRDefault="009A1D64" w:rsidP="00CD1C66"/>
    <w:p w14:paraId="024E3A47" w14:textId="5F8CF8A7" w:rsidR="001B2180" w:rsidRDefault="001B2180" w:rsidP="009A1D64">
      <w:pPr>
        <w:jc w:val="both"/>
      </w:pPr>
      <w:r>
        <w:lastRenderedPageBreak/>
        <w:tab/>
        <w:t>Furthermore, I would like to thank the Southern Plains Transportation Center (SPTC) for providing financial support throughout the entirety of this research.</w:t>
      </w:r>
      <w:r w:rsidR="00CD1C66">
        <w:t xml:space="preserve"> Plainly, this research would not be possible without your continued support.</w:t>
      </w:r>
    </w:p>
    <w:p w14:paraId="0FF2751F" w14:textId="1172AC76" w:rsidR="009A1D64" w:rsidRDefault="001B2180" w:rsidP="00CD1C66">
      <w:pPr>
        <w:jc w:val="both"/>
      </w:pPr>
      <w:r>
        <w:tab/>
        <w:t>Last,</w:t>
      </w:r>
      <w:r w:rsidR="009E5DBD">
        <w:t xml:space="preserve"> but certainly not least, I would like to thank my </w:t>
      </w:r>
      <w:r w:rsidR="00CD1C66">
        <w:t>family and friend</w:t>
      </w:r>
      <w:r w:rsidR="00334B14">
        <w:t>s</w:t>
      </w:r>
      <w:r w:rsidR="009E5DBD">
        <w:t>. My family’s backing has allowed me to fully focus on my</w:t>
      </w:r>
      <w:r>
        <w:t xml:space="preserve"> studies and serve the world of academia at a higher level. </w:t>
      </w:r>
      <w:r w:rsidR="009E5DBD">
        <w:t>My friends’ fellowship has greatly enriched my education and, at times, has helped me maintain my sanity. Simply</w:t>
      </w:r>
      <w:r w:rsidR="00CD1C66">
        <w:t xml:space="preserve"> put</w:t>
      </w:r>
      <w:r w:rsidR="009E5DBD">
        <w:t xml:space="preserve">, I would not </w:t>
      </w:r>
      <w:r w:rsidR="00CD1C66">
        <w:t xml:space="preserve">have completed this thesis </w:t>
      </w:r>
      <w:r w:rsidR="009E5DBD">
        <w:t xml:space="preserve">without the help from both. </w:t>
      </w:r>
      <w:r w:rsidR="009A1D64">
        <w:t>Thank you so much</w:t>
      </w:r>
      <w:r>
        <w:t>.</w:t>
      </w:r>
    </w:p>
    <w:p w14:paraId="1960D310" w14:textId="77777777" w:rsidR="001B2180" w:rsidRDefault="001B2180" w:rsidP="001B2180">
      <w:pPr>
        <w:jc w:val="left"/>
        <w:rPr>
          <w:b/>
        </w:rPr>
      </w:pPr>
    </w:p>
    <w:p w14:paraId="6886B599" w14:textId="62ADB778" w:rsidR="00B27912" w:rsidRDefault="00B27912" w:rsidP="00067A4A">
      <w:pPr>
        <w:spacing w:line="240" w:lineRule="auto"/>
        <w:sectPr w:rsidR="00B27912" w:rsidSect="00CA12B4">
          <w:footerReference w:type="default" r:id="rId9"/>
          <w:pgSz w:w="12240" w:h="15840"/>
          <w:pgMar w:top="1440" w:right="1440" w:bottom="1440" w:left="2304" w:header="720" w:footer="144" w:gutter="0"/>
          <w:pgNumType w:fmt="lowerRoman" w:start="4"/>
          <w:cols w:space="720"/>
          <w:docGrid w:linePitch="360"/>
        </w:sectPr>
      </w:pPr>
    </w:p>
    <w:p w14:paraId="56CDE2DF" w14:textId="77777777" w:rsidR="00043410" w:rsidRDefault="00043410" w:rsidP="00043410">
      <w:pPr>
        <w:rPr>
          <w:b/>
        </w:rPr>
      </w:pPr>
      <w:r w:rsidRPr="00E669AB">
        <w:rPr>
          <w:b/>
        </w:rPr>
        <w:lastRenderedPageBreak/>
        <w:t>TABLE OF CONTENTS</w:t>
      </w:r>
    </w:p>
    <w:p w14:paraId="38ADA81A" w14:textId="77777777" w:rsidR="004C1602" w:rsidRDefault="004C1602" w:rsidP="00043410">
      <w:pPr>
        <w:rPr>
          <w:b/>
        </w:rPr>
      </w:pPr>
    </w:p>
    <w:p w14:paraId="50535E5A" w14:textId="29565B9D" w:rsidR="00025CE2" w:rsidRDefault="00025CE2" w:rsidP="00025CE2">
      <w:pPr>
        <w:pStyle w:val="TableofFigures"/>
        <w:tabs>
          <w:tab w:val="right" w:leader="dot" w:pos="9350"/>
        </w:tabs>
        <w:rPr>
          <w:rStyle w:val="Hyperlink"/>
          <w:noProof/>
          <w:color w:val="auto"/>
          <w:u w:val="none"/>
        </w:rPr>
      </w:pPr>
      <w:r>
        <w:rPr>
          <w:rStyle w:val="Hyperlink"/>
          <w:noProof/>
          <w:color w:val="auto"/>
          <w:u w:val="none"/>
        </w:rPr>
        <w:t>Acknowledgements</w:t>
      </w:r>
      <w:r w:rsidRPr="004C1602">
        <w:rPr>
          <w:noProof/>
          <w:webHidden/>
        </w:rPr>
        <w:tab/>
      </w:r>
      <w:r w:rsidRPr="004C1602">
        <w:rPr>
          <w:rStyle w:val="Hyperlink"/>
          <w:noProof/>
          <w:color w:val="auto"/>
          <w:u w:val="none"/>
        </w:rPr>
        <w:t>i</w:t>
      </w:r>
      <w:r>
        <w:rPr>
          <w:rStyle w:val="Hyperlink"/>
          <w:noProof/>
          <w:color w:val="auto"/>
          <w:u w:val="none"/>
        </w:rPr>
        <w:t>v</w:t>
      </w:r>
    </w:p>
    <w:p w14:paraId="4945E99B" w14:textId="77777777" w:rsidR="00025CE2" w:rsidRDefault="00025CE2" w:rsidP="00025CE2">
      <w:pPr>
        <w:pStyle w:val="TableofFigures"/>
        <w:tabs>
          <w:tab w:val="right" w:leader="dot" w:pos="9350"/>
        </w:tabs>
        <w:rPr>
          <w:rStyle w:val="Hyperlink"/>
          <w:noProof/>
          <w:color w:val="auto"/>
          <w:u w:val="none"/>
        </w:rPr>
      </w:pPr>
      <w:r>
        <w:rPr>
          <w:rStyle w:val="Hyperlink"/>
          <w:noProof/>
          <w:color w:val="auto"/>
          <w:u w:val="none"/>
        </w:rPr>
        <w:t>List of Figures</w:t>
      </w:r>
      <w:r w:rsidRPr="004C1602">
        <w:rPr>
          <w:noProof/>
          <w:webHidden/>
        </w:rPr>
        <w:tab/>
      </w:r>
      <w:r w:rsidRPr="004C1602">
        <w:rPr>
          <w:rStyle w:val="Hyperlink"/>
          <w:noProof/>
          <w:color w:val="auto"/>
          <w:u w:val="none"/>
        </w:rPr>
        <w:t>i</w:t>
      </w:r>
      <w:r>
        <w:rPr>
          <w:rStyle w:val="Hyperlink"/>
          <w:noProof/>
          <w:color w:val="auto"/>
          <w:u w:val="none"/>
        </w:rPr>
        <w:t>x</w:t>
      </w:r>
    </w:p>
    <w:p w14:paraId="5A3804B5" w14:textId="730F8328" w:rsidR="004C1602" w:rsidRPr="004C1602" w:rsidRDefault="004C1602" w:rsidP="000205CE">
      <w:pPr>
        <w:pStyle w:val="TableofFigures"/>
        <w:tabs>
          <w:tab w:val="right" w:leader="dot" w:pos="9350"/>
        </w:tabs>
        <w:rPr>
          <w:rFonts w:asciiTheme="minorHAnsi" w:eastAsiaTheme="minorEastAsia" w:hAnsiTheme="minorHAnsi" w:cstheme="minorBidi"/>
          <w:bCs w:val="0"/>
          <w:noProof/>
          <w:sz w:val="22"/>
          <w:szCs w:val="22"/>
        </w:rPr>
      </w:pPr>
      <w:r>
        <w:rPr>
          <w:rStyle w:val="Hyperlink"/>
          <w:noProof/>
          <w:color w:val="auto"/>
          <w:u w:val="none"/>
        </w:rPr>
        <w:t>List of Tables</w:t>
      </w:r>
      <w:r w:rsidRPr="004C1602">
        <w:rPr>
          <w:noProof/>
          <w:webHidden/>
        </w:rPr>
        <w:tab/>
      </w:r>
      <w:r w:rsidR="0044257D">
        <w:rPr>
          <w:rStyle w:val="Hyperlink"/>
          <w:noProof/>
          <w:color w:val="auto"/>
          <w:u w:val="none"/>
        </w:rPr>
        <w:t>xiii</w:t>
      </w:r>
    </w:p>
    <w:p w14:paraId="750C2B7D" w14:textId="2ACEEA95" w:rsidR="004C1602" w:rsidRPr="004C1602" w:rsidRDefault="004C1602" w:rsidP="001F1BAA">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Abstract</w:t>
      </w:r>
      <w:r w:rsidRPr="004C1602">
        <w:rPr>
          <w:noProof/>
          <w:webHidden/>
        </w:rPr>
        <w:tab/>
      </w:r>
      <w:r w:rsidR="0044257D">
        <w:rPr>
          <w:rStyle w:val="Hyperlink"/>
          <w:noProof/>
          <w:color w:val="auto"/>
          <w:u w:val="none"/>
        </w:rPr>
        <w:t>xv</w:t>
      </w:r>
    </w:p>
    <w:p w14:paraId="4105C63E" w14:textId="45A31B38" w:rsidR="004C1602" w:rsidRPr="004C1602" w:rsidRDefault="004C1602" w:rsidP="001F1BAA">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Chapter 1: Introduction</w:t>
      </w:r>
      <w:r w:rsidRPr="004C1602">
        <w:rPr>
          <w:noProof/>
          <w:webHidden/>
        </w:rPr>
        <w:tab/>
      </w:r>
      <w:r w:rsidR="001F1BAA">
        <w:rPr>
          <w:noProof/>
          <w:webHidden/>
        </w:rPr>
        <w:t>1</w:t>
      </w:r>
    </w:p>
    <w:p w14:paraId="15930F38" w14:textId="112920C7" w:rsidR="004C1602" w:rsidRPr="004C1602" w:rsidRDefault="004C1602" w:rsidP="001F1BAA">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t>1.1 Introduction</w:t>
      </w:r>
      <w:r w:rsidRPr="004C1602">
        <w:rPr>
          <w:noProof/>
          <w:webHidden/>
        </w:rPr>
        <w:tab/>
      </w:r>
      <w:r w:rsidRPr="004C1602">
        <w:rPr>
          <w:rStyle w:val="Hyperlink"/>
          <w:noProof/>
          <w:color w:val="auto"/>
          <w:u w:val="none"/>
        </w:rPr>
        <w:t>1</w:t>
      </w:r>
    </w:p>
    <w:p w14:paraId="188881D0" w14:textId="42AFC1D5" w:rsidR="004C1602" w:rsidRPr="004C1602" w:rsidRDefault="004C1602" w:rsidP="001F1BAA">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sidR="001320EB">
        <w:rPr>
          <w:rStyle w:val="Hyperlink"/>
          <w:noProof/>
          <w:color w:val="auto"/>
          <w:u w:val="none"/>
        </w:rPr>
        <w:t>1.2</w:t>
      </w:r>
      <w:r>
        <w:rPr>
          <w:rStyle w:val="Hyperlink"/>
          <w:noProof/>
          <w:color w:val="auto"/>
          <w:u w:val="none"/>
        </w:rPr>
        <w:t xml:space="preserve"> Purpose and Goals</w:t>
      </w:r>
      <w:r w:rsidRPr="004C1602">
        <w:rPr>
          <w:noProof/>
          <w:webHidden/>
        </w:rPr>
        <w:tab/>
      </w:r>
      <w:r w:rsidR="001320EB">
        <w:rPr>
          <w:rStyle w:val="Hyperlink"/>
          <w:noProof/>
          <w:color w:val="auto"/>
          <w:u w:val="none"/>
        </w:rPr>
        <w:t>5</w:t>
      </w:r>
    </w:p>
    <w:p w14:paraId="58B86717" w14:textId="5DEC1429" w:rsidR="004C1602" w:rsidRPr="004C1602" w:rsidRDefault="004C1602" w:rsidP="001F1BAA">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sidR="001320EB">
        <w:rPr>
          <w:rStyle w:val="Hyperlink"/>
          <w:noProof/>
          <w:color w:val="auto"/>
          <w:u w:val="none"/>
        </w:rPr>
        <w:t>1.3</w:t>
      </w:r>
      <w:r>
        <w:rPr>
          <w:rStyle w:val="Hyperlink"/>
          <w:noProof/>
          <w:color w:val="auto"/>
          <w:u w:val="none"/>
        </w:rPr>
        <w:t xml:space="preserve"> Scope</w:t>
      </w:r>
      <w:r w:rsidRPr="004C1602">
        <w:rPr>
          <w:noProof/>
          <w:webHidden/>
        </w:rPr>
        <w:tab/>
      </w:r>
      <w:r w:rsidR="001320EB">
        <w:rPr>
          <w:rStyle w:val="Hyperlink"/>
          <w:noProof/>
          <w:color w:val="auto"/>
          <w:u w:val="none"/>
        </w:rPr>
        <w:t>6</w:t>
      </w:r>
    </w:p>
    <w:p w14:paraId="38527919" w14:textId="3BFC28C4" w:rsidR="00841F80" w:rsidRPr="004C1602" w:rsidRDefault="00841F80" w:rsidP="00174B9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 xml:space="preserve">Chapter </w:t>
      </w:r>
      <w:r>
        <w:rPr>
          <w:rStyle w:val="Hyperlink"/>
          <w:noProof/>
          <w:color w:val="auto"/>
          <w:u w:val="none"/>
        </w:rPr>
        <w:t>2</w:t>
      </w:r>
      <w:r w:rsidRPr="004C1602">
        <w:rPr>
          <w:rStyle w:val="Hyperlink"/>
          <w:noProof/>
          <w:color w:val="auto"/>
          <w:u w:val="none"/>
        </w:rPr>
        <w:t xml:space="preserve">: </w:t>
      </w:r>
      <w:r>
        <w:rPr>
          <w:rStyle w:val="Hyperlink"/>
          <w:noProof/>
          <w:color w:val="auto"/>
          <w:u w:val="none"/>
        </w:rPr>
        <w:t>Literature Review</w:t>
      </w:r>
      <w:r w:rsidRPr="004C1602">
        <w:rPr>
          <w:noProof/>
          <w:webHidden/>
        </w:rPr>
        <w:tab/>
      </w:r>
      <w:r w:rsidR="001320EB">
        <w:rPr>
          <w:noProof/>
          <w:webHidden/>
        </w:rPr>
        <w:t>7</w:t>
      </w:r>
    </w:p>
    <w:p w14:paraId="4D6F248C" w14:textId="5719C348" w:rsidR="006C4B95" w:rsidRPr="004C1602" w:rsidRDefault="006C4B95" w:rsidP="00174B9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sidR="0096291B">
        <w:rPr>
          <w:rStyle w:val="Hyperlink"/>
          <w:noProof/>
          <w:color w:val="auto"/>
          <w:u w:val="none"/>
        </w:rPr>
        <w:t>2</w:t>
      </w:r>
      <w:r w:rsidRPr="004C1602">
        <w:rPr>
          <w:rStyle w:val="Hyperlink"/>
          <w:noProof/>
          <w:color w:val="auto"/>
          <w:u w:val="none"/>
        </w:rPr>
        <w:t>.1 Introduction</w:t>
      </w:r>
      <w:r w:rsidRPr="004C1602">
        <w:rPr>
          <w:noProof/>
          <w:webHidden/>
        </w:rPr>
        <w:tab/>
      </w:r>
      <w:r w:rsidR="001320EB">
        <w:rPr>
          <w:noProof/>
          <w:webHidden/>
        </w:rPr>
        <w:t>7</w:t>
      </w:r>
    </w:p>
    <w:p w14:paraId="1A8F0E0B" w14:textId="5AE731E7" w:rsidR="0096291B" w:rsidRDefault="0096291B" w:rsidP="00174B94">
      <w:pPr>
        <w:pStyle w:val="TableofFigures"/>
        <w:tabs>
          <w:tab w:val="right" w:leader="dot" w:pos="9350"/>
        </w:tabs>
        <w:rPr>
          <w:noProof/>
          <w:webHidden/>
        </w:rPr>
      </w:pPr>
      <w:r w:rsidRPr="004C1602">
        <w:rPr>
          <w:rStyle w:val="Hyperlink"/>
          <w:noProof/>
          <w:color w:val="auto"/>
          <w:u w:val="none"/>
        </w:rPr>
        <w:tab/>
      </w:r>
      <w:r>
        <w:rPr>
          <w:rStyle w:val="Hyperlink"/>
          <w:noProof/>
          <w:color w:val="auto"/>
          <w:u w:val="none"/>
        </w:rPr>
        <w:t>2.2</w:t>
      </w:r>
      <w:r w:rsidRPr="004C1602">
        <w:rPr>
          <w:rStyle w:val="Hyperlink"/>
          <w:noProof/>
          <w:color w:val="auto"/>
          <w:u w:val="none"/>
        </w:rPr>
        <w:t xml:space="preserve"> </w:t>
      </w:r>
      <w:r>
        <w:rPr>
          <w:rStyle w:val="Hyperlink"/>
          <w:noProof/>
          <w:color w:val="auto"/>
          <w:u w:val="none"/>
        </w:rPr>
        <w:t>Current Subgrade Stabilization Construction Methods</w:t>
      </w:r>
      <w:r w:rsidRPr="004C1602">
        <w:rPr>
          <w:noProof/>
          <w:webHidden/>
        </w:rPr>
        <w:tab/>
      </w:r>
      <w:r w:rsidR="001320EB">
        <w:rPr>
          <w:noProof/>
          <w:webHidden/>
        </w:rPr>
        <w:t>7</w:t>
      </w:r>
    </w:p>
    <w:p w14:paraId="39E002F6" w14:textId="6FE100F0" w:rsidR="00DB40FF" w:rsidRDefault="00DB40FF" w:rsidP="00174B9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2.2.1 Subgrade Preparation</w:t>
      </w:r>
      <w:r w:rsidRPr="004C1602">
        <w:rPr>
          <w:noProof/>
          <w:webHidden/>
        </w:rPr>
        <w:tab/>
      </w:r>
      <w:r w:rsidR="001320EB">
        <w:rPr>
          <w:noProof/>
          <w:webHidden/>
        </w:rPr>
        <w:t>9</w:t>
      </w:r>
    </w:p>
    <w:p w14:paraId="1B0CC185" w14:textId="15FF2D88" w:rsidR="00B77AE5" w:rsidRDefault="00B77AE5" w:rsidP="00174B9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2.2.2 Subgrade Pulverization and Scarification</w:t>
      </w:r>
      <w:r w:rsidRPr="004C1602">
        <w:rPr>
          <w:noProof/>
          <w:webHidden/>
        </w:rPr>
        <w:tab/>
      </w:r>
      <w:r w:rsidR="001320EB">
        <w:rPr>
          <w:noProof/>
          <w:webHidden/>
        </w:rPr>
        <w:t>9</w:t>
      </w:r>
    </w:p>
    <w:p w14:paraId="03988B1E" w14:textId="6E88717F" w:rsidR="00B77AE5" w:rsidRDefault="00B77AE5" w:rsidP="00174B94">
      <w:pPr>
        <w:pStyle w:val="TableofFigures"/>
        <w:tabs>
          <w:tab w:val="right" w:leader="dot" w:pos="9350"/>
        </w:tabs>
        <w:ind w:left="1200"/>
        <w:rPr>
          <w:rStyle w:val="Hyperlink"/>
          <w:noProof/>
          <w:color w:val="auto"/>
          <w:u w:val="none"/>
        </w:rPr>
      </w:pPr>
      <w:r w:rsidRPr="004C1602">
        <w:rPr>
          <w:rStyle w:val="Hyperlink"/>
          <w:noProof/>
          <w:color w:val="auto"/>
          <w:u w:val="none"/>
        </w:rPr>
        <w:tab/>
      </w:r>
      <w:r>
        <w:rPr>
          <w:rStyle w:val="Hyperlink"/>
          <w:noProof/>
          <w:color w:val="auto"/>
          <w:u w:val="none"/>
        </w:rPr>
        <w:t xml:space="preserve">2.2.2.1 </w:t>
      </w:r>
      <w:r w:rsidR="001320EB">
        <w:rPr>
          <w:rStyle w:val="Hyperlink"/>
          <w:noProof/>
          <w:color w:val="auto"/>
          <w:u w:val="none"/>
        </w:rPr>
        <w:t>Pulverization Requirements for Cement Treated Subgrades</w:t>
      </w:r>
      <w:r w:rsidRPr="004C1602">
        <w:rPr>
          <w:noProof/>
          <w:webHidden/>
        </w:rPr>
        <w:tab/>
      </w:r>
      <w:r>
        <w:rPr>
          <w:noProof/>
          <w:webHidden/>
        </w:rPr>
        <w:t>1</w:t>
      </w:r>
      <w:r w:rsidR="001320EB">
        <w:rPr>
          <w:noProof/>
          <w:webHidden/>
        </w:rPr>
        <w:t>0</w:t>
      </w:r>
    </w:p>
    <w:p w14:paraId="2109968F" w14:textId="0652EC35" w:rsidR="00B77AE5" w:rsidRDefault="00B77AE5" w:rsidP="00174B94">
      <w:pPr>
        <w:pStyle w:val="TableofFigures"/>
        <w:tabs>
          <w:tab w:val="right" w:leader="dot" w:pos="9350"/>
        </w:tabs>
        <w:ind w:left="1200"/>
        <w:rPr>
          <w:rStyle w:val="Hyperlink"/>
          <w:noProof/>
          <w:color w:val="auto"/>
          <w:u w:val="none"/>
        </w:rPr>
      </w:pPr>
      <w:r w:rsidRPr="004C1602">
        <w:rPr>
          <w:rStyle w:val="Hyperlink"/>
          <w:noProof/>
          <w:color w:val="auto"/>
          <w:u w:val="none"/>
        </w:rPr>
        <w:tab/>
      </w:r>
      <w:r>
        <w:rPr>
          <w:rStyle w:val="Hyperlink"/>
          <w:noProof/>
          <w:color w:val="auto"/>
          <w:u w:val="none"/>
        </w:rPr>
        <w:t xml:space="preserve">2.2.2.2 </w:t>
      </w:r>
      <w:r w:rsidR="001320EB">
        <w:rPr>
          <w:rStyle w:val="Hyperlink"/>
          <w:noProof/>
          <w:color w:val="auto"/>
          <w:u w:val="none"/>
        </w:rPr>
        <w:t>Pulverization Requirements for Lime Treated Subgrades</w:t>
      </w:r>
      <w:r w:rsidRPr="004C1602">
        <w:rPr>
          <w:noProof/>
          <w:webHidden/>
        </w:rPr>
        <w:tab/>
      </w:r>
      <w:r>
        <w:rPr>
          <w:noProof/>
          <w:webHidden/>
        </w:rPr>
        <w:t>1</w:t>
      </w:r>
      <w:r w:rsidR="001320EB">
        <w:rPr>
          <w:noProof/>
          <w:webHidden/>
        </w:rPr>
        <w:t>1</w:t>
      </w:r>
    </w:p>
    <w:p w14:paraId="74807701" w14:textId="44DC1D2B" w:rsidR="00B77AE5" w:rsidRDefault="00B77AE5" w:rsidP="00174B9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2.2.3 Application of Stabilizing Agent</w:t>
      </w:r>
      <w:r w:rsidRPr="004C1602">
        <w:rPr>
          <w:noProof/>
          <w:webHidden/>
        </w:rPr>
        <w:tab/>
      </w:r>
      <w:r>
        <w:rPr>
          <w:noProof/>
          <w:webHidden/>
        </w:rPr>
        <w:t>1</w:t>
      </w:r>
      <w:r w:rsidR="001320EB">
        <w:rPr>
          <w:noProof/>
          <w:webHidden/>
        </w:rPr>
        <w:t>2</w:t>
      </w:r>
    </w:p>
    <w:p w14:paraId="6B6AB67D" w14:textId="068D4479" w:rsidR="00B77AE5" w:rsidRDefault="00B77AE5" w:rsidP="001320EB">
      <w:pPr>
        <w:pStyle w:val="TableofFigures"/>
        <w:tabs>
          <w:tab w:val="right" w:leader="dot" w:pos="9350"/>
        </w:tabs>
        <w:ind w:left="1200"/>
        <w:rPr>
          <w:rStyle w:val="Hyperlink"/>
          <w:noProof/>
          <w:color w:val="auto"/>
          <w:u w:val="none"/>
        </w:rPr>
      </w:pPr>
      <w:r w:rsidRPr="004C1602">
        <w:rPr>
          <w:rStyle w:val="Hyperlink"/>
          <w:noProof/>
          <w:color w:val="auto"/>
          <w:u w:val="none"/>
        </w:rPr>
        <w:tab/>
      </w:r>
      <w:r>
        <w:rPr>
          <w:rStyle w:val="Hyperlink"/>
          <w:noProof/>
          <w:color w:val="auto"/>
          <w:u w:val="none"/>
        </w:rPr>
        <w:t xml:space="preserve">2.2.3.1 </w:t>
      </w:r>
      <w:r w:rsidR="001320EB">
        <w:rPr>
          <w:rStyle w:val="Hyperlink"/>
          <w:noProof/>
          <w:color w:val="auto"/>
          <w:u w:val="none"/>
        </w:rPr>
        <w:t>Application Requirements for Cement Treated Subgrades</w:t>
      </w:r>
      <w:r w:rsidRPr="004C1602">
        <w:rPr>
          <w:noProof/>
          <w:webHidden/>
        </w:rPr>
        <w:tab/>
      </w:r>
      <w:r>
        <w:rPr>
          <w:noProof/>
          <w:webHidden/>
        </w:rPr>
        <w:t>1</w:t>
      </w:r>
      <w:r w:rsidR="001320EB">
        <w:rPr>
          <w:noProof/>
          <w:webHidden/>
        </w:rPr>
        <w:t>2</w:t>
      </w:r>
    </w:p>
    <w:p w14:paraId="0D9CA298" w14:textId="7A05D76F" w:rsidR="00B77AE5" w:rsidRDefault="00B77AE5" w:rsidP="001320EB">
      <w:pPr>
        <w:pStyle w:val="TableofFigures"/>
        <w:tabs>
          <w:tab w:val="right" w:leader="dot" w:pos="9350"/>
        </w:tabs>
        <w:ind w:left="1200"/>
        <w:rPr>
          <w:rStyle w:val="Hyperlink"/>
          <w:noProof/>
          <w:color w:val="auto"/>
          <w:u w:val="none"/>
        </w:rPr>
      </w:pPr>
      <w:r w:rsidRPr="004C1602">
        <w:rPr>
          <w:rStyle w:val="Hyperlink"/>
          <w:noProof/>
          <w:color w:val="auto"/>
          <w:u w:val="none"/>
        </w:rPr>
        <w:tab/>
      </w:r>
      <w:r>
        <w:rPr>
          <w:rStyle w:val="Hyperlink"/>
          <w:noProof/>
          <w:color w:val="auto"/>
          <w:u w:val="none"/>
        </w:rPr>
        <w:t xml:space="preserve">2.2.3.2 </w:t>
      </w:r>
      <w:r w:rsidR="001320EB">
        <w:rPr>
          <w:rStyle w:val="Hyperlink"/>
          <w:noProof/>
          <w:color w:val="auto"/>
          <w:u w:val="none"/>
        </w:rPr>
        <w:t>Application Requirements for Lime Treated Subgrades</w:t>
      </w:r>
      <w:r w:rsidRPr="004C1602">
        <w:rPr>
          <w:noProof/>
          <w:webHidden/>
        </w:rPr>
        <w:tab/>
      </w:r>
      <w:r>
        <w:rPr>
          <w:noProof/>
          <w:webHidden/>
        </w:rPr>
        <w:t>1</w:t>
      </w:r>
      <w:r w:rsidR="001320EB">
        <w:rPr>
          <w:noProof/>
          <w:webHidden/>
        </w:rPr>
        <w:t>3</w:t>
      </w:r>
    </w:p>
    <w:p w14:paraId="75BD8E4A" w14:textId="5EC0DE23" w:rsidR="00B77AE5" w:rsidRDefault="00B77AE5" w:rsidP="00174B9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2.2.4 Mixing</w:t>
      </w:r>
      <w:r w:rsidRPr="004C1602">
        <w:rPr>
          <w:noProof/>
          <w:webHidden/>
        </w:rPr>
        <w:tab/>
      </w:r>
      <w:r>
        <w:rPr>
          <w:noProof/>
          <w:webHidden/>
        </w:rPr>
        <w:t>1</w:t>
      </w:r>
      <w:r w:rsidR="001320EB">
        <w:rPr>
          <w:noProof/>
          <w:webHidden/>
        </w:rPr>
        <w:t>4</w:t>
      </w:r>
    </w:p>
    <w:p w14:paraId="048278E4" w14:textId="337B99E2" w:rsidR="00B77AE5" w:rsidRDefault="00B77AE5" w:rsidP="001320EB">
      <w:pPr>
        <w:pStyle w:val="TableofFigures"/>
        <w:tabs>
          <w:tab w:val="right" w:leader="dot" w:pos="9350"/>
        </w:tabs>
        <w:ind w:left="1200"/>
        <w:rPr>
          <w:rStyle w:val="Hyperlink"/>
          <w:noProof/>
          <w:color w:val="auto"/>
          <w:u w:val="none"/>
        </w:rPr>
      </w:pPr>
      <w:r w:rsidRPr="004C1602">
        <w:rPr>
          <w:rStyle w:val="Hyperlink"/>
          <w:noProof/>
          <w:color w:val="auto"/>
          <w:u w:val="none"/>
        </w:rPr>
        <w:tab/>
      </w:r>
      <w:r>
        <w:rPr>
          <w:rStyle w:val="Hyperlink"/>
          <w:noProof/>
          <w:color w:val="auto"/>
          <w:u w:val="none"/>
        </w:rPr>
        <w:t xml:space="preserve">2.2.4.1 </w:t>
      </w:r>
      <w:r w:rsidR="001320EB">
        <w:rPr>
          <w:rStyle w:val="Hyperlink"/>
          <w:noProof/>
          <w:color w:val="auto"/>
          <w:u w:val="none"/>
        </w:rPr>
        <w:t>Mixing Requirements for Cement Treated Subgrades</w:t>
      </w:r>
      <w:r w:rsidRPr="004C1602">
        <w:rPr>
          <w:noProof/>
          <w:webHidden/>
        </w:rPr>
        <w:tab/>
      </w:r>
      <w:r>
        <w:rPr>
          <w:noProof/>
          <w:webHidden/>
        </w:rPr>
        <w:t>1</w:t>
      </w:r>
      <w:r w:rsidR="001320EB">
        <w:rPr>
          <w:noProof/>
          <w:webHidden/>
        </w:rPr>
        <w:t>4</w:t>
      </w:r>
    </w:p>
    <w:p w14:paraId="1C647449" w14:textId="36D1841D" w:rsidR="00B77AE5" w:rsidRDefault="00B77AE5" w:rsidP="00174B94">
      <w:pPr>
        <w:pStyle w:val="TableofFigures"/>
        <w:tabs>
          <w:tab w:val="right" w:leader="dot" w:pos="9350"/>
        </w:tabs>
        <w:ind w:left="1200"/>
        <w:rPr>
          <w:rStyle w:val="Hyperlink"/>
          <w:noProof/>
          <w:color w:val="auto"/>
          <w:u w:val="none"/>
        </w:rPr>
      </w:pPr>
      <w:r w:rsidRPr="004C1602">
        <w:rPr>
          <w:rStyle w:val="Hyperlink"/>
          <w:noProof/>
          <w:color w:val="auto"/>
          <w:u w:val="none"/>
        </w:rPr>
        <w:tab/>
      </w:r>
      <w:r>
        <w:rPr>
          <w:rStyle w:val="Hyperlink"/>
          <w:noProof/>
          <w:color w:val="auto"/>
          <w:u w:val="none"/>
        </w:rPr>
        <w:t xml:space="preserve">2.2.4.2 </w:t>
      </w:r>
      <w:r w:rsidR="001320EB">
        <w:rPr>
          <w:rStyle w:val="Hyperlink"/>
          <w:noProof/>
          <w:color w:val="auto"/>
          <w:u w:val="none"/>
        </w:rPr>
        <w:t>Mixing Requirements for Lime Treated Subgrades</w:t>
      </w:r>
      <w:r w:rsidRPr="004C1602">
        <w:rPr>
          <w:noProof/>
          <w:webHidden/>
        </w:rPr>
        <w:tab/>
      </w:r>
      <w:r>
        <w:rPr>
          <w:noProof/>
          <w:webHidden/>
        </w:rPr>
        <w:t>1</w:t>
      </w:r>
      <w:r w:rsidR="00174B94">
        <w:rPr>
          <w:noProof/>
          <w:webHidden/>
        </w:rPr>
        <w:t>5</w:t>
      </w:r>
    </w:p>
    <w:p w14:paraId="31A2A0CC" w14:textId="014E877D" w:rsidR="001320EB" w:rsidRDefault="001320EB" w:rsidP="001320EB">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2.2.5 Compaction</w:t>
      </w:r>
      <w:r w:rsidRPr="004C1602">
        <w:rPr>
          <w:noProof/>
          <w:webHidden/>
        </w:rPr>
        <w:tab/>
      </w:r>
      <w:r>
        <w:rPr>
          <w:noProof/>
          <w:webHidden/>
        </w:rPr>
        <w:t>16</w:t>
      </w:r>
    </w:p>
    <w:p w14:paraId="55C6776A" w14:textId="77777777" w:rsidR="00DB40FF" w:rsidRPr="00DB40FF" w:rsidRDefault="00DB40FF" w:rsidP="00DB40FF"/>
    <w:p w14:paraId="0D5103AD" w14:textId="2218A456" w:rsidR="0096291B" w:rsidRPr="004C1602" w:rsidRDefault="0096291B" w:rsidP="00174B9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Pr>
          <w:rStyle w:val="Hyperlink"/>
          <w:noProof/>
          <w:color w:val="auto"/>
          <w:u w:val="none"/>
        </w:rPr>
        <w:t>2.3 XRF Spectrometry</w:t>
      </w:r>
      <w:r w:rsidRPr="004C1602">
        <w:rPr>
          <w:noProof/>
          <w:webHidden/>
        </w:rPr>
        <w:tab/>
      </w:r>
      <w:r>
        <w:rPr>
          <w:rStyle w:val="Hyperlink"/>
          <w:noProof/>
          <w:color w:val="auto"/>
          <w:u w:val="none"/>
        </w:rPr>
        <w:t>1</w:t>
      </w:r>
      <w:r w:rsidR="00174B94">
        <w:rPr>
          <w:rStyle w:val="Hyperlink"/>
          <w:noProof/>
          <w:color w:val="auto"/>
          <w:u w:val="none"/>
        </w:rPr>
        <w:t>7</w:t>
      </w:r>
    </w:p>
    <w:p w14:paraId="707060F3" w14:textId="56BA083C" w:rsidR="00467F6A" w:rsidRPr="004C1602" w:rsidRDefault="00467F6A" w:rsidP="00174B9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 xml:space="preserve">Chapter </w:t>
      </w:r>
      <w:r>
        <w:rPr>
          <w:rStyle w:val="Hyperlink"/>
          <w:noProof/>
          <w:color w:val="auto"/>
          <w:u w:val="none"/>
        </w:rPr>
        <w:t>3</w:t>
      </w:r>
      <w:r w:rsidRPr="004C1602">
        <w:rPr>
          <w:rStyle w:val="Hyperlink"/>
          <w:noProof/>
          <w:color w:val="auto"/>
          <w:u w:val="none"/>
        </w:rPr>
        <w:t xml:space="preserve">: </w:t>
      </w:r>
      <w:r>
        <w:rPr>
          <w:rStyle w:val="Hyperlink"/>
          <w:noProof/>
          <w:color w:val="auto"/>
          <w:u w:val="none"/>
        </w:rPr>
        <w:t>Methods</w:t>
      </w:r>
      <w:r w:rsidRPr="004C1602">
        <w:rPr>
          <w:noProof/>
          <w:webHidden/>
        </w:rPr>
        <w:tab/>
      </w:r>
      <w:r>
        <w:rPr>
          <w:rStyle w:val="Hyperlink"/>
          <w:noProof/>
          <w:color w:val="auto"/>
          <w:u w:val="none"/>
        </w:rPr>
        <w:t>2</w:t>
      </w:r>
      <w:r w:rsidR="001320EB">
        <w:rPr>
          <w:rStyle w:val="Hyperlink"/>
          <w:noProof/>
          <w:color w:val="auto"/>
          <w:u w:val="none"/>
        </w:rPr>
        <w:t>3</w:t>
      </w:r>
    </w:p>
    <w:p w14:paraId="0EC4B602" w14:textId="60BFFFD4" w:rsidR="00467F6A" w:rsidRDefault="00467F6A" w:rsidP="00174B94">
      <w:pPr>
        <w:pStyle w:val="TableofFigures"/>
        <w:tabs>
          <w:tab w:val="right" w:leader="dot" w:pos="9350"/>
        </w:tabs>
        <w:rPr>
          <w:rStyle w:val="Hyperlink"/>
          <w:noProof/>
          <w:color w:val="auto"/>
          <w:u w:val="none"/>
        </w:rPr>
      </w:pPr>
      <w:r w:rsidRPr="004C1602">
        <w:rPr>
          <w:rStyle w:val="Hyperlink"/>
          <w:noProof/>
          <w:color w:val="auto"/>
          <w:u w:val="none"/>
        </w:rPr>
        <w:tab/>
      </w:r>
      <w:r>
        <w:rPr>
          <w:rStyle w:val="Hyperlink"/>
          <w:noProof/>
          <w:color w:val="auto"/>
          <w:u w:val="none"/>
        </w:rPr>
        <w:t>3</w:t>
      </w:r>
      <w:r w:rsidRPr="004C1602">
        <w:rPr>
          <w:rStyle w:val="Hyperlink"/>
          <w:noProof/>
          <w:color w:val="auto"/>
          <w:u w:val="none"/>
        </w:rPr>
        <w:t xml:space="preserve">.1 </w:t>
      </w:r>
      <w:r>
        <w:rPr>
          <w:rStyle w:val="Hyperlink"/>
          <w:noProof/>
          <w:color w:val="auto"/>
          <w:u w:val="none"/>
        </w:rPr>
        <w:t>Materials and Apparatuses</w:t>
      </w:r>
      <w:r w:rsidRPr="004C1602">
        <w:rPr>
          <w:noProof/>
          <w:webHidden/>
        </w:rPr>
        <w:tab/>
      </w:r>
      <w:r>
        <w:rPr>
          <w:rStyle w:val="Hyperlink"/>
          <w:noProof/>
          <w:color w:val="auto"/>
          <w:u w:val="none"/>
        </w:rPr>
        <w:t>2</w:t>
      </w:r>
      <w:r w:rsidR="001320EB">
        <w:rPr>
          <w:rStyle w:val="Hyperlink"/>
          <w:noProof/>
          <w:color w:val="auto"/>
          <w:u w:val="none"/>
        </w:rPr>
        <w:t>3</w:t>
      </w:r>
    </w:p>
    <w:p w14:paraId="7BEA341D" w14:textId="20FA44FC" w:rsidR="001320EB" w:rsidRDefault="001320EB" w:rsidP="001320EB">
      <w:pPr>
        <w:pStyle w:val="TableofFigures"/>
        <w:tabs>
          <w:tab w:val="right" w:leader="dot" w:pos="9350"/>
        </w:tabs>
        <w:rPr>
          <w:rStyle w:val="Hyperlink"/>
          <w:noProof/>
          <w:color w:val="auto"/>
          <w:u w:val="none"/>
        </w:rPr>
      </w:pPr>
      <w:r w:rsidRPr="004C1602">
        <w:rPr>
          <w:rStyle w:val="Hyperlink"/>
          <w:noProof/>
          <w:color w:val="auto"/>
          <w:u w:val="none"/>
        </w:rPr>
        <w:tab/>
      </w:r>
      <w:r>
        <w:rPr>
          <w:rStyle w:val="Hyperlink"/>
          <w:noProof/>
          <w:color w:val="auto"/>
          <w:u w:val="none"/>
        </w:rPr>
        <w:t>3.2</w:t>
      </w:r>
      <w:r w:rsidRPr="004C1602">
        <w:rPr>
          <w:rStyle w:val="Hyperlink"/>
          <w:noProof/>
          <w:color w:val="auto"/>
          <w:u w:val="none"/>
        </w:rPr>
        <w:t xml:space="preserve"> </w:t>
      </w:r>
      <w:r>
        <w:rPr>
          <w:rStyle w:val="Hyperlink"/>
          <w:noProof/>
          <w:color w:val="auto"/>
          <w:u w:val="none"/>
        </w:rPr>
        <w:t>Testing Matrix</w:t>
      </w:r>
      <w:r w:rsidRPr="004C1602">
        <w:rPr>
          <w:noProof/>
          <w:webHidden/>
        </w:rPr>
        <w:tab/>
      </w:r>
      <w:r>
        <w:rPr>
          <w:rStyle w:val="Hyperlink"/>
          <w:noProof/>
          <w:color w:val="auto"/>
          <w:u w:val="none"/>
        </w:rPr>
        <w:t>24</w:t>
      </w:r>
    </w:p>
    <w:p w14:paraId="04648830" w14:textId="15D586D0" w:rsidR="001320EB" w:rsidRDefault="001320EB" w:rsidP="001320EB">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3.2.1 Laboratory Testing</w:t>
      </w:r>
      <w:r w:rsidRPr="004C1602">
        <w:rPr>
          <w:noProof/>
          <w:webHidden/>
        </w:rPr>
        <w:tab/>
      </w:r>
      <w:r>
        <w:rPr>
          <w:noProof/>
          <w:webHidden/>
        </w:rPr>
        <w:t>24</w:t>
      </w:r>
    </w:p>
    <w:p w14:paraId="415BB6E8" w14:textId="397EC819" w:rsidR="001320EB" w:rsidRDefault="001320EB" w:rsidP="001320EB">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3.2.2 Field Testing</w:t>
      </w:r>
      <w:r w:rsidRPr="004C1602">
        <w:rPr>
          <w:noProof/>
          <w:webHidden/>
        </w:rPr>
        <w:tab/>
      </w:r>
      <w:r>
        <w:rPr>
          <w:noProof/>
          <w:webHidden/>
        </w:rPr>
        <w:t>25</w:t>
      </w:r>
    </w:p>
    <w:p w14:paraId="44C35BA4" w14:textId="36F16BC1" w:rsidR="00467F6A" w:rsidRDefault="00467F6A" w:rsidP="00174B94">
      <w:pPr>
        <w:pStyle w:val="TableofFigures"/>
        <w:tabs>
          <w:tab w:val="right" w:leader="dot" w:pos="9350"/>
        </w:tabs>
        <w:rPr>
          <w:rStyle w:val="Hyperlink"/>
          <w:noProof/>
          <w:color w:val="auto"/>
          <w:u w:val="none"/>
        </w:rPr>
      </w:pPr>
      <w:r w:rsidRPr="004C1602">
        <w:rPr>
          <w:rStyle w:val="Hyperlink"/>
          <w:noProof/>
          <w:color w:val="auto"/>
          <w:u w:val="none"/>
        </w:rPr>
        <w:tab/>
      </w:r>
      <w:r w:rsidR="001320EB">
        <w:rPr>
          <w:rStyle w:val="Hyperlink"/>
          <w:noProof/>
          <w:color w:val="auto"/>
          <w:u w:val="none"/>
        </w:rPr>
        <w:t>3.3</w:t>
      </w:r>
      <w:r w:rsidRPr="004C1602">
        <w:rPr>
          <w:rStyle w:val="Hyperlink"/>
          <w:noProof/>
          <w:color w:val="auto"/>
          <w:u w:val="none"/>
        </w:rPr>
        <w:t xml:space="preserve"> </w:t>
      </w:r>
      <w:r>
        <w:rPr>
          <w:rStyle w:val="Hyperlink"/>
          <w:noProof/>
          <w:color w:val="auto"/>
          <w:u w:val="none"/>
        </w:rPr>
        <w:t>Mixing Procedures</w:t>
      </w:r>
      <w:r w:rsidRPr="004C1602">
        <w:rPr>
          <w:noProof/>
          <w:webHidden/>
        </w:rPr>
        <w:tab/>
      </w:r>
      <w:r>
        <w:rPr>
          <w:rStyle w:val="Hyperlink"/>
          <w:noProof/>
          <w:color w:val="auto"/>
          <w:u w:val="none"/>
        </w:rPr>
        <w:t>2</w:t>
      </w:r>
      <w:r w:rsidR="001320EB">
        <w:rPr>
          <w:rStyle w:val="Hyperlink"/>
          <w:noProof/>
          <w:color w:val="auto"/>
          <w:u w:val="none"/>
        </w:rPr>
        <w:t>6</w:t>
      </w:r>
    </w:p>
    <w:p w14:paraId="5C56BD16" w14:textId="0CFC45CA" w:rsidR="00467F6A" w:rsidRPr="004C1602" w:rsidRDefault="00467F6A" w:rsidP="001320EB">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Pr>
          <w:rStyle w:val="Hyperlink"/>
          <w:noProof/>
          <w:color w:val="auto"/>
          <w:u w:val="none"/>
        </w:rPr>
        <w:t>3.</w:t>
      </w:r>
      <w:r w:rsidR="001320EB">
        <w:rPr>
          <w:rStyle w:val="Hyperlink"/>
          <w:noProof/>
          <w:color w:val="auto"/>
          <w:u w:val="none"/>
        </w:rPr>
        <w:t>4</w:t>
      </w:r>
      <w:r w:rsidRPr="004C1602">
        <w:rPr>
          <w:rStyle w:val="Hyperlink"/>
          <w:noProof/>
          <w:color w:val="auto"/>
          <w:u w:val="none"/>
        </w:rPr>
        <w:t xml:space="preserve"> </w:t>
      </w:r>
      <w:r w:rsidR="00B77AE5">
        <w:rPr>
          <w:rStyle w:val="Hyperlink"/>
          <w:noProof/>
          <w:color w:val="auto"/>
          <w:u w:val="none"/>
        </w:rPr>
        <w:t>Mill</w:t>
      </w:r>
      <w:r>
        <w:rPr>
          <w:rStyle w:val="Hyperlink"/>
          <w:noProof/>
          <w:color w:val="auto"/>
          <w:u w:val="none"/>
        </w:rPr>
        <w:t>ing Procedures</w:t>
      </w:r>
      <w:r w:rsidRPr="004C1602">
        <w:rPr>
          <w:noProof/>
          <w:webHidden/>
        </w:rPr>
        <w:tab/>
      </w:r>
      <w:r>
        <w:rPr>
          <w:rStyle w:val="Hyperlink"/>
          <w:noProof/>
          <w:color w:val="auto"/>
          <w:u w:val="none"/>
        </w:rPr>
        <w:t>2</w:t>
      </w:r>
      <w:r w:rsidR="001320EB">
        <w:rPr>
          <w:rStyle w:val="Hyperlink"/>
          <w:noProof/>
          <w:color w:val="auto"/>
          <w:u w:val="none"/>
        </w:rPr>
        <w:t>9</w:t>
      </w:r>
    </w:p>
    <w:p w14:paraId="07E581D3" w14:textId="40243704" w:rsidR="00467F6A" w:rsidRPr="004C1602" w:rsidRDefault="00467F6A" w:rsidP="00174B9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sidR="001320EB">
        <w:rPr>
          <w:rStyle w:val="Hyperlink"/>
          <w:noProof/>
          <w:color w:val="auto"/>
          <w:u w:val="none"/>
        </w:rPr>
        <w:t>3.5</w:t>
      </w:r>
      <w:r w:rsidRPr="004C1602">
        <w:rPr>
          <w:rStyle w:val="Hyperlink"/>
          <w:noProof/>
          <w:color w:val="auto"/>
          <w:u w:val="none"/>
        </w:rPr>
        <w:t xml:space="preserve"> </w:t>
      </w:r>
      <w:r>
        <w:rPr>
          <w:rStyle w:val="Hyperlink"/>
          <w:noProof/>
          <w:color w:val="auto"/>
          <w:u w:val="none"/>
        </w:rPr>
        <w:t>Pressed Pellet Procedures</w:t>
      </w:r>
      <w:r w:rsidRPr="004C1602">
        <w:rPr>
          <w:noProof/>
          <w:webHidden/>
        </w:rPr>
        <w:tab/>
      </w:r>
      <w:r w:rsidR="001320EB">
        <w:rPr>
          <w:rStyle w:val="Hyperlink"/>
          <w:noProof/>
          <w:color w:val="auto"/>
          <w:u w:val="none"/>
        </w:rPr>
        <w:t>30</w:t>
      </w:r>
    </w:p>
    <w:p w14:paraId="54097B2C" w14:textId="2253AA7D" w:rsidR="00467F6A" w:rsidRPr="004C1602" w:rsidRDefault="00467F6A" w:rsidP="00174B9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sidR="001320EB">
        <w:rPr>
          <w:rStyle w:val="Hyperlink"/>
          <w:noProof/>
          <w:color w:val="auto"/>
          <w:u w:val="none"/>
        </w:rPr>
        <w:t>3.6</w:t>
      </w:r>
      <w:r w:rsidRPr="004C1602">
        <w:rPr>
          <w:rStyle w:val="Hyperlink"/>
          <w:noProof/>
          <w:color w:val="auto"/>
          <w:u w:val="none"/>
        </w:rPr>
        <w:t xml:space="preserve"> </w:t>
      </w:r>
      <w:r>
        <w:rPr>
          <w:rStyle w:val="Hyperlink"/>
          <w:noProof/>
          <w:color w:val="auto"/>
          <w:u w:val="none"/>
        </w:rPr>
        <w:t>Powder Samples Procedures</w:t>
      </w:r>
      <w:r w:rsidRPr="004C1602">
        <w:rPr>
          <w:noProof/>
          <w:webHidden/>
        </w:rPr>
        <w:tab/>
      </w:r>
      <w:r w:rsidR="001320EB">
        <w:rPr>
          <w:rStyle w:val="Hyperlink"/>
          <w:noProof/>
          <w:color w:val="auto"/>
          <w:u w:val="none"/>
        </w:rPr>
        <w:t>31</w:t>
      </w:r>
    </w:p>
    <w:p w14:paraId="2EDBA2CA" w14:textId="6C4DA5D9" w:rsidR="00467F6A" w:rsidRPr="004C1602" w:rsidRDefault="00467F6A" w:rsidP="00AF3CC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sidR="001320EB">
        <w:rPr>
          <w:rStyle w:val="Hyperlink"/>
          <w:noProof/>
          <w:color w:val="auto"/>
          <w:u w:val="none"/>
        </w:rPr>
        <w:t>3.7</w:t>
      </w:r>
      <w:r w:rsidR="00771F08">
        <w:rPr>
          <w:rStyle w:val="Hyperlink"/>
          <w:noProof/>
          <w:color w:val="auto"/>
          <w:u w:val="none"/>
        </w:rPr>
        <w:t xml:space="preserve"> Laboratory Testing of PH</w:t>
      </w:r>
      <w:r>
        <w:rPr>
          <w:rStyle w:val="Hyperlink"/>
          <w:noProof/>
          <w:color w:val="auto"/>
          <w:u w:val="none"/>
        </w:rPr>
        <w:t>XRF</w:t>
      </w:r>
      <w:r w:rsidRPr="004C1602">
        <w:rPr>
          <w:noProof/>
          <w:webHidden/>
        </w:rPr>
        <w:tab/>
      </w:r>
      <w:r w:rsidR="00B77AE5">
        <w:rPr>
          <w:noProof/>
          <w:webHidden/>
        </w:rPr>
        <w:t>3</w:t>
      </w:r>
      <w:r w:rsidR="001320EB">
        <w:rPr>
          <w:noProof/>
          <w:webHidden/>
        </w:rPr>
        <w:t>3</w:t>
      </w:r>
    </w:p>
    <w:p w14:paraId="6D926C72" w14:textId="63855B73" w:rsidR="00C07CC2" w:rsidRPr="00AF3CC4" w:rsidRDefault="001320EB" w:rsidP="00AF3CC4">
      <w:pPr>
        <w:pStyle w:val="TableofFigures"/>
        <w:tabs>
          <w:tab w:val="right" w:leader="dot" w:pos="9350"/>
        </w:tabs>
        <w:rPr>
          <w:rFonts w:asciiTheme="minorHAnsi" w:eastAsiaTheme="minorEastAsia" w:hAnsiTheme="minorHAnsi" w:cstheme="minorBidi"/>
          <w:noProof/>
          <w:sz w:val="22"/>
          <w:szCs w:val="22"/>
        </w:rPr>
      </w:pPr>
      <w:r>
        <w:rPr>
          <w:rStyle w:val="Hyperlink"/>
          <w:noProof/>
          <w:color w:val="auto"/>
          <w:u w:val="none"/>
        </w:rPr>
        <w:tab/>
        <w:t>3.8</w:t>
      </w:r>
      <w:r w:rsidR="00C07CC2" w:rsidRPr="00AF3CC4">
        <w:rPr>
          <w:rStyle w:val="Hyperlink"/>
          <w:noProof/>
          <w:color w:val="auto"/>
          <w:u w:val="none"/>
        </w:rPr>
        <w:t xml:space="preserve"> Laboratory Testing Data Analysis</w:t>
      </w:r>
      <w:r w:rsidR="00C07CC2" w:rsidRPr="00AF3CC4">
        <w:rPr>
          <w:noProof/>
          <w:webHidden/>
        </w:rPr>
        <w:tab/>
      </w:r>
      <w:r w:rsidR="00AF3CC4">
        <w:rPr>
          <w:noProof/>
          <w:webHidden/>
        </w:rPr>
        <w:t>3</w:t>
      </w:r>
      <w:r>
        <w:rPr>
          <w:noProof/>
          <w:webHidden/>
        </w:rPr>
        <w:t>5</w:t>
      </w:r>
    </w:p>
    <w:p w14:paraId="5B422217" w14:textId="493C6917" w:rsidR="00467F6A" w:rsidRDefault="00467F6A" w:rsidP="00AF3CC4">
      <w:pPr>
        <w:pStyle w:val="TableofFigures"/>
        <w:tabs>
          <w:tab w:val="right" w:leader="dot" w:pos="9350"/>
        </w:tabs>
        <w:rPr>
          <w:rStyle w:val="Hyperlink"/>
          <w:noProof/>
          <w:color w:val="auto"/>
          <w:u w:val="none"/>
        </w:rPr>
      </w:pPr>
      <w:r w:rsidRPr="004C1602">
        <w:rPr>
          <w:rStyle w:val="Hyperlink"/>
          <w:noProof/>
          <w:color w:val="auto"/>
          <w:u w:val="none"/>
        </w:rPr>
        <w:tab/>
      </w:r>
      <w:r w:rsidR="001320EB">
        <w:rPr>
          <w:rStyle w:val="Hyperlink"/>
          <w:noProof/>
          <w:color w:val="auto"/>
          <w:u w:val="none"/>
        </w:rPr>
        <w:t>3.9</w:t>
      </w:r>
      <w:r w:rsidR="00771F08">
        <w:rPr>
          <w:rStyle w:val="Hyperlink"/>
          <w:noProof/>
          <w:color w:val="auto"/>
          <w:u w:val="none"/>
        </w:rPr>
        <w:t xml:space="preserve"> Field Testing of PH</w:t>
      </w:r>
      <w:r>
        <w:rPr>
          <w:rStyle w:val="Hyperlink"/>
          <w:noProof/>
          <w:color w:val="auto"/>
          <w:u w:val="none"/>
        </w:rPr>
        <w:t>XRF</w:t>
      </w:r>
      <w:r w:rsidRPr="004C1602">
        <w:rPr>
          <w:noProof/>
          <w:webHidden/>
        </w:rPr>
        <w:tab/>
      </w:r>
      <w:r w:rsidR="001320EB">
        <w:rPr>
          <w:rStyle w:val="Hyperlink"/>
          <w:noProof/>
          <w:color w:val="auto"/>
          <w:u w:val="none"/>
        </w:rPr>
        <w:t>36</w:t>
      </w:r>
    </w:p>
    <w:p w14:paraId="100E05B7" w14:textId="5E54CC5E" w:rsidR="009A4DAD" w:rsidRPr="009A4DAD" w:rsidRDefault="009A4DAD" w:rsidP="00AF3CC4">
      <w:pPr>
        <w:pStyle w:val="TableofFigures"/>
        <w:tabs>
          <w:tab w:val="right" w:leader="dot" w:pos="9350"/>
        </w:tabs>
      </w:pPr>
      <w:r w:rsidRPr="004C1602">
        <w:rPr>
          <w:rStyle w:val="Hyperlink"/>
          <w:noProof/>
          <w:color w:val="auto"/>
          <w:u w:val="none"/>
        </w:rPr>
        <w:tab/>
      </w:r>
      <w:r w:rsidR="001320EB">
        <w:rPr>
          <w:rStyle w:val="Hyperlink"/>
          <w:noProof/>
          <w:color w:val="auto"/>
          <w:u w:val="none"/>
        </w:rPr>
        <w:t>3.10</w:t>
      </w:r>
      <w:r>
        <w:rPr>
          <w:rStyle w:val="Hyperlink"/>
          <w:noProof/>
          <w:color w:val="auto"/>
          <w:u w:val="none"/>
        </w:rPr>
        <w:t xml:space="preserve"> Field Testing Data Analysis</w:t>
      </w:r>
      <w:r w:rsidRPr="004C1602">
        <w:rPr>
          <w:noProof/>
          <w:webHidden/>
        </w:rPr>
        <w:tab/>
      </w:r>
      <w:r w:rsidR="001320EB">
        <w:rPr>
          <w:rStyle w:val="Hyperlink"/>
          <w:noProof/>
          <w:color w:val="auto"/>
          <w:u w:val="none"/>
        </w:rPr>
        <w:t>40</w:t>
      </w:r>
    </w:p>
    <w:p w14:paraId="469393F6" w14:textId="44311F19" w:rsidR="007C0D88" w:rsidRDefault="007C0D88" w:rsidP="00AF3CC4">
      <w:pPr>
        <w:pStyle w:val="TableofFigures"/>
        <w:tabs>
          <w:tab w:val="right" w:leader="dot" w:pos="9350"/>
        </w:tabs>
        <w:rPr>
          <w:rStyle w:val="Hyperlink"/>
          <w:noProof/>
          <w:color w:val="auto"/>
          <w:u w:val="none"/>
        </w:rPr>
      </w:pPr>
      <w:r w:rsidRPr="004C1602">
        <w:rPr>
          <w:rStyle w:val="Hyperlink"/>
          <w:noProof/>
          <w:color w:val="auto"/>
          <w:u w:val="none"/>
        </w:rPr>
        <w:t xml:space="preserve">Chapter </w:t>
      </w:r>
      <w:r>
        <w:rPr>
          <w:rStyle w:val="Hyperlink"/>
          <w:noProof/>
          <w:color w:val="auto"/>
          <w:u w:val="none"/>
        </w:rPr>
        <w:t>4</w:t>
      </w:r>
      <w:r w:rsidRPr="004C1602">
        <w:rPr>
          <w:rStyle w:val="Hyperlink"/>
          <w:noProof/>
          <w:color w:val="auto"/>
          <w:u w:val="none"/>
        </w:rPr>
        <w:t xml:space="preserve">: </w:t>
      </w:r>
      <w:r>
        <w:rPr>
          <w:rStyle w:val="Hyperlink"/>
          <w:noProof/>
          <w:color w:val="auto"/>
          <w:u w:val="none"/>
        </w:rPr>
        <w:t>Results</w:t>
      </w:r>
      <w:r w:rsidRPr="004C1602">
        <w:rPr>
          <w:noProof/>
          <w:webHidden/>
        </w:rPr>
        <w:tab/>
      </w:r>
      <w:r w:rsidR="001320EB">
        <w:rPr>
          <w:rStyle w:val="Hyperlink"/>
          <w:noProof/>
          <w:color w:val="auto"/>
          <w:u w:val="none"/>
        </w:rPr>
        <w:t>41</w:t>
      </w:r>
    </w:p>
    <w:p w14:paraId="59DF9DC1" w14:textId="60479806" w:rsidR="009A4DAD" w:rsidRDefault="009A4DAD" w:rsidP="001320EB">
      <w:pPr>
        <w:pStyle w:val="TableofFigures"/>
        <w:tabs>
          <w:tab w:val="right" w:leader="dot" w:pos="9350"/>
        </w:tabs>
        <w:rPr>
          <w:noProof/>
          <w:webHidden/>
        </w:rPr>
      </w:pPr>
      <w:r w:rsidRPr="004C1602">
        <w:rPr>
          <w:rStyle w:val="Hyperlink"/>
          <w:noProof/>
          <w:color w:val="auto"/>
          <w:u w:val="none"/>
        </w:rPr>
        <w:tab/>
      </w:r>
      <w:r>
        <w:rPr>
          <w:rStyle w:val="Hyperlink"/>
          <w:noProof/>
          <w:color w:val="auto"/>
          <w:u w:val="none"/>
        </w:rPr>
        <w:t>4</w:t>
      </w:r>
      <w:r w:rsidRPr="004C1602">
        <w:rPr>
          <w:rStyle w:val="Hyperlink"/>
          <w:noProof/>
          <w:color w:val="auto"/>
          <w:u w:val="none"/>
        </w:rPr>
        <w:t>.1 Introduction</w:t>
      </w:r>
      <w:r w:rsidRPr="004C1602">
        <w:rPr>
          <w:noProof/>
          <w:webHidden/>
        </w:rPr>
        <w:tab/>
      </w:r>
      <w:r w:rsidR="001320EB">
        <w:rPr>
          <w:noProof/>
          <w:webHidden/>
        </w:rPr>
        <w:t>41</w:t>
      </w:r>
    </w:p>
    <w:p w14:paraId="589D8487" w14:textId="314AFAF9" w:rsidR="009A4DAD" w:rsidRPr="004C1602" w:rsidRDefault="009A4DAD" w:rsidP="00AF3CC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Pr>
          <w:rStyle w:val="Hyperlink"/>
          <w:noProof/>
          <w:color w:val="auto"/>
          <w:u w:val="none"/>
        </w:rPr>
        <w:t>4.2</w:t>
      </w:r>
      <w:r w:rsidRPr="004C1602">
        <w:rPr>
          <w:rStyle w:val="Hyperlink"/>
          <w:noProof/>
          <w:color w:val="auto"/>
          <w:u w:val="none"/>
        </w:rPr>
        <w:t xml:space="preserve"> </w:t>
      </w:r>
      <w:r>
        <w:rPr>
          <w:rStyle w:val="Hyperlink"/>
          <w:noProof/>
          <w:color w:val="auto"/>
          <w:u w:val="none"/>
        </w:rPr>
        <w:t>PHXRF Laboratory Testing</w:t>
      </w:r>
      <w:r w:rsidRPr="004C1602">
        <w:rPr>
          <w:noProof/>
          <w:webHidden/>
        </w:rPr>
        <w:tab/>
      </w:r>
      <w:r w:rsidR="001320EB">
        <w:rPr>
          <w:noProof/>
          <w:webHidden/>
        </w:rPr>
        <w:t>41</w:t>
      </w:r>
    </w:p>
    <w:p w14:paraId="0B4CF65B" w14:textId="2168A959" w:rsidR="009A4DAD" w:rsidRDefault="009A4DAD" w:rsidP="00AF3CC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4.2.1 Scan Durations</w:t>
      </w:r>
      <w:r w:rsidRPr="004C1602">
        <w:rPr>
          <w:noProof/>
          <w:webHidden/>
        </w:rPr>
        <w:tab/>
      </w:r>
      <w:r w:rsidR="001320EB">
        <w:rPr>
          <w:noProof/>
          <w:webHidden/>
        </w:rPr>
        <w:t>41</w:t>
      </w:r>
    </w:p>
    <w:p w14:paraId="4EC46239" w14:textId="51039B45" w:rsidR="009A4DAD" w:rsidRDefault="009A4DAD" w:rsidP="001320EB">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 xml:space="preserve">4.2.2 </w:t>
      </w:r>
      <w:r w:rsidR="001320EB">
        <w:rPr>
          <w:rStyle w:val="Hyperlink"/>
          <w:noProof/>
          <w:color w:val="auto"/>
          <w:u w:val="none"/>
        </w:rPr>
        <w:t>Scan Technique</w:t>
      </w:r>
      <w:r w:rsidRPr="004C1602">
        <w:rPr>
          <w:noProof/>
          <w:webHidden/>
        </w:rPr>
        <w:tab/>
      </w:r>
      <w:r w:rsidR="00AF3CC4">
        <w:rPr>
          <w:noProof/>
          <w:webHidden/>
        </w:rPr>
        <w:t>4</w:t>
      </w:r>
      <w:r w:rsidR="001320EB">
        <w:rPr>
          <w:noProof/>
          <w:webHidden/>
        </w:rPr>
        <w:t>7</w:t>
      </w:r>
    </w:p>
    <w:p w14:paraId="0FF73E66" w14:textId="6B05244F" w:rsidR="009A4DAD" w:rsidRDefault="009A4DAD" w:rsidP="001320EB">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 xml:space="preserve">4.2.3 </w:t>
      </w:r>
      <w:r w:rsidR="001320EB">
        <w:rPr>
          <w:rStyle w:val="Hyperlink"/>
          <w:noProof/>
          <w:color w:val="auto"/>
          <w:u w:val="none"/>
        </w:rPr>
        <w:t>Particle Size</w:t>
      </w:r>
      <w:r w:rsidRPr="004C1602">
        <w:rPr>
          <w:noProof/>
          <w:webHidden/>
        </w:rPr>
        <w:tab/>
      </w:r>
      <w:r w:rsidR="00B40207">
        <w:rPr>
          <w:noProof/>
          <w:webHidden/>
        </w:rPr>
        <w:t>53</w:t>
      </w:r>
    </w:p>
    <w:p w14:paraId="1FB19466" w14:textId="419E2DBF" w:rsidR="009A4DAD" w:rsidRDefault="009A4DAD" w:rsidP="001320EB">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4.2.4</w:t>
      </w:r>
      <w:r w:rsidR="001320EB" w:rsidRPr="001320EB">
        <w:rPr>
          <w:rStyle w:val="Hyperlink"/>
          <w:noProof/>
          <w:color w:val="auto"/>
          <w:u w:val="none"/>
        </w:rPr>
        <w:t xml:space="preserve"> </w:t>
      </w:r>
      <w:r w:rsidR="001320EB">
        <w:rPr>
          <w:rStyle w:val="Hyperlink"/>
          <w:noProof/>
          <w:color w:val="auto"/>
          <w:u w:val="none"/>
        </w:rPr>
        <w:t>Sample Type</w:t>
      </w:r>
      <w:r w:rsidRPr="004C1602">
        <w:rPr>
          <w:noProof/>
          <w:webHidden/>
        </w:rPr>
        <w:tab/>
      </w:r>
      <w:r w:rsidR="00B40207">
        <w:rPr>
          <w:noProof/>
          <w:webHidden/>
        </w:rPr>
        <w:t>62</w:t>
      </w:r>
    </w:p>
    <w:p w14:paraId="49F2BCE1" w14:textId="7EEE9F1A" w:rsidR="009A4DAD" w:rsidRDefault="009A4DAD" w:rsidP="00AF3CC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4.2.5 PHXRF Device Comparison</w:t>
      </w:r>
      <w:r w:rsidRPr="004C1602">
        <w:rPr>
          <w:noProof/>
          <w:webHidden/>
        </w:rPr>
        <w:tab/>
      </w:r>
      <w:r w:rsidR="00AF3CC4">
        <w:rPr>
          <w:noProof/>
          <w:webHidden/>
        </w:rPr>
        <w:t>6</w:t>
      </w:r>
      <w:r w:rsidR="00B40207">
        <w:rPr>
          <w:noProof/>
          <w:webHidden/>
        </w:rPr>
        <w:t>9</w:t>
      </w:r>
    </w:p>
    <w:p w14:paraId="79F43A56" w14:textId="027DAF87" w:rsidR="009A4DAD" w:rsidRPr="004C1602" w:rsidRDefault="009A4DAD" w:rsidP="00AF3CC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Pr>
          <w:rStyle w:val="Hyperlink"/>
          <w:noProof/>
          <w:color w:val="auto"/>
          <w:u w:val="none"/>
        </w:rPr>
        <w:t>4.3</w:t>
      </w:r>
      <w:r w:rsidRPr="004C1602">
        <w:rPr>
          <w:rStyle w:val="Hyperlink"/>
          <w:noProof/>
          <w:color w:val="auto"/>
          <w:u w:val="none"/>
        </w:rPr>
        <w:t xml:space="preserve"> </w:t>
      </w:r>
      <w:r>
        <w:rPr>
          <w:rStyle w:val="Hyperlink"/>
          <w:noProof/>
          <w:color w:val="auto"/>
          <w:u w:val="none"/>
        </w:rPr>
        <w:t>PHXRF Field Testing</w:t>
      </w:r>
      <w:r w:rsidRPr="004C1602">
        <w:rPr>
          <w:noProof/>
          <w:webHidden/>
        </w:rPr>
        <w:tab/>
      </w:r>
      <w:r w:rsidR="00B40207">
        <w:rPr>
          <w:noProof/>
          <w:webHidden/>
        </w:rPr>
        <w:t>71</w:t>
      </w:r>
    </w:p>
    <w:p w14:paraId="6B813298" w14:textId="0B215575" w:rsidR="00DE7160" w:rsidRDefault="00DE7160" w:rsidP="00AF3CC4">
      <w:pPr>
        <w:pStyle w:val="TableofFigures"/>
        <w:tabs>
          <w:tab w:val="right" w:leader="dot" w:pos="9350"/>
        </w:tabs>
        <w:ind w:left="960"/>
        <w:rPr>
          <w:noProof/>
          <w:webHidden/>
        </w:rPr>
      </w:pPr>
      <w:r w:rsidRPr="004C1602">
        <w:rPr>
          <w:rStyle w:val="Hyperlink"/>
          <w:noProof/>
          <w:color w:val="auto"/>
          <w:u w:val="none"/>
        </w:rPr>
        <w:lastRenderedPageBreak/>
        <w:tab/>
      </w:r>
      <w:r>
        <w:rPr>
          <w:rStyle w:val="Hyperlink"/>
          <w:noProof/>
          <w:color w:val="auto"/>
          <w:u w:val="none"/>
        </w:rPr>
        <w:t xml:space="preserve">4.3.1 </w:t>
      </w:r>
      <w:r w:rsidR="00AF3CC4">
        <w:rPr>
          <w:rStyle w:val="Hyperlink"/>
          <w:noProof/>
          <w:color w:val="auto"/>
          <w:u w:val="none"/>
        </w:rPr>
        <w:t xml:space="preserve">In Situ </w:t>
      </w:r>
      <w:r>
        <w:rPr>
          <w:rStyle w:val="Hyperlink"/>
          <w:noProof/>
          <w:color w:val="auto"/>
          <w:u w:val="none"/>
        </w:rPr>
        <w:t xml:space="preserve">PHXRF </w:t>
      </w:r>
      <w:r w:rsidR="00AF3CC4">
        <w:rPr>
          <w:rStyle w:val="Hyperlink"/>
          <w:noProof/>
          <w:color w:val="auto"/>
          <w:u w:val="none"/>
        </w:rPr>
        <w:t xml:space="preserve">Measurement </w:t>
      </w:r>
      <w:r>
        <w:rPr>
          <w:rStyle w:val="Hyperlink"/>
          <w:noProof/>
          <w:color w:val="auto"/>
          <w:u w:val="none"/>
        </w:rPr>
        <w:t>Accuracy</w:t>
      </w:r>
      <w:r w:rsidRPr="004C1602">
        <w:rPr>
          <w:noProof/>
          <w:webHidden/>
        </w:rPr>
        <w:tab/>
      </w:r>
      <w:r w:rsidR="00B40207">
        <w:rPr>
          <w:noProof/>
          <w:webHidden/>
        </w:rPr>
        <w:t>71</w:t>
      </w:r>
    </w:p>
    <w:p w14:paraId="58043034" w14:textId="70A40EEC" w:rsidR="00AF3CC4" w:rsidRDefault="00AF3CC4" w:rsidP="00AF3CC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4.3.2 Ex Situ PHXRF Measurement Accuracy</w:t>
      </w:r>
      <w:r w:rsidRPr="004C1602">
        <w:rPr>
          <w:noProof/>
          <w:webHidden/>
        </w:rPr>
        <w:tab/>
      </w:r>
      <w:r w:rsidR="00B40207">
        <w:rPr>
          <w:noProof/>
          <w:webHidden/>
        </w:rPr>
        <w:t>74</w:t>
      </w:r>
    </w:p>
    <w:p w14:paraId="01AFF8F2" w14:textId="0CB8454E" w:rsidR="00DE7160" w:rsidRDefault="00DE7160" w:rsidP="00AF3CC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4.3.</w:t>
      </w:r>
      <w:r w:rsidR="00AF3CC4">
        <w:rPr>
          <w:rStyle w:val="Hyperlink"/>
          <w:noProof/>
          <w:color w:val="auto"/>
          <w:u w:val="none"/>
        </w:rPr>
        <w:t>3</w:t>
      </w:r>
      <w:r>
        <w:rPr>
          <w:rStyle w:val="Hyperlink"/>
          <w:noProof/>
          <w:color w:val="auto"/>
          <w:u w:val="none"/>
        </w:rPr>
        <w:t xml:space="preserve"> Spatial</w:t>
      </w:r>
      <w:r w:rsidR="00B40207">
        <w:rPr>
          <w:rStyle w:val="Hyperlink"/>
          <w:noProof/>
          <w:color w:val="auto"/>
          <w:u w:val="none"/>
        </w:rPr>
        <w:t xml:space="preserve"> Stabilizer</w:t>
      </w:r>
      <w:r>
        <w:rPr>
          <w:rStyle w:val="Hyperlink"/>
          <w:noProof/>
          <w:color w:val="auto"/>
          <w:u w:val="none"/>
        </w:rPr>
        <w:t xml:space="preserve"> Heterogeneity</w:t>
      </w:r>
      <w:r w:rsidRPr="004C1602">
        <w:rPr>
          <w:noProof/>
          <w:webHidden/>
        </w:rPr>
        <w:tab/>
      </w:r>
      <w:r w:rsidR="00B40207">
        <w:rPr>
          <w:noProof/>
          <w:webHidden/>
        </w:rPr>
        <w:t>76</w:t>
      </w:r>
    </w:p>
    <w:p w14:paraId="71818137" w14:textId="66072231" w:rsidR="00DE7160" w:rsidRDefault="00DE7160" w:rsidP="00AF3CC4">
      <w:pPr>
        <w:pStyle w:val="TableofFigures"/>
        <w:tabs>
          <w:tab w:val="right" w:leader="dot" w:pos="9350"/>
        </w:tabs>
        <w:ind w:left="1200"/>
        <w:rPr>
          <w:rStyle w:val="Hyperlink"/>
          <w:noProof/>
          <w:color w:val="auto"/>
          <w:u w:val="none"/>
        </w:rPr>
      </w:pPr>
      <w:r w:rsidRPr="004C1602">
        <w:rPr>
          <w:rStyle w:val="Hyperlink"/>
          <w:noProof/>
          <w:color w:val="auto"/>
          <w:u w:val="none"/>
        </w:rPr>
        <w:tab/>
      </w:r>
      <w:r w:rsidR="00AF3CC4">
        <w:rPr>
          <w:rStyle w:val="Hyperlink"/>
          <w:noProof/>
          <w:color w:val="auto"/>
          <w:u w:val="none"/>
        </w:rPr>
        <w:t>4.3.3</w:t>
      </w:r>
      <w:r>
        <w:rPr>
          <w:rStyle w:val="Hyperlink"/>
          <w:noProof/>
          <w:color w:val="auto"/>
          <w:u w:val="none"/>
        </w:rPr>
        <w:t>.1 Site 1</w:t>
      </w:r>
      <w:r w:rsidRPr="004C1602">
        <w:rPr>
          <w:noProof/>
          <w:webHidden/>
        </w:rPr>
        <w:tab/>
      </w:r>
      <w:r w:rsidR="00B40207">
        <w:rPr>
          <w:noProof/>
          <w:webHidden/>
        </w:rPr>
        <w:t>76</w:t>
      </w:r>
    </w:p>
    <w:p w14:paraId="2A1D7DCB" w14:textId="33B067FC" w:rsidR="00DE7160" w:rsidRDefault="00DE7160" w:rsidP="00AF3CC4">
      <w:pPr>
        <w:pStyle w:val="TableofFigures"/>
        <w:tabs>
          <w:tab w:val="right" w:leader="dot" w:pos="9350"/>
        </w:tabs>
        <w:ind w:left="1200"/>
        <w:rPr>
          <w:rStyle w:val="Hyperlink"/>
          <w:noProof/>
          <w:color w:val="auto"/>
          <w:u w:val="none"/>
        </w:rPr>
      </w:pPr>
      <w:r w:rsidRPr="004C1602">
        <w:rPr>
          <w:rStyle w:val="Hyperlink"/>
          <w:noProof/>
          <w:color w:val="auto"/>
          <w:u w:val="none"/>
        </w:rPr>
        <w:tab/>
      </w:r>
      <w:r>
        <w:rPr>
          <w:rStyle w:val="Hyperlink"/>
          <w:noProof/>
          <w:color w:val="auto"/>
          <w:u w:val="none"/>
        </w:rPr>
        <w:t>4.3.</w:t>
      </w:r>
      <w:r w:rsidR="00AF3CC4">
        <w:rPr>
          <w:rStyle w:val="Hyperlink"/>
          <w:noProof/>
          <w:color w:val="auto"/>
          <w:u w:val="none"/>
        </w:rPr>
        <w:t>3</w:t>
      </w:r>
      <w:r>
        <w:rPr>
          <w:rStyle w:val="Hyperlink"/>
          <w:noProof/>
          <w:color w:val="auto"/>
          <w:u w:val="none"/>
        </w:rPr>
        <w:t>.2 Site 2</w:t>
      </w:r>
      <w:r w:rsidRPr="004C1602">
        <w:rPr>
          <w:noProof/>
          <w:webHidden/>
        </w:rPr>
        <w:tab/>
      </w:r>
      <w:r w:rsidR="00AF3CC4">
        <w:rPr>
          <w:noProof/>
          <w:webHidden/>
        </w:rPr>
        <w:t>7</w:t>
      </w:r>
      <w:r w:rsidR="00B40207">
        <w:rPr>
          <w:noProof/>
          <w:webHidden/>
        </w:rPr>
        <w:t>9</w:t>
      </w:r>
    </w:p>
    <w:p w14:paraId="5452E24F" w14:textId="20A4558B" w:rsidR="00DE7160" w:rsidRDefault="00DE7160" w:rsidP="00AF3CC4">
      <w:pPr>
        <w:pStyle w:val="TableofFigures"/>
        <w:tabs>
          <w:tab w:val="right" w:leader="dot" w:pos="9350"/>
        </w:tabs>
        <w:ind w:left="1200"/>
        <w:rPr>
          <w:rStyle w:val="Hyperlink"/>
          <w:noProof/>
          <w:color w:val="auto"/>
          <w:u w:val="none"/>
        </w:rPr>
      </w:pPr>
      <w:r w:rsidRPr="004C1602">
        <w:rPr>
          <w:rStyle w:val="Hyperlink"/>
          <w:noProof/>
          <w:color w:val="auto"/>
          <w:u w:val="none"/>
        </w:rPr>
        <w:tab/>
      </w:r>
      <w:r w:rsidR="00AF3CC4">
        <w:rPr>
          <w:rStyle w:val="Hyperlink"/>
          <w:noProof/>
          <w:color w:val="auto"/>
          <w:u w:val="none"/>
        </w:rPr>
        <w:t>4.3.3</w:t>
      </w:r>
      <w:r>
        <w:rPr>
          <w:rStyle w:val="Hyperlink"/>
          <w:noProof/>
          <w:color w:val="auto"/>
          <w:u w:val="none"/>
        </w:rPr>
        <w:t>.3 Site 3</w:t>
      </w:r>
      <w:r w:rsidRPr="004C1602">
        <w:rPr>
          <w:noProof/>
          <w:webHidden/>
        </w:rPr>
        <w:tab/>
      </w:r>
      <w:r w:rsidR="00B40207">
        <w:rPr>
          <w:noProof/>
          <w:webHidden/>
        </w:rPr>
        <w:t>80</w:t>
      </w:r>
    </w:p>
    <w:p w14:paraId="29EF42FF" w14:textId="7A6A445A" w:rsidR="00DE7160" w:rsidRDefault="00DE7160" w:rsidP="00AF3CC4">
      <w:pPr>
        <w:pStyle w:val="TableofFigures"/>
        <w:tabs>
          <w:tab w:val="right" w:leader="dot" w:pos="9350"/>
        </w:tabs>
        <w:ind w:left="960"/>
        <w:rPr>
          <w:rStyle w:val="Hyperlink"/>
          <w:noProof/>
          <w:color w:val="auto"/>
          <w:u w:val="none"/>
        </w:rPr>
      </w:pPr>
      <w:r w:rsidRPr="004C1602">
        <w:rPr>
          <w:rStyle w:val="Hyperlink"/>
          <w:noProof/>
          <w:color w:val="auto"/>
          <w:u w:val="none"/>
        </w:rPr>
        <w:tab/>
      </w:r>
      <w:r>
        <w:rPr>
          <w:rStyle w:val="Hyperlink"/>
          <w:noProof/>
          <w:color w:val="auto"/>
          <w:u w:val="none"/>
        </w:rPr>
        <w:t>4.3.</w:t>
      </w:r>
      <w:r w:rsidR="00AF3CC4">
        <w:rPr>
          <w:rStyle w:val="Hyperlink"/>
          <w:noProof/>
          <w:color w:val="auto"/>
          <w:u w:val="none"/>
        </w:rPr>
        <w:t>4</w:t>
      </w:r>
      <w:r>
        <w:rPr>
          <w:rStyle w:val="Hyperlink"/>
          <w:noProof/>
          <w:color w:val="auto"/>
          <w:u w:val="none"/>
        </w:rPr>
        <w:t xml:space="preserve"> Depth </w:t>
      </w:r>
      <w:r w:rsidR="00B40207">
        <w:rPr>
          <w:rStyle w:val="Hyperlink"/>
          <w:noProof/>
          <w:color w:val="auto"/>
          <w:u w:val="none"/>
        </w:rPr>
        <w:t xml:space="preserve">Stabilizer </w:t>
      </w:r>
      <w:r>
        <w:rPr>
          <w:rStyle w:val="Hyperlink"/>
          <w:noProof/>
          <w:color w:val="auto"/>
          <w:u w:val="none"/>
        </w:rPr>
        <w:t>Heterogeneity</w:t>
      </w:r>
      <w:r w:rsidRPr="004C1602">
        <w:rPr>
          <w:noProof/>
          <w:webHidden/>
        </w:rPr>
        <w:tab/>
      </w:r>
      <w:r w:rsidR="00B40207">
        <w:rPr>
          <w:noProof/>
          <w:webHidden/>
        </w:rPr>
        <w:t>83</w:t>
      </w:r>
    </w:p>
    <w:p w14:paraId="5CF58ECA" w14:textId="1DFF73E7" w:rsidR="00DE7160" w:rsidRDefault="00DE7160" w:rsidP="00AF3CC4">
      <w:pPr>
        <w:pStyle w:val="TableofFigures"/>
        <w:tabs>
          <w:tab w:val="right" w:leader="dot" w:pos="9350"/>
        </w:tabs>
        <w:ind w:left="1200"/>
        <w:rPr>
          <w:rStyle w:val="Hyperlink"/>
          <w:noProof/>
          <w:color w:val="auto"/>
          <w:u w:val="none"/>
        </w:rPr>
      </w:pPr>
      <w:r w:rsidRPr="004C1602">
        <w:rPr>
          <w:rStyle w:val="Hyperlink"/>
          <w:noProof/>
          <w:color w:val="auto"/>
          <w:u w:val="none"/>
        </w:rPr>
        <w:tab/>
      </w:r>
      <w:r w:rsidR="00AF3CC4">
        <w:rPr>
          <w:rStyle w:val="Hyperlink"/>
          <w:noProof/>
          <w:color w:val="auto"/>
          <w:u w:val="none"/>
        </w:rPr>
        <w:t>4.3.4</w:t>
      </w:r>
      <w:r>
        <w:rPr>
          <w:rStyle w:val="Hyperlink"/>
          <w:noProof/>
          <w:color w:val="auto"/>
          <w:u w:val="none"/>
        </w:rPr>
        <w:t>.1 Site 1</w:t>
      </w:r>
      <w:r w:rsidRPr="004C1602">
        <w:rPr>
          <w:noProof/>
          <w:webHidden/>
        </w:rPr>
        <w:tab/>
      </w:r>
      <w:r w:rsidR="00B40207">
        <w:rPr>
          <w:noProof/>
          <w:webHidden/>
        </w:rPr>
        <w:t>84</w:t>
      </w:r>
    </w:p>
    <w:p w14:paraId="5373BD50" w14:textId="3CBACE68" w:rsidR="00DE7160" w:rsidRDefault="00DE7160" w:rsidP="00AF3CC4">
      <w:pPr>
        <w:pStyle w:val="TableofFigures"/>
        <w:tabs>
          <w:tab w:val="right" w:leader="dot" w:pos="9350"/>
        </w:tabs>
        <w:ind w:left="1200"/>
        <w:rPr>
          <w:rStyle w:val="Hyperlink"/>
          <w:noProof/>
          <w:color w:val="auto"/>
          <w:u w:val="none"/>
        </w:rPr>
      </w:pPr>
      <w:r w:rsidRPr="004C1602">
        <w:rPr>
          <w:rStyle w:val="Hyperlink"/>
          <w:noProof/>
          <w:color w:val="auto"/>
          <w:u w:val="none"/>
        </w:rPr>
        <w:tab/>
      </w:r>
      <w:r w:rsidR="00AF3CC4">
        <w:rPr>
          <w:rStyle w:val="Hyperlink"/>
          <w:noProof/>
          <w:color w:val="auto"/>
          <w:u w:val="none"/>
        </w:rPr>
        <w:t>4.3.4</w:t>
      </w:r>
      <w:r>
        <w:rPr>
          <w:rStyle w:val="Hyperlink"/>
          <w:noProof/>
          <w:color w:val="auto"/>
          <w:u w:val="none"/>
        </w:rPr>
        <w:t>.2 Site 2</w:t>
      </w:r>
      <w:r w:rsidRPr="004C1602">
        <w:rPr>
          <w:noProof/>
          <w:webHidden/>
        </w:rPr>
        <w:tab/>
      </w:r>
      <w:r w:rsidR="00B40207">
        <w:rPr>
          <w:noProof/>
          <w:webHidden/>
        </w:rPr>
        <w:t>85</w:t>
      </w:r>
    </w:p>
    <w:p w14:paraId="1A328F6A" w14:textId="57463CA5" w:rsidR="00DE7160" w:rsidRDefault="00DE7160" w:rsidP="00AF3CC4">
      <w:pPr>
        <w:pStyle w:val="TableofFigures"/>
        <w:tabs>
          <w:tab w:val="right" w:leader="dot" w:pos="9350"/>
        </w:tabs>
        <w:ind w:left="1200"/>
        <w:rPr>
          <w:rStyle w:val="Hyperlink"/>
          <w:noProof/>
          <w:color w:val="auto"/>
          <w:u w:val="none"/>
        </w:rPr>
      </w:pPr>
      <w:r w:rsidRPr="004C1602">
        <w:rPr>
          <w:rStyle w:val="Hyperlink"/>
          <w:noProof/>
          <w:color w:val="auto"/>
          <w:u w:val="none"/>
        </w:rPr>
        <w:tab/>
      </w:r>
      <w:r w:rsidR="00AF3CC4">
        <w:rPr>
          <w:rStyle w:val="Hyperlink"/>
          <w:noProof/>
          <w:color w:val="auto"/>
          <w:u w:val="none"/>
        </w:rPr>
        <w:t>4.3.4</w:t>
      </w:r>
      <w:r>
        <w:rPr>
          <w:rStyle w:val="Hyperlink"/>
          <w:noProof/>
          <w:color w:val="auto"/>
          <w:u w:val="none"/>
        </w:rPr>
        <w:t>.3 Site 3</w:t>
      </w:r>
      <w:r w:rsidRPr="004C1602">
        <w:rPr>
          <w:noProof/>
          <w:webHidden/>
        </w:rPr>
        <w:tab/>
      </w:r>
      <w:r w:rsidR="00B40207">
        <w:rPr>
          <w:noProof/>
          <w:webHidden/>
        </w:rPr>
        <w:t>86</w:t>
      </w:r>
    </w:p>
    <w:p w14:paraId="2724ECDB" w14:textId="77AC7473" w:rsidR="00DE7160" w:rsidRDefault="00DE7160" w:rsidP="00AF3CC4">
      <w:pPr>
        <w:pStyle w:val="TableofFigures"/>
        <w:tabs>
          <w:tab w:val="right" w:leader="dot" w:pos="9350"/>
        </w:tabs>
        <w:rPr>
          <w:rStyle w:val="Hyperlink"/>
          <w:noProof/>
          <w:color w:val="auto"/>
          <w:u w:val="none"/>
        </w:rPr>
      </w:pPr>
      <w:r w:rsidRPr="004C1602">
        <w:rPr>
          <w:rStyle w:val="Hyperlink"/>
          <w:noProof/>
          <w:color w:val="auto"/>
          <w:u w:val="none"/>
        </w:rPr>
        <w:t xml:space="preserve">Chapter </w:t>
      </w:r>
      <w:r>
        <w:rPr>
          <w:rStyle w:val="Hyperlink"/>
          <w:noProof/>
          <w:color w:val="auto"/>
          <w:u w:val="none"/>
        </w:rPr>
        <w:t>5</w:t>
      </w:r>
      <w:r w:rsidRPr="004C1602">
        <w:rPr>
          <w:rStyle w:val="Hyperlink"/>
          <w:noProof/>
          <w:color w:val="auto"/>
          <w:u w:val="none"/>
        </w:rPr>
        <w:t xml:space="preserve">: </w:t>
      </w:r>
      <w:r>
        <w:rPr>
          <w:rStyle w:val="Hyperlink"/>
          <w:noProof/>
          <w:color w:val="auto"/>
          <w:u w:val="none"/>
        </w:rPr>
        <w:t>Conclusions and Recommendations</w:t>
      </w:r>
      <w:r w:rsidRPr="004C1602">
        <w:rPr>
          <w:noProof/>
          <w:webHidden/>
        </w:rPr>
        <w:tab/>
      </w:r>
      <w:r w:rsidR="00B40207">
        <w:rPr>
          <w:rStyle w:val="Hyperlink"/>
          <w:noProof/>
          <w:color w:val="auto"/>
          <w:u w:val="none"/>
        </w:rPr>
        <w:t>88</w:t>
      </w:r>
    </w:p>
    <w:p w14:paraId="01D40872" w14:textId="42043FA8" w:rsidR="00AF3CC4" w:rsidRPr="004C1602" w:rsidRDefault="00AF3CC4" w:rsidP="00AF3CC4">
      <w:pPr>
        <w:pStyle w:val="TableofFigures"/>
        <w:tabs>
          <w:tab w:val="right" w:leader="dot" w:pos="9350"/>
        </w:tabs>
        <w:rPr>
          <w:rFonts w:asciiTheme="minorHAnsi" w:eastAsiaTheme="minorEastAsia" w:hAnsiTheme="minorHAnsi" w:cstheme="minorBidi"/>
          <w:bCs w:val="0"/>
          <w:noProof/>
          <w:sz w:val="22"/>
          <w:szCs w:val="22"/>
        </w:rPr>
      </w:pPr>
      <w:r w:rsidRPr="004C1602">
        <w:rPr>
          <w:rStyle w:val="Hyperlink"/>
          <w:noProof/>
          <w:color w:val="auto"/>
          <w:u w:val="none"/>
        </w:rPr>
        <w:tab/>
      </w:r>
      <w:r>
        <w:rPr>
          <w:rStyle w:val="Hyperlink"/>
          <w:noProof/>
          <w:color w:val="auto"/>
          <w:u w:val="none"/>
        </w:rPr>
        <w:t>5.1</w:t>
      </w:r>
      <w:r w:rsidRPr="004C1602">
        <w:rPr>
          <w:rStyle w:val="Hyperlink"/>
          <w:noProof/>
          <w:color w:val="auto"/>
          <w:u w:val="none"/>
        </w:rPr>
        <w:t xml:space="preserve"> </w:t>
      </w:r>
      <w:r>
        <w:rPr>
          <w:rStyle w:val="Hyperlink"/>
          <w:noProof/>
          <w:color w:val="auto"/>
          <w:u w:val="none"/>
        </w:rPr>
        <w:t>Conclusions</w:t>
      </w:r>
      <w:r w:rsidRPr="004C1602">
        <w:rPr>
          <w:noProof/>
          <w:webHidden/>
        </w:rPr>
        <w:tab/>
      </w:r>
      <w:r>
        <w:rPr>
          <w:noProof/>
          <w:webHidden/>
        </w:rPr>
        <w:t>8</w:t>
      </w:r>
      <w:r w:rsidR="00B40207">
        <w:rPr>
          <w:noProof/>
          <w:webHidden/>
        </w:rPr>
        <w:t>8</w:t>
      </w:r>
    </w:p>
    <w:p w14:paraId="0190527A" w14:textId="6806FA97" w:rsidR="00AF3CC4" w:rsidRPr="00AF3CC4" w:rsidRDefault="00AF3CC4" w:rsidP="00B40207">
      <w:pPr>
        <w:pStyle w:val="TableofFigures"/>
        <w:tabs>
          <w:tab w:val="right" w:leader="dot" w:pos="9350"/>
        </w:tabs>
      </w:pPr>
      <w:r w:rsidRPr="004C1602">
        <w:rPr>
          <w:rStyle w:val="Hyperlink"/>
          <w:noProof/>
          <w:color w:val="auto"/>
          <w:u w:val="none"/>
        </w:rPr>
        <w:tab/>
      </w:r>
      <w:r>
        <w:rPr>
          <w:rStyle w:val="Hyperlink"/>
          <w:noProof/>
          <w:color w:val="auto"/>
          <w:u w:val="none"/>
        </w:rPr>
        <w:t>5.2</w:t>
      </w:r>
      <w:r w:rsidRPr="004C1602">
        <w:rPr>
          <w:rStyle w:val="Hyperlink"/>
          <w:noProof/>
          <w:color w:val="auto"/>
          <w:u w:val="none"/>
        </w:rPr>
        <w:t xml:space="preserve"> </w:t>
      </w:r>
      <w:r w:rsidR="00B40207">
        <w:rPr>
          <w:rStyle w:val="Hyperlink"/>
          <w:noProof/>
          <w:color w:val="auto"/>
          <w:u w:val="none"/>
        </w:rPr>
        <w:t>Recommendations for Future Research</w:t>
      </w:r>
      <w:r w:rsidRPr="004C1602">
        <w:rPr>
          <w:noProof/>
          <w:webHidden/>
        </w:rPr>
        <w:tab/>
      </w:r>
      <w:r w:rsidR="00B40207">
        <w:rPr>
          <w:noProof/>
          <w:webHidden/>
        </w:rPr>
        <w:t>93</w:t>
      </w:r>
    </w:p>
    <w:p w14:paraId="15B11C33" w14:textId="190402C9" w:rsidR="007C0D88" w:rsidRDefault="007C0D88" w:rsidP="00AF3CC4">
      <w:pPr>
        <w:pStyle w:val="TableofFigures"/>
        <w:tabs>
          <w:tab w:val="right" w:leader="dot" w:pos="9350"/>
        </w:tabs>
        <w:rPr>
          <w:rStyle w:val="Hyperlink"/>
          <w:noProof/>
          <w:color w:val="auto"/>
          <w:u w:val="none"/>
        </w:rPr>
      </w:pPr>
      <w:r w:rsidRPr="004C1602">
        <w:rPr>
          <w:rStyle w:val="Hyperlink"/>
          <w:noProof/>
          <w:color w:val="auto"/>
          <w:u w:val="none"/>
        </w:rPr>
        <w:t xml:space="preserve">Chapter </w:t>
      </w:r>
      <w:r w:rsidR="00DE7160">
        <w:rPr>
          <w:rStyle w:val="Hyperlink"/>
          <w:noProof/>
          <w:color w:val="auto"/>
          <w:u w:val="none"/>
        </w:rPr>
        <w:t>6</w:t>
      </w:r>
      <w:r w:rsidRPr="004C1602">
        <w:rPr>
          <w:rStyle w:val="Hyperlink"/>
          <w:noProof/>
          <w:color w:val="auto"/>
          <w:u w:val="none"/>
        </w:rPr>
        <w:t xml:space="preserve">: </w:t>
      </w:r>
      <w:r>
        <w:rPr>
          <w:rStyle w:val="Hyperlink"/>
          <w:noProof/>
          <w:color w:val="auto"/>
          <w:u w:val="none"/>
        </w:rPr>
        <w:t>Schedule</w:t>
      </w:r>
      <w:r w:rsidRPr="004C1602">
        <w:rPr>
          <w:noProof/>
          <w:webHidden/>
        </w:rPr>
        <w:tab/>
      </w:r>
      <w:r w:rsidR="00B40207">
        <w:rPr>
          <w:rStyle w:val="Hyperlink"/>
          <w:noProof/>
          <w:color w:val="auto"/>
          <w:u w:val="none"/>
        </w:rPr>
        <w:t>94</w:t>
      </w:r>
    </w:p>
    <w:p w14:paraId="42AFA406" w14:textId="18BC5AAD" w:rsidR="00470E7B" w:rsidRDefault="0091532B" w:rsidP="00AF3CC4">
      <w:pPr>
        <w:pStyle w:val="TableofFigures"/>
        <w:tabs>
          <w:tab w:val="right" w:leader="dot" w:pos="9350"/>
        </w:tabs>
        <w:sectPr w:rsidR="00470E7B" w:rsidSect="00A45898">
          <w:headerReference w:type="default" r:id="rId10"/>
          <w:pgSz w:w="12240" w:h="15840"/>
          <w:pgMar w:top="1440" w:right="1440" w:bottom="1152" w:left="2304" w:header="720" w:footer="144" w:gutter="0"/>
          <w:pgNumType w:fmt="lowerRoman"/>
          <w:cols w:space="720"/>
          <w:docGrid w:linePitch="360"/>
        </w:sectPr>
      </w:pPr>
      <w:r w:rsidRPr="004C1602">
        <w:rPr>
          <w:rStyle w:val="Hyperlink"/>
          <w:noProof/>
          <w:color w:val="auto"/>
          <w:u w:val="none"/>
        </w:rPr>
        <w:t xml:space="preserve">Chapter </w:t>
      </w:r>
      <w:r w:rsidR="00DE7160">
        <w:rPr>
          <w:rStyle w:val="Hyperlink"/>
          <w:noProof/>
          <w:color w:val="auto"/>
          <w:u w:val="none"/>
        </w:rPr>
        <w:t>7</w:t>
      </w:r>
      <w:r w:rsidRPr="004C1602">
        <w:rPr>
          <w:rStyle w:val="Hyperlink"/>
          <w:noProof/>
          <w:color w:val="auto"/>
          <w:u w:val="none"/>
        </w:rPr>
        <w:t xml:space="preserve">: </w:t>
      </w:r>
      <w:r>
        <w:rPr>
          <w:rStyle w:val="Hyperlink"/>
          <w:noProof/>
          <w:color w:val="auto"/>
          <w:u w:val="none"/>
        </w:rPr>
        <w:t>References</w:t>
      </w:r>
      <w:r w:rsidRPr="004C1602">
        <w:rPr>
          <w:noProof/>
          <w:webHidden/>
        </w:rPr>
        <w:tab/>
      </w:r>
      <w:r w:rsidR="00B40207">
        <w:rPr>
          <w:rStyle w:val="Hyperlink"/>
          <w:noProof/>
          <w:color w:val="auto"/>
          <w:u w:val="none"/>
        </w:rPr>
        <w:t>95</w:t>
      </w:r>
    </w:p>
    <w:p w14:paraId="68570040" w14:textId="03455B0B" w:rsidR="00B515BB" w:rsidRPr="00E669AB" w:rsidRDefault="00B515BB" w:rsidP="006427AD">
      <w:pPr>
        <w:pStyle w:val="Heading1"/>
      </w:pPr>
      <w:r>
        <w:lastRenderedPageBreak/>
        <w:t>LIST OF FIGURES</w:t>
      </w:r>
    </w:p>
    <w:p w14:paraId="24B25441" w14:textId="77777777" w:rsidR="00B515BB" w:rsidRDefault="00B515BB">
      <w:pPr>
        <w:pStyle w:val="TableofFigures"/>
        <w:tabs>
          <w:tab w:val="right" w:leader="dot" w:pos="9350"/>
        </w:tabs>
        <w:rPr>
          <w:bCs w:val="0"/>
        </w:rPr>
      </w:pPr>
    </w:p>
    <w:p w14:paraId="3F699E11" w14:textId="77777777" w:rsidR="00E90148" w:rsidRDefault="00470E7B">
      <w:pPr>
        <w:pStyle w:val="TableofFigures"/>
        <w:tabs>
          <w:tab w:val="right" w:leader="dot" w:pos="8486"/>
        </w:tabs>
        <w:rPr>
          <w:rFonts w:asciiTheme="minorHAnsi" w:eastAsiaTheme="minorEastAsia" w:hAnsiTheme="minorHAnsi" w:cstheme="minorBidi"/>
          <w:bCs w:val="0"/>
          <w:noProof/>
          <w:sz w:val="22"/>
          <w:szCs w:val="22"/>
        </w:rPr>
      </w:pPr>
      <w:r>
        <w:rPr>
          <w:bCs w:val="0"/>
        </w:rPr>
        <w:fldChar w:fldCharType="begin"/>
      </w:r>
      <w:r>
        <w:rPr>
          <w:bCs w:val="0"/>
        </w:rPr>
        <w:instrText xml:space="preserve"> TOC \h \z \c "Figure" </w:instrText>
      </w:r>
      <w:r>
        <w:rPr>
          <w:bCs w:val="0"/>
        </w:rPr>
        <w:fldChar w:fldCharType="separate"/>
      </w:r>
      <w:hyperlink w:anchor="_Toc447755339" w:history="1">
        <w:r w:rsidR="00E90148" w:rsidRPr="0084360C">
          <w:rPr>
            <w:rStyle w:val="Hyperlink"/>
            <w:noProof/>
          </w:rPr>
          <w:t>Figure 1: Example of Scarifying the Subgrade</w:t>
        </w:r>
        <w:r w:rsidR="00E90148">
          <w:rPr>
            <w:noProof/>
            <w:webHidden/>
          </w:rPr>
          <w:tab/>
        </w:r>
        <w:r w:rsidR="00E90148">
          <w:rPr>
            <w:noProof/>
            <w:webHidden/>
          </w:rPr>
          <w:fldChar w:fldCharType="begin"/>
        </w:r>
        <w:r w:rsidR="00E90148">
          <w:rPr>
            <w:noProof/>
            <w:webHidden/>
          </w:rPr>
          <w:instrText xml:space="preserve"> PAGEREF _Toc447755339 \h </w:instrText>
        </w:r>
        <w:r w:rsidR="00E90148">
          <w:rPr>
            <w:noProof/>
            <w:webHidden/>
          </w:rPr>
        </w:r>
        <w:r w:rsidR="00E90148">
          <w:rPr>
            <w:noProof/>
            <w:webHidden/>
          </w:rPr>
          <w:fldChar w:fldCharType="separate"/>
        </w:r>
        <w:r w:rsidR="00E90148">
          <w:rPr>
            <w:noProof/>
            <w:webHidden/>
          </w:rPr>
          <w:t>10</w:t>
        </w:r>
        <w:r w:rsidR="00E90148">
          <w:rPr>
            <w:noProof/>
            <w:webHidden/>
          </w:rPr>
          <w:fldChar w:fldCharType="end"/>
        </w:r>
      </w:hyperlink>
    </w:p>
    <w:p w14:paraId="51E1C472"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0" w:history="1">
        <w:r w:rsidR="00E90148" w:rsidRPr="0084360C">
          <w:rPr>
            <w:rStyle w:val="Hyperlink"/>
            <w:noProof/>
          </w:rPr>
          <w:t>Figure 2: Self-Powered Mechanical Rotor Mixers</w:t>
        </w:r>
        <w:r w:rsidR="00E90148">
          <w:rPr>
            <w:noProof/>
            <w:webHidden/>
          </w:rPr>
          <w:tab/>
        </w:r>
        <w:r w:rsidR="00E90148">
          <w:rPr>
            <w:noProof/>
            <w:webHidden/>
          </w:rPr>
          <w:fldChar w:fldCharType="begin"/>
        </w:r>
        <w:r w:rsidR="00E90148">
          <w:rPr>
            <w:noProof/>
            <w:webHidden/>
          </w:rPr>
          <w:instrText xml:space="preserve"> PAGEREF _Toc447755340 \h </w:instrText>
        </w:r>
        <w:r w:rsidR="00E90148">
          <w:rPr>
            <w:noProof/>
            <w:webHidden/>
          </w:rPr>
        </w:r>
        <w:r w:rsidR="00E90148">
          <w:rPr>
            <w:noProof/>
            <w:webHidden/>
          </w:rPr>
          <w:fldChar w:fldCharType="separate"/>
        </w:r>
        <w:r w:rsidR="00E90148">
          <w:rPr>
            <w:noProof/>
            <w:webHidden/>
          </w:rPr>
          <w:t>15</w:t>
        </w:r>
        <w:r w:rsidR="00E90148">
          <w:rPr>
            <w:noProof/>
            <w:webHidden/>
          </w:rPr>
          <w:fldChar w:fldCharType="end"/>
        </w:r>
      </w:hyperlink>
    </w:p>
    <w:p w14:paraId="5D3A342F"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1" w:history="1">
        <w:r w:rsidR="00E90148" w:rsidRPr="0084360C">
          <w:rPr>
            <w:rStyle w:val="Hyperlink"/>
            <w:noProof/>
          </w:rPr>
          <w:t>Figure 3: XRF Emitted from a Radiated Bromine Atom (Bruker 2013)</w:t>
        </w:r>
        <w:r w:rsidR="00E90148">
          <w:rPr>
            <w:noProof/>
            <w:webHidden/>
          </w:rPr>
          <w:tab/>
        </w:r>
        <w:r w:rsidR="00E90148">
          <w:rPr>
            <w:noProof/>
            <w:webHidden/>
          </w:rPr>
          <w:fldChar w:fldCharType="begin"/>
        </w:r>
        <w:r w:rsidR="00E90148">
          <w:rPr>
            <w:noProof/>
            <w:webHidden/>
          </w:rPr>
          <w:instrText xml:space="preserve"> PAGEREF _Toc447755341 \h </w:instrText>
        </w:r>
        <w:r w:rsidR="00E90148">
          <w:rPr>
            <w:noProof/>
            <w:webHidden/>
          </w:rPr>
        </w:r>
        <w:r w:rsidR="00E90148">
          <w:rPr>
            <w:noProof/>
            <w:webHidden/>
          </w:rPr>
          <w:fldChar w:fldCharType="separate"/>
        </w:r>
        <w:r w:rsidR="00E90148">
          <w:rPr>
            <w:noProof/>
            <w:webHidden/>
          </w:rPr>
          <w:t>19</w:t>
        </w:r>
        <w:r w:rsidR="00E90148">
          <w:rPr>
            <w:noProof/>
            <w:webHidden/>
          </w:rPr>
          <w:fldChar w:fldCharType="end"/>
        </w:r>
      </w:hyperlink>
    </w:p>
    <w:p w14:paraId="1CF0E90F"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2" w:history="1">
        <w:r w:rsidR="00E90148" w:rsidRPr="0084360C">
          <w:rPr>
            <w:rStyle w:val="Hyperlink"/>
            <w:noProof/>
          </w:rPr>
          <w:t>Figure 4: Effect of Particle Size on Length of XRF Path</w:t>
        </w:r>
        <w:r w:rsidR="00E90148">
          <w:rPr>
            <w:noProof/>
            <w:webHidden/>
          </w:rPr>
          <w:tab/>
        </w:r>
        <w:r w:rsidR="00E90148">
          <w:rPr>
            <w:noProof/>
            <w:webHidden/>
          </w:rPr>
          <w:fldChar w:fldCharType="begin"/>
        </w:r>
        <w:r w:rsidR="00E90148">
          <w:rPr>
            <w:noProof/>
            <w:webHidden/>
          </w:rPr>
          <w:instrText xml:space="preserve"> PAGEREF _Toc447755342 \h </w:instrText>
        </w:r>
        <w:r w:rsidR="00E90148">
          <w:rPr>
            <w:noProof/>
            <w:webHidden/>
          </w:rPr>
        </w:r>
        <w:r w:rsidR="00E90148">
          <w:rPr>
            <w:noProof/>
            <w:webHidden/>
          </w:rPr>
          <w:fldChar w:fldCharType="separate"/>
        </w:r>
        <w:r w:rsidR="00E90148">
          <w:rPr>
            <w:noProof/>
            <w:webHidden/>
          </w:rPr>
          <w:t>21</w:t>
        </w:r>
        <w:r w:rsidR="00E90148">
          <w:rPr>
            <w:noProof/>
            <w:webHidden/>
          </w:rPr>
          <w:fldChar w:fldCharType="end"/>
        </w:r>
      </w:hyperlink>
    </w:p>
    <w:p w14:paraId="6129B332"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3" w:history="1">
        <w:r w:rsidR="00E90148" w:rsidRPr="0084360C">
          <w:rPr>
            <w:rStyle w:val="Hyperlink"/>
            <w:noProof/>
          </w:rPr>
          <w:t>Figure 5: Mixing Samples with a Mechanical Blender</w:t>
        </w:r>
        <w:r w:rsidR="00E90148">
          <w:rPr>
            <w:noProof/>
            <w:webHidden/>
          </w:rPr>
          <w:tab/>
        </w:r>
        <w:r w:rsidR="00E90148">
          <w:rPr>
            <w:noProof/>
            <w:webHidden/>
          </w:rPr>
          <w:fldChar w:fldCharType="begin"/>
        </w:r>
        <w:r w:rsidR="00E90148">
          <w:rPr>
            <w:noProof/>
            <w:webHidden/>
          </w:rPr>
          <w:instrText xml:space="preserve"> PAGEREF _Toc447755343 \h </w:instrText>
        </w:r>
        <w:r w:rsidR="00E90148">
          <w:rPr>
            <w:noProof/>
            <w:webHidden/>
          </w:rPr>
        </w:r>
        <w:r w:rsidR="00E90148">
          <w:rPr>
            <w:noProof/>
            <w:webHidden/>
          </w:rPr>
          <w:fldChar w:fldCharType="separate"/>
        </w:r>
        <w:r w:rsidR="00E90148">
          <w:rPr>
            <w:noProof/>
            <w:webHidden/>
          </w:rPr>
          <w:t>28</w:t>
        </w:r>
        <w:r w:rsidR="00E90148">
          <w:rPr>
            <w:noProof/>
            <w:webHidden/>
          </w:rPr>
          <w:fldChar w:fldCharType="end"/>
        </w:r>
      </w:hyperlink>
    </w:p>
    <w:p w14:paraId="17CC81B3"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4" w:history="1">
        <w:r w:rsidR="00E90148" w:rsidRPr="0084360C">
          <w:rPr>
            <w:rStyle w:val="Hyperlink"/>
            <w:noProof/>
          </w:rPr>
          <w:t>Figure 6: SPEX Shatterbox 8515 Used to Mill Samples</w:t>
        </w:r>
        <w:r w:rsidR="00E90148">
          <w:rPr>
            <w:noProof/>
            <w:webHidden/>
          </w:rPr>
          <w:tab/>
        </w:r>
        <w:r w:rsidR="00E90148">
          <w:rPr>
            <w:noProof/>
            <w:webHidden/>
          </w:rPr>
          <w:fldChar w:fldCharType="begin"/>
        </w:r>
        <w:r w:rsidR="00E90148">
          <w:rPr>
            <w:noProof/>
            <w:webHidden/>
          </w:rPr>
          <w:instrText xml:space="preserve"> PAGEREF _Toc447755344 \h </w:instrText>
        </w:r>
        <w:r w:rsidR="00E90148">
          <w:rPr>
            <w:noProof/>
            <w:webHidden/>
          </w:rPr>
        </w:r>
        <w:r w:rsidR="00E90148">
          <w:rPr>
            <w:noProof/>
            <w:webHidden/>
          </w:rPr>
          <w:fldChar w:fldCharType="separate"/>
        </w:r>
        <w:r w:rsidR="00E90148">
          <w:rPr>
            <w:noProof/>
            <w:webHidden/>
          </w:rPr>
          <w:t>30</w:t>
        </w:r>
        <w:r w:rsidR="00E90148">
          <w:rPr>
            <w:noProof/>
            <w:webHidden/>
          </w:rPr>
          <w:fldChar w:fldCharType="end"/>
        </w:r>
      </w:hyperlink>
    </w:p>
    <w:p w14:paraId="1B985F29"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5" w:history="1">
        <w:r w:rsidR="00E90148" w:rsidRPr="0084360C">
          <w:rPr>
            <w:rStyle w:val="Hyperlink"/>
            <w:noProof/>
          </w:rPr>
          <w:t>Figure 7: Removing Plunger from SPEX Evacuable Die Set</w:t>
        </w:r>
        <w:r w:rsidR="00E90148">
          <w:rPr>
            <w:noProof/>
            <w:webHidden/>
          </w:rPr>
          <w:tab/>
        </w:r>
        <w:r w:rsidR="00E90148">
          <w:rPr>
            <w:noProof/>
            <w:webHidden/>
          </w:rPr>
          <w:fldChar w:fldCharType="begin"/>
        </w:r>
        <w:r w:rsidR="00E90148">
          <w:rPr>
            <w:noProof/>
            <w:webHidden/>
          </w:rPr>
          <w:instrText xml:space="preserve"> PAGEREF _Toc447755345 \h </w:instrText>
        </w:r>
        <w:r w:rsidR="00E90148">
          <w:rPr>
            <w:noProof/>
            <w:webHidden/>
          </w:rPr>
        </w:r>
        <w:r w:rsidR="00E90148">
          <w:rPr>
            <w:noProof/>
            <w:webHidden/>
          </w:rPr>
          <w:fldChar w:fldCharType="separate"/>
        </w:r>
        <w:r w:rsidR="00E90148">
          <w:rPr>
            <w:noProof/>
            <w:webHidden/>
          </w:rPr>
          <w:t>31</w:t>
        </w:r>
        <w:r w:rsidR="00E90148">
          <w:rPr>
            <w:noProof/>
            <w:webHidden/>
          </w:rPr>
          <w:fldChar w:fldCharType="end"/>
        </w:r>
      </w:hyperlink>
    </w:p>
    <w:p w14:paraId="3F876509"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6" w:history="1">
        <w:r w:rsidR="00E90148" w:rsidRPr="0084360C">
          <w:rPr>
            <w:rStyle w:val="Hyperlink"/>
            <w:noProof/>
          </w:rPr>
          <w:t>Figure 8: XRF Powder Sample</w:t>
        </w:r>
        <w:r w:rsidR="00E90148">
          <w:rPr>
            <w:noProof/>
            <w:webHidden/>
          </w:rPr>
          <w:tab/>
        </w:r>
        <w:r w:rsidR="00E90148">
          <w:rPr>
            <w:noProof/>
            <w:webHidden/>
          </w:rPr>
          <w:fldChar w:fldCharType="begin"/>
        </w:r>
        <w:r w:rsidR="00E90148">
          <w:rPr>
            <w:noProof/>
            <w:webHidden/>
          </w:rPr>
          <w:instrText xml:space="preserve"> PAGEREF _Toc447755346 \h </w:instrText>
        </w:r>
        <w:r w:rsidR="00E90148">
          <w:rPr>
            <w:noProof/>
            <w:webHidden/>
          </w:rPr>
        </w:r>
        <w:r w:rsidR="00E90148">
          <w:rPr>
            <w:noProof/>
            <w:webHidden/>
          </w:rPr>
          <w:fldChar w:fldCharType="separate"/>
        </w:r>
        <w:r w:rsidR="00E90148">
          <w:rPr>
            <w:noProof/>
            <w:webHidden/>
          </w:rPr>
          <w:t>32</w:t>
        </w:r>
        <w:r w:rsidR="00E90148">
          <w:rPr>
            <w:noProof/>
            <w:webHidden/>
          </w:rPr>
          <w:fldChar w:fldCharType="end"/>
        </w:r>
      </w:hyperlink>
    </w:p>
    <w:p w14:paraId="483BEC80"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7" w:history="1">
        <w:r w:rsidR="00E90148" w:rsidRPr="0084360C">
          <w:rPr>
            <w:rStyle w:val="Hyperlink"/>
            <w:noProof/>
          </w:rPr>
          <w:t>Figure 9: Poorly Prepared Powder Sample (Left) and</w:t>
        </w:r>
        <w:r w:rsidR="00E90148">
          <w:rPr>
            <w:noProof/>
            <w:webHidden/>
          </w:rPr>
          <w:tab/>
        </w:r>
        <w:r w:rsidR="00E90148">
          <w:rPr>
            <w:noProof/>
            <w:webHidden/>
          </w:rPr>
          <w:fldChar w:fldCharType="begin"/>
        </w:r>
        <w:r w:rsidR="00E90148">
          <w:rPr>
            <w:noProof/>
            <w:webHidden/>
          </w:rPr>
          <w:instrText xml:space="preserve"> PAGEREF _Toc447755347 \h </w:instrText>
        </w:r>
        <w:r w:rsidR="00E90148">
          <w:rPr>
            <w:noProof/>
            <w:webHidden/>
          </w:rPr>
        </w:r>
        <w:r w:rsidR="00E90148">
          <w:rPr>
            <w:noProof/>
            <w:webHidden/>
          </w:rPr>
          <w:fldChar w:fldCharType="separate"/>
        </w:r>
        <w:r w:rsidR="00E90148">
          <w:rPr>
            <w:noProof/>
            <w:webHidden/>
          </w:rPr>
          <w:t>33</w:t>
        </w:r>
        <w:r w:rsidR="00E90148">
          <w:rPr>
            <w:noProof/>
            <w:webHidden/>
          </w:rPr>
          <w:fldChar w:fldCharType="end"/>
        </w:r>
      </w:hyperlink>
    </w:p>
    <w:p w14:paraId="3DECC95C"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8" w:history="1">
        <w:r w:rsidR="00E90148" w:rsidRPr="0084360C">
          <w:rPr>
            <w:rStyle w:val="Hyperlink"/>
            <w:noProof/>
          </w:rPr>
          <w:t>Figure 10: (Left) Bruker S1 Titan in Desktop Stand and (Right) Thermo Scientific Niton XL3t GOLDD+ in Field Stand</w:t>
        </w:r>
        <w:r w:rsidR="00E90148">
          <w:rPr>
            <w:noProof/>
            <w:webHidden/>
          </w:rPr>
          <w:tab/>
        </w:r>
        <w:r w:rsidR="00E90148">
          <w:rPr>
            <w:noProof/>
            <w:webHidden/>
          </w:rPr>
          <w:fldChar w:fldCharType="begin"/>
        </w:r>
        <w:r w:rsidR="00E90148">
          <w:rPr>
            <w:noProof/>
            <w:webHidden/>
          </w:rPr>
          <w:instrText xml:space="preserve"> PAGEREF _Toc447755348 \h </w:instrText>
        </w:r>
        <w:r w:rsidR="00E90148">
          <w:rPr>
            <w:noProof/>
            <w:webHidden/>
          </w:rPr>
        </w:r>
        <w:r w:rsidR="00E90148">
          <w:rPr>
            <w:noProof/>
            <w:webHidden/>
          </w:rPr>
          <w:fldChar w:fldCharType="separate"/>
        </w:r>
        <w:r w:rsidR="00E90148">
          <w:rPr>
            <w:noProof/>
            <w:webHidden/>
          </w:rPr>
          <w:t>34</w:t>
        </w:r>
        <w:r w:rsidR="00E90148">
          <w:rPr>
            <w:noProof/>
            <w:webHidden/>
          </w:rPr>
          <w:fldChar w:fldCharType="end"/>
        </w:r>
      </w:hyperlink>
    </w:p>
    <w:p w14:paraId="3FF5A69D"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49" w:history="1">
        <w:r w:rsidR="00E90148" w:rsidRPr="0084360C">
          <w:rPr>
            <w:rStyle w:val="Hyperlink"/>
            <w:noProof/>
          </w:rPr>
          <w:t>Figure 11: Dividing Powder Samples into Four Quadrants</w:t>
        </w:r>
        <w:r w:rsidR="00E90148">
          <w:rPr>
            <w:noProof/>
            <w:webHidden/>
          </w:rPr>
          <w:tab/>
        </w:r>
        <w:r w:rsidR="00E90148">
          <w:rPr>
            <w:noProof/>
            <w:webHidden/>
          </w:rPr>
          <w:fldChar w:fldCharType="begin"/>
        </w:r>
        <w:r w:rsidR="00E90148">
          <w:rPr>
            <w:noProof/>
            <w:webHidden/>
          </w:rPr>
          <w:instrText xml:space="preserve"> PAGEREF _Toc447755349 \h </w:instrText>
        </w:r>
        <w:r w:rsidR="00E90148">
          <w:rPr>
            <w:noProof/>
            <w:webHidden/>
          </w:rPr>
        </w:r>
        <w:r w:rsidR="00E90148">
          <w:rPr>
            <w:noProof/>
            <w:webHidden/>
          </w:rPr>
          <w:fldChar w:fldCharType="separate"/>
        </w:r>
        <w:r w:rsidR="00E90148">
          <w:rPr>
            <w:noProof/>
            <w:webHidden/>
          </w:rPr>
          <w:t>35</w:t>
        </w:r>
        <w:r w:rsidR="00E90148">
          <w:rPr>
            <w:noProof/>
            <w:webHidden/>
          </w:rPr>
          <w:fldChar w:fldCharType="end"/>
        </w:r>
      </w:hyperlink>
    </w:p>
    <w:p w14:paraId="4E05A6DB"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0" w:history="1">
        <w:r w:rsidR="00E90148" w:rsidRPr="0084360C">
          <w:rPr>
            <w:rStyle w:val="Hyperlink"/>
            <w:noProof/>
          </w:rPr>
          <w:t>Figure 12: Locations of Field Test Sites 1, 2, and 3</w:t>
        </w:r>
        <w:r w:rsidR="00E90148">
          <w:rPr>
            <w:noProof/>
            <w:webHidden/>
          </w:rPr>
          <w:tab/>
        </w:r>
        <w:r w:rsidR="00E90148">
          <w:rPr>
            <w:noProof/>
            <w:webHidden/>
          </w:rPr>
          <w:fldChar w:fldCharType="begin"/>
        </w:r>
        <w:r w:rsidR="00E90148">
          <w:rPr>
            <w:noProof/>
            <w:webHidden/>
          </w:rPr>
          <w:instrText xml:space="preserve"> PAGEREF _Toc447755350 \h </w:instrText>
        </w:r>
        <w:r w:rsidR="00E90148">
          <w:rPr>
            <w:noProof/>
            <w:webHidden/>
          </w:rPr>
        </w:r>
        <w:r w:rsidR="00E90148">
          <w:rPr>
            <w:noProof/>
            <w:webHidden/>
          </w:rPr>
          <w:fldChar w:fldCharType="separate"/>
        </w:r>
        <w:r w:rsidR="00E90148">
          <w:rPr>
            <w:noProof/>
            <w:webHidden/>
          </w:rPr>
          <w:t>37</w:t>
        </w:r>
        <w:r w:rsidR="00E90148">
          <w:rPr>
            <w:noProof/>
            <w:webHidden/>
          </w:rPr>
          <w:fldChar w:fldCharType="end"/>
        </w:r>
      </w:hyperlink>
    </w:p>
    <w:p w14:paraId="49DF06E2"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1" w:history="1">
        <w:r w:rsidR="00E90148" w:rsidRPr="0084360C">
          <w:rPr>
            <w:rStyle w:val="Hyperlink"/>
            <w:noProof/>
          </w:rPr>
          <w:t>Figure 13: Spatial XRF Testing and Sampling Locations in the Field</w:t>
        </w:r>
        <w:r w:rsidR="00E90148">
          <w:rPr>
            <w:noProof/>
            <w:webHidden/>
          </w:rPr>
          <w:tab/>
        </w:r>
        <w:r w:rsidR="00E90148">
          <w:rPr>
            <w:noProof/>
            <w:webHidden/>
          </w:rPr>
          <w:fldChar w:fldCharType="begin"/>
        </w:r>
        <w:r w:rsidR="00E90148">
          <w:rPr>
            <w:noProof/>
            <w:webHidden/>
          </w:rPr>
          <w:instrText xml:space="preserve"> PAGEREF _Toc447755351 \h </w:instrText>
        </w:r>
        <w:r w:rsidR="00E90148">
          <w:rPr>
            <w:noProof/>
            <w:webHidden/>
          </w:rPr>
        </w:r>
        <w:r w:rsidR="00E90148">
          <w:rPr>
            <w:noProof/>
            <w:webHidden/>
          </w:rPr>
          <w:fldChar w:fldCharType="separate"/>
        </w:r>
        <w:r w:rsidR="00E90148">
          <w:rPr>
            <w:noProof/>
            <w:webHidden/>
          </w:rPr>
          <w:t>38</w:t>
        </w:r>
        <w:r w:rsidR="00E90148">
          <w:rPr>
            <w:noProof/>
            <w:webHidden/>
          </w:rPr>
          <w:fldChar w:fldCharType="end"/>
        </w:r>
      </w:hyperlink>
    </w:p>
    <w:p w14:paraId="0C17F874"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2" w:history="1">
        <w:r w:rsidR="00E90148" w:rsidRPr="0084360C">
          <w:rPr>
            <w:rStyle w:val="Hyperlink"/>
            <w:noProof/>
          </w:rPr>
          <w:t>Figure 14: Hammer Head Soil Probe Used to Retrieve Samples at Various Depths</w:t>
        </w:r>
        <w:r w:rsidR="00E90148">
          <w:rPr>
            <w:noProof/>
            <w:webHidden/>
          </w:rPr>
          <w:tab/>
        </w:r>
        <w:r w:rsidR="00E90148">
          <w:rPr>
            <w:noProof/>
            <w:webHidden/>
          </w:rPr>
          <w:fldChar w:fldCharType="begin"/>
        </w:r>
        <w:r w:rsidR="00E90148">
          <w:rPr>
            <w:noProof/>
            <w:webHidden/>
          </w:rPr>
          <w:instrText xml:space="preserve"> PAGEREF _Toc447755352 \h </w:instrText>
        </w:r>
        <w:r w:rsidR="00E90148">
          <w:rPr>
            <w:noProof/>
            <w:webHidden/>
          </w:rPr>
        </w:r>
        <w:r w:rsidR="00E90148">
          <w:rPr>
            <w:noProof/>
            <w:webHidden/>
          </w:rPr>
          <w:fldChar w:fldCharType="separate"/>
        </w:r>
        <w:r w:rsidR="00E90148">
          <w:rPr>
            <w:noProof/>
            <w:webHidden/>
          </w:rPr>
          <w:t>40</w:t>
        </w:r>
        <w:r w:rsidR="00E90148">
          <w:rPr>
            <w:noProof/>
            <w:webHidden/>
          </w:rPr>
          <w:fldChar w:fldCharType="end"/>
        </w:r>
      </w:hyperlink>
    </w:p>
    <w:p w14:paraId="0EA32048"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3" w:history="1">
        <w:r w:rsidR="00E90148" w:rsidRPr="0084360C">
          <w:rPr>
            <w:rStyle w:val="Hyperlink"/>
            <w:noProof/>
          </w:rPr>
          <w:t>Figure 15: Effects of Various Scan Durations on Precision and Accuracy of S1 Titan PHXRF Device for (a) 60 Second (30 - 30), (b) 60 Second (15 - 45), (c) 75 Second (15 -60), and (d) 135 Second (15 - 120) Scan Durations on OHC samples.</w:t>
        </w:r>
        <w:r w:rsidR="00E90148">
          <w:rPr>
            <w:noProof/>
            <w:webHidden/>
          </w:rPr>
          <w:tab/>
        </w:r>
        <w:r w:rsidR="00E90148">
          <w:rPr>
            <w:noProof/>
            <w:webHidden/>
          </w:rPr>
          <w:fldChar w:fldCharType="begin"/>
        </w:r>
        <w:r w:rsidR="00E90148">
          <w:rPr>
            <w:noProof/>
            <w:webHidden/>
          </w:rPr>
          <w:instrText xml:space="preserve"> PAGEREF _Toc447755353 \h </w:instrText>
        </w:r>
        <w:r w:rsidR="00E90148">
          <w:rPr>
            <w:noProof/>
            <w:webHidden/>
          </w:rPr>
        </w:r>
        <w:r w:rsidR="00E90148">
          <w:rPr>
            <w:noProof/>
            <w:webHidden/>
          </w:rPr>
          <w:fldChar w:fldCharType="separate"/>
        </w:r>
        <w:r w:rsidR="00E90148">
          <w:rPr>
            <w:noProof/>
            <w:webHidden/>
          </w:rPr>
          <w:t>45</w:t>
        </w:r>
        <w:r w:rsidR="00E90148">
          <w:rPr>
            <w:noProof/>
            <w:webHidden/>
          </w:rPr>
          <w:fldChar w:fldCharType="end"/>
        </w:r>
      </w:hyperlink>
    </w:p>
    <w:p w14:paraId="231A2F18"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4" w:history="1">
        <w:r w:rsidR="00E90148" w:rsidRPr="0084360C">
          <w:rPr>
            <w:rStyle w:val="Hyperlink"/>
            <w:noProof/>
          </w:rPr>
          <w:t>Figure 16: Effects of Various Scan Durations on Precision and Accuracy of S1 Titan PHXRF Device for (a) 60 Second (30 - 30), (b) 60 Second (15 - 45), (c) 75 Second (15 - 60), and (d) 135 Second (15 - 120) Scan Durations on SGB samples.</w:t>
        </w:r>
        <w:r w:rsidR="00E90148">
          <w:rPr>
            <w:noProof/>
            <w:webHidden/>
          </w:rPr>
          <w:tab/>
        </w:r>
        <w:r w:rsidR="00E90148">
          <w:rPr>
            <w:noProof/>
            <w:webHidden/>
          </w:rPr>
          <w:fldChar w:fldCharType="begin"/>
        </w:r>
        <w:r w:rsidR="00E90148">
          <w:rPr>
            <w:noProof/>
            <w:webHidden/>
          </w:rPr>
          <w:instrText xml:space="preserve"> PAGEREF _Toc447755354 \h </w:instrText>
        </w:r>
        <w:r w:rsidR="00E90148">
          <w:rPr>
            <w:noProof/>
            <w:webHidden/>
          </w:rPr>
        </w:r>
        <w:r w:rsidR="00E90148">
          <w:rPr>
            <w:noProof/>
            <w:webHidden/>
          </w:rPr>
          <w:fldChar w:fldCharType="separate"/>
        </w:r>
        <w:r w:rsidR="00E90148">
          <w:rPr>
            <w:noProof/>
            <w:webHidden/>
          </w:rPr>
          <w:t>46</w:t>
        </w:r>
        <w:r w:rsidR="00E90148">
          <w:rPr>
            <w:noProof/>
            <w:webHidden/>
          </w:rPr>
          <w:fldChar w:fldCharType="end"/>
        </w:r>
      </w:hyperlink>
    </w:p>
    <w:p w14:paraId="3E8D6364"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5" w:history="1">
        <w:r w:rsidR="00E90148" w:rsidRPr="0084360C">
          <w:rPr>
            <w:rStyle w:val="Hyperlink"/>
            <w:noProof/>
          </w:rPr>
          <w:t>Figure 17: Beam Footprints of the S1 Titan (Left) and Niton XL3t (Right) PHXRF Devices</w:t>
        </w:r>
        <w:r w:rsidR="00E90148">
          <w:rPr>
            <w:noProof/>
            <w:webHidden/>
          </w:rPr>
          <w:tab/>
        </w:r>
        <w:r w:rsidR="00E90148">
          <w:rPr>
            <w:noProof/>
            <w:webHidden/>
          </w:rPr>
          <w:fldChar w:fldCharType="begin"/>
        </w:r>
        <w:r w:rsidR="00E90148">
          <w:rPr>
            <w:noProof/>
            <w:webHidden/>
          </w:rPr>
          <w:instrText xml:space="preserve"> PAGEREF _Toc447755355 \h </w:instrText>
        </w:r>
        <w:r w:rsidR="00E90148">
          <w:rPr>
            <w:noProof/>
            <w:webHidden/>
          </w:rPr>
        </w:r>
        <w:r w:rsidR="00E90148">
          <w:rPr>
            <w:noProof/>
            <w:webHidden/>
          </w:rPr>
          <w:fldChar w:fldCharType="separate"/>
        </w:r>
        <w:r w:rsidR="00E90148">
          <w:rPr>
            <w:noProof/>
            <w:webHidden/>
          </w:rPr>
          <w:t>49</w:t>
        </w:r>
        <w:r w:rsidR="00E90148">
          <w:rPr>
            <w:noProof/>
            <w:webHidden/>
          </w:rPr>
          <w:fldChar w:fldCharType="end"/>
        </w:r>
      </w:hyperlink>
    </w:p>
    <w:p w14:paraId="512ACB98"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6" w:history="1">
        <w:r w:rsidR="00E90148" w:rsidRPr="0084360C">
          <w:rPr>
            <w:rStyle w:val="Hyperlink"/>
            <w:noProof/>
          </w:rPr>
          <w:t>Figure 18: Effects of (a) Standard and (b) Quartering Scan Techniques on Precision and Accuracy of S1 Titan PHXRF Device for OHC Samples.</w:t>
        </w:r>
        <w:r w:rsidR="00E90148">
          <w:rPr>
            <w:noProof/>
            <w:webHidden/>
          </w:rPr>
          <w:tab/>
        </w:r>
        <w:r w:rsidR="00E90148">
          <w:rPr>
            <w:noProof/>
            <w:webHidden/>
          </w:rPr>
          <w:fldChar w:fldCharType="begin"/>
        </w:r>
        <w:r w:rsidR="00E90148">
          <w:rPr>
            <w:noProof/>
            <w:webHidden/>
          </w:rPr>
          <w:instrText xml:space="preserve"> PAGEREF _Toc447755356 \h </w:instrText>
        </w:r>
        <w:r w:rsidR="00E90148">
          <w:rPr>
            <w:noProof/>
            <w:webHidden/>
          </w:rPr>
        </w:r>
        <w:r w:rsidR="00E90148">
          <w:rPr>
            <w:noProof/>
            <w:webHidden/>
          </w:rPr>
          <w:fldChar w:fldCharType="separate"/>
        </w:r>
        <w:r w:rsidR="00E90148">
          <w:rPr>
            <w:noProof/>
            <w:webHidden/>
          </w:rPr>
          <w:t>51</w:t>
        </w:r>
        <w:r w:rsidR="00E90148">
          <w:rPr>
            <w:noProof/>
            <w:webHidden/>
          </w:rPr>
          <w:fldChar w:fldCharType="end"/>
        </w:r>
      </w:hyperlink>
    </w:p>
    <w:p w14:paraId="71D15F02"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7" w:history="1">
        <w:r w:rsidR="00E90148" w:rsidRPr="0084360C">
          <w:rPr>
            <w:rStyle w:val="Hyperlink"/>
            <w:noProof/>
          </w:rPr>
          <w:t>Figure 19: Effects of (a) Standard and (b) Quartering Scan Techniques on Precision and Accuracy of Niton XL3t PHXRF Device for OHC Samples.</w:t>
        </w:r>
        <w:r w:rsidR="00E90148">
          <w:rPr>
            <w:noProof/>
            <w:webHidden/>
          </w:rPr>
          <w:tab/>
        </w:r>
        <w:r w:rsidR="00E90148">
          <w:rPr>
            <w:noProof/>
            <w:webHidden/>
          </w:rPr>
          <w:fldChar w:fldCharType="begin"/>
        </w:r>
        <w:r w:rsidR="00E90148">
          <w:rPr>
            <w:noProof/>
            <w:webHidden/>
          </w:rPr>
          <w:instrText xml:space="preserve"> PAGEREF _Toc447755357 \h </w:instrText>
        </w:r>
        <w:r w:rsidR="00E90148">
          <w:rPr>
            <w:noProof/>
            <w:webHidden/>
          </w:rPr>
        </w:r>
        <w:r w:rsidR="00E90148">
          <w:rPr>
            <w:noProof/>
            <w:webHidden/>
          </w:rPr>
          <w:fldChar w:fldCharType="separate"/>
        </w:r>
        <w:r w:rsidR="00E90148">
          <w:rPr>
            <w:noProof/>
            <w:webHidden/>
          </w:rPr>
          <w:t>51</w:t>
        </w:r>
        <w:r w:rsidR="00E90148">
          <w:rPr>
            <w:noProof/>
            <w:webHidden/>
          </w:rPr>
          <w:fldChar w:fldCharType="end"/>
        </w:r>
      </w:hyperlink>
    </w:p>
    <w:p w14:paraId="0836B2EF"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8" w:history="1">
        <w:r w:rsidR="00E90148" w:rsidRPr="0084360C">
          <w:rPr>
            <w:rStyle w:val="Hyperlink"/>
            <w:noProof/>
          </w:rPr>
          <w:t>Figure 20: Effects of (a) Standard and (b) Quartering Scan Techniques on Precision and Accuracy of S1 Titan PHXRF Device for SGB Samples</w:t>
        </w:r>
        <w:r w:rsidR="00E90148">
          <w:rPr>
            <w:noProof/>
            <w:webHidden/>
          </w:rPr>
          <w:tab/>
        </w:r>
        <w:r w:rsidR="00E90148">
          <w:rPr>
            <w:noProof/>
            <w:webHidden/>
          </w:rPr>
          <w:fldChar w:fldCharType="begin"/>
        </w:r>
        <w:r w:rsidR="00E90148">
          <w:rPr>
            <w:noProof/>
            <w:webHidden/>
          </w:rPr>
          <w:instrText xml:space="preserve"> PAGEREF _Toc447755358 \h </w:instrText>
        </w:r>
        <w:r w:rsidR="00E90148">
          <w:rPr>
            <w:noProof/>
            <w:webHidden/>
          </w:rPr>
        </w:r>
        <w:r w:rsidR="00E90148">
          <w:rPr>
            <w:noProof/>
            <w:webHidden/>
          </w:rPr>
          <w:fldChar w:fldCharType="separate"/>
        </w:r>
        <w:r w:rsidR="00E90148">
          <w:rPr>
            <w:noProof/>
            <w:webHidden/>
          </w:rPr>
          <w:t>52</w:t>
        </w:r>
        <w:r w:rsidR="00E90148">
          <w:rPr>
            <w:noProof/>
            <w:webHidden/>
          </w:rPr>
          <w:fldChar w:fldCharType="end"/>
        </w:r>
      </w:hyperlink>
    </w:p>
    <w:p w14:paraId="357B412F"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59" w:history="1">
        <w:r w:rsidR="00E90148" w:rsidRPr="0084360C">
          <w:rPr>
            <w:rStyle w:val="Hyperlink"/>
            <w:noProof/>
          </w:rPr>
          <w:t>Figure 21: Effects of (a) Standard and (b) Quartering Scan Techniques on Precision and Accuracy of Niton XL3t PHXRF Device for SGB Samples.</w:t>
        </w:r>
        <w:r w:rsidR="00E90148">
          <w:rPr>
            <w:noProof/>
            <w:webHidden/>
          </w:rPr>
          <w:tab/>
        </w:r>
        <w:r w:rsidR="00E90148">
          <w:rPr>
            <w:noProof/>
            <w:webHidden/>
          </w:rPr>
          <w:fldChar w:fldCharType="begin"/>
        </w:r>
        <w:r w:rsidR="00E90148">
          <w:rPr>
            <w:noProof/>
            <w:webHidden/>
          </w:rPr>
          <w:instrText xml:space="preserve"> PAGEREF _Toc447755359 \h </w:instrText>
        </w:r>
        <w:r w:rsidR="00E90148">
          <w:rPr>
            <w:noProof/>
            <w:webHidden/>
          </w:rPr>
        </w:r>
        <w:r w:rsidR="00E90148">
          <w:rPr>
            <w:noProof/>
            <w:webHidden/>
          </w:rPr>
          <w:fldChar w:fldCharType="separate"/>
        </w:r>
        <w:r w:rsidR="00E90148">
          <w:rPr>
            <w:noProof/>
            <w:webHidden/>
          </w:rPr>
          <w:t>52</w:t>
        </w:r>
        <w:r w:rsidR="00E90148">
          <w:rPr>
            <w:noProof/>
            <w:webHidden/>
          </w:rPr>
          <w:fldChar w:fldCharType="end"/>
        </w:r>
      </w:hyperlink>
    </w:p>
    <w:p w14:paraId="5480710E"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0" w:history="1">
        <w:r w:rsidR="00E90148" w:rsidRPr="0084360C">
          <w:rPr>
            <w:rStyle w:val="Hyperlink"/>
            <w:noProof/>
          </w:rPr>
          <w:t>Figure 22: Effects of Various Particle Sizes on Precision and Accuracy of S1 Titan PHXRF Device for (a) Passing No. 4, (b) Passing No. 40, (c) Passing No. 100, and (d) Passing No. 200 particle size OHC samples.</w:t>
        </w:r>
        <w:r w:rsidR="00E90148">
          <w:rPr>
            <w:noProof/>
            <w:webHidden/>
          </w:rPr>
          <w:tab/>
        </w:r>
        <w:r w:rsidR="00E90148">
          <w:rPr>
            <w:noProof/>
            <w:webHidden/>
          </w:rPr>
          <w:fldChar w:fldCharType="begin"/>
        </w:r>
        <w:r w:rsidR="00E90148">
          <w:rPr>
            <w:noProof/>
            <w:webHidden/>
          </w:rPr>
          <w:instrText xml:space="preserve"> PAGEREF _Toc447755360 \h </w:instrText>
        </w:r>
        <w:r w:rsidR="00E90148">
          <w:rPr>
            <w:noProof/>
            <w:webHidden/>
          </w:rPr>
        </w:r>
        <w:r w:rsidR="00E90148">
          <w:rPr>
            <w:noProof/>
            <w:webHidden/>
          </w:rPr>
          <w:fldChar w:fldCharType="separate"/>
        </w:r>
        <w:r w:rsidR="00E90148">
          <w:rPr>
            <w:noProof/>
            <w:webHidden/>
          </w:rPr>
          <w:t>57</w:t>
        </w:r>
        <w:r w:rsidR="00E90148">
          <w:rPr>
            <w:noProof/>
            <w:webHidden/>
          </w:rPr>
          <w:fldChar w:fldCharType="end"/>
        </w:r>
      </w:hyperlink>
    </w:p>
    <w:p w14:paraId="5E7DFCC7"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1" w:history="1">
        <w:r w:rsidR="00E90148" w:rsidRPr="0084360C">
          <w:rPr>
            <w:rStyle w:val="Hyperlink"/>
            <w:noProof/>
          </w:rPr>
          <w:t>Figure 23: Effects of Various Particle Sizes on Precision and Accuracy of Niton XL3t PHXRF Device for (a) Passing No. 4, (b) Passing No. 40, (c) Passing No. 100, and (d) Passing No. 200 particle size OHC samples.</w:t>
        </w:r>
        <w:r w:rsidR="00E90148">
          <w:rPr>
            <w:noProof/>
            <w:webHidden/>
          </w:rPr>
          <w:tab/>
        </w:r>
        <w:r w:rsidR="00E90148">
          <w:rPr>
            <w:noProof/>
            <w:webHidden/>
          </w:rPr>
          <w:fldChar w:fldCharType="begin"/>
        </w:r>
        <w:r w:rsidR="00E90148">
          <w:rPr>
            <w:noProof/>
            <w:webHidden/>
          </w:rPr>
          <w:instrText xml:space="preserve"> PAGEREF _Toc447755361 \h </w:instrText>
        </w:r>
        <w:r w:rsidR="00E90148">
          <w:rPr>
            <w:noProof/>
            <w:webHidden/>
          </w:rPr>
        </w:r>
        <w:r w:rsidR="00E90148">
          <w:rPr>
            <w:noProof/>
            <w:webHidden/>
          </w:rPr>
          <w:fldChar w:fldCharType="separate"/>
        </w:r>
        <w:r w:rsidR="00E90148">
          <w:rPr>
            <w:noProof/>
            <w:webHidden/>
          </w:rPr>
          <w:t>58</w:t>
        </w:r>
        <w:r w:rsidR="00E90148">
          <w:rPr>
            <w:noProof/>
            <w:webHidden/>
          </w:rPr>
          <w:fldChar w:fldCharType="end"/>
        </w:r>
      </w:hyperlink>
    </w:p>
    <w:p w14:paraId="22573E34"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2" w:history="1">
        <w:r w:rsidR="00E90148" w:rsidRPr="0084360C">
          <w:rPr>
            <w:rStyle w:val="Hyperlink"/>
            <w:noProof/>
          </w:rPr>
          <w:t>Figure 24: Effects of Various Particle Sizes on Precision and Accuracy of S1 Titan PHXRF Device for (a) Passing No. 4, (b) Passing No. 40, (c) Passing No. 100, and (d) Passing No. 200 particle size SGB samples.</w:t>
        </w:r>
        <w:r w:rsidR="00E90148">
          <w:rPr>
            <w:noProof/>
            <w:webHidden/>
          </w:rPr>
          <w:tab/>
        </w:r>
        <w:r w:rsidR="00E90148">
          <w:rPr>
            <w:noProof/>
            <w:webHidden/>
          </w:rPr>
          <w:fldChar w:fldCharType="begin"/>
        </w:r>
        <w:r w:rsidR="00E90148">
          <w:rPr>
            <w:noProof/>
            <w:webHidden/>
          </w:rPr>
          <w:instrText xml:space="preserve"> PAGEREF _Toc447755362 \h </w:instrText>
        </w:r>
        <w:r w:rsidR="00E90148">
          <w:rPr>
            <w:noProof/>
            <w:webHidden/>
          </w:rPr>
        </w:r>
        <w:r w:rsidR="00E90148">
          <w:rPr>
            <w:noProof/>
            <w:webHidden/>
          </w:rPr>
          <w:fldChar w:fldCharType="separate"/>
        </w:r>
        <w:r w:rsidR="00E90148">
          <w:rPr>
            <w:noProof/>
            <w:webHidden/>
          </w:rPr>
          <w:t>59</w:t>
        </w:r>
        <w:r w:rsidR="00E90148">
          <w:rPr>
            <w:noProof/>
            <w:webHidden/>
          </w:rPr>
          <w:fldChar w:fldCharType="end"/>
        </w:r>
      </w:hyperlink>
    </w:p>
    <w:p w14:paraId="07FA178D"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3" w:history="1">
        <w:r w:rsidR="00E90148" w:rsidRPr="0084360C">
          <w:rPr>
            <w:rStyle w:val="Hyperlink"/>
            <w:noProof/>
          </w:rPr>
          <w:t>Figure 25: Effects of Various Particle Sizes on Precision and Accuracy of Niton XL3t PHXRF Device for (a) Passing No. 4, (b) Passing No. 40, (c) Passing No. 100, and (d) Passing No. 200 particle size SGB samples.</w:t>
        </w:r>
        <w:r w:rsidR="00E90148">
          <w:rPr>
            <w:noProof/>
            <w:webHidden/>
          </w:rPr>
          <w:tab/>
        </w:r>
        <w:r w:rsidR="00E90148">
          <w:rPr>
            <w:noProof/>
            <w:webHidden/>
          </w:rPr>
          <w:fldChar w:fldCharType="begin"/>
        </w:r>
        <w:r w:rsidR="00E90148">
          <w:rPr>
            <w:noProof/>
            <w:webHidden/>
          </w:rPr>
          <w:instrText xml:space="preserve"> PAGEREF _Toc447755363 \h </w:instrText>
        </w:r>
        <w:r w:rsidR="00E90148">
          <w:rPr>
            <w:noProof/>
            <w:webHidden/>
          </w:rPr>
        </w:r>
        <w:r w:rsidR="00E90148">
          <w:rPr>
            <w:noProof/>
            <w:webHidden/>
          </w:rPr>
          <w:fldChar w:fldCharType="separate"/>
        </w:r>
        <w:r w:rsidR="00E90148">
          <w:rPr>
            <w:noProof/>
            <w:webHidden/>
          </w:rPr>
          <w:t>60</w:t>
        </w:r>
        <w:r w:rsidR="00E90148">
          <w:rPr>
            <w:noProof/>
            <w:webHidden/>
          </w:rPr>
          <w:fldChar w:fldCharType="end"/>
        </w:r>
      </w:hyperlink>
    </w:p>
    <w:p w14:paraId="20663AB7"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4" w:history="1">
        <w:r w:rsidR="00E90148" w:rsidRPr="0084360C">
          <w:rPr>
            <w:rStyle w:val="Hyperlink"/>
            <w:noProof/>
          </w:rPr>
          <w:t>Figure 26: Average RMSD and Average COV</w:t>
        </w:r>
        <w:r w:rsidR="00E90148" w:rsidRPr="0084360C">
          <w:rPr>
            <w:rStyle w:val="Hyperlink"/>
            <w:noProof/>
            <w:vertAlign w:val="subscript"/>
          </w:rPr>
          <w:t>RMSD</w:t>
        </w:r>
        <w:r w:rsidR="00E90148" w:rsidRPr="0084360C">
          <w:rPr>
            <w:rStyle w:val="Hyperlink"/>
            <w:noProof/>
          </w:rPr>
          <w:t xml:space="preserve"> as a Function of Particle Size</w:t>
        </w:r>
        <w:r w:rsidR="00E90148">
          <w:rPr>
            <w:noProof/>
            <w:webHidden/>
          </w:rPr>
          <w:tab/>
        </w:r>
        <w:r w:rsidR="00E90148">
          <w:rPr>
            <w:noProof/>
            <w:webHidden/>
          </w:rPr>
          <w:fldChar w:fldCharType="begin"/>
        </w:r>
        <w:r w:rsidR="00E90148">
          <w:rPr>
            <w:noProof/>
            <w:webHidden/>
          </w:rPr>
          <w:instrText xml:space="preserve"> PAGEREF _Toc447755364 \h </w:instrText>
        </w:r>
        <w:r w:rsidR="00E90148">
          <w:rPr>
            <w:noProof/>
            <w:webHidden/>
          </w:rPr>
        </w:r>
        <w:r w:rsidR="00E90148">
          <w:rPr>
            <w:noProof/>
            <w:webHidden/>
          </w:rPr>
          <w:fldChar w:fldCharType="separate"/>
        </w:r>
        <w:r w:rsidR="00E90148">
          <w:rPr>
            <w:noProof/>
            <w:webHidden/>
          </w:rPr>
          <w:t>62</w:t>
        </w:r>
        <w:r w:rsidR="00E90148">
          <w:rPr>
            <w:noProof/>
            <w:webHidden/>
          </w:rPr>
          <w:fldChar w:fldCharType="end"/>
        </w:r>
      </w:hyperlink>
    </w:p>
    <w:p w14:paraId="0CE744B1"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5" w:history="1">
        <w:r w:rsidR="00E90148" w:rsidRPr="0084360C">
          <w:rPr>
            <w:rStyle w:val="Hyperlink"/>
            <w:noProof/>
          </w:rPr>
          <w:t>Figure 27: Effects of (a) Pressed Pellet and (b) Powder Sample Types on Precision and Accuracy of S1 Titan PHXRF Device for OHC Samples.</w:t>
        </w:r>
        <w:r w:rsidR="00E90148">
          <w:rPr>
            <w:noProof/>
            <w:webHidden/>
          </w:rPr>
          <w:tab/>
        </w:r>
        <w:r w:rsidR="00E90148">
          <w:rPr>
            <w:noProof/>
            <w:webHidden/>
          </w:rPr>
          <w:fldChar w:fldCharType="begin"/>
        </w:r>
        <w:r w:rsidR="00E90148">
          <w:rPr>
            <w:noProof/>
            <w:webHidden/>
          </w:rPr>
          <w:instrText xml:space="preserve"> PAGEREF _Toc447755365 \h </w:instrText>
        </w:r>
        <w:r w:rsidR="00E90148">
          <w:rPr>
            <w:noProof/>
            <w:webHidden/>
          </w:rPr>
        </w:r>
        <w:r w:rsidR="00E90148">
          <w:rPr>
            <w:noProof/>
            <w:webHidden/>
          </w:rPr>
          <w:fldChar w:fldCharType="separate"/>
        </w:r>
        <w:r w:rsidR="00E90148">
          <w:rPr>
            <w:noProof/>
            <w:webHidden/>
          </w:rPr>
          <w:t>66</w:t>
        </w:r>
        <w:r w:rsidR="00E90148">
          <w:rPr>
            <w:noProof/>
            <w:webHidden/>
          </w:rPr>
          <w:fldChar w:fldCharType="end"/>
        </w:r>
      </w:hyperlink>
    </w:p>
    <w:p w14:paraId="1F42F559"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6" w:history="1">
        <w:r w:rsidR="00E90148" w:rsidRPr="0084360C">
          <w:rPr>
            <w:rStyle w:val="Hyperlink"/>
            <w:noProof/>
          </w:rPr>
          <w:t>Figure 28: Effects of (a) Pressed Pellet and (b) Powder Sample Types on Precision and Accuracy of Niton XL3t PHXRF Device for OHC Samples.</w:t>
        </w:r>
        <w:r w:rsidR="00E90148">
          <w:rPr>
            <w:noProof/>
            <w:webHidden/>
          </w:rPr>
          <w:tab/>
        </w:r>
        <w:r w:rsidR="00E90148">
          <w:rPr>
            <w:noProof/>
            <w:webHidden/>
          </w:rPr>
          <w:fldChar w:fldCharType="begin"/>
        </w:r>
        <w:r w:rsidR="00E90148">
          <w:rPr>
            <w:noProof/>
            <w:webHidden/>
          </w:rPr>
          <w:instrText xml:space="preserve"> PAGEREF _Toc447755366 \h </w:instrText>
        </w:r>
        <w:r w:rsidR="00E90148">
          <w:rPr>
            <w:noProof/>
            <w:webHidden/>
          </w:rPr>
        </w:r>
        <w:r w:rsidR="00E90148">
          <w:rPr>
            <w:noProof/>
            <w:webHidden/>
          </w:rPr>
          <w:fldChar w:fldCharType="separate"/>
        </w:r>
        <w:r w:rsidR="00E90148">
          <w:rPr>
            <w:noProof/>
            <w:webHidden/>
          </w:rPr>
          <w:t>66</w:t>
        </w:r>
        <w:r w:rsidR="00E90148">
          <w:rPr>
            <w:noProof/>
            <w:webHidden/>
          </w:rPr>
          <w:fldChar w:fldCharType="end"/>
        </w:r>
      </w:hyperlink>
    </w:p>
    <w:p w14:paraId="66CB0FE7"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7" w:history="1">
        <w:r w:rsidR="00E90148" w:rsidRPr="0084360C">
          <w:rPr>
            <w:rStyle w:val="Hyperlink"/>
            <w:noProof/>
          </w:rPr>
          <w:t>Figure 29: Effects of (a) Pressed Pellet and (b) Powder Sample Types on Precision and Accuracy of S1 Titan PHXRF Device for SGB Samples.</w:t>
        </w:r>
        <w:r w:rsidR="00E90148">
          <w:rPr>
            <w:noProof/>
            <w:webHidden/>
          </w:rPr>
          <w:tab/>
        </w:r>
        <w:r w:rsidR="00E90148">
          <w:rPr>
            <w:noProof/>
            <w:webHidden/>
          </w:rPr>
          <w:fldChar w:fldCharType="begin"/>
        </w:r>
        <w:r w:rsidR="00E90148">
          <w:rPr>
            <w:noProof/>
            <w:webHidden/>
          </w:rPr>
          <w:instrText xml:space="preserve"> PAGEREF _Toc447755367 \h </w:instrText>
        </w:r>
        <w:r w:rsidR="00E90148">
          <w:rPr>
            <w:noProof/>
            <w:webHidden/>
          </w:rPr>
        </w:r>
        <w:r w:rsidR="00E90148">
          <w:rPr>
            <w:noProof/>
            <w:webHidden/>
          </w:rPr>
          <w:fldChar w:fldCharType="separate"/>
        </w:r>
        <w:r w:rsidR="00E90148">
          <w:rPr>
            <w:noProof/>
            <w:webHidden/>
          </w:rPr>
          <w:t>67</w:t>
        </w:r>
        <w:r w:rsidR="00E90148">
          <w:rPr>
            <w:noProof/>
            <w:webHidden/>
          </w:rPr>
          <w:fldChar w:fldCharType="end"/>
        </w:r>
      </w:hyperlink>
    </w:p>
    <w:p w14:paraId="172DF014"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8" w:history="1">
        <w:r w:rsidR="00E90148" w:rsidRPr="0084360C">
          <w:rPr>
            <w:rStyle w:val="Hyperlink"/>
            <w:noProof/>
          </w:rPr>
          <w:t>Figure 30: Effects of (a) Pressed Pellet and (b) Powder Sample Types on Precision and Accuracy of Niton XL3t PHXRF Device for SGB Samples.</w:t>
        </w:r>
        <w:r w:rsidR="00E90148">
          <w:rPr>
            <w:noProof/>
            <w:webHidden/>
          </w:rPr>
          <w:tab/>
        </w:r>
        <w:r w:rsidR="00E90148">
          <w:rPr>
            <w:noProof/>
            <w:webHidden/>
          </w:rPr>
          <w:fldChar w:fldCharType="begin"/>
        </w:r>
        <w:r w:rsidR="00E90148">
          <w:rPr>
            <w:noProof/>
            <w:webHidden/>
          </w:rPr>
          <w:instrText xml:space="preserve"> PAGEREF _Toc447755368 \h </w:instrText>
        </w:r>
        <w:r w:rsidR="00E90148">
          <w:rPr>
            <w:noProof/>
            <w:webHidden/>
          </w:rPr>
        </w:r>
        <w:r w:rsidR="00E90148">
          <w:rPr>
            <w:noProof/>
            <w:webHidden/>
          </w:rPr>
          <w:fldChar w:fldCharType="separate"/>
        </w:r>
        <w:r w:rsidR="00E90148">
          <w:rPr>
            <w:noProof/>
            <w:webHidden/>
          </w:rPr>
          <w:t>67</w:t>
        </w:r>
        <w:r w:rsidR="00E90148">
          <w:rPr>
            <w:noProof/>
            <w:webHidden/>
          </w:rPr>
          <w:fldChar w:fldCharType="end"/>
        </w:r>
      </w:hyperlink>
    </w:p>
    <w:p w14:paraId="585FFCF7"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69" w:history="1">
        <w:r w:rsidR="00E90148" w:rsidRPr="0084360C">
          <w:rPr>
            <w:rStyle w:val="Hyperlink"/>
            <w:noProof/>
          </w:rPr>
          <w:t>Figure 31: RMSD for OHC (Left) and SGB (Right) Pellet and Powder Samples</w:t>
        </w:r>
        <w:r w:rsidR="00E90148">
          <w:rPr>
            <w:noProof/>
            <w:webHidden/>
          </w:rPr>
          <w:tab/>
        </w:r>
        <w:r w:rsidR="00E90148">
          <w:rPr>
            <w:noProof/>
            <w:webHidden/>
          </w:rPr>
          <w:fldChar w:fldCharType="begin"/>
        </w:r>
        <w:r w:rsidR="00E90148">
          <w:rPr>
            <w:noProof/>
            <w:webHidden/>
          </w:rPr>
          <w:instrText xml:space="preserve"> PAGEREF _Toc447755369 \h </w:instrText>
        </w:r>
        <w:r w:rsidR="00E90148">
          <w:rPr>
            <w:noProof/>
            <w:webHidden/>
          </w:rPr>
        </w:r>
        <w:r w:rsidR="00E90148">
          <w:rPr>
            <w:noProof/>
            <w:webHidden/>
          </w:rPr>
          <w:fldChar w:fldCharType="separate"/>
        </w:r>
        <w:r w:rsidR="00E90148">
          <w:rPr>
            <w:noProof/>
            <w:webHidden/>
          </w:rPr>
          <w:t>68</w:t>
        </w:r>
        <w:r w:rsidR="00E90148">
          <w:rPr>
            <w:noProof/>
            <w:webHidden/>
          </w:rPr>
          <w:fldChar w:fldCharType="end"/>
        </w:r>
      </w:hyperlink>
    </w:p>
    <w:p w14:paraId="7578776E"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0" w:history="1">
        <w:r w:rsidR="00E90148" w:rsidRPr="0084360C">
          <w:rPr>
            <w:rStyle w:val="Hyperlink"/>
            <w:noProof/>
          </w:rPr>
          <w:t>Figure 32: Direct Comparison of S1 Titan and Niton XL3t Measurements for OHC Samples (Left) and SGB Samples (Right)</w:t>
        </w:r>
        <w:r w:rsidR="00E90148">
          <w:rPr>
            <w:noProof/>
            <w:webHidden/>
          </w:rPr>
          <w:tab/>
        </w:r>
        <w:r w:rsidR="00E90148">
          <w:rPr>
            <w:noProof/>
            <w:webHidden/>
          </w:rPr>
          <w:fldChar w:fldCharType="begin"/>
        </w:r>
        <w:r w:rsidR="00E90148">
          <w:rPr>
            <w:noProof/>
            <w:webHidden/>
          </w:rPr>
          <w:instrText xml:space="preserve"> PAGEREF _Toc447755370 \h </w:instrText>
        </w:r>
        <w:r w:rsidR="00E90148">
          <w:rPr>
            <w:noProof/>
            <w:webHidden/>
          </w:rPr>
        </w:r>
        <w:r w:rsidR="00E90148">
          <w:rPr>
            <w:noProof/>
            <w:webHidden/>
          </w:rPr>
          <w:fldChar w:fldCharType="separate"/>
        </w:r>
        <w:r w:rsidR="00E90148">
          <w:rPr>
            <w:noProof/>
            <w:webHidden/>
          </w:rPr>
          <w:t>71</w:t>
        </w:r>
        <w:r w:rsidR="00E90148">
          <w:rPr>
            <w:noProof/>
            <w:webHidden/>
          </w:rPr>
          <w:fldChar w:fldCharType="end"/>
        </w:r>
      </w:hyperlink>
    </w:p>
    <w:p w14:paraId="298A9FCA"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1" w:history="1">
        <w:r w:rsidR="00E90148" w:rsidRPr="0084360C">
          <w:rPr>
            <w:rStyle w:val="Hyperlink"/>
            <w:noProof/>
          </w:rPr>
          <w:t>Figure 33: Linear Regression of Site 2 In Situ Measurements with the Niton XL3t PHXRF</w:t>
        </w:r>
        <w:r w:rsidR="00E90148">
          <w:rPr>
            <w:noProof/>
            <w:webHidden/>
          </w:rPr>
          <w:tab/>
        </w:r>
        <w:r w:rsidR="00E90148">
          <w:rPr>
            <w:noProof/>
            <w:webHidden/>
          </w:rPr>
          <w:fldChar w:fldCharType="begin"/>
        </w:r>
        <w:r w:rsidR="00E90148">
          <w:rPr>
            <w:noProof/>
            <w:webHidden/>
          </w:rPr>
          <w:instrText xml:space="preserve"> PAGEREF _Toc447755371 \h </w:instrText>
        </w:r>
        <w:r w:rsidR="00E90148">
          <w:rPr>
            <w:noProof/>
            <w:webHidden/>
          </w:rPr>
        </w:r>
        <w:r w:rsidR="00E90148">
          <w:rPr>
            <w:noProof/>
            <w:webHidden/>
          </w:rPr>
          <w:fldChar w:fldCharType="separate"/>
        </w:r>
        <w:r w:rsidR="00E90148">
          <w:rPr>
            <w:noProof/>
            <w:webHidden/>
          </w:rPr>
          <w:t>73</w:t>
        </w:r>
        <w:r w:rsidR="00E90148">
          <w:rPr>
            <w:noProof/>
            <w:webHidden/>
          </w:rPr>
          <w:fldChar w:fldCharType="end"/>
        </w:r>
      </w:hyperlink>
    </w:p>
    <w:p w14:paraId="4620C05B"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2" w:history="1">
        <w:r w:rsidR="00E90148" w:rsidRPr="0084360C">
          <w:rPr>
            <w:rStyle w:val="Hyperlink"/>
            <w:noProof/>
          </w:rPr>
          <w:t>Figure 34: Linear Regression of Site 2 Ex Situ Measurements with the Niton XL3t PHXRF</w:t>
        </w:r>
        <w:r w:rsidR="00E90148">
          <w:rPr>
            <w:noProof/>
            <w:webHidden/>
          </w:rPr>
          <w:tab/>
        </w:r>
        <w:r w:rsidR="00E90148">
          <w:rPr>
            <w:noProof/>
            <w:webHidden/>
          </w:rPr>
          <w:fldChar w:fldCharType="begin"/>
        </w:r>
        <w:r w:rsidR="00E90148">
          <w:rPr>
            <w:noProof/>
            <w:webHidden/>
          </w:rPr>
          <w:instrText xml:space="preserve"> PAGEREF _Toc447755372 \h </w:instrText>
        </w:r>
        <w:r w:rsidR="00E90148">
          <w:rPr>
            <w:noProof/>
            <w:webHidden/>
          </w:rPr>
        </w:r>
        <w:r w:rsidR="00E90148">
          <w:rPr>
            <w:noProof/>
            <w:webHidden/>
          </w:rPr>
          <w:fldChar w:fldCharType="separate"/>
        </w:r>
        <w:r w:rsidR="00E90148">
          <w:rPr>
            <w:noProof/>
            <w:webHidden/>
          </w:rPr>
          <w:t>76</w:t>
        </w:r>
        <w:r w:rsidR="00E90148">
          <w:rPr>
            <w:noProof/>
            <w:webHidden/>
          </w:rPr>
          <w:fldChar w:fldCharType="end"/>
        </w:r>
      </w:hyperlink>
    </w:p>
    <w:p w14:paraId="718030D5"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3" w:history="1">
        <w:r w:rsidR="00E90148" w:rsidRPr="0084360C">
          <w:rPr>
            <w:rStyle w:val="Hyperlink"/>
            <w:noProof/>
          </w:rPr>
          <w:t>Figure 35: Idealized and Corrected Spatial Stabilizer Distribution for Site 1 at Depths of (a) 0 - 3, (b) 3 - 6, (c) 6 - 9, and (d) 9 - 12 Inches</w:t>
        </w:r>
        <w:r w:rsidR="00E90148">
          <w:rPr>
            <w:noProof/>
            <w:webHidden/>
          </w:rPr>
          <w:tab/>
        </w:r>
        <w:r w:rsidR="00E90148">
          <w:rPr>
            <w:noProof/>
            <w:webHidden/>
          </w:rPr>
          <w:fldChar w:fldCharType="begin"/>
        </w:r>
        <w:r w:rsidR="00E90148">
          <w:rPr>
            <w:noProof/>
            <w:webHidden/>
          </w:rPr>
          <w:instrText xml:space="preserve"> PAGEREF _Toc447755373 \h </w:instrText>
        </w:r>
        <w:r w:rsidR="00E90148">
          <w:rPr>
            <w:noProof/>
            <w:webHidden/>
          </w:rPr>
        </w:r>
        <w:r w:rsidR="00E90148">
          <w:rPr>
            <w:noProof/>
            <w:webHidden/>
          </w:rPr>
          <w:fldChar w:fldCharType="separate"/>
        </w:r>
        <w:r w:rsidR="00E90148">
          <w:rPr>
            <w:noProof/>
            <w:webHidden/>
          </w:rPr>
          <w:t>78</w:t>
        </w:r>
        <w:r w:rsidR="00E90148">
          <w:rPr>
            <w:noProof/>
            <w:webHidden/>
          </w:rPr>
          <w:fldChar w:fldCharType="end"/>
        </w:r>
      </w:hyperlink>
    </w:p>
    <w:p w14:paraId="5DDE4A0C"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4" w:history="1">
        <w:r w:rsidR="00E90148" w:rsidRPr="0084360C">
          <w:rPr>
            <w:rStyle w:val="Hyperlink"/>
            <w:noProof/>
          </w:rPr>
          <w:t>Figure 36: Idealized and Corrected Spatial Stabilizer Distribution for Site 2 at Depths of (a) 0 - 3, (b) 3 - 6, (c) 6 - 9, and (d) 9 - 12 Inches</w:t>
        </w:r>
        <w:r w:rsidR="00E90148">
          <w:rPr>
            <w:noProof/>
            <w:webHidden/>
          </w:rPr>
          <w:tab/>
        </w:r>
        <w:r w:rsidR="00E90148">
          <w:rPr>
            <w:noProof/>
            <w:webHidden/>
          </w:rPr>
          <w:fldChar w:fldCharType="begin"/>
        </w:r>
        <w:r w:rsidR="00E90148">
          <w:rPr>
            <w:noProof/>
            <w:webHidden/>
          </w:rPr>
          <w:instrText xml:space="preserve"> PAGEREF _Toc447755374 \h </w:instrText>
        </w:r>
        <w:r w:rsidR="00E90148">
          <w:rPr>
            <w:noProof/>
            <w:webHidden/>
          </w:rPr>
        </w:r>
        <w:r w:rsidR="00E90148">
          <w:rPr>
            <w:noProof/>
            <w:webHidden/>
          </w:rPr>
          <w:fldChar w:fldCharType="separate"/>
        </w:r>
        <w:r w:rsidR="00E90148">
          <w:rPr>
            <w:noProof/>
            <w:webHidden/>
          </w:rPr>
          <w:t>80</w:t>
        </w:r>
        <w:r w:rsidR="00E90148">
          <w:rPr>
            <w:noProof/>
            <w:webHidden/>
          </w:rPr>
          <w:fldChar w:fldCharType="end"/>
        </w:r>
      </w:hyperlink>
    </w:p>
    <w:p w14:paraId="33CB9324"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5" w:history="1">
        <w:r w:rsidR="00E90148" w:rsidRPr="0084360C">
          <w:rPr>
            <w:rStyle w:val="Hyperlink"/>
            <w:noProof/>
          </w:rPr>
          <w:t>Figure 37: Idealized and Corrected Spatial Stabilizer Distribution for Site 3 at Depths of (a) 0 - 3, (b) 3 - 6, (c) 6 - 9, and (d) 9 - 12 Inches</w:t>
        </w:r>
        <w:r w:rsidR="00E90148">
          <w:rPr>
            <w:noProof/>
            <w:webHidden/>
          </w:rPr>
          <w:tab/>
        </w:r>
        <w:r w:rsidR="00E90148">
          <w:rPr>
            <w:noProof/>
            <w:webHidden/>
          </w:rPr>
          <w:fldChar w:fldCharType="begin"/>
        </w:r>
        <w:r w:rsidR="00E90148">
          <w:rPr>
            <w:noProof/>
            <w:webHidden/>
          </w:rPr>
          <w:instrText xml:space="preserve"> PAGEREF _Toc447755375 \h </w:instrText>
        </w:r>
        <w:r w:rsidR="00E90148">
          <w:rPr>
            <w:noProof/>
            <w:webHidden/>
          </w:rPr>
        </w:r>
        <w:r w:rsidR="00E90148">
          <w:rPr>
            <w:noProof/>
            <w:webHidden/>
          </w:rPr>
          <w:fldChar w:fldCharType="separate"/>
        </w:r>
        <w:r w:rsidR="00E90148">
          <w:rPr>
            <w:noProof/>
            <w:webHidden/>
          </w:rPr>
          <w:t>82</w:t>
        </w:r>
        <w:r w:rsidR="00E90148">
          <w:rPr>
            <w:noProof/>
            <w:webHidden/>
          </w:rPr>
          <w:fldChar w:fldCharType="end"/>
        </w:r>
      </w:hyperlink>
    </w:p>
    <w:p w14:paraId="23D88B52"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6" w:history="1">
        <w:r w:rsidR="00E90148" w:rsidRPr="0084360C">
          <w:rPr>
            <w:rStyle w:val="Hyperlink"/>
            <w:noProof/>
          </w:rPr>
          <w:t>Figure 38: Depth Heterogeneity for All Sites</w:t>
        </w:r>
        <w:r w:rsidR="00E90148">
          <w:rPr>
            <w:noProof/>
            <w:webHidden/>
          </w:rPr>
          <w:tab/>
        </w:r>
        <w:r w:rsidR="00E90148">
          <w:rPr>
            <w:noProof/>
            <w:webHidden/>
          </w:rPr>
          <w:fldChar w:fldCharType="begin"/>
        </w:r>
        <w:r w:rsidR="00E90148">
          <w:rPr>
            <w:noProof/>
            <w:webHidden/>
          </w:rPr>
          <w:instrText xml:space="preserve"> PAGEREF _Toc447755376 \h </w:instrText>
        </w:r>
        <w:r w:rsidR="00E90148">
          <w:rPr>
            <w:noProof/>
            <w:webHidden/>
          </w:rPr>
        </w:r>
        <w:r w:rsidR="00E90148">
          <w:rPr>
            <w:noProof/>
            <w:webHidden/>
          </w:rPr>
          <w:fldChar w:fldCharType="separate"/>
        </w:r>
        <w:r w:rsidR="00E90148">
          <w:rPr>
            <w:noProof/>
            <w:webHidden/>
          </w:rPr>
          <w:t>84</w:t>
        </w:r>
        <w:r w:rsidR="00E90148">
          <w:rPr>
            <w:noProof/>
            <w:webHidden/>
          </w:rPr>
          <w:fldChar w:fldCharType="end"/>
        </w:r>
      </w:hyperlink>
    </w:p>
    <w:p w14:paraId="456587F4"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7" w:history="1">
        <w:r w:rsidR="00E90148" w:rsidRPr="0084360C">
          <w:rPr>
            <w:rStyle w:val="Hyperlink"/>
            <w:noProof/>
          </w:rPr>
          <w:t>Figure 39: Idealized (Left) and Corrected (Right) Depth Heterogeneity for Site 1</w:t>
        </w:r>
        <w:r w:rsidR="00E90148">
          <w:rPr>
            <w:noProof/>
            <w:webHidden/>
          </w:rPr>
          <w:tab/>
        </w:r>
        <w:r w:rsidR="00E90148">
          <w:rPr>
            <w:noProof/>
            <w:webHidden/>
          </w:rPr>
          <w:fldChar w:fldCharType="begin"/>
        </w:r>
        <w:r w:rsidR="00E90148">
          <w:rPr>
            <w:noProof/>
            <w:webHidden/>
          </w:rPr>
          <w:instrText xml:space="preserve"> PAGEREF _Toc447755377 \h </w:instrText>
        </w:r>
        <w:r w:rsidR="00E90148">
          <w:rPr>
            <w:noProof/>
            <w:webHidden/>
          </w:rPr>
        </w:r>
        <w:r w:rsidR="00E90148">
          <w:rPr>
            <w:noProof/>
            <w:webHidden/>
          </w:rPr>
          <w:fldChar w:fldCharType="separate"/>
        </w:r>
        <w:r w:rsidR="00E90148">
          <w:rPr>
            <w:noProof/>
            <w:webHidden/>
          </w:rPr>
          <w:t>85</w:t>
        </w:r>
        <w:r w:rsidR="00E90148">
          <w:rPr>
            <w:noProof/>
            <w:webHidden/>
          </w:rPr>
          <w:fldChar w:fldCharType="end"/>
        </w:r>
      </w:hyperlink>
    </w:p>
    <w:p w14:paraId="631D7A33"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8" w:history="1">
        <w:r w:rsidR="00E90148" w:rsidRPr="0084360C">
          <w:rPr>
            <w:rStyle w:val="Hyperlink"/>
            <w:noProof/>
          </w:rPr>
          <w:t>Figure 40: Idealized (Left) and Corrected (Right) Depth Heterogeneity for Site 2</w:t>
        </w:r>
        <w:r w:rsidR="00E90148">
          <w:rPr>
            <w:noProof/>
            <w:webHidden/>
          </w:rPr>
          <w:tab/>
        </w:r>
        <w:r w:rsidR="00E90148">
          <w:rPr>
            <w:noProof/>
            <w:webHidden/>
          </w:rPr>
          <w:fldChar w:fldCharType="begin"/>
        </w:r>
        <w:r w:rsidR="00E90148">
          <w:rPr>
            <w:noProof/>
            <w:webHidden/>
          </w:rPr>
          <w:instrText xml:space="preserve"> PAGEREF _Toc447755378 \h </w:instrText>
        </w:r>
        <w:r w:rsidR="00E90148">
          <w:rPr>
            <w:noProof/>
            <w:webHidden/>
          </w:rPr>
        </w:r>
        <w:r w:rsidR="00E90148">
          <w:rPr>
            <w:noProof/>
            <w:webHidden/>
          </w:rPr>
          <w:fldChar w:fldCharType="separate"/>
        </w:r>
        <w:r w:rsidR="00E90148">
          <w:rPr>
            <w:noProof/>
            <w:webHidden/>
          </w:rPr>
          <w:t>86</w:t>
        </w:r>
        <w:r w:rsidR="00E90148">
          <w:rPr>
            <w:noProof/>
            <w:webHidden/>
          </w:rPr>
          <w:fldChar w:fldCharType="end"/>
        </w:r>
      </w:hyperlink>
    </w:p>
    <w:p w14:paraId="7CE5D934"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79" w:history="1">
        <w:r w:rsidR="00E90148" w:rsidRPr="0084360C">
          <w:rPr>
            <w:rStyle w:val="Hyperlink"/>
            <w:noProof/>
          </w:rPr>
          <w:t>Figure 41: Idealized (Left) and Corrected (Right) Depth Heterogeneity for Site 3</w:t>
        </w:r>
        <w:r w:rsidR="00E90148">
          <w:rPr>
            <w:noProof/>
            <w:webHidden/>
          </w:rPr>
          <w:tab/>
        </w:r>
        <w:r w:rsidR="00E90148">
          <w:rPr>
            <w:noProof/>
            <w:webHidden/>
          </w:rPr>
          <w:fldChar w:fldCharType="begin"/>
        </w:r>
        <w:r w:rsidR="00E90148">
          <w:rPr>
            <w:noProof/>
            <w:webHidden/>
          </w:rPr>
          <w:instrText xml:space="preserve"> PAGEREF _Toc447755379 \h </w:instrText>
        </w:r>
        <w:r w:rsidR="00E90148">
          <w:rPr>
            <w:noProof/>
            <w:webHidden/>
          </w:rPr>
        </w:r>
        <w:r w:rsidR="00E90148">
          <w:rPr>
            <w:noProof/>
            <w:webHidden/>
          </w:rPr>
          <w:fldChar w:fldCharType="separate"/>
        </w:r>
        <w:r w:rsidR="00E90148">
          <w:rPr>
            <w:noProof/>
            <w:webHidden/>
          </w:rPr>
          <w:t>87</w:t>
        </w:r>
        <w:r w:rsidR="00E90148">
          <w:rPr>
            <w:noProof/>
            <w:webHidden/>
          </w:rPr>
          <w:fldChar w:fldCharType="end"/>
        </w:r>
      </w:hyperlink>
    </w:p>
    <w:p w14:paraId="54074D6E" w14:textId="7CD54C3D" w:rsidR="002F4C46" w:rsidRDefault="00470E7B" w:rsidP="002F4C46">
      <w:pPr>
        <w:jc w:val="left"/>
        <w:rPr>
          <w:rFonts w:asciiTheme="majorBidi" w:hAnsiTheme="majorBidi" w:cs="Times New Roman"/>
          <w:bCs/>
        </w:rPr>
      </w:pPr>
      <w:r>
        <w:rPr>
          <w:rFonts w:asciiTheme="majorBidi" w:hAnsiTheme="majorBidi" w:cs="Times New Roman"/>
          <w:bCs/>
        </w:rPr>
        <w:fldChar w:fldCharType="end"/>
      </w:r>
    </w:p>
    <w:p w14:paraId="3D93E00A" w14:textId="77777777" w:rsidR="00DC6F22" w:rsidRDefault="00DC6F22" w:rsidP="002F4C46">
      <w:pPr>
        <w:jc w:val="left"/>
        <w:rPr>
          <w:rFonts w:asciiTheme="majorBidi" w:hAnsiTheme="majorBidi" w:cs="Times New Roman"/>
          <w:bCs/>
        </w:rPr>
        <w:sectPr w:rsidR="00DC6F22" w:rsidSect="00CD1C66">
          <w:footerReference w:type="default" r:id="rId11"/>
          <w:pgSz w:w="12240" w:h="15840"/>
          <w:pgMar w:top="1440" w:right="1440" w:bottom="1440" w:left="2304" w:header="720" w:footer="144" w:gutter="0"/>
          <w:pgNumType w:fmt="lowerRoman"/>
          <w:cols w:space="720"/>
          <w:docGrid w:linePitch="360"/>
        </w:sectPr>
      </w:pPr>
    </w:p>
    <w:p w14:paraId="1FC6A2FE" w14:textId="692BDFC6" w:rsidR="002F4C46" w:rsidRDefault="002F4C46" w:rsidP="006427AD">
      <w:pPr>
        <w:pStyle w:val="Heading1"/>
      </w:pPr>
      <w:r>
        <w:lastRenderedPageBreak/>
        <w:t>LIST OF TABLES</w:t>
      </w:r>
    </w:p>
    <w:p w14:paraId="72094869" w14:textId="77777777" w:rsidR="002F4C46" w:rsidRDefault="002F4C46" w:rsidP="002F4C46">
      <w:pPr>
        <w:rPr>
          <w:b/>
        </w:rPr>
      </w:pPr>
    </w:p>
    <w:p w14:paraId="5048DF82" w14:textId="77777777" w:rsidR="00E90148" w:rsidRDefault="002F4C46">
      <w:pPr>
        <w:pStyle w:val="TableofFigures"/>
        <w:tabs>
          <w:tab w:val="right" w:leader="dot" w:pos="8486"/>
        </w:tabs>
        <w:rPr>
          <w:rFonts w:asciiTheme="minorHAnsi" w:eastAsiaTheme="minorEastAsia" w:hAnsiTheme="minorHAnsi" w:cstheme="minorBidi"/>
          <w:bCs w:val="0"/>
          <w:noProof/>
          <w:sz w:val="22"/>
          <w:szCs w:val="22"/>
        </w:rPr>
      </w:pPr>
      <w:r>
        <w:rPr>
          <w:b/>
        </w:rPr>
        <w:fldChar w:fldCharType="begin"/>
      </w:r>
      <w:r>
        <w:rPr>
          <w:b/>
        </w:rPr>
        <w:instrText xml:space="preserve"> TOC \h \z \c "Table" </w:instrText>
      </w:r>
      <w:r>
        <w:rPr>
          <w:b/>
        </w:rPr>
        <w:fldChar w:fldCharType="separate"/>
      </w:r>
      <w:hyperlink w:anchor="_Toc447755321" w:history="1">
        <w:r w:rsidR="00E90148" w:rsidRPr="00E97F2B">
          <w:rPr>
            <w:rStyle w:val="Hyperlink"/>
            <w:noProof/>
          </w:rPr>
          <w:t>Table 1: Differences in Stabilization Specifications for Pulverization of Subgrade Soils in Preparation for Cement Treatment</w:t>
        </w:r>
        <w:r w:rsidR="00E90148">
          <w:rPr>
            <w:noProof/>
            <w:webHidden/>
          </w:rPr>
          <w:tab/>
        </w:r>
        <w:r w:rsidR="00E90148">
          <w:rPr>
            <w:noProof/>
            <w:webHidden/>
          </w:rPr>
          <w:fldChar w:fldCharType="begin"/>
        </w:r>
        <w:r w:rsidR="00E90148">
          <w:rPr>
            <w:noProof/>
            <w:webHidden/>
          </w:rPr>
          <w:instrText xml:space="preserve"> PAGEREF _Toc447755321 \h </w:instrText>
        </w:r>
        <w:r w:rsidR="00E90148">
          <w:rPr>
            <w:noProof/>
            <w:webHidden/>
          </w:rPr>
        </w:r>
        <w:r w:rsidR="00E90148">
          <w:rPr>
            <w:noProof/>
            <w:webHidden/>
          </w:rPr>
          <w:fldChar w:fldCharType="separate"/>
        </w:r>
        <w:r w:rsidR="00E90148">
          <w:rPr>
            <w:noProof/>
            <w:webHidden/>
          </w:rPr>
          <w:t>11</w:t>
        </w:r>
        <w:r w:rsidR="00E90148">
          <w:rPr>
            <w:noProof/>
            <w:webHidden/>
          </w:rPr>
          <w:fldChar w:fldCharType="end"/>
        </w:r>
      </w:hyperlink>
    </w:p>
    <w:p w14:paraId="16B3688D"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22" w:history="1">
        <w:r w:rsidR="00E90148" w:rsidRPr="00E97F2B">
          <w:rPr>
            <w:rStyle w:val="Hyperlink"/>
            <w:noProof/>
          </w:rPr>
          <w:t>Table 2: Differences in Stabilization Specifications for Pulverization of Subgrade Soils in Preparation for Lime Treatment</w:t>
        </w:r>
        <w:r w:rsidR="00E90148">
          <w:rPr>
            <w:noProof/>
            <w:webHidden/>
          </w:rPr>
          <w:tab/>
        </w:r>
        <w:r w:rsidR="00E90148">
          <w:rPr>
            <w:noProof/>
            <w:webHidden/>
          </w:rPr>
          <w:fldChar w:fldCharType="begin"/>
        </w:r>
        <w:r w:rsidR="00E90148">
          <w:rPr>
            <w:noProof/>
            <w:webHidden/>
          </w:rPr>
          <w:instrText xml:space="preserve"> PAGEREF _Toc447755322 \h </w:instrText>
        </w:r>
        <w:r w:rsidR="00E90148">
          <w:rPr>
            <w:noProof/>
            <w:webHidden/>
          </w:rPr>
        </w:r>
        <w:r w:rsidR="00E90148">
          <w:rPr>
            <w:noProof/>
            <w:webHidden/>
          </w:rPr>
          <w:fldChar w:fldCharType="separate"/>
        </w:r>
        <w:r w:rsidR="00E90148">
          <w:rPr>
            <w:noProof/>
            <w:webHidden/>
          </w:rPr>
          <w:t>12</w:t>
        </w:r>
        <w:r w:rsidR="00E90148">
          <w:rPr>
            <w:noProof/>
            <w:webHidden/>
          </w:rPr>
          <w:fldChar w:fldCharType="end"/>
        </w:r>
      </w:hyperlink>
    </w:p>
    <w:p w14:paraId="7BBEB965"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23" w:history="1">
        <w:r w:rsidR="00E90148" w:rsidRPr="00E97F2B">
          <w:rPr>
            <w:rStyle w:val="Hyperlink"/>
            <w:noProof/>
          </w:rPr>
          <w:t>Table 3: Differences in Stabilization Specifications for Compaction of Subgrade Soils</w:t>
        </w:r>
        <w:r w:rsidR="00E90148">
          <w:rPr>
            <w:noProof/>
            <w:webHidden/>
          </w:rPr>
          <w:tab/>
        </w:r>
        <w:r w:rsidR="00E90148">
          <w:rPr>
            <w:noProof/>
            <w:webHidden/>
          </w:rPr>
          <w:fldChar w:fldCharType="begin"/>
        </w:r>
        <w:r w:rsidR="00E90148">
          <w:rPr>
            <w:noProof/>
            <w:webHidden/>
          </w:rPr>
          <w:instrText xml:space="preserve"> PAGEREF _Toc447755323 \h </w:instrText>
        </w:r>
        <w:r w:rsidR="00E90148">
          <w:rPr>
            <w:noProof/>
            <w:webHidden/>
          </w:rPr>
        </w:r>
        <w:r w:rsidR="00E90148">
          <w:rPr>
            <w:noProof/>
            <w:webHidden/>
          </w:rPr>
          <w:fldChar w:fldCharType="separate"/>
        </w:r>
        <w:r w:rsidR="00E90148">
          <w:rPr>
            <w:noProof/>
            <w:webHidden/>
          </w:rPr>
          <w:t>17</w:t>
        </w:r>
        <w:r w:rsidR="00E90148">
          <w:rPr>
            <w:noProof/>
            <w:webHidden/>
          </w:rPr>
          <w:fldChar w:fldCharType="end"/>
        </w:r>
      </w:hyperlink>
    </w:p>
    <w:p w14:paraId="5EDB3F2A"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24" w:history="1">
        <w:r w:rsidR="00E90148" w:rsidRPr="00E97F2B">
          <w:rPr>
            <w:rStyle w:val="Hyperlink"/>
            <w:noProof/>
          </w:rPr>
          <w:t>Table 4: Testing Matrix Showing Number of Scans (S1 Titan / Niton XL3t) of all Seventy Unique Samples and their Corresponding Soil Types, Stabilizer Contents, Sample Types, and Maximum Particle Sizes</w:t>
        </w:r>
        <w:r w:rsidR="00E90148">
          <w:rPr>
            <w:noProof/>
            <w:webHidden/>
          </w:rPr>
          <w:tab/>
        </w:r>
        <w:r w:rsidR="00E90148">
          <w:rPr>
            <w:noProof/>
            <w:webHidden/>
          </w:rPr>
          <w:fldChar w:fldCharType="begin"/>
        </w:r>
        <w:r w:rsidR="00E90148">
          <w:rPr>
            <w:noProof/>
            <w:webHidden/>
          </w:rPr>
          <w:instrText xml:space="preserve"> PAGEREF _Toc447755324 \h </w:instrText>
        </w:r>
        <w:r w:rsidR="00E90148">
          <w:rPr>
            <w:noProof/>
            <w:webHidden/>
          </w:rPr>
        </w:r>
        <w:r w:rsidR="00E90148">
          <w:rPr>
            <w:noProof/>
            <w:webHidden/>
          </w:rPr>
          <w:fldChar w:fldCharType="separate"/>
        </w:r>
        <w:r w:rsidR="00E90148">
          <w:rPr>
            <w:noProof/>
            <w:webHidden/>
          </w:rPr>
          <w:t>25</w:t>
        </w:r>
        <w:r w:rsidR="00E90148">
          <w:rPr>
            <w:noProof/>
            <w:webHidden/>
          </w:rPr>
          <w:fldChar w:fldCharType="end"/>
        </w:r>
      </w:hyperlink>
    </w:p>
    <w:p w14:paraId="1C13289E"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25" w:history="1">
        <w:r w:rsidR="00E90148" w:rsidRPr="00E97F2B">
          <w:rPr>
            <w:rStyle w:val="Hyperlink"/>
            <w:noProof/>
          </w:rPr>
          <w:t>Table 5: Proportions of Soil and Stabilizer to Achieve a Range of Stabilizer Contents</w:t>
        </w:r>
        <w:r w:rsidR="00E90148">
          <w:rPr>
            <w:noProof/>
            <w:webHidden/>
          </w:rPr>
          <w:tab/>
        </w:r>
        <w:r w:rsidR="00E90148">
          <w:rPr>
            <w:noProof/>
            <w:webHidden/>
          </w:rPr>
          <w:fldChar w:fldCharType="begin"/>
        </w:r>
        <w:r w:rsidR="00E90148">
          <w:rPr>
            <w:noProof/>
            <w:webHidden/>
          </w:rPr>
          <w:instrText xml:space="preserve"> PAGEREF _Toc447755325 \h </w:instrText>
        </w:r>
        <w:r w:rsidR="00E90148">
          <w:rPr>
            <w:noProof/>
            <w:webHidden/>
          </w:rPr>
        </w:r>
        <w:r w:rsidR="00E90148">
          <w:rPr>
            <w:noProof/>
            <w:webHidden/>
          </w:rPr>
          <w:fldChar w:fldCharType="separate"/>
        </w:r>
        <w:r w:rsidR="00E90148">
          <w:rPr>
            <w:noProof/>
            <w:webHidden/>
          </w:rPr>
          <w:t>27</w:t>
        </w:r>
        <w:r w:rsidR="00E90148">
          <w:rPr>
            <w:noProof/>
            <w:webHidden/>
          </w:rPr>
          <w:fldChar w:fldCharType="end"/>
        </w:r>
      </w:hyperlink>
    </w:p>
    <w:p w14:paraId="260A00A1"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26" w:history="1">
        <w:r w:rsidR="00E90148" w:rsidRPr="00E97F2B">
          <w:rPr>
            <w:rStyle w:val="Hyperlink"/>
            <w:noProof/>
          </w:rPr>
          <w:t>Table 6: Effects of Scan Duration on STDEV, COV</w:t>
        </w:r>
        <w:r w:rsidR="00E90148" w:rsidRPr="00E97F2B">
          <w:rPr>
            <w:rStyle w:val="Hyperlink"/>
            <w:noProof/>
            <w:vertAlign w:val="subscript"/>
          </w:rPr>
          <w:t>STDEV</w:t>
        </w:r>
        <w:r w:rsidR="00E90148" w:rsidRPr="00E97F2B">
          <w:rPr>
            <w:rStyle w:val="Hyperlink"/>
            <w:noProof/>
          </w:rPr>
          <w:t>, RMSD, and COV</w:t>
        </w:r>
        <w:r w:rsidR="00E90148" w:rsidRPr="00E97F2B">
          <w:rPr>
            <w:rStyle w:val="Hyperlink"/>
            <w:noProof/>
            <w:vertAlign w:val="subscript"/>
          </w:rPr>
          <w:t>RMSD</w:t>
        </w:r>
        <w:r w:rsidR="00E90148" w:rsidRPr="00E97F2B">
          <w:rPr>
            <w:rStyle w:val="Hyperlink"/>
            <w:noProof/>
          </w:rPr>
          <w:t xml:space="preserve"> for OHC Samples</w:t>
        </w:r>
        <w:r w:rsidR="00E90148">
          <w:rPr>
            <w:noProof/>
            <w:webHidden/>
          </w:rPr>
          <w:tab/>
        </w:r>
        <w:r w:rsidR="00E90148">
          <w:rPr>
            <w:noProof/>
            <w:webHidden/>
          </w:rPr>
          <w:fldChar w:fldCharType="begin"/>
        </w:r>
        <w:r w:rsidR="00E90148">
          <w:rPr>
            <w:noProof/>
            <w:webHidden/>
          </w:rPr>
          <w:instrText xml:space="preserve"> PAGEREF _Toc447755326 \h </w:instrText>
        </w:r>
        <w:r w:rsidR="00E90148">
          <w:rPr>
            <w:noProof/>
            <w:webHidden/>
          </w:rPr>
        </w:r>
        <w:r w:rsidR="00E90148">
          <w:rPr>
            <w:noProof/>
            <w:webHidden/>
          </w:rPr>
          <w:fldChar w:fldCharType="separate"/>
        </w:r>
        <w:r w:rsidR="00E90148">
          <w:rPr>
            <w:noProof/>
            <w:webHidden/>
          </w:rPr>
          <w:t>43</w:t>
        </w:r>
        <w:r w:rsidR="00E90148">
          <w:rPr>
            <w:noProof/>
            <w:webHidden/>
          </w:rPr>
          <w:fldChar w:fldCharType="end"/>
        </w:r>
      </w:hyperlink>
    </w:p>
    <w:p w14:paraId="68C6E20C"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27" w:history="1">
        <w:r w:rsidR="00E90148" w:rsidRPr="00E97F2B">
          <w:rPr>
            <w:rStyle w:val="Hyperlink"/>
            <w:noProof/>
          </w:rPr>
          <w:t>Table 7: Effects of Scan Duration on STDEV, COV</w:t>
        </w:r>
        <w:r w:rsidR="00E90148" w:rsidRPr="00E97F2B">
          <w:rPr>
            <w:rStyle w:val="Hyperlink"/>
            <w:noProof/>
            <w:vertAlign w:val="subscript"/>
          </w:rPr>
          <w:t>STDEV</w:t>
        </w:r>
        <w:r w:rsidR="00E90148" w:rsidRPr="00E97F2B">
          <w:rPr>
            <w:rStyle w:val="Hyperlink"/>
            <w:noProof/>
          </w:rPr>
          <w:t>, RMSD, and COV</w:t>
        </w:r>
        <w:r w:rsidR="00E90148" w:rsidRPr="00E97F2B">
          <w:rPr>
            <w:rStyle w:val="Hyperlink"/>
            <w:noProof/>
            <w:vertAlign w:val="subscript"/>
          </w:rPr>
          <w:t>RMSD</w:t>
        </w:r>
        <w:r w:rsidR="00E90148" w:rsidRPr="00E97F2B">
          <w:rPr>
            <w:rStyle w:val="Hyperlink"/>
            <w:noProof/>
          </w:rPr>
          <w:t xml:space="preserve"> for SGB Samples</w:t>
        </w:r>
        <w:r w:rsidR="00E90148">
          <w:rPr>
            <w:noProof/>
            <w:webHidden/>
          </w:rPr>
          <w:tab/>
        </w:r>
        <w:r w:rsidR="00E90148">
          <w:rPr>
            <w:noProof/>
            <w:webHidden/>
          </w:rPr>
          <w:fldChar w:fldCharType="begin"/>
        </w:r>
        <w:r w:rsidR="00E90148">
          <w:rPr>
            <w:noProof/>
            <w:webHidden/>
          </w:rPr>
          <w:instrText xml:space="preserve"> PAGEREF _Toc447755327 \h </w:instrText>
        </w:r>
        <w:r w:rsidR="00E90148">
          <w:rPr>
            <w:noProof/>
            <w:webHidden/>
          </w:rPr>
        </w:r>
        <w:r w:rsidR="00E90148">
          <w:rPr>
            <w:noProof/>
            <w:webHidden/>
          </w:rPr>
          <w:fldChar w:fldCharType="separate"/>
        </w:r>
        <w:r w:rsidR="00E90148">
          <w:rPr>
            <w:noProof/>
            <w:webHidden/>
          </w:rPr>
          <w:t>43</w:t>
        </w:r>
        <w:r w:rsidR="00E90148">
          <w:rPr>
            <w:noProof/>
            <w:webHidden/>
          </w:rPr>
          <w:fldChar w:fldCharType="end"/>
        </w:r>
      </w:hyperlink>
    </w:p>
    <w:p w14:paraId="30DAE417"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28" w:history="1">
        <w:r w:rsidR="00E90148" w:rsidRPr="00E97F2B">
          <w:rPr>
            <w:rStyle w:val="Hyperlink"/>
            <w:noProof/>
          </w:rPr>
          <w:t>Table 8: Effects of Scan Technique on STDEV, COV</w:t>
        </w:r>
        <w:r w:rsidR="00E90148" w:rsidRPr="00E97F2B">
          <w:rPr>
            <w:rStyle w:val="Hyperlink"/>
            <w:noProof/>
            <w:vertAlign w:val="subscript"/>
          </w:rPr>
          <w:t>STDEV</w:t>
        </w:r>
        <w:r w:rsidR="00E90148" w:rsidRPr="00E97F2B">
          <w:rPr>
            <w:rStyle w:val="Hyperlink"/>
            <w:noProof/>
          </w:rPr>
          <w:t>, RMSD, and COV</w:t>
        </w:r>
        <w:r w:rsidR="00E90148" w:rsidRPr="00E97F2B">
          <w:rPr>
            <w:rStyle w:val="Hyperlink"/>
            <w:noProof/>
            <w:vertAlign w:val="subscript"/>
          </w:rPr>
          <w:t>RMSD</w:t>
        </w:r>
        <w:r w:rsidR="00E90148" w:rsidRPr="00E97F2B">
          <w:rPr>
            <w:rStyle w:val="Hyperlink"/>
            <w:noProof/>
          </w:rPr>
          <w:t xml:space="preserve"> for OHC Samples</w:t>
        </w:r>
        <w:r w:rsidR="00E90148">
          <w:rPr>
            <w:noProof/>
            <w:webHidden/>
          </w:rPr>
          <w:tab/>
        </w:r>
        <w:r w:rsidR="00E90148">
          <w:rPr>
            <w:noProof/>
            <w:webHidden/>
          </w:rPr>
          <w:fldChar w:fldCharType="begin"/>
        </w:r>
        <w:r w:rsidR="00E90148">
          <w:rPr>
            <w:noProof/>
            <w:webHidden/>
          </w:rPr>
          <w:instrText xml:space="preserve"> PAGEREF _Toc447755328 \h </w:instrText>
        </w:r>
        <w:r w:rsidR="00E90148">
          <w:rPr>
            <w:noProof/>
            <w:webHidden/>
          </w:rPr>
        </w:r>
        <w:r w:rsidR="00E90148">
          <w:rPr>
            <w:noProof/>
            <w:webHidden/>
          </w:rPr>
          <w:fldChar w:fldCharType="separate"/>
        </w:r>
        <w:r w:rsidR="00E90148">
          <w:rPr>
            <w:noProof/>
            <w:webHidden/>
          </w:rPr>
          <w:t>47</w:t>
        </w:r>
        <w:r w:rsidR="00E90148">
          <w:rPr>
            <w:noProof/>
            <w:webHidden/>
          </w:rPr>
          <w:fldChar w:fldCharType="end"/>
        </w:r>
      </w:hyperlink>
    </w:p>
    <w:p w14:paraId="586D1840"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29" w:history="1">
        <w:r w:rsidR="00E90148" w:rsidRPr="00E97F2B">
          <w:rPr>
            <w:rStyle w:val="Hyperlink"/>
            <w:noProof/>
          </w:rPr>
          <w:t>Table 9: Effects of Scan Technique on STDEV, COV</w:t>
        </w:r>
        <w:r w:rsidR="00E90148" w:rsidRPr="00E97F2B">
          <w:rPr>
            <w:rStyle w:val="Hyperlink"/>
            <w:noProof/>
            <w:vertAlign w:val="subscript"/>
          </w:rPr>
          <w:t>STDEV</w:t>
        </w:r>
        <w:r w:rsidR="00E90148" w:rsidRPr="00E97F2B">
          <w:rPr>
            <w:rStyle w:val="Hyperlink"/>
            <w:noProof/>
          </w:rPr>
          <w:t>, RMSD, and COV</w:t>
        </w:r>
        <w:r w:rsidR="00E90148" w:rsidRPr="00E97F2B">
          <w:rPr>
            <w:rStyle w:val="Hyperlink"/>
            <w:noProof/>
            <w:vertAlign w:val="subscript"/>
          </w:rPr>
          <w:t>RMSD</w:t>
        </w:r>
        <w:r w:rsidR="00E90148" w:rsidRPr="00E97F2B">
          <w:rPr>
            <w:rStyle w:val="Hyperlink"/>
            <w:noProof/>
          </w:rPr>
          <w:t xml:space="preserve"> for SGB Samples</w:t>
        </w:r>
        <w:r w:rsidR="00E90148">
          <w:rPr>
            <w:noProof/>
            <w:webHidden/>
          </w:rPr>
          <w:tab/>
        </w:r>
        <w:r w:rsidR="00E90148">
          <w:rPr>
            <w:noProof/>
            <w:webHidden/>
          </w:rPr>
          <w:fldChar w:fldCharType="begin"/>
        </w:r>
        <w:r w:rsidR="00E90148">
          <w:rPr>
            <w:noProof/>
            <w:webHidden/>
          </w:rPr>
          <w:instrText xml:space="preserve"> PAGEREF _Toc447755329 \h </w:instrText>
        </w:r>
        <w:r w:rsidR="00E90148">
          <w:rPr>
            <w:noProof/>
            <w:webHidden/>
          </w:rPr>
        </w:r>
        <w:r w:rsidR="00E90148">
          <w:rPr>
            <w:noProof/>
            <w:webHidden/>
          </w:rPr>
          <w:fldChar w:fldCharType="separate"/>
        </w:r>
        <w:r w:rsidR="00E90148">
          <w:rPr>
            <w:noProof/>
            <w:webHidden/>
          </w:rPr>
          <w:t>48</w:t>
        </w:r>
        <w:r w:rsidR="00E90148">
          <w:rPr>
            <w:noProof/>
            <w:webHidden/>
          </w:rPr>
          <w:fldChar w:fldCharType="end"/>
        </w:r>
      </w:hyperlink>
    </w:p>
    <w:p w14:paraId="6C483D8B"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0" w:history="1">
        <w:r w:rsidR="00E90148" w:rsidRPr="00E97F2B">
          <w:rPr>
            <w:rStyle w:val="Hyperlink"/>
            <w:noProof/>
          </w:rPr>
          <w:t>Table 10: Effects of Particle Size on STDEV, COV</w:t>
        </w:r>
        <w:r w:rsidR="00E90148" w:rsidRPr="00E97F2B">
          <w:rPr>
            <w:rStyle w:val="Hyperlink"/>
            <w:noProof/>
            <w:vertAlign w:val="subscript"/>
          </w:rPr>
          <w:t>STDEV</w:t>
        </w:r>
        <w:r w:rsidR="00E90148" w:rsidRPr="00E97F2B">
          <w:rPr>
            <w:rStyle w:val="Hyperlink"/>
            <w:noProof/>
          </w:rPr>
          <w:t>, RMSD, and COV</w:t>
        </w:r>
        <w:r w:rsidR="00E90148" w:rsidRPr="00E97F2B">
          <w:rPr>
            <w:rStyle w:val="Hyperlink"/>
            <w:noProof/>
            <w:vertAlign w:val="subscript"/>
          </w:rPr>
          <w:t>RMSD</w:t>
        </w:r>
        <w:r w:rsidR="00E90148" w:rsidRPr="00E97F2B">
          <w:rPr>
            <w:rStyle w:val="Hyperlink"/>
            <w:noProof/>
          </w:rPr>
          <w:t xml:space="preserve"> for OHC Samples</w:t>
        </w:r>
        <w:r w:rsidR="00E90148">
          <w:rPr>
            <w:noProof/>
            <w:webHidden/>
          </w:rPr>
          <w:tab/>
        </w:r>
        <w:r w:rsidR="00E90148">
          <w:rPr>
            <w:noProof/>
            <w:webHidden/>
          </w:rPr>
          <w:fldChar w:fldCharType="begin"/>
        </w:r>
        <w:r w:rsidR="00E90148">
          <w:rPr>
            <w:noProof/>
            <w:webHidden/>
          </w:rPr>
          <w:instrText xml:space="preserve"> PAGEREF _Toc447755330 \h </w:instrText>
        </w:r>
        <w:r w:rsidR="00E90148">
          <w:rPr>
            <w:noProof/>
            <w:webHidden/>
          </w:rPr>
        </w:r>
        <w:r w:rsidR="00E90148">
          <w:rPr>
            <w:noProof/>
            <w:webHidden/>
          </w:rPr>
          <w:fldChar w:fldCharType="separate"/>
        </w:r>
        <w:r w:rsidR="00E90148">
          <w:rPr>
            <w:noProof/>
            <w:webHidden/>
          </w:rPr>
          <w:t>54</w:t>
        </w:r>
        <w:r w:rsidR="00E90148">
          <w:rPr>
            <w:noProof/>
            <w:webHidden/>
          </w:rPr>
          <w:fldChar w:fldCharType="end"/>
        </w:r>
      </w:hyperlink>
    </w:p>
    <w:p w14:paraId="2A6DE5B9"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1" w:history="1">
        <w:r w:rsidR="00E90148" w:rsidRPr="00E97F2B">
          <w:rPr>
            <w:rStyle w:val="Hyperlink"/>
            <w:noProof/>
          </w:rPr>
          <w:t>Table 11: Effects of Particle Size on STDEV, COV</w:t>
        </w:r>
        <w:r w:rsidR="00E90148" w:rsidRPr="00E97F2B">
          <w:rPr>
            <w:rStyle w:val="Hyperlink"/>
            <w:noProof/>
            <w:vertAlign w:val="subscript"/>
          </w:rPr>
          <w:t>STDEV</w:t>
        </w:r>
        <w:r w:rsidR="00E90148" w:rsidRPr="00E97F2B">
          <w:rPr>
            <w:rStyle w:val="Hyperlink"/>
            <w:noProof/>
          </w:rPr>
          <w:t>, RMSD, and COV</w:t>
        </w:r>
        <w:r w:rsidR="00E90148" w:rsidRPr="00E97F2B">
          <w:rPr>
            <w:rStyle w:val="Hyperlink"/>
            <w:noProof/>
            <w:vertAlign w:val="subscript"/>
          </w:rPr>
          <w:t>RMSD</w:t>
        </w:r>
        <w:r w:rsidR="00E90148" w:rsidRPr="00E97F2B">
          <w:rPr>
            <w:rStyle w:val="Hyperlink"/>
            <w:noProof/>
          </w:rPr>
          <w:t xml:space="preserve"> for SGB Samples</w:t>
        </w:r>
        <w:r w:rsidR="00E90148">
          <w:rPr>
            <w:noProof/>
            <w:webHidden/>
          </w:rPr>
          <w:tab/>
        </w:r>
        <w:r w:rsidR="00E90148">
          <w:rPr>
            <w:noProof/>
            <w:webHidden/>
          </w:rPr>
          <w:fldChar w:fldCharType="begin"/>
        </w:r>
        <w:r w:rsidR="00E90148">
          <w:rPr>
            <w:noProof/>
            <w:webHidden/>
          </w:rPr>
          <w:instrText xml:space="preserve"> PAGEREF _Toc447755331 \h </w:instrText>
        </w:r>
        <w:r w:rsidR="00E90148">
          <w:rPr>
            <w:noProof/>
            <w:webHidden/>
          </w:rPr>
        </w:r>
        <w:r w:rsidR="00E90148">
          <w:rPr>
            <w:noProof/>
            <w:webHidden/>
          </w:rPr>
          <w:fldChar w:fldCharType="separate"/>
        </w:r>
        <w:r w:rsidR="00E90148">
          <w:rPr>
            <w:noProof/>
            <w:webHidden/>
          </w:rPr>
          <w:t>55</w:t>
        </w:r>
        <w:r w:rsidR="00E90148">
          <w:rPr>
            <w:noProof/>
            <w:webHidden/>
          </w:rPr>
          <w:fldChar w:fldCharType="end"/>
        </w:r>
      </w:hyperlink>
    </w:p>
    <w:p w14:paraId="5512B728"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2" w:history="1">
        <w:r w:rsidR="00E90148" w:rsidRPr="00E97F2B">
          <w:rPr>
            <w:rStyle w:val="Hyperlink"/>
            <w:noProof/>
          </w:rPr>
          <w:t>Table 12: Average RMSD and COV</w:t>
        </w:r>
        <w:r w:rsidR="00E90148" w:rsidRPr="00E97F2B">
          <w:rPr>
            <w:rStyle w:val="Hyperlink"/>
            <w:noProof/>
            <w:vertAlign w:val="subscript"/>
          </w:rPr>
          <w:t>RMSD</w:t>
        </w:r>
        <w:r w:rsidR="00E90148" w:rsidRPr="00E97F2B">
          <w:rPr>
            <w:rStyle w:val="Hyperlink"/>
            <w:noProof/>
          </w:rPr>
          <w:t xml:space="preserve"> for All Samples and Both PHXRF Devices</w:t>
        </w:r>
        <w:r w:rsidR="00E90148">
          <w:rPr>
            <w:noProof/>
            <w:webHidden/>
          </w:rPr>
          <w:tab/>
        </w:r>
        <w:r w:rsidR="00E90148">
          <w:rPr>
            <w:noProof/>
            <w:webHidden/>
          </w:rPr>
          <w:fldChar w:fldCharType="begin"/>
        </w:r>
        <w:r w:rsidR="00E90148">
          <w:rPr>
            <w:noProof/>
            <w:webHidden/>
          </w:rPr>
          <w:instrText xml:space="preserve"> PAGEREF _Toc447755332 \h </w:instrText>
        </w:r>
        <w:r w:rsidR="00E90148">
          <w:rPr>
            <w:noProof/>
            <w:webHidden/>
          </w:rPr>
        </w:r>
        <w:r w:rsidR="00E90148">
          <w:rPr>
            <w:noProof/>
            <w:webHidden/>
          </w:rPr>
          <w:fldChar w:fldCharType="separate"/>
        </w:r>
        <w:r w:rsidR="00E90148">
          <w:rPr>
            <w:noProof/>
            <w:webHidden/>
          </w:rPr>
          <w:t>61</w:t>
        </w:r>
        <w:r w:rsidR="00E90148">
          <w:rPr>
            <w:noProof/>
            <w:webHidden/>
          </w:rPr>
          <w:fldChar w:fldCharType="end"/>
        </w:r>
      </w:hyperlink>
    </w:p>
    <w:p w14:paraId="4A096846"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3" w:history="1">
        <w:r w:rsidR="00E90148" w:rsidRPr="00E97F2B">
          <w:rPr>
            <w:rStyle w:val="Hyperlink"/>
            <w:noProof/>
          </w:rPr>
          <w:t>Table 13: Effects of Sample Type on STDEV, COV</w:t>
        </w:r>
        <w:r w:rsidR="00E90148" w:rsidRPr="00E97F2B">
          <w:rPr>
            <w:rStyle w:val="Hyperlink"/>
            <w:noProof/>
            <w:vertAlign w:val="subscript"/>
          </w:rPr>
          <w:t>STDEV</w:t>
        </w:r>
        <w:r w:rsidR="00E90148" w:rsidRPr="00E97F2B">
          <w:rPr>
            <w:rStyle w:val="Hyperlink"/>
            <w:noProof/>
          </w:rPr>
          <w:t>, RMSD, and COV</w:t>
        </w:r>
        <w:r w:rsidR="00E90148" w:rsidRPr="00E97F2B">
          <w:rPr>
            <w:rStyle w:val="Hyperlink"/>
            <w:noProof/>
            <w:vertAlign w:val="subscript"/>
          </w:rPr>
          <w:t>RMSD</w:t>
        </w:r>
        <w:r w:rsidR="00E90148" w:rsidRPr="00E97F2B">
          <w:rPr>
            <w:rStyle w:val="Hyperlink"/>
            <w:noProof/>
          </w:rPr>
          <w:t xml:space="preserve"> for OHC Samples</w:t>
        </w:r>
        <w:r w:rsidR="00E90148">
          <w:rPr>
            <w:noProof/>
            <w:webHidden/>
          </w:rPr>
          <w:tab/>
        </w:r>
        <w:r w:rsidR="00E90148">
          <w:rPr>
            <w:noProof/>
            <w:webHidden/>
          </w:rPr>
          <w:fldChar w:fldCharType="begin"/>
        </w:r>
        <w:r w:rsidR="00E90148">
          <w:rPr>
            <w:noProof/>
            <w:webHidden/>
          </w:rPr>
          <w:instrText xml:space="preserve"> PAGEREF _Toc447755333 \h </w:instrText>
        </w:r>
        <w:r w:rsidR="00E90148">
          <w:rPr>
            <w:noProof/>
            <w:webHidden/>
          </w:rPr>
        </w:r>
        <w:r w:rsidR="00E90148">
          <w:rPr>
            <w:noProof/>
            <w:webHidden/>
          </w:rPr>
          <w:fldChar w:fldCharType="separate"/>
        </w:r>
        <w:r w:rsidR="00E90148">
          <w:rPr>
            <w:noProof/>
            <w:webHidden/>
          </w:rPr>
          <w:t>63</w:t>
        </w:r>
        <w:r w:rsidR="00E90148">
          <w:rPr>
            <w:noProof/>
            <w:webHidden/>
          </w:rPr>
          <w:fldChar w:fldCharType="end"/>
        </w:r>
      </w:hyperlink>
    </w:p>
    <w:p w14:paraId="65F2311A"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4" w:history="1">
        <w:r w:rsidR="00E90148" w:rsidRPr="00E97F2B">
          <w:rPr>
            <w:rStyle w:val="Hyperlink"/>
            <w:noProof/>
          </w:rPr>
          <w:t>Table 14: Effects of Sample Type on STDEV, COV</w:t>
        </w:r>
        <w:r w:rsidR="00E90148" w:rsidRPr="00E97F2B">
          <w:rPr>
            <w:rStyle w:val="Hyperlink"/>
            <w:noProof/>
            <w:vertAlign w:val="subscript"/>
          </w:rPr>
          <w:t>STDEV</w:t>
        </w:r>
        <w:r w:rsidR="00E90148" w:rsidRPr="00E97F2B">
          <w:rPr>
            <w:rStyle w:val="Hyperlink"/>
            <w:noProof/>
          </w:rPr>
          <w:t>, RMSD, and COV</w:t>
        </w:r>
        <w:r w:rsidR="00E90148" w:rsidRPr="00E97F2B">
          <w:rPr>
            <w:rStyle w:val="Hyperlink"/>
            <w:noProof/>
            <w:vertAlign w:val="subscript"/>
          </w:rPr>
          <w:t>RMSD</w:t>
        </w:r>
        <w:r w:rsidR="00E90148" w:rsidRPr="00E97F2B">
          <w:rPr>
            <w:rStyle w:val="Hyperlink"/>
            <w:noProof/>
          </w:rPr>
          <w:t xml:space="preserve"> for SGB Samples</w:t>
        </w:r>
        <w:r w:rsidR="00E90148">
          <w:rPr>
            <w:noProof/>
            <w:webHidden/>
          </w:rPr>
          <w:tab/>
        </w:r>
        <w:r w:rsidR="00E90148">
          <w:rPr>
            <w:noProof/>
            <w:webHidden/>
          </w:rPr>
          <w:fldChar w:fldCharType="begin"/>
        </w:r>
        <w:r w:rsidR="00E90148">
          <w:rPr>
            <w:noProof/>
            <w:webHidden/>
          </w:rPr>
          <w:instrText xml:space="preserve"> PAGEREF _Toc447755334 \h </w:instrText>
        </w:r>
        <w:r w:rsidR="00E90148">
          <w:rPr>
            <w:noProof/>
            <w:webHidden/>
          </w:rPr>
        </w:r>
        <w:r w:rsidR="00E90148">
          <w:rPr>
            <w:noProof/>
            <w:webHidden/>
          </w:rPr>
          <w:fldChar w:fldCharType="separate"/>
        </w:r>
        <w:r w:rsidR="00E90148">
          <w:rPr>
            <w:noProof/>
            <w:webHidden/>
          </w:rPr>
          <w:t>64</w:t>
        </w:r>
        <w:r w:rsidR="00E90148">
          <w:rPr>
            <w:noProof/>
            <w:webHidden/>
          </w:rPr>
          <w:fldChar w:fldCharType="end"/>
        </w:r>
      </w:hyperlink>
    </w:p>
    <w:p w14:paraId="17528CF6"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5" w:history="1">
        <w:r w:rsidR="00E90148" w:rsidRPr="00E97F2B">
          <w:rPr>
            <w:rStyle w:val="Hyperlink"/>
            <w:noProof/>
          </w:rPr>
          <w:t>Table 15: Direct Comparison of S1 Titan and Niton XL3t Measurements</w:t>
        </w:r>
        <w:r w:rsidR="00E90148">
          <w:rPr>
            <w:noProof/>
            <w:webHidden/>
          </w:rPr>
          <w:tab/>
        </w:r>
        <w:r w:rsidR="00E90148">
          <w:rPr>
            <w:noProof/>
            <w:webHidden/>
          </w:rPr>
          <w:fldChar w:fldCharType="begin"/>
        </w:r>
        <w:r w:rsidR="00E90148">
          <w:rPr>
            <w:noProof/>
            <w:webHidden/>
          </w:rPr>
          <w:instrText xml:space="preserve"> PAGEREF _Toc447755335 \h </w:instrText>
        </w:r>
        <w:r w:rsidR="00E90148">
          <w:rPr>
            <w:noProof/>
            <w:webHidden/>
          </w:rPr>
        </w:r>
        <w:r w:rsidR="00E90148">
          <w:rPr>
            <w:noProof/>
            <w:webHidden/>
          </w:rPr>
          <w:fldChar w:fldCharType="separate"/>
        </w:r>
        <w:r w:rsidR="00E90148">
          <w:rPr>
            <w:noProof/>
            <w:webHidden/>
          </w:rPr>
          <w:t>70</w:t>
        </w:r>
        <w:r w:rsidR="00E90148">
          <w:rPr>
            <w:noProof/>
            <w:webHidden/>
          </w:rPr>
          <w:fldChar w:fldCharType="end"/>
        </w:r>
      </w:hyperlink>
    </w:p>
    <w:p w14:paraId="54F67D07"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6" w:history="1">
        <w:r w:rsidR="00E90148" w:rsidRPr="00E97F2B">
          <w:rPr>
            <w:rStyle w:val="Hyperlink"/>
            <w:noProof/>
          </w:rPr>
          <w:t>Table 16: Precision and Accuracy of Niton XL3t In Situ</w:t>
        </w:r>
        <w:r w:rsidR="00E90148">
          <w:rPr>
            <w:noProof/>
            <w:webHidden/>
          </w:rPr>
          <w:tab/>
        </w:r>
        <w:r w:rsidR="00E90148">
          <w:rPr>
            <w:noProof/>
            <w:webHidden/>
          </w:rPr>
          <w:fldChar w:fldCharType="begin"/>
        </w:r>
        <w:r w:rsidR="00E90148">
          <w:rPr>
            <w:noProof/>
            <w:webHidden/>
          </w:rPr>
          <w:instrText xml:space="preserve"> PAGEREF _Toc447755336 \h </w:instrText>
        </w:r>
        <w:r w:rsidR="00E90148">
          <w:rPr>
            <w:noProof/>
            <w:webHidden/>
          </w:rPr>
        </w:r>
        <w:r w:rsidR="00E90148">
          <w:rPr>
            <w:noProof/>
            <w:webHidden/>
          </w:rPr>
          <w:fldChar w:fldCharType="separate"/>
        </w:r>
        <w:r w:rsidR="00E90148">
          <w:rPr>
            <w:noProof/>
            <w:webHidden/>
          </w:rPr>
          <w:t>72</w:t>
        </w:r>
        <w:r w:rsidR="00E90148">
          <w:rPr>
            <w:noProof/>
            <w:webHidden/>
          </w:rPr>
          <w:fldChar w:fldCharType="end"/>
        </w:r>
      </w:hyperlink>
    </w:p>
    <w:p w14:paraId="0F275036"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7" w:history="1">
        <w:r w:rsidR="00E90148" w:rsidRPr="00E97F2B">
          <w:rPr>
            <w:rStyle w:val="Hyperlink"/>
            <w:noProof/>
          </w:rPr>
          <w:t>Table 17: Precision and Accuracy of Niton XL3t Ex Situ</w:t>
        </w:r>
        <w:r w:rsidR="00E90148">
          <w:rPr>
            <w:noProof/>
            <w:webHidden/>
          </w:rPr>
          <w:tab/>
        </w:r>
        <w:r w:rsidR="00E90148">
          <w:rPr>
            <w:noProof/>
            <w:webHidden/>
          </w:rPr>
          <w:fldChar w:fldCharType="begin"/>
        </w:r>
        <w:r w:rsidR="00E90148">
          <w:rPr>
            <w:noProof/>
            <w:webHidden/>
          </w:rPr>
          <w:instrText xml:space="preserve"> PAGEREF _Toc447755337 \h </w:instrText>
        </w:r>
        <w:r w:rsidR="00E90148">
          <w:rPr>
            <w:noProof/>
            <w:webHidden/>
          </w:rPr>
        </w:r>
        <w:r w:rsidR="00E90148">
          <w:rPr>
            <w:noProof/>
            <w:webHidden/>
          </w:rPr>
          <w:fldChar w:fldCharType="separate"/>
        </w:r>
        <w:r w:rsidR="00E90148">
          <w:rPr>
            <w:noProof/>
            <w:webHidden/>
          </w:rPr>
          <w:t>75</w:t>
        </w:r>
        <w:r w:rsidR="00E90148">
          <w:rPr>
            <w:noProof/>
            <w:webHidden/>
          </w:rPr>
          <w:fldChar w:fldCharType="end"/>
        </w:r>
      </w:hyperlink>
    </w:p>
    <w:p w14:paraId="723CD2D9" w14:textId="77777777" w:rsidR="00E90148" w:rsidRDefault="00184FC2">
      <w:pPr>
        <w:pStyle w:val="TableofFigures"/>
        <w:tabs>
          <w:tab w:val="right" w:leader="dot" w:pos="8486"/>
        </w:tabs>
        <w:rPr>
          <w:rFonts w:asciiTheme="minorHAnsi" w:eastAsiaTheme="minorEastAsia" w:hAnsiTheme="minorHAnsi" w:cstheme="minorBidi"/>
          <w:bCs w:val="0"/>
          <w:noProof/>
          <w:sz w:val="22"/>
          <w:szCs w:val="22"/>
        </w:rPr>
      </w:pPr>
      <w:hyperlink w:anchor="_Toc447755338" w:history="1">
        <w:r w:rsidR="00E90148" w:rsidRPr="00E97F2B">
          <w:rPr>
            <w:rStyle w:val="Hyperlink"/>
            <w:noProof/>
          </w:rPr>
          <w:t>Table 18: Average Measured Stabilizer Contents and Design Stabilizer Contents for Top Nine Inches of All Sites</w:t>
        </w:r>
        <w:r w:rsidR="00E90148">
          <w:rPr>
            <w:noProof/>
            <w:webHidden/>
          </w:rPr>
          <w:tab/>
        </w:r>
        <w:r w:rsidR="00E90148">
          <w:rPr>
            <w:noProof/>
            <w:webHidden/>
          </w:rPr>
          <w:fldChar w:fldCharType="begin"/>
        </w:r>
        <w:r w:rsidR="00E90148">
          <w:rPr>
            <w:noProof/>
            <w:webHidden/>
          </w:rPr>
          <w:instrText xml:space="preserve"> PAGEREF _Toc447755338 \h </w:instrText>
        </w:r>
        <w:r w:rsidR="00E90148">
          <w:rPr>
            <w:noProof/>
            <w:webHidden/>
          </w:rPr>
        </w:r>
        <w:r w:rsidR="00E90148">
          <w:rPr>
            <w:noProof/>
            <w:webHidden/>
          </w:rPr>
          <w:fldChar w:fldCharType="separate"/>
        </w:r>
        <w:r w:rsidR="00E90148">
          <w:rPr>
            <w:noProof/>
            <w:webHidden/>
          </w:rPr>
          <w:t>83</w:t>
        </w:r>
        <w:r w:rsidR="00E90148">
          <w:rPr>
            <w:noProof/>
            <w:webHidden/>
          </w:rPr>
          <w:fldChar w:fldCharType="end"/>
        </w:r>
      </w:hyperlink>
    </w:p>
    <w:p w14:paraId="5334A40B" w14:textId="77777777" w:rsidR="002F4C46" w:rsidRPr="00E669AB" w:rsidRDefault="002F4C46" w:rsidP="002F4C46">
      <w:pPr>
        <w:jc w:val="left"/>
        <w:rPr>
          <w:b/>
        </w:rPr>
      </w:pPr>
      <w:r>
        <w:rPr>
          <w:b/>
        </w:rPr>
        <w:fldChar w:fldCharType="end"/>
      </w:r>
    </w:p>
    <w:p w14:paraId="37324D27" w14:textId="77777777" w:rsidR="002F4C46" w:rsidRPr="004D0296" w:rsidRDefault="002F4C46" w:rsidP="00470E7B">
      <w:pPr>
        <w:jc w:val="left"/>
        <w:sectPr w:rsidR="002F4C46" w:rsidRPr="004D0296" w:rsidSect="00A45898">
          <w:pgSz w:w="12240" w:h="15840"/>
          <w:pgMar w:top="1440" w:right="1440" w:bottom="1440" w:left="2304" w:header="720" w:footer="144" w:gutter="0"/>
          <w:pgNumType w:fmt="lowerRoman"/>
          <w:cols w:space="720"/>
          <w:docGrid w:linePitch="360"/>
        </w:sectPr>
      </w:pPr>
    </w:p>
    <w:p w14:paraId="0FE80603" w14:textId="77777777" w:rsidR="00043410" w:rsidRPr="006427AD" w:rsidRDefault="000E53D3" w:rsidP="006427AD">
      <w:pPr>
        <w:pStyle w:val="Heading1"/>
      </w:pPr>
      <w:r w:rsidRPr="006427AD">
        <w:lastRenderedPageBreak/>
        <w:t>ABSTRACT</w:t>
      </w:r>
    </w:p>
    <w:p w14:paraId="533B565D" w14:textId="77777777" w:rsidR="000A759D" w:rsidRDefault="000A759D" w:rsidP="000A759D">
      <w:pPr>
        <w:rPr>
          <w:b/>
        </w:rPr>
      </w:pPr>
    </w:p>
    <w:p w14:paraId="24DB05B2" w14:textId="36A42B69" w:rsidR="001B38B5" w:rsidRDefault="002A24FD" w:rsidP="00EB6729">
      <w:pPr>
        <w:ind w:firstLine="720"/>
        <w:jc w:val="both"/>
      </w:pPr>
      <w:r>
        <w:t xml:space="preserve">Problematic </w:t>
      </w:r>
      <w:r w:rsidR="00C6055D">
        <w:t>subgrade soils</w:t>
      </w:r>
      <w:r>
        <w:t xml:space="preserve"> are often strengthened using </w:t>
      </w:r>
      <w:r w:rsidR="00C6055D">
        <w:t xml:space="preserve">various amounts of </w:t>
      </w:r>
      <w:r>
        <w:t>chemical stabilizers, such as lime, cement kiln dust</w:t>
      </w:r>
      <w:r w:rsidR="00C6055D">
        <w:t>, and fly ash</w:t>
      </w:r>
      <w:r>
        <w:t>.  The soil becomes strengthened</w:t>
      </w:r>
      <w:r w:rsidR="00C6055D">
        <w:t xml:space="preserve"> and more resistant to volume changes</w:t>
      </w:r>
      <w:r>
        <w:t xml:space="preserve"> through</w:t>
      </w:r>
      <w:r w:rsidR="00C6055D">
        <w:t xml:space="preserve"> pozzolanic reactions, </w:t>
      </w:r>
      <w:r>
        <w:t>cementing</w:t>
      </w:r>
      <w:r w:rsidR="00C6055D">
        <w:t>, or a combination of the two</w:t>
      </w:r>
      <w:r>
        <w:t>.  The amount of stabilizer needed</w:t>
      </w:r>
      <w:r w:rsidR="00C6055D">
        <w:t xml:space="preserve"> for a particular soil</w:t>
      </w:r>
      <w:r w:rsidR="00EB6729">
        <w:t xml:space="preserve"> to increase its</w:t>
      </w:r>
      <w:r>
        <w:t xml:space="preserve"> strength to a minimum value is not codified and typically requires a lengthy mix-design.  </w:t>
      </w:r>
      <w:r w:rsidR="00B72EEB">
        <w:t>In addition, o</w:t>
      </w:r>
      <w:r>
        <w:t>nce this amount of stabilizer is determined, placed, mixed</w:t>
      </w:r>
      <w:r w:rsidR="00C6055D">
        <w:t>,</w:t>
      </w:r>
      <w:r>
        <w:t xml:space="preserve"> and compacted in t</w:t>
      </w:r>
      <w:r w:rsidR="005B3CC7">
        <w:t>he field, there is no good way to</w:t>
      </w:r>
      <w:r>
        <w:t xml:space="preserve"> determine how much stabilizer ends up in the </w:t>
      </w:r>
      <w:r w:rsidR="00EB6729">
        <w:t>design depth</w:t>
      </w:r>
      <w:r>
        <w:t xml:space="preserve"> of subgrade</w:t>
      </w:r>
      <w:r w:rsidR="00C6055D">
        <w:t xml:space="preserve">. </w:t>
      </w:r>
      <w:r w:rsidR="007D612A">
        <w:t>Current</w:t>
      </w:r>
      <w:r w:rsidR="005B3CC7">
        <w:t xml:space="preserve"> </w:t>
      </w:r>
      <w:r w:rsidR="009A2E68">
        <w:t xml:space="preserve">quality control methods </w:t>
      </w:r>
      <w:r w:rsidR="005B3CC7">
        <w:t xml:space="preserve">are too laborious or inaccurate. </w:t>
      </w:r>
      <w:r w:rsidR="00C6055D">
        <w:t xml:space="preserve">Furthermore, there is </w:t>
      </w:r>
      <w:r w:rsidR="00FC39C6">
        <w:t xml:space="preserve">no </w:t>
      </w:r>
      <w:r w:rsidR="00C6055D">
        <w:t xml:space="preserve">sophisticated way </w:t>
      </w:r>
      <w:r w:rsidR="00FC39C6">
        <w:t xml:space="preserve">of assessing stabilization homogeneity </w:t>
      </w:r>
      <w:r>
        <w:t xml:space="preserve">throughout the </w:t>
      </w:r>
      <w:r w:rsidR="00C6055D">
        <w:t xml:space="preserve">site area and </w:t>
      </w:r>
      <w:r w:rsidR="005B3CC7">
        <w:t xml:space="preserve">design </w:t>
      </w:r>
      <w:r w:rsidR="00C6055D">
        <w:t>depth.</w:t>
      </w:r>
      <w:r w:rsidR="00FC39C6">
        <w:t xml:space="preserve"> </w:t>
      </w:r>
      <w:r w:rsidR="001B38B5">
        <w:t>All of these shortcomings cause</w:t>
      </w:r>
      <w:r>
        <w:t xml:space="preserve"> problems not only from a construction </w:t>
      </w:r>
      <w:r w:rsidR="00F0445A">
        <w:t xml:space="preserve">quality </w:t>
      </w:r>
      <w:r>
        <w:t>control standpoint, but</w:t>
      </w:r>
      <w:r w:rsidR="001B38B5">
        <w:t xml:space="preserve"> from a geotechnical</w:t>
      </w:r>
      <w:r>
        <w:t xml:space="preserve"> forensic </w:t>
      </w:r>
      <w:r w:rsidR="001B38B5">
        <w:t xml:space="preserve">investigation </w:t>
      </w:r>
      <w:r>
        <w:t>standpoint</w:t>
      </w:r>
      <w:r w:rsidR="008275DC">
        <w:t xml:space="preserve"> as well</w:t>
      </w:r>
      <w:r>
        <w:t xml:space="preserve">.  </w:t>
      </w:r>
    </w:p>
    <w:p w14:paraId="6C82AD61" w14:textId="13AFD383" w:rsidR="00116E5E" w:rsidRDefault="001B38B5" w:rsidP="003720A3">
      <w:pPr>
        <w:ind w:firstLine="720"/>
        <w:jc w:val="both"/>
      </w:pPr>
      <w:r>
        <w:t>Faulty subgrades are one of the most costly issues to correct</w:t>
      </w:r>
      <w:r w:rsidR="00643374">
        <w:t>;</w:t>
      </w:r>
      <w:r w:rsidR="00116E5E">
        <w:t xml:space="preserve"> while ironically</w:t>
      </w:r>
      <w:r w:rsidR="00643374">
        <w:t>,</w:t>
      </w:r>
      <w:r w:rsidR="00116E5E">
        <w:t xml:space="preserve"> their construction is often the least expensive part of a roadway job</w:t>
      </w:r>
      <w:r>
        <w:t xml:space="preserve">. If the subgrade does not provide adequate strength and stiffness for the pavement system above, then poor roadway performance is eminent and, in many cases, the roadway will need to be removed to access the subgrade for remediation. </w:t>
      </w:r>
      <w:r w:rsidR="00116E5E">
        <w:t xml:space="preserve">In order to </w:t>
      </w:r>
      <w:r w:rsidR="006630C6">
        <w:t>better control the quality of subgrade stabilization</w:t>
      </w:r>
      <w:r w:rsidR="00116E5E">
        <w:t xml:space="preserve"> and mitigate these costly repairs</w:t>
      </w:r>
      <w:r w:rsidR="006630C6">
        <w:t xml:space="preserve">, an old technology with a new purpose has been developed.  </w:t>
      </w:r>
      <w:r w:rsidR="00771F08">
        <w:t>X-ray</w:t>
      </w:r>
      <w:r w:rsidR="006630C6">
        <w:t xml:space="preserve"> Fluorescence (XRF) has been found to accurately measure the amount of </w:t>
      </w:r>
      <w:r w:rsidR="00116E5E">
        <w:t>calcium</w:t>
      </w:r>
      <w:r w:rsidR="006630C6">
        <w:t xml:space="preserve">, </w:t>
      </w:r>
      <w:r w:rsidR="004D535F">
        <w:t xml:space="preserve">which is </w:t>
      </w:r>
      <w:r w:rsidR="006630C6">
        <w:t xml:space="preserve">the main </w:t>
      </w:r>
      <w:r w:rsidR="00116E5E">
        <w:t>element in many ch</w:t>
      </w:r>
      <w:r w:rsidR="004D535F">
        <w:t xml:space="preserve">emical </w:t>
      </w:r>
      <w:r w:rsidR="006630C6">
        <w:t>stabilization products</w:t>
      </w:r>
      <w:r w:rsidR="00116E5E">
        <w:t>, in treated subgrade soils</w:t>
      </w:r>
      <w:r w:rsidR="006630C6">
        <w:t xml:space="preserve">.  This study focuses on </w:t>
      </w:r>
      <w:r w:rsidR="005D67A2">
        <w:t xml:space="preserve">extending the successes found using </w:t>
      </w:r>
      <w:r w:rsidR="003720A3">
        <w:lastRenderedPageBreak/>
        <w:t xml:space="preserve">commercial </w:t>
      </w:r>
      <w:r w:rsidR="005D67A2">
        <w:t xml:space="preserve">laboratory XRF </w:t>
      </w:r>
      <w:r w:rsidR="007D612A">
        <w:t>spectrometry</w:t>
      </w:r>
      <w:r w:rsidR="005D67A2">
        <w:t xml:space="preserve"> to portable handheld</w:t>
      </w:r>
      <w:r w:rsidR="004D535F">
        <w:t xml:space="preserve"> </w:t>
      </w:r>
      <w:r w:rsidR="00771F08">
        <w:t>X</w:t>
      </w:r>
      <w:r w:rsidR="003720A3">
        <w:t>RF</w:t>
      </w:r>
      <w:r w:rsidR="00116E5E">
        <w:t xml:space="preserve"> </w:t>
      </w:r>
      <w:r w:rsidR="004D535F">
        <w:t>(PH</w:t>
      </w:r>
      <w:r w:rsidR="000A759D">
        <w:t>XRF</w:t>
      </w:r>
      <w:r w:rsidR="00116E5E">
        <w:t>)</w:t>
      </w:r>
      <w:r w:rsidR="000A759D">
        <w:t xml:space="preserve"> spectrometry. </w:t>
      </w:r>
    </w:p>
    <w:p w14:paraId="5B51F7CB" w14:textId="77777777" w:rsidR="003720A3" w:rsidRDefault="00116E5E" w:rsidP="00972B8C">
      <w:pPr>
        <w:ind w:firstLine="720"/>
        <w:jc w:val="both"/>
      </w:pPr>
      <w:r>
        <w:t>PHXRF</w:t>
      </w:r>
      <w:r w:rsidR="0030061D">
        <w:t xml:space="preserve"> devices are heavily used for qualitative analysis in dozens of industries fo</w:t>
      </w:r>
      <w:r w:rsidR="00690DB9">
        <w:t>r a broad range of applications. E</w:t>
      </w:r>
      <w:r w:rsidR="0030061D">
        <w:t xml:space="preserve">xamples </w:t>
      </w:r>
      <w:r w:rsidR="00690DB9">
        <w:t xml:space="preserve">include </w:t>
      </w:r>
      <w:r w:rsidR="0030061D">
        <w:t>environmental testing</w:t>
      </w:r>
      <w:r w:rsidR="004D535F">
        <w:t xml:space="preserve"> (e.g.</w:t>
      </w:r>
      <w:r w:rsidR="005D67A2">
        <w:t xml:space="preserve"> detection of heavy metals such as lead, zinc, and mercury in soil</w:t>
      </w:r>
      <w:r w:rsidR="004D535F">
        <w:t>)</w:t>
      </w:r>
      <w:r w:rsidR="005D67A2">
        <w:t>,</w:t>
      </w:r>
      <w:r w:rsidR="0030061D">
        <w:t xml:space="preserve"> metal sorting (e.g. positive material identification), and pharmaceutical testing (e.g. drug impurities and vitamin extraction) amongst others. The latest literature trends towards expanding these PHXRF practices to quantitative measures</w:t>
      </w:r>
      <w:r w:rsidR="00496091">
        <w:t>, but is somewhat limited when it comes to lighter elements</w:t>
      </w:r>
      <w:r w:rsidR="00972B8C">
        <w:t xml:space="preserve"> (i.e. calcium) </w:t>
      </w:r>
      <w:r w:rsidR="009A2E68">
        <w:t>and soil analysis</w:t>
      </w:r>
      <w:r w:rsidR="00496091">
        <w:t xml:space="preserve">. </w:t>
      </w:r>
      <w:r w:rsidR="000A759D">
        <w:t xml:space="preserve">This </w:t>
      </w:r>
      <w:r w:rsidR="007D612A">
        <w:t xml:space="preserve">research looks to help remedy this void in the literature by </w:t>
      </w:r>
      <w:r w:rsidR="000A759D">
        <w:t>verif</w:t>
      </w:r>
      <w:r w:rsidR="00771F08">
        <w:t>ying the accuracies of two PH</w:t>
      </w:r>
      <w:r w:rsidR="00635A26">
        <w:t xml:space="preserve">XRF spectrometers by </w:t>
      </w:r>
      <w:r w:rsidR="000A759D">
        <w:t xml:space="preserve">comparing their </w:t>
      </w:r>
      <w:r w:rsidR="00BF0DFE">
        <w:t>stabilizer content</w:t>
      </w:r>
      <w:r w:rsidR="00457152">
        <w:t xml:space="preserve"> (</w:t>
      </w:r>
      <m:oMath>
        <m:r>
          <w:rPr>
            <w:rFonts w:ascii="Cambria Math" w:hAnsi="Cambria Math"/>
          </w:rPr>
          <m:t>SC</m:t>
        </m:r>
      </m:oMath>
      <w:r w:rsidR="00457152">
        <w:t>)</w:t>
      </w:r>
      <w:r w:rsidR="00BF0DFE">
        <w:t xml:space="preserve"> </w:t>
      </w:r>
      <w:r w:rsidR="00635A26">
        <w:t>measurements</w:t>
      </w:r>
      <w:r w:rsidR="000A759D">
        <w:t xml:space="preserve"> to</w:t>
      </w:r>
      <w:r w:rsidR="00496091">
        <w:t xml:space="preserve"> </w:t>
      </w:r>
      <w:r w:rsidR="00635A26">
        <w:t>measurements</w:t>
      </w:r>
      <w:r w:rsidR="000A759D">
        <w:t xml:space="preserve"> made by a proven commercial laboratory. </w:t>
      </w:r>
    </w:p>
    <w:p w14:paraId="40A1ED19" w14:textId="2E9CA89E" w:rsidR="000A759D" w:rsidRDefault="00DD3FC8" w:rsidP="003720A3">
      <w:pPr>
        <w:ind w:firstLine="720"/>
        <w:jc w:val="both"/>
      </w:pPr>
      <w:r>
        <w:t xml:space="preserve">This research </w:t>
      </w:r>
      <w:r w:rsidR="00EB7838">
        <w:t>was</w:t>
      </w:r>
      <w:r>
        <w:t xml:space="preserve"> divided into two major phases: laboratory testing and field testing.</w:t>
      </w:r>
      <w:r w:rsidR="003720A3">
        <w:t xml:space="preserve"> </w:t>
      </w:r>
      <w:r w:rsidR="00C761CF">
        <w:t>In the lab</w:t>
      </w:r>
      <w:r>
        <w:t>oratory testing portion</w:t>
      </w:r>
      <w:r w:rsidR="00C761CF">
        <w:t xml:space="preserve">, engineered samples with known </w:t>
      </w:r>
      <m:oMath>
        <m:r>
          <w:rPr>
            <w:rFonts w:ascii="Cambria Math" w:hAnsi="Cambria Math"/>
          </w:rPr>
          <m:t>SC</m:t>
        </m:r>
      </m:oMath>
      <w:r w:rsidR="00C761CF">
        <w:t xml:space="preserve"> </w:t>
      </w:r>
      <w:r w:rsidR="00EB7838">
        <w:t>were</w:t>
      </w:r>
      <w:r w:rsidR="00C761CF">
        <w:t xml:space="preserve"> created to evaluate the accuracy of the </w:t>
      </w:r>
      <w:r w:rsidR="00587619">
        <w:t>PH</w:t>
      </w:r>
      <w:r w:rsidR="00C761CF">
        <w:t>XRF devices and to identify the necessary amount of preparation need</w:t>
      </w:r>
      <w:r>
        <w:t xml:space="preserve">ed to produce </w:t>
      </w:r>
      <w:r w:rsidR="00690DB9">
        <w:t xml:space="preserve">accurate </w:t>
      </w:r>
      <w:r>
        <w:t>results</w:t>
      </w:r>
      <w:r w:rsidR="00C761CF">
        <w:t xml:space="preserve">. </w:t>
      </w:r>
      <w:r w:rsidR="001472D1">
        <w:t>Since</w:t>
      </w:r>
      <w:r w:rsidR="000A759D">
        <w:t xml:space="preserve"> sample preparation </w:t>
      </w:r>
      <w:r w:rsidR="00EB7838">
        <w:t>is known to have</w:t>
      </w:r>
      <w:r w:rsidR="000A759D">
        <w:t xml:space="preserve"> the greatest influence on the accuracy of </w:t>
      </w:r>
      <w:r w:rsidR="00C761CF">
        <w:t xml:space="preserve">the </w:t>
      </w:r>
      <w:r w:rsidR="00972B8C">
        <w:t>PH</w:t>
      </w:r>
      <w:r w:rsidR="000A759D">
        <w:t>XRF spectrometers</w:t>
      </w:r>
      <w:r w:rsidR="001472D1">
        <w:t>,</w:t>
      </w:r>
      <w:r w:rsidR="000A759D">
        <w:t xml:space="preserve"> a ma</w:t>
      </w:r>
      <w:r w:rsidR="00587619">
        <w:t>trix of 70</w:t>
      </w:r>
      <w:r w:rsidR="00635A26">
        <w:t xml:space="preserve"> </w:t>
      </w:r>
      <w:r w:rsidR="00FE766E">
        <w:t>samples of varying</w:t>
      </w:r>
      <w:r w:rsidR="00635A26">
        <w:t xml:space="preserve"> degrees of preparation </w:t>
      </w:r>
      <w:r w:rsidR="00EB7838">
        <w:t>was</w:t>
      </w:r>
      <w:r w:rsidR="000A759D">
        <w:t xml:space="preserve"> created. The independent variables</w:t>
      </w:r>
      <w:r w:rsidR="00B861CC">
        <w:t xml:space="preserve"> that </w:t>
      </w:r>
      <w:r w:rsidR="00EB7838">
        <w:t>were</w:t>
      </w:r>
      <w:r w:rsidR="00B861CC">
        <w:t xml:space="preserve"> </w:t>
      </w:r>
      <w:r w:rsidR="00690DB9">
        <w:t>examin</w:t>
      </w:r>
      <w:r w:rsidR="00B861CC">
        <w:t>ed in these samples are</w:t>
      </w:r>
      <w:r w:rsidR="000A759D">
        <w:t xml:space="preserve"> sample type</w:t>
      </w:r>
      <w:r w:rsidR="00C761CF">
        <w:t xml:space="preserve"> (i.e. p</w:t>
      </w:r>
      <w:r>
        <w:t>owder samples and</w:t>
      </w:r>
      <w:r w:rsidR="00C761CF">
        <w:t xml:space="preserve"> presse</w:t>
      </w:r>
      <w:r>
        <w:t>d pellets</w:t>
      </w:r>
      <w:r w:rsidR="00C761CF">
        <w:t>)</w:t>
      </w:r>
      <w:r w:rsidR="000A759D">
        <w:t>, particle diameter</w:t>
      </w:r>
      <w:r w:rsidR="00C761CF">
        <w:t xml:space="preserve"> (i.e. 4.76 mm, 0.420 mm, 0.149 mm, and 0.074 mm)</w:t>
      </w:r>
      <w:r w:rsidR="000A759D">
        <w:t xml:space="preserve">, </w:t>
      </w:r>
      <w:r w:rsidR="000820C2">
        <w:t xml:space="preserve">and </w:t>
      </w:r>
      <w:r w:rsidR="00457152">
        <w:t>SC</w:t>
      </w:r>
      <w:r w:rsidR="003720A3">
        <w:t xml:space="preserve"> (i.e. 0 to 64</w:t>
      </w:r>
      <w:r w:rsidR="00587619">
        <w:t>%)</w:t>
      </w:r>
      <w:r w:rsidR="000A759D">
        <w:t xml:space="preserve">. </w:t>
      </w:r>
      <w:r>
        <w:t xml:space="preserve">A range of </w:t>
      </w:r>
      <m:oMath>
        <m:r>
          <w:rPr>
            <w:rFonts w:ascii="Cambria Math" w:hAnsi="Cambria Math"/>
          </w:rPr>
          <m:t>SC</m:t>
        </m:r>
      </m:oMath>
      <w:r>
        <w:t xml:space="preserve">s </w:t>
      </w:r>
      <w:r w:rsidR="00EB7838">
        <w:t>were</w:t>
      </w:r>
      <w:r w:rsidR="000820C2">
        <w:t xml:space="preserve"> achieved by mixing </w:t>
      </w:r>
      <w:r w:rsidR="00EC623F">
        <w:t>calculated</w:t>
      </w:r>
      <w:r>
        <w:t xml:space="preserve"> amounts of </w:t>
      </w:r>
      <w:r w:rsidR="000820C2">
        <w:t>either</w:t>
      </w:r>
      <w:r w:rsidR="00CF2D4B">
        <w:t xml:space="preserve"> hydrated lime, cement kiln dust</w:t>
      </w:r>
      <w:r w:rsidR="000820C2">
        <w:t>, or fly ash with the soil</w:t>
      </w:r>
      <w:r w:rsidR="00B41018">
        <w:t>.</w:t>
      </w:r>
      <w:r w:rsidR="000E50B6">
        <w:t xml:space="preserve">  Over 2,2</w:t>
      </w:r>
      <w:r w:rsidR="00C761CF">
        <w:t>00</w:t>
      </w:r>
      <w:r w:rsidR="00B861CC">
        <w:t xml:space="preserve"> total scans </w:t>
      </w:r>
      <w:r w:rsidR="00EB7838">
        <w:t>were</w:t>
      </w:r>
      <w:r w:rsidR="00C761CF">
        <w:t xml:space="preserve"> </w:t>
      </w:r>
      <w:r w:rsidR="000A759D">
        <w:lastRenderedPageBreak/>
        <w:t>completed with</w:t>
      </w:r>
      <w:r w:rsidR="000820C2">
        <w:t xml:space="preserve"> two XRF spectrometers, a</w:t>
      </w:r>
      <w:r w:rsidR="000A759D">
        <w:t xml:space="preserve"> Bruker S1 Titan and</w:t>
      </w:r>
      <w:r w:rsidR="000820C2">
        <w:t xml:space="preserve"> a</w:t>
      </w:r>
      <w:r>
        <w:t xml:space="preserve"> Thermo Scientific Niton XL3t.</w:t>
      </w:r>
    </w:p>
    <w:p w14:paraId="4B43D0C8" w14:textId="100847EA" w:rsidR="00DD3FC8" w:rsidRDefault="009A2E68" w:rsidP="003720A3">
      <w:pPr>
        <w:ind w:firstLine="720"/>
        <w:jc w:val="both"/>
      </w:pPr>
      <w:r>
        <w:t>In the field testing portion, three</w:t>
      </w:r>
      <w:r w:rsidR="00DD3FC8">
        <w:t xml:space="preserve"> roadway construction sites that require</w:t>
      </w:r>
      <w:r w:rsidR="00EB7838">
        <w:t>d</w:t>
      </w:r>
      <w:r w:rsidR="00DD3FC8">
        <w:t xml:space="preserve"> subgrade stabilization </w:t>
      </w:r>
      <w:r w:rsidR="00EB7838">
        <w:t>were</w:t>
      </w:r>
      <w:r w:rsidR="00771F08">
        <w:t xml:space="preserve"> analyzed using </w:t>
      </w:r>
      <w:r w:rsidR="003720A3">
        <w:t>the Niton XL3t</w:t>
      </w:r>
      <w:r w:rsidR="00DD3FC8">
        <w:t xml:space="preserve">. Spatial variability </w:t>
      </w:r>
      <w:r w:rsidR="00EB7838">
        <w:t>was</w:t>
      </w:r>
      <w:r w:rsidR="00DD3FC8">
        <w:t xml:space="preserve"> investigated by taking measurements in a grid pattern. Distances between readings </w:t>
      </w:r>
      <w:r w:rsidR="00EB7838">
        <w:t>were</w:t>
      </w:r>
      <w:r w:rsidR="00DD3FC8">
        <w:t xml:space="preserve"> five feet along both the l</w:t>
      </w:r>
      <w:r w:rsidR="003720A3">
        <w:t>ength and</w:t>
      </w:r>
      <w:r w:rsidR="00DD3FC8">
        <w:t xml:space="preserve"> width of the grid. Additionally, depth variability </w:t>
      </w:r>
      <w:r>
        <w:t>was</w:t>
      </w:r>
      <w:r w:rsidR="00563243">
        <w:t xml:space="preserve"> investigated by taking 12 in</w:t>
      </w:r>
      <w:r>
        <w:t>ch</w:t>
      </w:r>
      <w:r w:rsidR="00DD3FC8">
        <w:t xml:space="preserve"> deep pre-treatment and post-treatment samples throughout the grid. These samples </w:t>
      </w:r>
      <w:r w:rsidR="00EB7838">
        <w:t>were</w:t>
      </w:r>
      <w:r w:rsidR="00DD3FC8">
        <w:t xml:space="preserve"> separated into four depths (i.e. 0-3 in, 3-6 in, 6-9 in, and 9-12 in)</w:t>
      </w:r>
      <w:r w:rsidR="008A18F5">
        <w:t xml:space="preserve">, prepared into powder samples, and </w:t>
      </w:r>
      <w:r w:rsidR="003720A3">
        <w:t>analyzed with the</w:t>
      </w:r>
      <w:r w:rsidR="005544B7">
        <w:t xml:space="preserve"> PH</w:t>
      </w:r>
      <w:r w:rsidR="008A18F5">
        <w:t xml:space="preserve">XRF device. </w:t>
      </w:r>
      <w:r w:rsidR="00EB7838">
        <w:t>Random</w:t>
      </w:r>
      <w:r w:rsidR="008A18F5">
        <w:t xml:space="preserve"> samples </w:t>
      </w:r>
      <w:r w:rsidR="00EB7838">
        <w:t>were</w:t>
      </w:r>
      <w:r w:rsidR="008A18F5">
        <w:t xml:space="preserve"> sent to a verified commercial XRF laboratory for analysis, and then the </w:t>
      </w:r>
      <m:oMath>
        <m:r>
          <w:rPr>
            <w:rFonts w:ascii="Cambria Math" w:hAnsi="Cambria Math"/>
          </w:rPr>
          <m:t>SC</m:t>
        </m:r>
      </m:oMath>
      <w:r w:rsidR="008A18F5">
        <w:t xml:space="preserve">s determined by the commercial laboratory </w:t>
      </w:r>
      <w:r w:rsidR="00EB7838">
        <w:t>were</w:t>
      </w:r>
      <w:r w:rsidR="008A18F5">
        <w:t xml:space="preserve"> compared to t</w:t>
      </w:r>
      <w:r w:rsidR="005544B7">
        <w:t>hose determined by the PH</w:t>
      </w:r>
      <w:r w:rsidR="008A18F5">
        <w:t>XRF device to assess device accuracy.</w:t>
      </w:r>
    </w:p>
    <w:p w14:paraId="02109077" w14:textId="4CC39419" w:rsidR="008A18F5" w:rsidRDefault="00886CA5" w:rsidP="003720A3">
      <w:pPr>
        <w:ind w:firstLine="720"/>
        <w:jc w:val="both"/>
        <w:sectPr w:rsidR="008A18F5" w:rsidSect="00A45898">
          <w:pgSz w:w="12240" w:h="15840"/>
          <w:pgMar w:top="1440" w:right="1440" w:bottom="1440" w:left="2304" w:header="720" w:footer="144" w:gutter="0"/>
          <w:pgNumType w:fmt="lowerRoman"/>
          <w:cols w:space="720"/>
          <w:docGrid w:linePitch="360"/>
        </w:sectPr>
      </w:pPr>
      <w:r>
        <w:t xml:space="preserve">The results from the laboratory phase of the experiment are that longer scan durations do not increase precision or accuracy of PHXRF </w:t>
      </w:r>
      <m:oMath>
        <m:r>
          <w:rPr>
            <w:rFonts w:ascii="Cambria Math" w:hAnsi="Cambria Math"/>
          </w:rPr>
          <m:t>SC</m:t>
        </m:r>
      </m:oMath>
      <w:r w:rsidR="00457152">
        <w:t xml:space="preserve"> </w:t>
      </w:r>
      <w:r>
        <w:t xml:space="preserve">measurements, </w:t>
      </w:r>
      <w:r w:rsidR="003720A3">
        <w:t xml:space="preserve">effects of different scanning techniques on the accuracy of PHXRF </w:t>
      </w:r>
      <m:oMath>
        <m:r>
          <w:rPr>
            <w:rFonts w:ascii="Cambria Math" w:hAnsi="Cambria Math"/>
          </w:rPr>
          <m:t>SC</m:t>
        </m:r>
      </m:oMath>
      <w:r w:rsidR="003720A3">
        <w:rPr>
          <w:rFonts w:eastAsiaTheme="minorEastAsia"/>
        </w:rPr>
        <w:t xml:space="preserve"> are inconclusive</w:t>
      </w:r>
      <w:r w:rsidR="003720A3">
        <w:t xml:space="preserve">, </w:t>
      </w:r>
      <w:r w:rsidR="00703AD5">
        <w:t xml:space="preserve">samples with smaller particle sizes produce more accurate measurements, </w:t>
      </w:r>
      <w:r w:rsidR="00552542">
        <w:t xml:space="preserve">effects of sample type on the precision and accuracy of PHXRF </w:t>
      </w:r>
      <m:oMath>
        <m:r>
          <w:rPr>
            <w:rFonts w:ascii="Cambria Math" w:hAnsi="Cambria Math"/>
          </w:rPr>
          <m:t>SC</m:t>
        </m:r>
      </m:oMath>
      <w:r w:rsidR="00552542">
        <w:rPr>
          <w:rFonts w:eastAsiaTheme="minorEastAsia"/>
        </w:rPr>
        <w:t xml:space="preserve"> measurements are inconclusive,</w:t>
      </w:r>
      <w:r w:rsidR="00703AD5">
        <w:t xml:space="preserve"> </w:t>
      </w:r>
      <w:r w:rsidR="00646F12">
        <w:t xml:space="preserve">and both PHXRF devices are adequate for determining </w:t>
      </w:r>
      <m:oMath>
        <m:r>
          <w:rPr>
            <w:rFonts w:ascii="Cambria Math" w:hAnsi="Cambria Math"/>
          </w:rPr>
          <m:t>SC</m:t>
        </m:r>
      </m:oMath>
      <w:r w:rsidR="003720A3">
        <w:t xml:space="preserve"> in subgrade soils. T</w:t>
      </w:r>
      <w:r w:rsidR="00646F12">
        <w:t>he S1 Titan</w:t>
      </w:r>
      <w:r w:rsidR="003720A3">
        <w:t>, however,</w:t>
      </w:r>
      <w:r w:rsidR="00646F12">
        <w:t xml:space="preserve"> performed better with OHC samples </w:t>
      </w:r>
      <w:r w:rsidR="003720A3">
        <w:t>while</w:t>
      </w:r>
      <w:r w:rsidR="00646F12">
        <w:t xml:space="preserve"> the Niton XL3t performed better with SGB samples. </w:t>
      </w:r>
      <w:r w:rsidR="00703AD5">
        <w:t xml:space="preserve"> </w:t>
      </w:r>
      <w:r w:rsidR="00646F12">
        <w:t xml:space="preserve">The results from the field phase of the experiment are that in situ PHXRF </w:t>
      </w:r>
      <m:oMath>
        <m:r>
          <w:rPr>
            <w:rFonts w:ascii="Cambria Math" w:hAnsi="Cambria Math"/>
          </w:rPr>
          <m:t>SC</m:t>
        </m:r>
      </m:oMath>
      <w:r w:rsidR="00646F12">
        <w:t xml:space="preserve"> measurements yield </w:t>
      </w:r>
      <w:r w:rsidR="00B07851">
        <w:t xml:space="preserve">sporadic and inadequate </w:t>
      </w:r>
      <w:r w:rsidR="003720A3">
        <w:t>readings</w:t>
      </w:r>
      <w:r w:rsidR="00B07851">
        <w:t>, ex situ measurements are capable of producing representative measurements when corrected mathematically with a linear regression equat</w:t>
      </w:r>
      <w:r w:rsidR="007C7386">
        <w:t>ion</w:t>
      </w:r>
      <w:r w:rsidR="00B07851">
        <w:t xml:space="preserve">, spatial </w:t>
      </w:r>
      <m:oMath>
        <m:r>
          <w:rPr>
            <w:rFonts w:ascii="Cambria Math" w:hAnsi="Cambria Math"/>
          </w:rPr>
          <m:t>SC</m:t>
        </m:r>
      </m:oMath>
      <w:r w:rsidR="00B07851">
        <w:t xml:space="preserve"> heterogeneity can be assessed with PHXRF </w:t>
      </w:r>
      <w:r w:rsidR="00B07851">
        <w:lastRenderedPageBreak/>
        <w:t xml:space="preserve">spectrometry, and depth </w:t>
      </w:r>
      <m:oMath>
        <m:r>
          <w:rPr>
            <w:rFonts w:ascii="Cambria Math" w:hAnsi="Cambria Math"/>
          </w:rPr>
          <m:t>SC</m:t>
        </m:r>
      </m:oMath>
      <w:r w:rsidR="00B07851">
        <w:t xml:space="preserve"> heterogeneity can be assessed with PHXRF spectrometry. </w:t>
      </w:r>
      <w:r w:rsidR="005544B7">
        <w:t>Ultimately, PH</w:t>
      </w:r>
      <w:r w:rsidR="008A18F5">
        <w:t xml:space="preserve">XRF </w:t>
      </w:r>
      <w:r w:rsidR="00B07851">
        <w:t xml:space="preserve">spectrometry </w:t>
      </w:r>
      <w:r w:rsidR="008A18F5">
        <w:t>show</w:t>
      </w:r>
      <w:r w:rsidR="00B07851">
        <w:t>s</w:t>
      </w:r>
      <w:r w:rsidR="008A18F5">
        <w:t xml:space="preserve"> great promise </w:t>
      </w:r>
      <w:r w:rsidR="00F9693B">
        <w:t>in construction quality control and forensic geotechnical investigations; however, further development may be necessary before this technology is implemented.</w:t>
      </w:r>
    </w:p>
    <w:p w14:paraId="12880100" w14:textId="77777777" w:rsidR="000A759D" w:rsidRDefault="00150432" w:rsidP="006427AD">
      <w:pPr>
        <w:pStyle w:val="Heading1"/>
      </w:pPr>
      <w:r>
        <w:lastRenderedPageBreak/>
        <w:t>CHAPTER 1</w:t>
      </w:r>
    </w:p>
    <w:p w14:paraId="069B1E1E" w14:textId="77777777" w:rsidR="00150432" w:rsidRDefault="00150432" w:rsidP="006427AD">
      <w:pPr>
        <w:pStyle w:val="Heading1"/>
      </w:pPr>
      <w:r>
        <w:t>INTRODUCTION</w:t>
      </w:r>
    </w:p>
    <w:p w14:paraId="07DF1275" w14:textId="77777777" w:rsidR="00150432" w:rsidRDefault="00150432" w:rsidP="00150432">
      <w:pPr>
        <w:ind w:firstLine="720"/>
        <w:rPr>
          <w:b/>
        </w:rPr>
      </w:pPr>
    </w:p>
    <w:p w14:paraId="3818FB2F" w14:textId="21204465" w:rsidR="00F50BA0" w:rsidRPr="00182EF0" w:rsidRDefault="00182EF0" w:rsidP="00182EF0">
      <w:pPr>
        <w:jc w:val="both"/>
        <w:rPr>
          <w:b/>
        </w:rPr>
      </w:pPr>
      <w:r w:rsidRPr="00182EF0">
        <w:rPr>
          <w:b/>
        </w:rPr>
        <w:t xml:space="preserve">1.1 </w:t>
      </w:r>
      <w:r w:rsidR="00F50BA0" w:rsidRPr="00182EF0">
        <w:rPr>
          <w:b/>
        </w:rPr>
        <w:t>Introduction</w:t>
      </w:r>
    </w:p>
    <w:p w14:paraId="6CD09C17" w14:textId="09AB73A8" w:rsidR="00B77181" w:rsidRPr="00B77181" w:rsidRDefault="00B77181" w:rsidP="00CA05B7">
      <w:pPr>
        <w:ind w:firstLine="720"/>
        <w:jc w:val="both"/>
      </w:pPr>
      <w:r w:rsidRPr="00B77181">
        <w:t>A sizable portion of roadway construction projects in the southern plains states</w:t>
      </w:r>
      <w:r w:rsidR="006E39EB">
        <w:t xml:space="preserve"> (i.e. Arkansas, Louisiana, Oklahoma, New Mexico, and Texas)</w:t>
      </w:r>
      <w:r w:rsidRPr="00B77181">
        <w:t xml:space="preserve"> require subgrade </w:t>
      </w:r>
      <w:r w:rsidR="000B3DE1">
        <w:t xml:space="preserve">stabilization to </w:t>
      </w:r>
      <w:r w:rsidRPr="00B77181">
        <w:t>combat an assortment of problematic soil</w:t>
      </w:r>
      <w:r w:rsidR="00FA343A">
        <w:t xml:space="preserve"> </w:t>
      </w:r>
      <w:r w:rsidR="00CC7F54">
        <w:t>beh</w:t>
      </w:r>
      <w:r w:rsidR="001A1993">
        <w:t>a</w:t>
      </w:r>
      <w:r w:rsidR="00CC7F54">
        <w:t>vior</w:t>
      </w:r>
      <w:r w:rsidR="00CA05B7">
        <w:t xml:space="preserve">. Some of these conditions include </w:t>
      </w:r>
      <w:r w:rsidR="00A54C3D">
        <w:t>low strength</w:t>
      </w:r>
      <w:r w:rsidR="00CA05B7">
        <w:t xml:space="preserve"> subgrades</w:t>
      </w:r>
      <w:r w:rsidR="00A54C3D">
        <w:t>, high swell potenti</w:t>
      </w:r>
      <w:r w:rsidR="00CA05B7">
        <w:t xml:space="preserve">al soils, and/or high collapse potential soils, all of which are troublesome </w:t>
      </w:r>
      <w:r w:rsidR="003B1009">
        <w:t xml:space="preserve">for the transportation industry across this region. In Oklahoma alone, nearly 46% of major roadways are considered to be in poor or mediocre working condition because of these subgrade weaknesses </w:t>
      </w:r>
      <w:r w:rsidR="005F301A">
        <w:t>(Solanki, et al. 2009).</w:t>
      </w:r>
      <w:r w:rsidR="00A54C3D">
        <w:t xml:space="preserve"> </w:t>
      </w:r>
      <w:r w:rsidR="001764CF">
        <w:t>Many of these issues are remedi</w:t>
      </w:r>
      <w:r w:rsidR="00CA05B7">
        <w:t xml:space="preserve">ed by </w:t>
      </w:r>
      <w:r w:rsidR="007B3269">
        <w:t xml:space="preserve">chemical </w:t>
      </w:r>
      <w:r w:rsidR="00CA05B7">
        <w:t>s</w:t>
      </w:r>
      <w:r w:rsidR="00A54C3D">
        <w:t>ubgrade stabilization</w:t>
      </w:r>
      <w:r w:rsidR="00CA05B7">
        <w:t>, which</w:t>
      </w:r>
      <w:r w:rsidR="00A54C3D">
        <w:t xml:space="preserve"> is typically achieve</w:t>
      </w:r>
      <w:r w:rsidR="00CC7F54">
        <w:t>d</w:t>
      </w:r>
      <w:r w:rsidR="00A54C3D">
        <w:t xml:space="preserve"> by adding cementitious chemical agents and water to the soil</w:t>
      </w:r>
      <w:r w:rsidR="00CA05B7">
        <w:t>.</w:t>
      </w:r>
      <w:r w:rsidR="000B3DE1">
        <w:t xml:space="preserve"> This method of subgrade improvement has</w:t>
      </w:r>
      <w:r w:rsidR="00CA05B7">
        <w:t xml:space="preserve"> been heav</w:t>
      </w:r>
      <w:r w:rsidR="001764CF">
        <w:t xml:space="preserve">ily studied and </w:t>
      </w:r>
      <w:r w:rsidR="000B3DE1">
        <w:t>proven to be advantageous</w:t>
      </w:r>
      <w:r w:rsidR="00CC7F54">
        <w:t>,</w:t>
      </w:r>
      <w:r w:rsidR="000B3DE1">
        <w:t xml:space="preserve"> both in terms of performance and cost. </w:t>
      </w:r>
    </w:p>
    <w:p w14:paraId="3F9F5A49" w14:textId="7E813A05" w:rsidR="00750A11" w:rsidRDefault="00B77181" w:rsidP="009D3D60">
      <w:pPr>
        <w:ind w:firstLine="720"/>
        <w:jc w:val="both"/>
      </w:pPr>
      <w:r w:rsidRPr="00B77181">
        <w:t xml:space="preserve">Design and construction procedures for subgrade stabilization are somewhat standard throughout the </w:t>
      </w:r>
      <w:r w:rsidR="00750A11">
        <w:t xml:space="preserve">southern plains </w:t>
      </w:r>
      <w:r w:rsidRPr="00B77181">
        <w:t>region with minor variations between each state</w:t>
      </w:r>
      <w:r w:rsidR="00AD1982">
        <w:t xml:space="preserve"> (Arkansas State Highway and Transportation Department 2014; </w:t>
      </w:r>
      <w:r w:rsidR="00CF2D4B">
        <w:rPr>
          <w:rFonts w:asciiTheme="majorBidi" w:hAnsiTheme="majorBidi" w:cstheme="majorBidi"/>
        </w:rPr>
        <w:t xml:space="preserve">New Mexico Department of Transportation 2014; Texas Department of Transportation 2014; Oklahoma Department of Transportation 2009; </w:t>
      </w:r>
      <w:r w:rsidR="00AD1982">
        <w:rPr>
          <w:rFonts w:asciiTheme="majorBidi" w:hAnsiTheme="majorBidi" w:cstheme="majorBidi"/>
        </w:rPr>
        <w:t>Louisiana Department of Tran</w:t>
      </w:r>
      <w:r w:rsidR="00CF2D4B">
        <w:rPr>
          <w:rFonts w:asciiTheme="majorBidi" w:hAnsiTheme="majorBidi" w:cstheme="majorBidi"/>
        </w:rPr>
        <w:t>sportation and Development 2006</w:t>
      </w:r>
      <w:r w:rsidR="00AD1982">
        <w:rPr>
          <w:rFonts w:asciiTheme="majorBidi" w:hAnsiTheme="majorBidi" w:cstheme="majorBidi"/>
        </w:rPr>
        <w:t>)</w:t>
      </w:r>
      <w:r w:rsidRPr="00B77181">
        <w:t>. Yet surprisingly, roadway design specifications</w:t>
      </w:r>
      <w:r w:rsidR="00CC7F54">
        <w:t xml:space="preserve"> lack procedures detailing</w:t>
      </w:r>
      <w:r w:rsidR="00750A11">
        <w:t xml:space="preserve"> quality </w:t>
      </w:r>
      <w:r w:rsidR="001A1993">
        <w:t>control measures</w:t>
      </w:r>
      <w:r w:rsidRPr="00B77181">
        <w:t>.</w:t>
      </w:r>
      <w:r w:rsidR="00750A11">
        <w:t xml:space="preserve"> Many of the </w:t>
      </w:r>
      <w:r w:rsidR="00EB7838">
        <w:t xml:space="preserve">subgrade </w:t>
      </w:r>
      <w:r w:rsidR="00750A11">
        <w:t xml:space="preserve">specifications mention </w:t>
      </w:r>
      <w:r w:rsidR="00BD06B3">
        <w:t xml:space="preserve">no quality control methods and others mention either a dye indicator test or a titration </w:t>
      </w:r>
      <w:r w:rsidR="00BD06B3">
        <w:lastRenderedPageBreak/>
        <w:t xml:space="preserve">method. </w:t>
      </w:r>
      <w:r w:rsidR="00750A11">
        <w:t xml:space="preserve"> </w:t>
      </w:r>
      <w:r w:rsidR="007C7386">
        <w:t>The</w:t>
      </w:r>
      <w:r w:rsidR="003720A3">
        <w:t xml:space="preserve"> dye indicator test</w:t>
      </w:r>
      <w:r w:rsidR="00611C18">
        <w:t xml:space="preserve"> (i.e. Phenolphthalein Test)</w:t>
      </w:r>
      <w:r w:rsidR="00E3337C">
        <w:t xml:space="preserve"> while convenient,</w:t>
      </w:r>
      <w:r w:rsidR="008C793E">
        <w:t xml:space="preserve"> only detects the presence of a stabilizing agent</w:t>
      </w:r>
      <w:r w:rsidR="00611C18">
        <w:t>,</w:t>
      </w:r>
      <w:r w:rsidR="00FA343A">
        <w:t xml:space="preserve"> not the amount</w:t>
      </w:r>
      <w:r w:rsidR="00AD1982">
        <w:t xml:space="preserve"> </w:t>
      </w:r>
      <w:r w:rsidR="001A1224">
        <w:t>(National Lime Association 2004)</w:t>
      </w:r>
      <w:r w:rsidR="00FA343A">
        <w:t xml:space="preserve">. </w:t>
      </w:r>
      <w:r w:rsidR="00BD06B3">
        <w:t>The</w:t>
      </w:r>
      <w:r w:rsidR="00E3337C">
        <w:t xml:space="preserve"> titration method</w:t>
      </w:r>
      <w:r w:rsidR="008F006B">
        <w:t xml:space="preserve"> </w:t>
      </w:r>
      <w:r w:rsidR="00EC623F">
        <w:t>(ASTM D3155-11)</w:t>
      </w:r>
      <w:r w:rsidR="00611C18">
        <w:t xml:space="preserve"> is capable of producing quantitative measurements, </w:t>
      </w:r>
      <w:r w:rsidR="00BD06B3">
        <w:t xml:space="preserve"> but it</w:t>
      </w:r>
      <w:r w:rsidR="00EB7838">
        <w:t xml:space="preserve"> </w:t>
      </w:r>
      <w:r w:rsidR="00611C18">
        <w:t>is</w:t>
      </w:r>
      <w:r w:rsidR="00E3337C">
        <w:t xml:space="preserve"> complex</w:t>
      </w:r>
      <w:r w:rsidR="00CA05B7">
        <w:t>, requires the user to handle harsh chemicals,</w:t>
      </w:r>
      <w:r w:rsidR="00E3337C">
        <w:t xml:space="preserve"> </w:t>
      </w:r>
      <w:r w:rsidR="00EB5EBF">
        <w:t xml:space="preserve">requires the user to mix upwards of six reference solutions, </w:t>
      </w:r>
      <w:r w:rsidR="00E3337C">
        <w:t>and</w:t>
      </w:r>
      <w:r w:rsidR="008C793E">
        <w:t xml:space="preserve"> has</w:t>
      </w:r>
      <w:r w:rsidR="00E3337C">
        <w:t xml:space="preserve"> </w:t>
      </w:r>
      <w:r w:rsidR="008C793E">
        <w:t xml:space="preserve">questionable accuracy due to </w:t>
      </w:r>
      <w:r w:rsidR="00E3337C">
        <w:t>a large operator bias</w:t>
      </w:r>
      <w:r w:rsidR="003F661D">
        <w:t xml:space="preserve"> (Cerato and Miller 2013; ASTM D3155-11)</w:t>
      </w:r>
      <w:r w:rsidR="008F006B">
        <w:t xml:space="preserve">. </w:t>
      </w:r>
      <w:r w:rsidR="008C793E">
        <w:t>The</w:t>
      </w:r>
      <w:r w:rsidR="00FA343A">
        <w:t xml:space="preserve"> </w:t>
      </w:r>
      <w:r w:rsidR="00EB7838">
        <w:t xml:space="preserve">limits of both the dye indicator and titration methods </w:t>
      </w:r>
      <w:r w:rsidR="00BD06B3">
        <w:t>necessitate the development of</w:t>
      </w:r>
      <w:r w:rsidR="009D3D60">
        <w:t xml:space="preserve"> </w:t>
      </w:r>
      <w:r w:rsidR="00CA05B7">
        <w:t>a new</w:t>
      </w:r>
      <w:r w:rsidR="00EC623F">
        <w:t xml:space="preserve">, more accurate, and more repeatable </w:t>
      </w:r>
      <w:r w:rsidR="002408AD">
        <w:t>quality control technique</w:t>
      </w:r>
      <w:r w:rsidR="008C793E">
        <w:t>.</w:t>
      </w:r>
      <w:r w:rsidR="002408AD">
        <w:t xml:space="preserve"> </w:t>
      </w:r>
      <w:r w:rsidR="008C793E">
        <w:t xml:space="preserve"> </w:t>
      </w:r>
    </w:p>
    <w:p w14:paraId="1A011379" w14:textId="21E8A1A5" w:rsidR="00B77181" w:rsidRDefault="00360BAA" w:rsidP="009D6061">
      <w:pPr>
        <w:ind w:firstLine="720"/>
        <w:jc w:val="both"/>
      </w:pPr>
      <w:r>
        <w:t>Q</w:t>
      </w:r>
      <w:r w:rsidR="00B77181" w:rsidRPr="00B77181">
        <w:t>uality control of stabilized subgrad</w:t>
      </w:r>
      <w:r>
        <w:t xml:space="preserve">es is particularly important because </w:t>
      </w:r>
      <w:r w:rsidR="00B77181" w:rsidRPr="00B77181">
        <w:t>unsatisfac</w:t>
      </w:r>
      <w:r>
        <w:t xml:space="preserve">tory subgrades are extremely </w:t>
      </w:r>
      <w:r w:rsidR="00972B8C">
        <w:t>expensive</w:t>
      </w:r>
      <w:r>
        <w:t xml:space="preserve"> to</w:t>
      </w:r>
      <w:r w:rsidR="00972B8C" w:rsidRPr="00972B8C">
        <w:t xml:space="preserve"> </w:t>
      </w:r>
      <w:r w:rsidR="00972B8C">
        <w:t>fix</w:t>
      </w:r>
      <w:r>
        <w:t xml:space="preserve">. </w:t>
      </w:r>
      <w:r w:rsidR="009D6061" w:rsidRPr="00B77181">
        <w:t>Tim Gatz, the Deputy Director of the Oklahoma Department of Transportation</w:t>
      </w:r>
      <w:r w:rsidR="009D6061">
        <w:t xml:space="preserve"> (ODOT)</w:t>
      </w:r>
      <w:r w:rsidR="009D6061" w:rsidRPr="00B77181">
        <w:t>, summarized it best when he</w:t>
      </w:r>
      <w:r w:rsidR="009D6061">
        <w:t xml:space="preserve"> </w:t>
      </w:r>
      <w:r w:rsidR="009D6061" w:rsidRPr="00B77181">
        <w:t>stated, “Subgrades are the cheapest part of roadway construction, but the most costly to repair,”</w:t>
      </w:r>
      <w:r w:rsidR="009D6061">
        <w:t xml:space="preserve"> (Gatz 2015)</w:t>
      </w:r>
      <w:r w:rsidR="009D6061" w:rsidRPr="00B77181">
        <w:t>.</w:t>
      </w:r>
      <w:r w:rsidR="009D6061">
        <w:t xml:space="preserve"> This is because m</w:t>
      </w:r>
      <w:r w:rsidR="00972B8C">
        <w:t>ending</w:t>
      </w:r>
      <w:r w:rsidR="009D6061">
        <w:t xml:space="preserve"> </w:t>
      </w:r>
      <w:r>
        <w:t>faul</w:t>
      </w:r>
      <w:r w:rsidR="009D6061">
        <w:t>ty subgrades</w:t>
      </w:r>
      <w:r>
        <w:t xml:space="preserve"> often requires</w:t>
      </w:r>
      <w:r w:rsidR="00B77181" w:rsidRPr="00B77181">
        <w:t xml:space="preserve"> the complete removal of the roadway. Thus, it is only logical to invest in improving our current</w:t>
      </w:r>
      <w:r>
        <w:t xml:space="preserve"> </w:t>
      </w:r>
      <w:r w:rsidR="00B77181" w:rsidRPr="00B77181">
        <w:t>subgrade stab</w:t>
      </w:r>
      <w:r w:rsidR="002A5187">
        <w:t xml:space="preserve">ilization quality control </w:t>
      </w:r>
      <w:r w:rsidR="00BA3346">
        <w:t>protocol</w:t>
      </w:r>
      <w:r w:rsidR="00BA3346" w:rsidRPr="00B77181">
        <w:t>s</w:t>
      </w:r>
      <w:r w:rsidR="00B77181" w:rsidRPr="00B77181">
        <w:t xml:space="preserve"> in order to mitigate </w:t>
      </w:r>
      <w:r>
        <w:t>such repairs in the future</w:t>
      </w:r>
      <w:r w:rsidR="00B77181" w:rsidRPr="00B77181">
        <w:t>.</w:t>
      </w:r>
    </w:p>
    <w:p w14:paraId="4DB75729" w14:textId="34429940" w:rsidR="00E95196" w:rsidRDefault="003A1A3A" w:rsidP="002A5187">
      <w:pPr>
        <w:ind w:firstLine="720"/>
        <w:jc w:val="both"/>
      </w:pPr>
      <w:r>
        <w:t>A reasonable</w:t>
      </w:r>
      <w:r w:rsidR="00652129">
        <w:t xml:space="preserve"> method</w:t>
      </w:r>
      <w:r w:rsidR="00E8651C">
        <w:t xml:space="preserve"> to f</w:t>
      </w:r>
      <w:r w:rsidR="009C7538">
        <w:t>ill this void</w:t>
      </w:r>
      <w:r w:rsidR="00E8651C">
        <w:t xml:space="preserve"> is </w:t>
      </w:r>
      <w:r w:rsidR="00771F08">
        <w:t>X-ray</w:t>
      </w:r>
      <w:r w:rsidR="00E8651C">
        <w:t xml:space="preserve"> fluorescence (XRF) spectrometry. XRF sp</w:t>
      </w:r>
      <w:r w:rsidR="00652129">
        <w:t>ectrometry is an analysis technique</w:t>
      </w:r>
      <w:r w:rsidR="00E8651C">
        <w:t xml:space="preserve"> used to determine the elemental makeup of </w:t>
      </w:r>
      <w:r w:rsidR="00941948">
        <w:t>a material.</w:t>
      </w:r>
      <w:r w:rsidR="00E8651C">
        <w:t xml:space="preserve"> </w:t>
      </w:r>
      <w:r w:rsidR="00BD06B3">
        <w:t xml:space="preserve">XRF </w:t>
      </w:r>
      <w:r w:rsidR="00E8651C">
        <w:t>has been around for over 100 years</w:t>
      </w:r>
      <w:r w:rsidR="00652129">
        <w:t xml:space="preserve"> and has been </w:t>
      </w:r>
      <w:r w:rsidR="006509CB">
        <w:t>developed to the point where it</w:t>
      </w:r>
      <w:r w:rsidR="00652129">
        <w:t>s application is now practical.</w:t>
      </w:r>
      <w:r w:rsidR="00EE4178">
        <w:t xml:space="preserve"> New handheld devices make </w:t>
      </w:r>
      <w:r w:rsidR="00E8651C">
        <w:t xml:space="preserve">XRF spectrometry </w:t>
      </w:r>
      <w:r w:rsidR="00E95196">
        <w:t>portable</w:t>
      </w:r>
      <w:r w:rsidR="00EE4178">
        <w:t xml:space="preserve">, which </w:t>
      </w:r>
      <w:r w:rsidR="006B57C3">
        <w:t>could potentially make</w:t>
      </w:r>
      <w:r w:rsidR="00EE4178">
        <w:t xml:space="preserve"> it a convenient and powerful tool </w:t>
      </w:r>
      <w:r w:rsidR="00E95196">
        <w:t xml:space="preserve">in </w:t>
      </w:r>
      <w:r w:rsidR="00652129">
        <w:t>the field.</w:t>
      </w:r>
      <w:r w:rsidR="00E95196">
        <w:t xml:space="preserve"> Industries</w:t>
      </w:r>
      <w:r w:rsidR="00652129">
        <w:t>,</w:t>
      </w:r>
      <w:r w:rsidR="00E95196">
        <w:t xml:space="preserve"> </w:t>
      </w:r>
      <w:r w:rsidR="00652129">
        <w:t>such as metal sorting, mining, and environmental analysis,</w:t>
      </w:r>
      <w:r w:rsidR="006B57C3">
        <w:t xml:space="preserve"> have </w:t>
      </w:r>
      <w:r w:rsidR="00E95196">
        <w:t>use</w:t>
      </w:r>
      <w:r w:rsidR="006B57C3">
        <w:t>d</w:t>
      </w:r>
      <w:r w:rsidR="00E95196">
        <w:t xml:space="preserve"> </w:t>
      </w:r>
      <w:r w:rsidR="006B57C3">
        <w:t xml:space="preserve">portable </w:t>
      </w:r>
      <w:r w:rsidR="00066CD3">
        <w:t xml:space="preserve">handheld </w:t>
      </w:r>
      <w:r w:rsidR="002A5187">
        <w:t>XRF</w:t>
      </w:r>
      <w:r w:rsidR="00066CD3">
        <w:t xml:space="preserve"> (PH</w:t>
      </w:r>
      <w:r w:rsidR="00E95196">
        <w:t>XRF</w:t>
      </w:r>
      <w:r w:rsidR="00066CD3">
        <w:t>)</w:t>
      </w:r>
      <w:r w:rsidR="00E95196">
        <w:t xml:space="preserve"> spectrometry</w:t>
      </w:r>
      <w:r w:rsidR="00652129">
        <w:t xml:space="preserve"> for positive material identification and trace </w:t>
      </w:r>
      <w:r w:rsidR="00652129">
        <w:lastRenderedPageBreak/>
        <w:t>element detection</w:t>
      </w:r>
      <w:r w:rsidR="006B57C3">
        <w:t xml:space="preserve"> for years now</w:t>
      </w:r>
      <w:r w:rsidR="00CA05B7">
        <w:t xml:space="preserve"> with great success</w:t>
      </w:r>
      <w:r w:rsidR="00652129">
        <w:t>.</w:t>
      </w:r>
      <w:r w:rsidR="006B57C3">
        <w:t xml:space="preserve"> </w:t>
      </w:r>
      <w:r w:rsidR="00CA05B7">
        <w:t>The archaeology industry has also been transformed by</w:t>
      </w:r>
      <w:r w:rsidR="00774516">
        <w:t xml:space="preserve"> PHXRF</w:t>
      </w:r>
      <w:r w:rsidR="00D7494B">
        <w:t xml:space="preserve"> because of </w:t>
      </w:r>
      <w:r w:rsidR="00CA05B7">
        <w:t>its</w:t>
      </w:r>
      <w:r w:rsidR="006B57C3">
        <w:t xml:space="preserve"> non-destructive analysis measures, convenience, speed, and cost-effectiveness (Shackley 2011).</w:t>
      </w:r>
      <w:r w:rsidR="00CA05B7">
        <w:t xml:space="preserve"> </w:t>
      </w:r>
      <w:r w:rsidR="00D7494B">
        <w:t xml:space="preserve">This technology has been </w:t>
      </w:r>
      <w:r w:rsidR="009D3D60">
        <w:t>particularly</w:t>
      </w:r>
      <w:r w:rsidR="00D7494B">
        <w:t xml:space="preserve"> useful and beneficial in all of these other industries, so this begs the question, “Why not geotechnical engineering?”</w:t>
      </w:r>
    </w:p>
    <w:p w14:paraId="2CB09B43" w14:textId="734B551B" w:rsidR="008254B2" w:rsidRDefault="00634DC8" w:rsidP="002A5187">
      <w:pPr>
        <w:ind w:firstLine="720"/>
        <w:jc w:val="both"/>
      </w:pPr>
      <w:r>
        <w:t xml:space="preserve">Despite the </w:t>
      </w:r>
      <w:r w:rsidR="009D6061">
        <w:t xml:space="preserve">past </w:t>
      </w:r>
      <w:r>
        <w:t>successes of PH</w:t>
      </w:r>
      <w:r w:rsidR="00D7494B">
        <w:t>XRF spectrometry</w:t>
      </w:r>
      <w:r w:rsidR="009D6061">
        <w:t>,</w:t>
      </w:r>
      <w:r w:rsidR="008254B2">
        <w:t xml:space="preserve"> this technology</w:t>
      </w:r>
      <w:r>
        <w:t xml:space="preserve"> has yet to be </w:t>
      </w:r>
      <w:r w:rsidR="00E8651C">
        <w:t xml:space="preserve">used to determine </w:t>
      </w:r>
      <w:r w:rsidR="00EE4178">
        <w:t>chemical stabilizer</w:t>
      </w:r>
      <w:r w:rsidR="009D3D60">
        <w:t xml:space="preserve"> content</w:t>
      </w:r>
      <w:r w:rsidR="00457152">
        <w:t xml:space="preserve">, </w:t>
      </w:r>
      <m:oMath>
        <m:r>
          <w:rPr>
            <w:rFonts w:ascii="Cambria Math" w:hAnsi="Cambria Math"/>
          </w:rPr>
          <m:t>SC</m:t>
        </m:r>
      </m:oMath>
      <w:r w:rsidR="00457152">
        <w:rPr>
          <w:rFonts w:eastAsiaTheme="minorEastAsia"/>
        </w:rPr>
        <w:t>,</w:t>
      </w:r>
      <w:r w:rsidR="00EE4178">
        <w:t xml:space="preserve"> in subgrade soils. </w:t>
      </w:r>
      <w:r w:rsidR="00F834DE">
        <w:t>Soil analysis, in general, has been limited in the XRF industry d</w:t>
      </w:r>
      <w:r w:rsidR="007C7386">
        <w:t xml:space="preserve">ue to </w:t>
      </w:r>
      <w:r w:rsidR="002A5187">
        <w:t>its</w:t>
      </w:r>
      <w:r w:rsidR="007C7386">
        <w:t xml:space="preserve"> complex and variable</w:t>
      </w:r>
      <w:r w:rsidR="00F834DE">
        <w:t xml:space="preserve"> nature. </w:t>
      </w:r>
      <w:r w:rsidR="008254B2">
        <w:t xml:space="preserve">Nearly an unlimited amount of soil mineralogies can exist, which makes crafting a comprehensive soil calibration library a difficult task. With that being said, sophisticated soil calibrations are becoming more common in the XRF industry as demand increases </w:t>
      </w:r>
      <w:r w:rsidR="007C7386">
        <w:t>(</w:t>
      </w:r>
      <w:r w:rsidR="00F834DE">
        <w:t>Ramsey</w:t>
      </w:r>
      <w:r w:rsidR="007C7386">
        <w:t xml:space="preserve"> 2014). </w:t>
      </w:r>
      <w:r w:rsidR="008254B2">
        <w:t>T</w:t>
      </w:r>
      <w:r w:rsidR="00F834DE">
        <w:t>he two PHXRF devices used in this research were equipped with factory installed soil calibrations</w:t>
      </w:r>
      <w:r w:rsidR="00FB6BEF">
        <w:t>, which allowed for the accurate detection of key element</w:t>
      </w:r>
      <w:r w:rsidR="008254B2">
        <w:t>s</w:t>
      </w:r>
      <w:r w:rsidR="00FB6BEF">
        <w:t xml:space="preserve"> </w:t>
      </w:r>
      <w:r w:rsidR="002A5187">
        <w:t>in</w:t>
      </w:r>
      <w:r w:rsidR="008254B2">
        <w:t xml:space="preserve"> stabilized soil samples.</w:t>
      </w:r>
    </w:p>
    <w:p w14:paraId="2C4C1F7A" w14:textId="2597D13C" w:rsidR="00420895" w:rsidRDefault="00EE4178" w:rsidP="002A5187">
      <w:pPr>
        <w:ind w:firstLine="720"/>
        <w:jc w:val="both"/>
      </w:pPr>
      <w:r>
        <w:t xml:space="preserve">Since </w:t>
      </w:r>
      <w:r w:rsidR="00634DC8">
        <w:t xml:space="preserve">chemical </w:t>
      </w:r>
      <w:r w:rsidR="00E95196">
        <w:t>stabilizers typically used in subgrade stabilization projects are calcium-</w:t>
      </w:r>
      <w:r w:rsidR="0049008A">
        <w:t>based and XRF spectrometry is capable o</w:t>
      </w:r>
      <w:r w:rsidR="00634DC8">
        <w:t>f detecting individual elements</w:t>
      </w:r>
      <w:r w:rsidR="0049008A">
        <w:t xml:space="preserve"> such as calcium, it is </w:t>
      </w:r>
      <w:r w:rsidR="00634DC8">
        <w:t>reasonable to believe</w:t>
      </w:r>
      <w:r w:rsidR="006D69E3">
        <w:t xml:space="preserve"> that this technology can be </w:t>
      </w:r>
      <w:r w:rsidR="009D3D60">
        <w:t>used to determine</w:t>
      </w:r>
      <w:r w:rsidR="006D69E3">
        <w:t xml:space="preserve"> </w:t>
      </w:r>
      <m:oMath>
        <m:r>
          <w:rPr>
            <w:rFonts w:ascii="Cambria Math" w:hAnsi="Cambria Math"/>
          </w:rPr>
          <m:t>SC</m:t>
        </m:r>
      </m:oMath>
      <w:r w:rsidR="006D69E3">
        <w:t xml:space="preserve">. By simply </w:t>
      </w:r>
      <w:r w:rsidR="0060247B">
        <w:t>measur</w:t>
      </w:r>
      <w:r w:rsidR="006D69E3">
        <w:t xml:space="preserve">ing the amounts of calcium in the chemical stabilizer, </w:t>
      </w:r>
      <w:r w:rsidR="002A5187">
        <w:t>raw or untreated</w:t>
      </w:r>
      <w:r w:rsidR="00AD1CDA">
        <w:t xml:space="preserve"> subgrade soil, and </w:t>
      </w:r>
      <w:r w:rsidR="006D69E3">
        <w:t>treated subgrade soil, one can back calculate</w:t>
      </w:r>
      <w:r w:rsidR="00BF0DFE">
        <w:t xml:space="preserve"> </w:t>
      </w:r>
      <w:r w:rsidR="006D69E3">
        <w:t xml:space="preserve">the </w:t>
      </w:r>
      <w:r w:rsidR="00D7494B">
        <w:t>percentage of chemical stabilizer present in the treated soil</w:t>
      </w:r>
      <w:r w:rsidR="006D69E3">
        <w:t xml:space="preserve">. </w:t>
      </w:r>
      <w:r w:rsidR="00AD1CDA">
        <w:t xml:space="preserve">Ultimately, </w:t>
      </w:r>
      <w:r w:rsidR="009D3D60">
        <w:t>PH</w:t>
      </w:r>
      <w:r w:rsidR="00AD1CDA">
        <w:t>XRF spectromet</w:t>
      </w:r>
      <w:r w:rsidR="005E47E1">
        <w:t xml:space="preserve">ry can give </w:t>
      </w:r>
      <w:r w:rsidR="002A5187">
        <w:t>on-</w:t>
      </w:r>
      <w:r w:rsidR="00B72EEB">
        <w:t xml:space="preserve">site </w:t>
      </w:r>
      <w:r w:rsidR="005E47E1">
        <w:t>inspectors the ability</w:t>
      </w:r>
      <w:r w:rsidR="00AD1CDA">
        <w:t xml:space="preserve"> to verify that the amount of stabilizer prescribed actually matches the amount of stabilizer present in the ground. This enables them to remediate deficient areas before any pavement is poured</w:t>
      </w:r>
      <w:r w:rsidR="009C7538">
        <w:t>,</w:t>
      </w:r>
      <w:r w:rsidR="00AD1CDA">
        <w:t xml:space="preserve"> </w:t>
      </w:r>
      <w:r w:rsidR="00D7494B">
        <w:t xml:space="preserve">possibly saving the transportation industry </w:t>
      </w:r>
      <w:r w:rsidR="009D3D60">
        <w:lastRenderedPageBreak/>
        <w:t>substantial amounts of money</w:t>
      </w:r>
      <w:r w:rsidR="005E47E1">
        <w:t xml:space="preserve"> in repair cost by producing</w:t>
      </w:r>
      <w:r w:rsidR="00AD1CDA">
        <w:t xml:space="preserve"> consistent and hig</w:t>
      </w:r>
      <w:r w:rsidR="00D7494B">
        <w:t>her quality subgrade</w:t>
      </w:r>
      <w:r w:rsidR="005E47E1">
        <w:t>s</w:t>
      </w:r>
      <w:r w:rsidR="00D7494B">
        <w:t xml:space="preserve"> the first time</w:t>
      </w:r>
      <w:r w:rsidR="00AD1CDA">
        <w:t>.</w:t>
      </w:r>
    </w:p>
    <w:p w14:paraId="2B651193" w14:textId="507BB7D0" w:rsidR="00327A80" w:rsidRDefault="00996B99" w:rsidP="008E3EC6">
      <w:pPr>
        <w:ind w:firstLine="720"/>
        <w:jc w:val="both"/>
      </w:pPr>
      <w:r>
        <w:t>This approach aligns with the O</w:t>
      </w:r>
      <w:r w:rsidR="008E3EC6">
        <w:t>DOT</w:t>
      </w:r>
      <w:r>
        <w:t>’s vision of infrastructural preservation. Mike Patterson, the Executive Director of</w:t>
      </w:r>
      <w:r w:rsidR="00985CFE">
        <w:t xml:space="preserve"> the</w:t>
      </w:r>
      <w:r>
        <w:t xml:space="preserve"> </w:t>
      </w:r>
      <w:r w:rsidR="00985CFE">
        <w:t>ODOT</w:t>
      </w:r>
      <w:r>
        <w:t xml:space="preserve">, said in </w:t>
      </w:r>
      <w:r w:rsidR="00DE60A7">
        <w:t xml:space="preserve">the 2015 SPTC </w:t>
      </w:r>
      <w:r>
        <w:t>conference</w:t>
      </w:r>
      <w:r w:rsidR="00DE60A7">
        <w:t xml:space="preserve"> in Oklahoma City that</w:t>
      </w:r>
      <w:r>
        <w:t xml:space="preserve">, “Initial </w:t>
      </w:r>
      <w:r w:rsidR="00985CFE">
        <w:t xml:space="preserve">costs </w:t>
      </w:r>
      <w:r w:rsidR="00DE60A7">
        <w:t xml:space="preserve">[of stabilization] </w:t>
      </w:r>
      <w:r w:rsidR="00985CFE">
        <w:t>may seem daunting</w:t>
      </w:r>
      <w:r>
        <w:t xml:space="preserve">; however, it </w:t>
      </w:r>
      <w:r w:rsidR="00985CFE">
        <w:t xml:space="preserve">can save us dividends in the long run by reducing maintenance and repair costs. In other words, pay now or pay more later.” </w:t>
      </w:r>
      <w:r w:rsidR="00E8651C">
        <w:t xml:space="preserve">The </w:t>
      </w:r>
      <w:r w:rsidR="009D3D60">
        <w:t>large</w:t>
      </w:r>
      <w:r w:rsidR="00E8651C">
        <w:t xml:space="preserve"> cost of remediating a faulty subgrade far outweighs the </w:t>
      </w:r>
      <w:r w:rsidR="00AD1CDA">
        <w:t xml:space="preserve">cost of </w:t>
      </w:r>
      <w:r w:rsidR="006B387C">
        <w:t xml:space="preserve">purchasing </w:t>
      </w:r>
      <w:r w:rsidR="005E47E1">
        <w:t>a PH</w:t>
      </w:r>
      <w:r w:rsidR="00AD1CDA">
        <w:t>XRF spectrometer</w:t>
      </w:r>
      <w:r w:rsidR="006B387C">
        <w:t xml:space="preserve"> and performing a more thorough inspection </w:t>
      </w:r>
      <w:r w:rsidR="009C7538">
        <w:t>during subgrade preparation</w:t>
      </w:r>
      <w:r w:rsidR="006B387C">
        <w:t>.</w:t>
      </w:r>
      <w:r w:rsidR="00327A80">
        <w:t xml:space="preserve"> Thus, it would be in the </w:t>
      </w:r>
      <w:r w:rsidR="005E47E1">
        <w:t xml:space="preserve">best financial interest of the transportation industry </w:t>
      </w:r>
      <w:r w:rsidR="00327A80">
        <w:t>to explore this option.</w:t>
      </w:r>
    </w:p>
    <w:p w14:paraId="32AE0A99" w14:textId="35479036" w:rsidR="00B77181" w:rsidRDefault="008C1724" w:rsidP="00E47483">
      <w:pPr>
        <w:ind w:firstLine="720"/>
        <w:jc w:val="both"/>
      </w:pPr>
      <w:r>
        <w:t>Similarly</w:t>
      </w:r>
      <w:r w:rsidR="00F13DFB">
        <w:t>,</w:t>
      </w:r>
      <w:r w:rsidR="00327A80">
        <w:t xml:space="preserve"> </w:t>
      </w:r>
      <w:r w:rsidR="00F13DFB">
        <w:t>XRF spectrometry</w:t>
      </w:r>
      <w:r w:rsidR="00327A80">
        <w:t xml:space="preserve"> can have collateral benefits</w:t>
      </w:r>
      <w:r w:rsidR="00F13DFB">
        <w:t xml:space="preserve"> from a forensic perspective. The </w:t>
      </w:r>
      <w:r w:rsidR="00D7494B">
        <w:t>q</w:t>
      </w:r>
      <w:r w:rsidR="00F13DFB">
        <w:t xml:space="preserve">uestion </w:t>
      </w:r>
      <w:r w:rsidR="00E47483">
        <w:t xml:space="preserve">faced by construction inspectors is the same faced by </w:t>
      </w:r>
      <w:r w:rsidR="00F13DFB">
        <w:t>forensic investigators: Does the amount of chemical stabilizer in the soil match the amount prescribed by the design engineers? XRF spectrometry may be used retroactively to make these determinations on</w:t>
      </w:r>
      <w:r w:rsidR="00D7494B">
        <w:t xml:space="preserve"> a failed subgrade</w:t>
      </w:r>
      <w:r>
        <w:t xml:space="preserve"> because elemental content does not change over time</w:t>
      </w:r>
      <w:r w:rsidR="00D7494B">
        <w:t xml:space="preserve">. </w:t>
      </w:r>
      <w:r w:rsidR="004B5F8A">
        <w:t>Samples can be taken from the stabilized subgrade, bagged</w:t>
      </w:r>
      <w:r w:rsidR="004D535F">
        <w:t>,</w:t>
      </w:r>
      <w:r w:rsidR="004B5F8A">
        <w:t xml:space="preserve"> and stored for future laboratory testing or the roadway could be cored and </w:t>
      </w:r>
      <w:r w:rsidR="00E47483">
        <w:t>determinations</w:t>
      </w:r>
      <w:r w:rsidR="004B5F8A">
        <w:t xml:space="preserve"> </w:t>
      </w:r>
      <w:r w:rsidR="00E47483">
        <w:t xml:space="preserve">made on site, increasing the efficiency of the investigation by saving time. </w:t>
      </w:r>
      <w:r w:rsidR="00F13DFB">
        <w:t xml:space="preserve">Based on these measurements, an investigator can </w:t>
      </w:r>
      <w:r w:rsidR="00E375C4">
        <w:t xml:space="preserve">quickly and </w:t>
      </w:r>
      <w:r w:rsidR="00F13DFB">
        <w:t>accurately determine whether the subgrade was inadequately constructed or inadequate</w:t>
      </w:r>
      <w:r w:rsidR="00E375C4">
        <w:t xml:space="preserve">ly designed </w:t>
      </w:r>
      <w:r>
        <w:t xml:space="preserve">(or both) </w:t>
      </w:r>
      <w:r w:rsidR="00E375C4">
        <w:t>and</w:t>
      </w:r>
      <w:r w:rsidR="00F13DFB">
        <w:t xml:space="preserve"> assign liability</w:t>
      </w:r>
      <w:r w:rsidR="00E375C4">
        <w:t xml:space="preserve"> accordingly</w:t>
      </w:r>
      <w:r w:rsidR="00F13DFB">
        <w:t>.</w:t>
      </w:r>
    </w:p>
    <w:p w14:paraId="205DFA7E" w14:textId="5B4B6F27" w:rsidR="009C7538" w:rsidRPr="00B77181" w:rsidRDefault="008C1724" w:rsidP="002A5187">
      <w:pPr>
        <w:ind w:firstLine="720"/>
        <w:jc w:val="both"/>
      </w:pPr>
      <w:r>
        <w:t>This research was necessary to assess if</w:t>
      </w:r>
      <w:r w:rsidR="00771F08">
        <w:t xml:space="preserve"> PH</w:t>
      </w:r>
      <w:r w:rsidR="009C7538">
        <w:t xml:space="preserve">XRF </w:t>
      </w:r>
      <w:r w:rsidR="003D0FAA">
        <w:t xml:space="preserve">spectrometry </w:t>
      </w:r>
      <w:r>
        <w:t>is a viable</w:t>
      </w:r>
      <w:r w:rsidR="009C7538">
        <w:t xml:space="preserve"> option </w:t>
      </w:r>
      <w:r w:rsidR="003D0FAA">
        <w:t>for construction quality control and forensic geotechnical investigations</w:t>
      </w:r>
      <w:r>
        <w:t xml:space="preserve">.  This research </w:t>
      </w:r>
      <w:r>
        <w:lastRenderedPageBreak/>
        <w:t xml:space="preserve">focused on the accuracy and practicality of implementing PHXRF in the field and determining if it could be a </w:t>
      </w:r>
      <w:r w:rsidR="003D0FAA">
        <w:t xml:space="preserve">useful tool </w:t>
      </w:r>
      <w:r>
        <w:t>in improving</w:t>
      </w:r>
      <w:r w:rsidR="003D0FAA">
        <w:t xml:space="preserve"> the quality of stabilized subgrade</w:t>
      </w:r>
      <w:r w:rsidR="002A5187">
        <w:t>s. Ultimately, PHXRF be helpful in helping</w:t>
      </w:r>
      <w:r w:rsidR="003D0FAA">
        <w:t xml:space="preserve"> the</w:t>
      </w:r>
      <w:r w:rsidR="003D61FC">
        <w:t xml:space="preserve"> transportation industry deliver</w:t>
      </w:r>
      <w:r w:rsidR="003D0FAA">
        <w:t xml:space="preserve"> safer and more reliable roadways to the nation’s motorists</w:t>
      </w:r>
      <w:r w:rsidR="002A5187">
        <w:t>.</w:t>
      </w:r>
    </w:p>
    <w:p w14:paraId="167D6046" w14:textId="77777777" w:rsidR="00AE3632" w:rsidRDefault="00AE3632" w:rsidP="00E375C4">
      <w:pPr>
        <w:jc w:val="both"/>
      </w:pPr>
    </w:p>
    <w:p w14:paraId="62E31D6B" w14:textId="652CAAC7" w:rsidR="00AE3632" w:rsidRPr="00AE3632" w:rsidRDefault="00F62C9A" w:rsidP="00E375C4">
      <w:pPr>
        <w:jc w:val="both"/>
        <w:rPr>
          <w:b/>
        </w:rPr>
      </w:pPr>
      <w:r>
        <w:rPr>
          <w:b/>
        </w:rPr>
        <w:t>1.2</w:t>
      </w:r>
      <w:r w:rsidR="00AE3632">
        <w:rPr>
          <w:b/>
        </w:rPr>
        <w:t xml:space="preserve"> Purpose</w:t>
      </w:r>
      <w:r w:rsidR="00480FAB">
        <w:rPr>
          <w:b/>
        </w:rPr>
        <w:t xml:space="preserve"> and Goals</w:t>
      </w:r>
    </w:p>
    <w:p w14:paraId="1331626F" w14:textId="6F79F0FA" w:rsidR="009752F0" w:rsidRDefault="009752F0" w:rsidP="009752F0">
      <w:pPr>
        <w:ind w:firstLine="720"/>
        <w:jc w:val="both"/>
      </w:pPr>
      <w:r>
        <w:t>Roadways in the United States are vital lifelines for its citizens. Over the course of 2009, 210 million drivers traveled over 3 trillion miles on these paved arteries (United States Department of Transportation 2011).  The total mileage driven per year has rapidly increased over the last few decades, and it is expected to continue increasing in the foreseeable future. Estimates p</w:t>
      </w:r>
      <w:r w:rsidR="0060247B">
        <w:t>lace total mileage driven in</w:t>
      </w:r>
      <w:r>
        <w:t xml:space="preserve"> 2020 at 3.2 trillion (United States Department of Transportation 2000). The heavy use of these roadways highlights the importance of sound construction by today’s contractors and thorough design and quality control by today’s civil engineers. </w:t>
      </w:r>
    </w:p>
    <w:p w14:paraId="6899E71B" w14:textId="77777777" w:rsidR="009752F0" w:rsidRDefault="009752F0" w:rsidP="009752F0">
      <w:pPr>
        <w:ind w:firstLine="720"/>
        <w:jc w:val="both"/>
      </w:pPr>
      <w:r>
        <w:t>The need for improved quality control and forensic geotechnical investigative methods is necessary to improve the safety of our transportation infrastructure.  As cited by the National Highway Traffic Safety Administration (NHTSA), there were 52,000 motor vehicle crashes, of the nearly 2.2 million investigated, caused by environment-related critical reasons (Singh 2015). If any of these 52,000 crashes can be prevented by higher quality roadway construction or by a lesson learned from a proper forensic investigation as a result of this research, then this work can be considered a success.</w:t>
      </w:r>
    </w:p>
    <w:p w14:paraId="0EB71979" w14:textId="6C2443D9" w:rsidR="003C1C86" w:rsidRDefault="00AE3632" w:rsidP="00457152">
      <w:pPr>
        <w:ind w:firstLine="720"/>
        <w:jc w:val="both"/>
      </w:pPr>
      <w:r w:rsidRPr="00AE3632">
        <w:t>The purpose of this</w:t>
      </w:r>
      <w:r w:rsidR="00CF2D4B">
        <w:t xml:space="preserve"> </w:t>
      </w:r>
      <w:r w:rsidR="00B27E5C">
        <w:t xml:space="preserve">research </w:t>
      </w:r>
      <w:r w:rsidR="0060247B">
        <w:t xml:space="preserve">is to validate </w:t>
      </w:r>
      <w:r w:rsidR="00CF2D4B">
        <w:t>P</w:t>
      </w:r>
      <w:r w:rsidR="0060247B">
        <w:t>H</w:t>
      </w:r>
      <w:r w:rsidR="00CF2D4B">
        <w:t>XRF</w:t>
      </w:r>
      <w:r w:rsidRPr="00AE3632">
        <w:t xml:space="preserve"> on stabilized subgrade projects for construction quality control and </w:t>
      </w:r>
      <w:r w:rsidR="00163849">
        <w:t xml:space="preserve">forensic </w:t>
      </w:r>
      <w:r w:rsidRPr="00AE3632">
        <w:t>geotechnical investigations.</w:t>
      </w:r>
      <w:r w:rsidR="000D18DA">
        <w:t xml:space="preserve"> </w:t>
      </w:r>
      <w:r w:rsidRPr="00AE3632">
        <w:t xml:space="preserve"> </w:t>
      </w:r>
      <w:r w:rsidR="003C1C86">
        <w:t xml:space="preserve">Upon </w:t>
      </w:r>
      <w:r w:rsidR="003C1C86">
        <w:lastRenderedPageBreak/>
        <w:t xml:space="preserve">validation, </w:t>
      </w:r>
      <w:r w:rsidR="0060247B">
        <w:t>PH</w:t>
      </w:r>
      <w:r w:rsidR="004B5F8A">
        <w:t>XRF would</w:t>
      </w:r>
      <w:r w:rsidR="009A47CC">
        <w:t xml:space="preserve"> </w:t>
      </w:r>
      <w:r w:rsidR="003C1C86">
        <w:t xml:space="preserve">replace current methods for determining </w:t>
      </w:r>
      <m:oMath>
        <m:r>
          <w:rPr>
            <w:rFonts w:ascii="Cambria Math" w:hAnsi="Cambria Math"/>
          </w:rPr>
          <m:t>SC</m:t>
        </m:r>
      </m:oMath>
      <w:r w:rsidR="003C1C86">
        <w:t xml:space="preserve"> in subgrade soils. Ultimately, the goal is to provide American motorists with safer and more dependable roads and highways by reducing construction error.</w:t>
      </w:r>
    </w:p>
    <w:p w14:paraId="378F9024" w14:textId="4A8D5A7A" w:rsidR="003C1C86" w:rsidRDefault="003D61FC" w:rsidP="00D64417">
      <w:pPr>
        <w:ind w:firstLine="720"/>
        <w:jc w:val="both"/>
      </w:pPr>
      <w:r>
        <w:t xml:space="preserve">To achieve </w:t>
      </w:r>
      <w:r w:rsidR="003C1C86">
        <w:t xml:space="preserve">these goals, a series of </w:t>
      </w:r>
      <w:r w:rsidR="00D64417">
        <w:t>question</w:t>
      </w:r>
      <w:r w:rsidR="003C1C86">
        <w:t xml:space="preserve">s must be </w:t>
      </w:r>
      <w:r w:rsidR="00F40C40">
        <w:t>answered</w:t>
      </w:r>
      <w:r w:rsidR="003C1C86">
        <w:t xml:space="preserve">. The main </w:t>
      </w:r>
      <w:r w:rsidR="00D64417">
        <w:t>question</w:t>
      </w:r>
      <w:r w:rsidR="003C1C86">
        <w:t>s of this research are as follows:</w:t>
      </w:r>
    </w:p>
    <w:p w14:paraId="55AD0AA7" w14:textId="6522EF96" w:rsidR="00D64417" w:rsidRDefault="00D64417" w:rsidP="00457152">
      <w:pPr>
        <w:pStyle w:val="ListParagraph"/>
        <w:numPr>
          <w:ilvl w:val="0"/>
          <w:numId w:val="18"/>
        </w:numPr>
        <w:jc w:val="both"/>
        <w:rPr>
          <w:rFonts w:eastAsiaTheme="minorEastAsia"/>
          <w:bCs/>
        </w:rPr>
      </w:pPr>
      <w:r>
        <w:rPr>
          <w:rFonts w:eastAsiaTheme="minorEastAsia"/>
          <w:bCs/>
        </w:rPr>
        <w:t xml:space="preserve">What preparation </w:t>
      </w:r>
      <w:r w:rsidR="00F40C40">
        <w:rPr>
          <w:rFonts w:eastAsiaTheme="minorEastAsia"/>
          <w:bCs/>
        </w:rPr>
        <w:t xml:space="preserve">technique yields </w:t>
      </w:r>
      <w:r>
        <w:rPr>
          <w:rFonts w:eastAsiaTheme="minorEastAsia"/>
          <w:bCs/>
        </w:rPr>
        <w:t xml:space="preserve">the most accurate PHXRF </w:t>
      </w:r>
      <m:oMath>
        <m:r>
          <w:rPr>
            <w:rFonts w:ascii="Cambria Math" w:hAnsi="Cambria Math"/>
          </w:rPr>
          <m:t>SC</m:t>
        </m:r>
      </m:oMath>
      <w:r>
        <w:rPr>
          <w:rFonts w:eastAsiaTheme="minorEastAsia"/>
          <w:bCs/>
        </w:rPr>
        <w:t xml:space="preserve"> measurements? Is this preparation </w:t>
      </w:r>
      <w:r w:rsidR="00F40C40">
        <w:rPr>
          <w:rFonts w:eastAsiaTheme="minorEastAsia"/>
          <w:bCs/>
        </w:rPr>
        <w:t xml:space="preserve">technique </w:t>
      </w:r>
      <w:r>
        <w:rPr>
          <w:rFonts w:eastAsiaTheme="minorEastAsia"/>
          <w:bCs/>
        </w:rPr>
        <w:t>feasible in the field?</w:t>
      </w:r>
    </w:p>
    <w:p w14:paraId="6A7E93E3" w14:textId="3C9D7324" w:rsidR="00D64417" w:rsidRDefault="00D64417" w:rsidP="00457152">
      <w:pPr>
        <w:pStyle w:val="ListParagraph"/>
        <w:numPr>
          <w:ilvl w:val="0"/>
          <w:numId w:val="18"/>
        </w:numPr>
        <w:jc w:val="both"/>
        <w:rPr>
          <w:rFonts w:eastAsiaTheme="minorEastAsia"/>
          <w:bCs/>
        </w:rPr>
      </w:pPr>
      <w:r>
        <w:rPr>
          <w:rFonts w:eastAsiaTheme="minorEastAsia"/>
          <w:bCs/>
        </w:rPr>
        <w:t xml:space="preserve">What PHXRF device and analysis method should be used to achieve the most accurate PHXRF </w:t>
      </w:r>
      <m:oMath>
        <m:r>
          <w:rPr>
            <w:rFonts w:ascii="Cambria Math" w:hAnsi="Cambria Math"/>
          </w:rPr>
          <m:t>SC</m:t>
        </m:r>
      </m:oMath>
      <w:r>
        <w:rPr>
          <w:rFonts w:eastAsiaTheme="minorEastAsia"/>
          <w:bCs/>
        </w:rPr>
        <w:t xml:space="preserve"> measurements?</w:t>
      </w:r>
    </w:p>
    <w:p w14:paraId="14FC68E6" w14:textId="420549C8" w:rsidR="00D64417" w:rsidRDefault="00D64417" w:rsidP="00457152">
      <w:pPr>
        <w:pStyle w:val="ListParagraph"/>
        <w:numPr>
          <w:ilvl w:val="0"/>
          <w:numId w:val="18"/>
        </w:numPr>
        <w:jc w:val="both"/>
        <w:rPr>
          <w:rFonts w:eastAsiaTheme="minorEastAsia"/>
          <w:bCs/>
        </w:rPr>
      </w:pPr>
      <w:r>
        <w:rPr>
          <w:rFonts w:eastAsiaTheme="minorEastAsia"/>
          <w:bCs/>
        </w:rPr>
        <w:t xml:space="preserve">What is the precision and accuracy of in situ and ex situ PHXRF </w:t>
      </w:r>
      <m:oMath>
        <m:r>
          <w:rPr>
            <w:rFonts w:ascii="Cambria Math" w:hAnsi="Cambria Math"/>
          </w:rPr>
          <m:t>SC</m:t>
        </m:r>
      </m:oMath>
      <w:r>
        <w:rPr>
          <w:rFonts w:eastAsiaTheme="minorEastAsia"/>
          <w:bCs/>
        </w:rPr>
        <w:t xml:space="preserve"> measurements? Is PHXRF a viable option for measuring </w:t>
      </w:r>
      <m:oMath>
        <m:r>
          <w:rPr>
            <w:rFonts w:ascii="Cambria Math" w:hAnsi="Cambria Math"/>
          </w:rPr>
          <m:t>SC</m:t>
        </m:r>
      </m:oMath>
      <w:r>
        <w:rPr>
          <w:rFonts w:eastAsiaTheme="minorEastAsia"/>
          <w:bCs/>
        </w:rPr>
        <w:t xml:space="preserve"> in stabilized subgrade soils?</w:t>
      </w:r>
    </w:p>
    <w:p w14:paraId="3250F594" w14:textId="77777777" w:rsidR="00D64417" w:rsidRDefault="00D64417" w:rsidP="00D64417">
      <w:pPr>
        <w:pStyle w:val="ListParagraph"/>
        <w:numPr>
          <w:ilvl w:val="0"/>
          <w:numId w:val="18"/>
        </w:numPr>
        <w:jc w:val="both"/>
        <w:rPr>
          <w:rFonts w:eastAsiaTheme="minorEastAsia"/>
          <w:bCs/>
        </w:rPr>
      </w:pPr>
      <w:r>
        <w:rPr>
          <w:rFonts w:eastAsiaTheme="minorEastAsia"/>
          <w:bCs/>
        </w:rPr>
        <w:t>Is PHXRF a viable option for assessing spatial and depth homogeneity in the field?</w:t>
      </w:r>
    </w:p>
    <w:p w14:paraId="43972E3A" w14:textId="63AA27AB" w:rsidR="00ED435E" w:rsidRDefault="00267710" w:rsidP="00267710">
      <w:pPr>
        <w:pStyle w:val="ListParagraph"/>
        <w:ind w:left="1080"/>
        <w:jc w:val="both"/>
      </w:pPr>
      <w:r>
        <w:t xml:space="preserve"> </w:t>
      </w:r>
      <w:r w:rsidR="00ED435E">
        <w:t xml:space="preserve"> </w:t>
      </w:r>
    </w:p>
    <w:p w14:paraId="77E5C038" w14:textId="3B0027C0" w:rsidR="00451791" w:rsidRPr="00F62C9A" w:rsidRDefault="00AE3632" w:rsidP="00F62C9A">
      <w:pPr>
        <w:pStyle w:val="ListParagraph"/>
        <w:numPr>
          <w:ilvl w:val="1"/>
          <w:numId w:val="30"/>
        </w:numPr>
        <w:jc w:val="both"/>
        <w:rPr>
          <w:b/>
        </w:rPr>
      </w:pPr>
      <w:r w:rsidRPr="00F62C9A">
        <w:rPr>
          <w:b/>
        </w:rPr>
        <w:t>Scope</w:t>
      </w:r>
    </w:p>
    <w:p w14:paraId="6CB72171" w14:textId="236F7D49" w:rsidR="00451791" w:rsidRDefault="00C11AE1" w:rsidP="00457152">
      <w:pPr>
        <w:jc w:val="both"/>
      </w:pPr>
      <w:r>
        <w:tab/>
        <w:t xml:space="preserve">This work is phase two </w:t>
      </w:r>
      <w:r w:rsidR="00F805B9">
        <w:t xml:space="preserve">and three </w:t>
      </w:r>
      <w:r>
        <w:t>of a three phase research</w:t>
      </w:r>
      <w:r w:rsidR="00267710">
        <w:t xml:space="preserve"> project. The first phase was a feasibility study of whether </w:t>
      </w:r>
      <w:r w:rsidR="00163849">
        <w:t xml:space="preserve">or not </w:t>
      </w:r>
      <w:r w:rsidR="00267710">
        <w:t xml:space="preserve">a </w:t>
      </w:r>
      <w:r>
        <w:t>commercial XRF laboratory</w:t>
      </w:r>
      <w:r w:rsidR="00267710">
        <w:t xml:space="preserve"> could determine </w:t>
      </w:r>
      <m:oMath>
        <m:r>
          <w:rPr>
            <w:rFonts w:ascii="Cambria Math" w:hAnsi="Cambria Math"/>
          </w:rPr>
          <m:t>SC</m:t>
        </m:r>
      </m:oMath>
      <w:r w:rsidR="00267710">
        <w:t xml:space="preserve"> in stabilize subgrade soils</w:t>
      </w:r>
      <w:r w:rsidR="00750B79">
        <w:t xml:space="preserve"> and was detailed in Cerato and Miller (2013)</w:t>
      </w:r>
      <w:r>
        <w:t xml:space="preserve">. </w:t>
      </w:r>
      <w:r w:rsidR="00F805B9">
        <w:t>P</w:t>
      </w:r>
      <w:r w:rsidR="00F62F08">
        <w:t>hase</w:t>
      </w:r>
      <w:r w:rsidR="00F805B9">
        <w:t xml:space="preserve"> two</w:t>
      </w:r>
      <w:r w:rsidR="00F62F08">
        <w:t xml:space="preserve"> </w:t>
      </w:r>
      <w:r w:rsidR="00750B79">
        <w:t>continues that initial work to</w:t>
      </w:r>
      <w:r w:rsidR="00825F9D">
        <w:t xml:space="preserve"> </w:t>
      </w:r>
      <w:r w:rsidR="00750B79">
        <w:t xml:space="preserve">determine if </w:t>
      </w:r>
      <w:r w:rsidR="00825F9D">
        <w:t>PH</w:t>
      </w:r>
      <w:r w:rsidR="00F62F08">
        <w:t xml:space="preserve">XRF devices </w:t>
      </w:r>
      <w:r w:rsidR="00267710">
        <w:t>are capable of</w:t>
      </w:r>
      <w:r w:rsidR="006F2D95">
        <w:t xml:space="preserve"> producing</w:t>
      </w:r>
      <w:r w:rsidR="00F62F08">
        <w:t xml:space="preserve"> comparable </w:t>
      </w:r>
      <m:oMath>
        <m:r>
          <w:rPr>
            <w:rFonts w:ascii="Cambria Math" w:hAnsi="Cambria Math"/>
          </w:rPr>
          <m:t>SC</m:t>
        </m:r>
      </m:oMath>
      <w:r w:rsidR="00163849">
        <w:t xml:space="preserve"> </w:t>
      </w:r>
      <w:r w:rsidR="00F62F08">
        <w:t>measurements</w:t>
      </w:r>
      <w:r w:rsidR="003D61FC">
        <w:t xml:space="preserve"> </w:t>
      </w:r>
      <w:r w:rsidR="00F62F08">
        <w:t xml:space="preserve">to those of commercial laboratories. The third phase of this research project aims to validate the </w:t>
      </w:r>
      <w:r w:rsidR="00825F9D">
        <w:t>accuracy of the PH</w:t>
      </w:r>
      <w:r w:rsidR="00F805B9">
        <w:t>XRF devices</w:t>
      </w:r>
      <w:r w:rsidR="00F62F08">
        <w:t xml:space="preserve"> in the field where conditions are more </w:t>
      </w:r>
      <w:r w:rsidR="005B6BCA">
        <w:t>erratic and sample preparation is minimal.</w:t>
      </w:r>
      <w:r w:rsidR="00AE3632" w:rsidRPr="00AE3632">
        <w:tab/>
      </w:r>
    </w:p>
    <w:p w14:paraId="0579EC68" w14:textId="04CC9568" w:rsidR="00AE3632" w:rsidRDefault="004124A6" w:rsidP="006427AD">
      <w:pPr>
        <w:pStyle w:val="Heading1"/>
      </w:pPr>
      <w:r>
        <w:lastRenderedPageBreak/>
        <w:t>CHAPTER 2</w:t>
      </w:r>
    </w:p>
    <w:p w14:paraId="316F1285" w14:textId="4669AB5E" w:rsidR="004124A6" w:rsidRDefault="004124A6" w:rsidP="006427AD">
      <w:pPr>
        <w:pStyle w:val="Heading1"/>
      </w:pPr>
      <w:r>
        <w:t>LITERATURE REVIEW</w:t>
      </w:r>
    </w:p>
    <w:p w14:paraId="0D264FC3" w14:textId="602F0579" w:rsidR="004124A6" w:rsidRDefault="004124A6" w:rsidP="00E375C4">
      <w:pPr>
        <w:keepNext/>
        <w:keepLines/>
        <w:jc w:val="both"/>
      </w:pPr>
    </w:p>
    <w:p w14:paraId="52350432" w14:textId="14F1E918" w:rsidR="00753B87" w:rsidRDefault="00412181" w:rsidP="00E375C4">
      <w:pPr>
        <w:keepNext/>
        <w:keepLines/>
        <w:jc w:val="both"/>
        <w:rPr>
          <w:b/>
        </w:rPr>
      </w:pPr>
      <w:r>
        <w:rPr>
          <w:b/>
        </w:rPr>
        <w:t xml:space="preserve">2.1 </w:t>
      </w:r>
      <w:r w:rsidR="00753B87">
        <w:rPr>
          <w:b/>
        </w:rPr>
        <w:t>Introduction</w:t>
      </w:r>
    </w:p>
    <w:p w14:paraId="56EEC21D" w14:textId="5C73C5C9" w:rsidR="00753B87" w:rsidRDefault="00753B87" w:rsidP="00457152">
      <w:pPr>
        <w:keepNext/>
        <w:keepLines/>
        <w:jc w:val="both"/>
        <w:rPr>
          <w:bCs/>
        </w:rPr>
      </w:pPr>
      <w:r>
        <w:rPr>
          <w:b/>
        </w:rPr>
        <w:tab/>
      </w:r>
      <w:r w:rsidR="00F568B7">
        <w:rPr>
          <w:bCs/>
        </w:rPr>
        <w:t>Current</w:t>
      </w:r>
      <w:r>
        <w:rPr>
          <w:bCs/>
        </w:rPr>
        <w:t xml:space="preserve"> subgrade stabilization </w:t>
      </w:r>
      <w:r w:rsidR="00F568B7">
        <w:rPr>
          <w:bCs/>
        </w:rPr>
        <w:t>construction methods as well as</w:t>
      </w:r>
      <w:r w:rsidR="003A638F">
        <w:rPr>
          <w:bCs/>
        </w:rPr>
        <w:t xml:space="preserve"> principles and applications </w:t>
      </w:r>
      <w:r w:rsidR="00F568B7">
        <w:rPr>
          <w:bCs/>
        </w:rPr>
        <w:t xml:space="preserve">of </w:t>
      </w:r>
      <w:r w:rsidR="003A638F">
        <w:rPr>
          <w:bCs/>
        </w:rPr>
        <w:t>XRF spectrometry</w:t>
      </w:r>
      <w:r w:rsidR="001565C8">
        <w:rPr>
          <w:bCs/>
        </w:rPr>
        <w:t xml:space="preserve"> are discussed</w:t>
      </w:r>
      <w:r>
        <w:rPr>
          <w:bCs/>
        </w:rPr>
        <w:t xml:space="preserve">. Additionally, potential limitations of XRF spectrometry as it relates to determining </w:t>
      </w:r>
      <m:oMath>
        <m:r>
          <w:rPr>
            <w:rFonts w:ascii="Cambria Math" w:hAnsi="Cambria Math"/>
          </w:rPr>
          <m:t>SC</m:t>
        </m:r>
      </m:oMath>
      <w:r>
        <w:rPr>
          <w:bCs/>
        </w:rPr>
        <w:t xml:space="preserve"> in </w:t>
      </w:r>
      <w:r w:rsidR="003551DD">
        <w:rPr>
          <w:bCs/>
        </w:rPr>
        <w:t>subgrade soils will be examined</w:t>
      </w:r>
      <w:r>
        <w:rPr>
          <w:bCs/>
        </w:rPr>
        <w:t xml:space="preserve">.  </w:t>
      </w:r>
    </w:p>
    <w:p w14:paraId="3E9D59C7" w14:textId="1FFCB786" w:rsidR="00224F7E" w:rsidRDefault="004124A6" w:rsidP="009968DD">
      <w:pPr>
        <w:jc w:val="both"/>
      </w:pPr>
      <w:r w:rsidRPr="00224F7E">
        <w:tab/>
      </w:r>
    </w:p>
    <w:p w14:paraId="4ABAB8CC" w14:textId="68BF0380" w:rsidR="00077AB0" w:rsidRDefault="003A638F" w:rsidP="00E375C4">
      <w:pPr>
        <w:jc w:val="both"/>
        <w:rPr>
          <w:b/>
        </w:rPr>
      </w:pPr>
      <w:r>
        <w:rPr>
          <w:b/>
        </w:rPr>
        <w:t>2.2</w:t>
      </w:r>
      <w:r w:rsidR="00077AB0" w:rsidRPr="00077AB0">
        <w:rPr>
          <w:b/>
        </w:rPr>
        <w:t xml:space="preserve"> Current </w:t>
      </w:r>
      <w:r w:rsidR="00077AB0">
        <w:rPr>
          <w:b/>
        </w:rPr>
        <w:t xml:space="preserve">Subgrade Stabilization </w:t>
      </w:r>
      <w:r w:rsidR="00077AB0" w:rsidRPr="00077AB0">
        <w:rPr>
          <w:b/>
        </w:rPr>
        <w:t>Construction Methods</w:t>
      </w:r>
    </w:p>
    <w:p w14:paraId="675D31D8" w14:textId="6337E842" w:rsidR="00A54C3D" w:rsidRDefault="00A54C3D" w:rsidP="00D0002C">
      <w:pPr>
        <w:ind w:firstLine="720"/>
        <w:jc w:val="both"/>
      </w:pPr>
      <w:r>
        <w:rPr>
          <w:bCs/>
        </w:rPr>
        <w:t xml:space="preserve">Subgrade stabilization is often used to address an assortment of problematic soil </w:t>
      </w:r>
      <w:r w:rsidR="00B5361A">
        <w:rPr>
          <w:bCs/>
        </w:rPr>
        <w:t>behavior</w:t>
      </w:r>
      <w:r>
        <w:rPr>
          <w:bCs/>
        </w:rPr>
        <w:t xml:space="preserve">. </w:t>
      </w:r>
      <w:r w:rsidR="003518CF">
        <w:t>Some of the</w:t>
      </w:r>
      <w:r>
        <w:t xml:space="preserve"> well-known and well-studied issues are low strength</w:t>
      </w:r>
      <w:r w:rsidR="00C226BF">
        <w:t>,</w:t>
      </w:r>
      <w:r>
        <w:t xml:space="preserve"> which has been known to cause subgrade and pavement deformation, potholes, and rutting (</w:t>
      </w:r>
      <w:r w:rsidR="00CB20E9">
        <w:t xml:space="preserve">Elliot, et al. 1998; </w:t>
      </w:r>
      <w:r>
        <w:t>Huang 1993; Majidzadeh, et al. 1978)</w:t>
      </w:r>
      <w:r w:rsidR="00C226BF">
        <w:t>,</w:t>
      </w:r>
      <w:r>
        <w:t xml:space="preserve"> high swell potential</w:t>
      </w:r>
      <w:r w:rsidR="00C226BF">
        <w:t>,</w:t>
      </w:r>
      <w:r>
        <w:t xml:space="preserve"> which </w:t>
      </w:r>
      <w:r w:rsidR="006E13A2">
        <w:t xml:space="preserve">often </w:t>
      </w:r>
      <w:r w:rsidR="00D0002C">
        <w:t>plagues</w:t>
      </w:r>
      <w:r>
        <w:t xml:space="preserve"> lightweight pavements and causes upwards of 7 billion dollars’ worth of </w:t>
      </w:r>
      <w:r w:rsidR="002C672D">
        <w:t xml:space="preserve">auto </w:t>
      </w:r>
      <w:r>
        <w:t>damage each year in the United States (</w:t>
      </w:r>
      <w:r w:rsidR="00CB20E9">
        <w:t xml:space="preserve">Mishra 2007; </w:t>
      </w:r>
      <w:r>
        <w:t>Fredlu</w:t>
      </w:r>
      <w:r w:rsidR="00CB20E9">
        <w:t>nd 1987; Krohn and Slosson 1980</w:t>
      </w:r>
      <w:r>
        <w:t>)</w:t>
      </w:r>
      <w:r w:rsidR="00C226BF">
        <w:t>,</w:t>
      </w:r>
      <w:r>
        <w:t xml:space="preserve"> and high collapse potential</w:t>
      </w:r>
      <w:r w:rsidR="00C226BF">
        <w:t>,</w:t>
      </w:r>
      <w:r>
        <w:t xml:space="preserve"> which causes tremendous amounts of damage to highway infrastructure and poses significant challenges to geotechnical engineers (Howayek 2011; </w:t>
      </w:r>
      <w:r w:rsidR="00CB20E9">
        <w:t xml:space="preserve">Houston 2002; Lawton, et al. 1992; </w:t>
      </w:r>
      <w:r>
        <w:t>Houston 1988). These problems</w:t>
      </w:r>
      <w:r w:rsidR="00F40C40">
        <w:t>,</w:t>
      </w:r>
      <w:r>
        <w:t xml:space="preserve"> amongst others</w:t>
      </w:r>
      <w:r w:rsidR="00F40C40">
        <w:t>,</w:t>
      </w:r>
      <w:r>
        <w:t xml:space="preserve"> are </w:t>
      </w:r>
      <w:r w:rsidR="00F568B7">
        <w:t>usually</w:t>
      </w:r>
      <w:r>
        <w:t xml:space="preserve"> mitigated by</w:t>
      </w:r>
      <w:r w:rsidR="003518CF">
        <w:t xml:space="preserve"> </w:t>
      </w:r>
      <w:r w:rsidRPr="00B77181">
        <w:t xml:space="preserve">mixing calcium-based chemical </w:t>
      </w:r>
      <w:r>
        <w:t xml:space="preserve">stabilizing </w:t>
      </w:r>
      <w:r w:rsidRPr="00B77181">
        <w:t>age</w:t>
      </w:r>
      <w:r>
        <w:t>nts</w:t>
      </w:r>
      <w:r w:rsidR="00C226BF">
        <w:t>,</w:t>
      </w:r>
      <w:r>
        <w:t xml:space="preserve"> typically lime (Athanasopoulou 2014;</w:t>
      </w:r>
      <w:r w:rsidRPr="006A67B6">
        <w:t xml:space="preserve"> </w:t>
      </w:r>
      <w:r>
        <w:t>Bell 1989; Holland and Griffin 1980;), fly ash (</w:t>
      </w:r>
      <w:r w:rsidR="00CB20E9">
        <w:t>Athanasopoulou 2014;</w:t>
      </w:r>
      <w:r w:rsidR="00CB20E9" w:rsidRPr="006A67B6">
        <w:t xml:space="preserve"> </w:t>
      </w:r>
      <w:r w:rsidR="00CB20E9">
        <w:t>Lin, et al. 2013; Li, et al. 2009; Aykut, et al. 2006;</w:t>
      </w:r>
      <w:r w:rsidR="00CB20E9" w:rsidRPr="006A67B6">
        <w:t xml:space="preserve"> </w:t>
      </w:r>
      <w:r>
        <w:t xml:space="preserve">Arora and Aydilck 2005; </w:t>
      </w:r>
      <w:r w:rsidR="00CB20E9">
        <w:t>Kolias, et al. 2005</w:t>
      </w:r>
      <w:r>
        <w:t>)</w:t>
      </w:r>
      <w:r w:rsidR="001B40D5">
        <w:t>, cement kiln dust (CKD)</w:t>
      </w:r>
      <w:r>
        <w:t xml:space="preserve"> (Salahudeen, et al. 2014; </w:t>
      </w:r>
      <w:r>
        <w:lastRenderedPageBreak/>
        <w:t xml:space="preserve">Parsons, et al. 2004), or Portland </w:t>
      </w:r>
      <w:r w:rsidRPr="00B77181">
        <w:t>cement</w:t>
      </w:r>
      <w:r w:rsidR="00CB20E9">
        <w:t xml:space="preserve"> (Kolias, et al. 2005; Holland and Griffin 1980</w:t>
      </w:r>
      <w:r>
        <w:t>)</w:t>
      </w:r>
      <w:r w:rsidRPr="00B77181">
        <w:t xml:space="preserve"> </w:t>
      </w:r>
      <w:r>
        <w:t>with the</w:t>
      </w:r>
      <w:r w:rsidRPr="00B77181">
        <w:t xml:space="preserve"> native soil or fill</w:t>
      </w:r>
      <w:r>
        <w:t>.</w:t>
      </w:r>
    </w:p>
    <w:p w14:paraId="50EB74B2" w14:textId="328634B5" w:rsidR="00B5361A" w:rsidRDefault="00077AB0" w:rsidP="00A54C3D">
      <w:pPr>
        <w:ind w:firstLine="720"/>
        <w:jc w:val="both"/>
        <w:rPr>
          <w:rFonts w:asciiTheme="majorBidi" w:hAnsiTheme="majorBidi" w:cstheme="majorBidi"/>
        </w:rPr>
      </w:pPr>
      <w:r w:rsidRPr="00E6506F">
        <w:rPr>
          <w:rFonts w:asciiTheme="majorBidi" w:hAnsiTheme="majorBidi" w:cstheme="majorBidi"/>
        </w:rPr>
        <w:t>In order to</w:t>
      </w:r>
      <w:r>
        <w:rPr>
          <w:rFonts w:asciiTheme="majorBidi" w:hAnsiTheme="majorBidi" w:cstheme="majorBidi"/>
        </w:rPr>
        <w:t xml:space="preserve"> appreciate why an improved</w:t>
      </w:r>
      <w:r w:rsidRPr="00E6506F">
        <w:rPr>
          <w:rFonts w:asciiTheme="majorBidi" w:hAnsiTheme="majorBidi" w:cstheme="majorBidi"/>
        </w:rPr>
        <w:t xml:space="preserve"> quality control technique </w:t>
      </w:r>
      <w:r>
        <w:rPr>
          <w:rFonts w:asciiTheme="majorBidi" w:hAnsiTheme="majorBidi" w:cstheme="majorBidi"/>
        </w:rPr>
        <w:t xml:space="preserve">for stabilized subgrade projects </w:t>
      </w:r>
      <w:r w:rsidRPr="00E6506F">
        <w:rPr>
          <w:rFonts w:asciiTheme="majorBidi" w:hAnsiTheme="majorBidi" w:cstheme="majorBidi"/>
        </w:rPr>
        <w:t>is necessary, a thorough understanding of current construction methods is crucial</w:t>
      </w:r>
      <w:r>
        <w:rPr>
          <w:rFonts w:asciiTheme="majorBidi" w:hAnsiTheme="majorBidi" w:cstheme="majorBidi"/>
        </w:rPr>
        <w:t>. To do this, a survey of subgrade stabilization methods in the southern plains states</w:t>
      </w:r>
      <w:r w:rsidR="00C226BF">
        <w:rPr>
          <w:rFonts w:asciiTheme="majorBidi" w:hAnsiTheme="majorBidi" w:cstheme="majorBidi"/>
        </w:rPr>
        <w:t xml:space="preserve"> was conducted</w:t>
      </w:r>
      <w:r>
        <w:rPr>
          <w:rFonts w:asciiTheme="majorBidi" w:hAnsiTheme="majorBidi" w:cstheme="majorBidi"/>
        </w:rPr>
        <w:t xml:space="preserve">. </w:t>
      </w:r>
      <w:r w:rsidR="00B5361A">
        <w:rPr>
          <w:rFonts w:asciiTheme="majorBidi" w:hAnsiTheme="majorBidi" w:cstheme="majorBidi"/>
        </w:rPr>
        <w:t>The states and their respective standards are as follows:</w:t>
      </w:r>
    </w:p>
    <w:p w14:paraId="67437F9D" w14:textId="77777777" w:rsidR="0003077D" w:rsidRDefault="0003077D" w:rsidP="00A54C3D">
      <w:pPr>
        <w:ind w:firstLine="720"/>
        <w:jc w:val="both"/>
        <w:rPr>
          <w:rFonts w:asciiTheme="majorBidi" w:hAnsiTheme="majorBidi" w:cstheme="majorBidi"/>
        </w:rPr>
      </w:pPr>
    </w:p>
    <w:p w14:paraId="2E344D7E" w14:textId="6B3711B3" w:rsidR="00B5361A" w:rsidRPr="00412181" w:rsidRDefault="00077AB0" w:rsidP="001A1993">
      <w:pPr>
        <w:pStyle w:val="ListParagraph"/>
        <w:numPr>
          <w:ilvl w:val="0"/>
          <w:numId w:val="25"/>
        </w:numPr>
        <w:jc w:val="both"/>
        <w:rPr>
          <w:rFonts w:asciiTheme="majorBidi" w:hAnsiTheme="majorBidi" w:cstheme="majorBidi"/>
        </w:rPr>
      </w:pPr>
      <w:r w:rsidRPr="00412181">
        <w:rPr>
          <w:rFonts w:asciiTheme="majorBidi" w:hAnsiTheme="majorBidi" w:cstheme="majorBidi"/>
        </w:rPr>
        <w:t>Arkansas</w:t>
      </w:r>
      <w:r w:rsidR="00B5361A" w:rsidRPr="00412181">
        <w:rPr>
          <w:rFonts w:asciiTheme="majorBidi" w:hAnsiTheme="majorBidi" w:cstheme="majorBidi"/>
        </w:rPr>
        <w:t>:</w:t>
      </w:r>
      <w:r w:rsidR="001A1993" w:rsidRPr="00412181">
        <w:rPr>
          <w:rFonts w:asciiTheme="majorBidi" w:hAnsiTheme="majorBidi" w:cstheme="majorBidi"/>
        </w:rPr>
        <w:t xml:space="preserve"> </w:t>
      </w:r>
      <w:r w:rsidRPr="00412181">
        <w:rPr>
          <w:rFonts w:asciiTheme="majorBidi" w:hAnsiTheme="majorBidi" w:cstheme="majorBidi"/>
        </w:rPr>
        <w:t>Arkansas 2003 Standard Specification for Highway Construction Division 300 Section 301.04</w:t>
      </w:r>
    </w:p>
    <w:p w14:paraId="7E23AD12" w14:textId="6B28D953" w:rsidR="00B5361A" w:rsidRPr="00412181" w:rsidRDefault="00077AB0" w:rsidP="001A1993">
      <w:pPr>
        <w:pStyle w:val="ListParagraph"/>
        <w:numPr>
          <w:ilvl w:val="0"/>
          <w:numId w:val="25"/>
        </w:numPr>
        <w:jc w:val="both"/>
        <w:rPr>
          <w:rFonts w:asciiTheme="majorBidi" w:hAnsiTheme="majorBidi" w:cstheme="majorBidi"/>
        </w:rPr>
      </w:pPr>
      <w:r w:rsidRPr="00412181">
        <w:rPr>
          <w:rFonts w:asciiTheme="majorBidi" w:hAnsiTheme="majorBidi" w:cstheme="majorBidi"/>
        </w:rPr>
        <w:t>Louisiana</w:t>
      </w:r>
      <w:r w:rsidR="00B5361A" w:rsidRPr="00412181">
        <w:rPr>
          <w:rFonts w:asciiTheme="majorBidi" w:hAnsiTheme="majorBidi" w:cstheme="majorBidi"/>
        </w:rPr>
        <w:t>:</w:t>
      </w:r>
      <w:r w:rsidR="001A1993" w:rsidRPr="00412181">
        <w:rPr>
          <w:rFonts w:asciiTheme="majorBidi" w:hAnsiTheme="majorBidi" w:cstheme="majorBidi"/>
        </w:rPr>
        <w:t xml:space="preserve"> </w:t>
      </w:r>
      <w:r w:rsidRPr="00412181">
        <w:rPr>
          <w:rFonts w:asciiTheme="majorBidi" w:hAnsiTheme="majorBidi" w:cstheme="majorBidi"/>
        </w:rPr>
        <w:t>2006 Standard Specifications for Roads and Bridges Manual Section</w:t>
      </w:r>
      <w:r w:rsidR="00260E4E" w:rsidRPr="00412181">
        <w:rPr>
          <w:rFonts w:asciiTheme="majorBidi" w:hAnsiTheme="majorBidi" w:cstheme="majorBidi"/>
        </w:rPr>
        <w:t>s</w:t>
      </w:r>
      <w:r w:rsidRPr="00412181">
        <w:rPr>
          <w:rFonts w:asciiTheme="majorBidi" w:hAnsiTheme="majorBidi" w:cstheme="majorBidi"/>
        </w:rPr>
        <w:t xml:space="preserve"> 30</w:t>
      </w:r>
      <w:r w:rsidR="00260E4E" w:rsidRPr="00412181">
        <w:rPr>
          <w:rFonts w:asciiTheme="majorBidi" w:hAnsiTheme="majorBidi" w:cstheme="majorBidi"/>
        </w:rPr>
        <w:t>3 and 304</w:t>
      </w:r>
    </w:p>
    <w:p w14:paraId="38F63EE8" w14:textId="66F645C3" w:rsidR="00B5361A" w:rsidRPr="00412181" w:rsidRDefault="00077AB0" w:rsidP="001A1993">
      <w:pPr>
        <w:pStyle w:val="ListParagraph"/>
        <w:numPr>
          <w:ilvl w:val="0"/>
          <w:numId w:val="25"/>
        </w:numPr>
        <w:jc w:val="both"/>
        <w:rPr>
          <w:rFonts w:asciiTheme="majorBidi" w:hAnsiTheme="majorBidi" w:cstheme="majorBidi"/>
        </w:rPr>
      </w:pPr>
      <w:r w:rsidRPr="00412181">
        <w:rPr>
          <w:rFonts w:asciiTheme="majorBidi" w:hAnsiTheme="majorBidi" w:cstheme="majorBidi"/>
        </w:rPr>
        <w:t>New Mexico</w:t>
      </w:r>
      <w:r w:rsidR="00B5361A" w:rsidRPr="00412181">
        <w:rPr>
          <w:rFonts w:asciiTheme="majorBidi" w:hAnsiTheme="majorBidi" w:cstheme="majorBidi"/>
        </w:rPr>
        <w:t>:</w:t>
      </w:r>
      <w:r w:rsidRPr="00412181">
        <w:rPr>
          <w:rFonts w:asciiTheme="majorBidi" w:hAnsiTheme="majorBidi" w:cstheme="majorBidi"/>
        </w:rPr>
        <w:t xml:space="preserve"> 2014 Standard Specifications for Highway and Bridge Construc</w:t>
      </w:r>
      <w:r w:rsidR="001A1993" w:rsidRPr="00412181">
        <w:rPr>
          <w:rFonts w:asciiTheme="majorBidi" w:hAnsiTheme="majorBidi" w:cstheme="majorBidi"/>
        </w:rPr>
        <w:t>tion Division 300 Section 306.3</w:t>
      </w:r>
      <w:r w:rsidRPr="00412181">
        <w:rPr>
          <w:rFonts w:asciiTheme="majorBidi" w:hAnsiTheme="majorBidi" w:cstheme="majorBidi"/>
        </w:rPr>
        <w:t xml:space="preserve"> </w:t>
      </w:r>
    </w:p>
    <w:p w14:paraId="6FE85E2E" w14:textId="45CC6027" w:rsidR="00B5361A" w:rsidRPr="00412181" w:rsidRDefault="00077AB0" w:rsidP="001A1993">
      <w:pPr>
        <w:pStyle w:val="ListParagraph"/>
        <w:numPr>
          <w:ilvl w:val="0"/>
          <w:numId w:val="25"/>
        </w:numPr>
        <w:jc w:val="both"/>
        <w:rPr>
          <w:rFonts w:asciiTheme="majorBidi" w:hAnsiTheme="majorBidi" w:cstheme="majorBidi"/>
        </w:rPr>
      </w:pPr>
      <w:r w:rsidRPr="00412181">
        <w:rPr>
          <w:rFonts w:asciiTheme="majorBidi" w:hAnsiTheme="majorBidi" w:cstheme="majorBidi"/>
        </w:rPr>
        <w:t>Oklahoma</w:t>
      </w:r>
      <w:r w:rsidR="00B5361A" w:rsidRPr="00412181">
        <w:rPr>
          <w:rFonts w:asciiTheme="majorBidi" w:hAnsiTheme="majorBidi" w:cstheme="majorBidi"/>
        </w:rPr>
        <w:t>:</w:t>
      </w:r>
      <w:r w:rsidRPr="00412181">
        <w:rPr>
          <w:rFonts w:asciiTheme="majorBidi" w:hAnsiTheme="majorBidi" w:cstheme="majorBidi"/>
        </w:rPr>
        <w:t xml:space="preserve"> 2009 Standard Specifications Book Chapter 300 Section 307.04 </w:t>
      </w:r>
    </w:p>
    <w:p w14:paraId="0D28CF90" w14:textId="41CA20F6" w:rsidR="00B5361A" w:rsidRDefault="00077AB0" w:rsidP="001A1993">
      <w:pPr>
        <w:pStyle w:val="ListParagraph"/>
        <w:numPr>
          <w:ilvl w:val="0"/>
          <w:numId w:val="25"/>
        </w:numPr>
        <w:jc w:val="both"/>
        <w:rPr>
          <w:rFonts w:asciiTheme="majorBidi" w:hAnsiTheme="majorBidi" w:cstheme="majorBidi"/>
        </w:rPr>
      </w:pPr>
      <w:r w:rsidRPr="00412181">
        <w:rPr>
          <w:rFonts w:asciiTheme="majorBidi" w:hAnsiTheme="majorBidi" w:cstheme="majorBidi"/>
        </w:rPr>
        <w:t>Texas</w:t>
      </w:r>
      <w:r w:rsidR="00B5361A" w:rsidRPr="00412181">
        <w:rPr>
          <w:rFonts w:asciiTheme="majorBidi" w:hAnsiTheme="majorBidi" w:cstheme="majorBidi"/>
        </w:rPr>
        <w:t>:</w:t>
      </w:r>
      <w:r w:rsidR="001A1993" w:rsidRPr="00412181">
        <w:rPr>
          <w:rFonts w:asciiTheme="majorBidi" w:hAnsiTheme="majorBidi" w:cstheme="majorBidi"/>
        </w:rPr>
        <w:t xml:space="preserve"> </w:t>
      </w:r>
      <w:r w:rsidRPr="00412181">
        <w:rPr>
          <w:rFonts w:asciiTheme="majorBidi" w:hAnsiTheme="majorBidi" w:cstheme="majorBidi"/>
        </w:rPr>
        <w:t xml:space="preserve">2004 Standard Specifications for Construction and Maintenance of Highways, Streets, and Bridges Item 260.4 </w:t>
      </w:r>
    </w:p>
    <w:p w14:paraId="2383A645" w14:textId="77777777" w:rsidR="0003077D" w:rsidRPr="00412181" w:rsidRDefault="0003077D" w:rsidP="0003077D">
      <w:pPr>
        <w:pStyle w:val="ListParagraph"/>
        <w:ind w:left="1440"/>
        <w:jc w:val="both"/>
        <w:rPr>
          <w:rFonts w:asciiTheme="majorBidi" w:hAnsiTheme="majorBidi" w:cstheme="majorBidi"/>
        </w:rPr>
      </w:pPr>
    </w:p>
    <w:p w14:paraId="5D49F086" w14:textId="651DCF90" w:rsidR="00077AB0" w:rsidRPr="001A1993" w:rsidRDefault="00224FAF" w:rsidP="002C672D">
      <w:pPr>
        <w:jc w:val="both"/>
        <w:rPr>
          <w:rFonts w:asciiTheme="majorBidi" w:hAnsiTheme="majorBidi" w:cstheme="majorBidi"/>
        </w:rPr>
      </w:pPr>
      <w:r w:rsidRPr="001A1993">
        <w:rPr>
          <w:rFonts w:asciiTheme="majorBidi" w:hAnsiTheme="majorBidi" w:cstheme="majorBidi"/>
        </w:rPr>
        <w:t>The</w:t>
      </w:r>
      <w:r>
        <w:rPr>
          <w:rFonts w:asciiTheme="majorBidi" w:hAnsiTheme="majorBidi" w:cstheme="majorBidi"/>
        </w:rPr>
        <w:t xml:space="preserve"> steps of stabilization</w:t>
      </w:r>
      <w:r w:rsidR="00E02115">
        <w:rPr>
          <w:rFonts w:asciiTheme="majorBidi" w:hAnsiTheme="majorBidi" w:cstheme="majorBidi"/>
        </w:rPr>
        <w:t xml:space="preserve"> </w:t>
      </w:r>
      <w:r w:rsidR="001A1993">
        <w:rPr>
          <w:rFonts w:asciiTheme="majorBidi" w:hAnsiTheme="majorBidi" w:cstheme="majorBidi"/>
        </w:rPr>
        <w:t>within the specifications are</w:t>
      </w:r>
      <w:r w:rsidR="007D72FB">
        <w:rPr>
          <w:rFonts w:asciiTheme="majorBidi" w:hAnsiTheme="majorBidi" w:cstheme="majorBidi"/>
        </w:rPr>
        <w:t xml:space="preserve"> subgrade preparation,</w:t>
      </w:r>
      <w:r w:rsidR="00E02115">
        <w:rPr>
          <w:rFonts w:asciiTheme="majorBidi" w:hAnsiTheme="majorBidi" w:cstheme="majorBidi"/>
        </w:rPr>
        <w:t xml:space="preserve"> pulver</w:t>
      </w:r>
      <w:r w:rsidR="007D72FB">
        <w:rPr>
          <w:rFonts w:asciiTheme="majorBidi" w:hAnsiTheme="majorBidi" w:cstheme="majorBidi"/>
        </w:rPr>
        <w:t>ization and scarification,</w:t>
      </w:r>
      <w:r w:rsidR="00E02115">
        <w:rPr>
          <w:rFonts w:asciiTheme="majorBidi" w:hAnsiTheme="majorBidi" w:cstheme="majorBidi"/>
        </w:rPr>
        <w:t xml:space="preserve"> application of s</w:t>
      </w:r>
      <w:r w:rsidR="00DF2B6B">
        <w:rPr>
          <w:rFonts w:asciiTheme="majorBidi" w:hAnsiTheme="majorBidi" w:cstheme="majorBidi"/>
        </w:rPr>
        <w:t xml:space="preserve">tabilizing agent, </w:t>
      </w:r>
      <w:r w:rsidR="00E02115">
        <w:rPr>
          <w:rFonts w:asciiTheme="majorBidi" w:hAnsiTheme="majorBidi" w:cstheme="majorBidi"/>
        </w:rPr>
        <w:t>mixing</w:t>
      </w:r>
      <w:r w:rsidR="00DF2B6B">
        <w:rPr>
          <w:rFonts w:asciiTheme="majorBidi" w:hAnsiTheme="majorBidi" w:cstheme="majorBidi"/>
        </w:rPr>
        <w:t>, and compaction</w:t>
      </w:r>
      <w:r w:rsidR="002C672D">
        <w:rPr>
          <w:rFonts w:asciiTheme="majorBidi" w:hAnsiTheme="majorBidi" w:cstheme="majorBidi"/>
        </w:rPr>
        <w:t xml:space="preserve">. These steps </w:t>
      </w:r>
      <w:r w:rsidR="00E02115">
        <w:rPr>
          <w:rFonts w:asciiTheme="majorBidi" w:hAnsiTheme="majorBidi" w:cstheme="majorBidi"/>
        </w:rPr>
        <w:t>are covered i</w:t>
      </w:r>
      <w:r>
        <w:rPr>
          <w:rFonts w:asciiTheme="majorBidi" w:hAnsiTheme="majorBidi" w:cstheme="majorBidi"/>
        </w:rPr>
        <w:t xml:space="preserve">n individual </w:t>
      </w:r>
      <w:r w:rsidR="00E02115">
        <w:rPr>
          <w:rFonts w:asciiTheme="majorBidi" w:hAnsiTheme="majorBidi" w:cstheme="majorBidi"/>
        </w:rPr>
        <w:t>sub-</w:t>
      </w:r>
      <w:r>
        <w:rPr>
          <w:rFonts w:asciiTheme="majorBidi" w:hAnsiTheme="majorBidi" w:cstheme="majorBidi"/>
        </w:rPr>
        <w:t>sections</w:t>
      </w:r>
      <w:r w:rsidR="00E02115">
        <w:rPr>
          <w:rFonts w:asciiTheme="majorBidi" w:hAnsiTheme="majorBidi" w:cstheme="majorBidi"/>
        </w:rPr>
        <w:t xml:space="preserve"> </w:t>
      </w:r>
      <w:r>
        <w:rPr>
          <w:rFonts w:asciiTheme="majorBidi" w:hAnsiTheme="majorBidi" w:cstheme="majorBidi"/>
        </w:rPr>
        <w:t>within each</w:t>
      </w:r>
      <w:r w:rsidRPr="001A1993">
        <w:rPr>
          <w:rFonts w:asciiTheme="majorBidi" w:hAnsiTheme="majorBidi" w:cstheme="majorBidi"/>
        </w:rPr>
        <w:t xml:space="preserve"> </w:t>
      </w:r>
      <w:r>
        <w:rPr>
          <w:rFonts w:asciiTheme="majorBidi" w:hAnsiTheme="majorBidi" w:cstheme="majorBidi"/>
        </w:rPr>
        <w:t>specification</w:t>
      </w:r>
      <w:r w:rsidR="00E02115">
        <w:rPr>
          <w:rFonts w:asciiTheme="majorBidi" w:hAnsiTheme="majorBidi" w:cstheme="majorBidi"/>
        </w:rPr>
        <w:t>.  Many stabilization steps</w:t>
      </w:r>
      <w:r w:rsidRPr="001A1993">
        <w:rPr>
          <w:rFonts w:asciiTheme="majorBidi" w:hAnsiTheme="majorBidi" w:cstheme="majorBidi"/>
        </w:rPr>
        <w:t xml:space="preserve"> </w:t>
      </w:r>
      <w:r w:rsidR="00077AB0" w:rsidRPr="001A1993">
        <w:rPr>
          <w:rFonts w:asciiTheme="majorBidi" w:hAnsiTheme="majorBidi" w:cstheme="majorBidi"/>
        </w:rPr>
        <w:t xml:space="preserve">are similar </w:t>
      </w:r>
      <w:r w:rsidR="0060247B">
        <w:rPr>
          <w:rFonts w:asciiTheme="majorBidi" w:hAnsiTheme="majorBidi" w:cstheme="majorBidi"/>
        </w:rPr>
        <w:t>between states</w:t>
      </w:r>
      <w:r w:rsidR="00E02115">
        <w:rPr>
          <w:rFonts w:asciiTheme="majorBidi" w:hAnsiTheme="majorBidi" w:cstheme="majorBidi"/>
        </w:rPr>
        <w:t xml:space="preserve">, </w:t>
      </w:r>
      <w:r w:rsidR="0060247B">
        <w:rPr>
          <w:rFonts w:asciiTheme="majorBidi" w:hAnsiTheme="majorBidi" w:cstheme="majorBidi"/>
        </w:rPr>
        <w:t>however, there are some notable</w:t>
      </w:r>
      <w:r w:rsidR="009B6CD8" w:rsidRPr="001A1993">
        <w:rPr>
          <w:rFonts w:asciiTheme="majorBidi" w:hAnsiTheme="majorBidi" w:cstheme="majorBidi"/>
        </w:rPr>
        <w:t xml:space="preserve"> differences </w:t>
      </w:r>
      <w:r w:rsidR="00E02115">
        <w:rPr>
          <w:rFonts w:asciiTheme="majorBidi" w:hAnsiTheme="majorBidi" w:cstheme="majorBidi"/>
        </w:rPr>
        <w:t xml:space="preserve">which </w:t>
      </w:r>
      <w:r w:rsidR="009B6CD8" w:rsidRPr="001A1993">
        <w:rPr>
          <w:rFonts w:asciiTheme="majorBidi" w:hAnsiTheme="majorBidi" w:cstheme="majorBidi"/>
        </w:rPr>
        <w:t xml:space="preserve">will be </w:t>
      </w:r>
      <w:r>
        <w:rPr>
          <w:rFonts w:asciiTheme="majorBidi" w:hAnsiTheme="majorBidi" w:cstheme="majorBidi"/>
        </w:rPr>
        <w:lastRenderedPageBreak/>
        <w:t>discussed</w:t>
      </w:r>
      <w:r w:rsidR="009B6CD8" w:rsidRPr="00AD35D5">
        <w:rPr>
          <w:rFonts w:asciiTheme="majorBidi" w:hAnsiTheme="majorBidi" w:cstheme="majorBidi"/>
        </w:rPr>
        <w:t xml:space="preserve">. Possible sources of error </w:t>
      </w:r>
      <w:r w:rsidR="00AD35D5">
        <w:rPr>
          <w:rFonts w:asciiTheme="majorBidi" w:hAnsiTheme="majorBidi" w:cstheme="majorBidi"/>
        </w:rPr>
        <w:t xml:space="preserve">in terms of </w:t>
      </w:r>
      <m:oMath>
        <m:r>
          <w:rPr>
            <w:rFonts w:ascii="Cambria Math" w:hAnsi="Cambria Math"/>
          </w:rPr>
          <m:t>SC</m:t>
        </m:r>
      </m:oMath>
      <w:r w:rsidR="00AD35D5">
        <w:rPr>
          <w:rFonts w:asciiTheme="majorBidi" w:hAnsiTheme="majorBidi" w:cstheme="majorBidi"/>
        </w:rPr>
        <w:t xml:space="preserve"> and stabilizer distribution </w:t>
      </w:r>
      <w:r w:rsidR="009B6CD8" w:rsidRPr="001A1993">
        <w:rPr>
          <w:rFonts w:asciiTheme="majorBidi" w:hAnsiTheme="majorBidi" w:cstheme="majorBidi"/>
        </w:rPr>
        <w:t>will be identified after each step, if applicable.</w:t>
      </w:r>
    </w:p>
    <w:p w14:paraId="49F4B2F2" w14:textId="0D70517F" w:rsidR="00056ABE" w:rsidRDefault="00056ABE" w:rsidP="00A54C3D">
      <w:pPr>
        <w:ind w:firstLine="720"/>
        <w:jc w:val="both"/>
        <w:rPr>
          <w:rFonts w:asciiTheme="majorBidi" w:hAnsiTheme="majorBidi" w:cstheme="majorBidi"/>
        </w:rPr>
      </w:pPr>
    </w:p>
    <w:p w14:paraId="68D63A6A" w14:textId="646E5508" w:rsidR="001B40D5" w:rsidRDefault="00E961C2" w:rsidP="00E961C2">
      <w:pPr>
        <w:pStyle w:val="ListParagraph"/>
        <w:jc w:val="both"/>
        <w:rPr>
          <w:bCs/>
        </w:rPr>
      </w:pPr>
      <w:r>
        <w:rPr>
          <w:b/>
        </w:rPr>
        <w:t xml:space="preserve">2.2.1 </w:t>
      </w:r>
      <w:r w:rsidR="00352EA5" w:rsidRPr="00412181">
        <w:rPr>
          <w:b/>
        </w:rPr>
        <w:t>Su</w:t>
      </w:r>
      <w:r w:rsidR="00A27165" w:rsidRPr="00412181">
        <w:rPr>
          <w:b/>
        </w:rPr>
        <w:t>bgrade P</w:t>
      </w:r>
      <w:r w:rsidR="00352EA5" w:rsidRPr="00412181">
        <w:rPr>
          <w:b/>
        </w:rPr>
        <w:t>reparation</w:t>
      </w:r>
      <w:r w:rsidR="001B40D5">
        <w:rPr>
          <w:bCs/>
        </w:rPr>
        <w:t xml:space="preserve"> </w:t>
      </w:r>
    </w:p>
    <w:p w14:paraId="2F0AC918" w14:textId="7D8BDDDB" w:rsidR="00260E4E" w:rsidRPr="00412181" w:rsidRDefault="00224FAF" w:rsidP="001B40D5">
      <w:pPr>
        <w:pStyle w:val="ListParagraph"/>
        <w:ind w:firstLine="720"/>
        <w:jc w:val="both"/>
        <w:rPr>
          <w:bCs/>
        </w:rPr>
      </w:pPr>
      <w:r w:rsidRPr="00412181">
        <w:rPr>
          <w:bCs/>
        </w:rPr>
        <w:t xml:space="preserve">This stabilization step discusses shaping </w:t>
      </w:r>
      <w:r w:rsidR="00352EA5" w:rsidRPr="00412181">
        <w:rPr>
          <w:bCs/>
        </w:rPr>
        <w:t xml:space="preserve">the subgrade to the design crown and </w:t>
      </w:r>
      <w:r w:rsidRPr="00412181">
        <w:rPr>
          <w:bCs/>
        </w:rPr>
        <w:t xml:space="preserve">grading </w:t>
      </w:r>
      <w:r w:rsidR="00260E4E" w:rsidRPr="00412181">
        <w:rPr>
          <w:bCs/>
        </w:rPr>
        <w:t>and</w:t>
      </w:r>
      <w:r w:rsidR="00352EA5" w:rsidRPr="00412181">
        <w:rPr>
          <w:bCs/>
        </w:rPr>
        <w:t xml:space="preserve"> compact</w:t>
      </w:r>
      <w:r w:rsidRPr="00412181">
        <w:rPr>
          <w:bCs/>
        </w:rPr>
        <w:t>ing</w:t>
      </w:r>
      <w:r w:rsidR="00260E4E" w:rsidRPr="00412181">
        <w:rPr>
          <w:bCs/>
        </w:rPr>
        <w:t xml:space="preserve"> it</w:t>
      </w:r>
      <w:r w:rsidR="00352EA5" w:rsidRPr="00412181">
        <w:rPr>
          <w:bCs/>
        </w:rPr>
        <w:t xml:space="preserve"> to </w:t>
      </w:r>
      <w:r w:rsidR="00260E4E" w:rsidRPr="00412181">
        <w:rPr>
          <w:bCs/>
        </w:rPr>
        <w:t xml:space="preserve">the </w:t>
      </w:r>
      <w:r w:rsidR="00352EA5" w:rsidRPr="00412181">
        <w:rPr>
          <w:bCs/>
        </w:rPr>
        <w:t>des</w:t>
      </w:r>
      <w:r w:rsidR="00260E4E" w:rsidRPr="00412181">
        <w:rPr>
          <w:bCs/>
        </w:rPr>
        <w:t>ign</w:t>
      </w:r>
      <w:r w:rsidR="00352EA5" w:rsidRPr="00412181">
        <w:rPr>
          <w:bCs/>
        </w:rPr>
        <w:t xml:space="preserve"> density</w:t>
      </w:r>
      <w:r w:rsidRPr="00412181">
        <w:rPr>
          <w:bCs/>
        </w:rPr>
        <w:t>, after which the area is p</w:t>
      </w:r>
      <w:r w:rsidR="00260E4E" w:rsidRPr="00412181">
        <w:rPr>
          <w:bCs/>
        </w:rPr>
        <w:t>roof roll</w:t>
      </w:r>
      <w:r w:rsidRPr="00412181">
        <w:rPr>
          <w:bCs/>
        </w:rPr>
        <w:t>ed</w:t>
      </w:r>
      <w:r w:rsidR="00260E4E" w:rsidRPr="00412181">
        <w:rPr>
          <w:bCs/>
        </w:rPr>
        <w:t xml:space="preserve"> and </w:t>
      </w:r>
      <w:r w:rsidRPr="00412181">
        <w:rPr>
          <w:bCs/>
        </w:rPr>
        <w:t xml:space="preserve">any soft spots are </w:t>
      </w:r>
      <w:r w:rsidR="00260E4E" w:rsidRPr="00412181">
        <w:rPr>
          <w:bCs/>
        </w:rPr>
        <w:t>correct</w:t>
      </w:r>
      <w:r w:rsidRPr="00412181">
        <w:rPr>
          <w:bCs/>
        </w:rPr>
        <w:t>ed</w:t>
      </w:r>
      <w:r w:rsidR="00260E4E" w:rsidRPr="00412181">
        <w:rPr>
          <w:bCs/>
        </w:rPr>
        <w:t>.</w:t>
      </w:r>
      <w:r w:rsidR="00352EA5" w:rsidRPr="00412181">
        <w:rPr>
          <w:bCs/>
        </w:rPr>
        <w:t xml:space="preserve"> </w:t>
      </w:r>
      <w:r w:rsidR="00260E4E" w:rsidRPr="00412181">
        <w:rPr>
          <w:bCs/>
        </w:rPr>
        <w:t>Subgrade preparation</w:t>
      </w:r>
      <w:r w:rsidR="00352EA5" w:rsidRPr="00412181">
        <w:rPr>
          <w:bCs/>
        </w:rPr>
        <w:t xml:space="preserve"> </w:t>
      </w:r>
      <w:r w:rsidR="00317B65" w:rsidRPr="00412181">
        <w:rPr>
          <w:bCs/>
        </w:rPr>
        <w:t xml:space="preserve">procedures are </w:t>
      </w:r>
      <w:r w:rsidR="00260E4E" w:rsidRPr="00412181">
        <w:rPr>
          <w:bCs/>
        </w:rPr>
        <w:t xml:space="preserve">the same </w:t>
      </w:r>
      <w:r w:rsidR="00352EA5" w:rsidRPr="00412181">
        <w:rPr>
          <w:bCs/>
        </w:rPr>
        <w:t>in all of the southern plains roadway design specifications.</w:t>
      </w:r>
    </w:p>
    <w:p w14:paraId="4B81BFCF" w14:textId="77777777" w:rsidR="00056ABE" w:rsidRDefault="00056ABE" w:rsidP="008247CD">
      <w:pPr>
        <w:pStyle w:val="ListParagraph"/>
        <w:ind w:left="360"/>
        <w:jc w:val="both"/>
        <w:rPr>
          <w:bCs/>
        </w:rPr>
      </w:pPr>
    </w:p>
    <w:p w14:paraId="79750393" w14:textId="60E3BE4B" w:rsidR="001B40D5" w:rsidRPr="00E961C2" w:rsidRDefault="00E961C2" w:rsidP="00E961C2">
      <w:pPr>
        <w:ind w:left="720"/>
        <w:jc w:val="both"/>
        <w:rPr>
          <w:bCs/>
        </w:rPr>
      </w:pPr>
      <w:r>
        <w:rPr>
          <w:b/>
        </w:rPr>
        <w:t xml:space="preserve">2.2.2 </w:t>
      </w:r>
      <w:r w:rsidR="00A27165" w:rsidRPr="00E961C2">
        <w:rPr>
          <w:b/>
        </w:rPr>
        <w:t xml:space="preserve">Subgrade </w:t>
      </w:r>
      <w:r w:rsidR="00DF006C" w:rsidRPr="00E961C2">
        <w:rPr>
          <w:b/>
        </w:rPr>
        <w:t>Pulverization</w:t>
      </w:r>
      <w:r w:rsidR="00DE5A85" w:rsidRPr="00E961C2">
        <w:rPr>
          <w:b/>
        </w:rPr>
        <w:t xml:space="preserve"> </w:t>
      </w:r>
      <w:r w:rsidR="001F0C8F" w:rsidRPr="00E961C2">
        <w:rPr>
          <w:b/>
        </w:rPr>
        <w:t>and Scarification</w:t>
      </w:r>
    </w:p>
    <w:p w14:paraId="3B678D87" w14:textId="6F75A989" w:rsidR="00A27165" w:rsidRPr="00412181" w:rsidRDefault="007F6F87" w:rsidP="002C672D">
      <w:pPr>
        <w:pStyle w:val="ListParagraph"/>
        <w:ind w:firstLine="720"/>
        <w:jc w:val="both"/>
        <w:rPr>
          <w:bCs/>
        </w:rPr>
      </w:pPr>
      <w:r w:rsidRPr="00412181">
        <w:rPr>
          <w:bCs/>
        </w:rPr>
        <w:t xml:space="preserve">This section provides instructions on how to </w:t>
      </w:r>
      <w:r w:rsidR="00E94B37" w:rsidRPr="00412181">
        <w:rPr>
          <w:bCs/>
        </w:rPr>
        <w:t xml:space="preserve">achieve a proper soil gradation </w:t>
      </w:r>
      <w:r w:rsidR="0019203C" w:rsidRPr="00412181">
        <w:rPr>
          <w:bCs/>
        </w:rPr>
        <w:t>and homogenize</w:t>
      </w:r>
      <w:r w:rsidR="001F0C8F" w:rsidRPr="00412181">
        <w:rPr>
          <w:bCs/>
        </w:rPr>
        <w:t xml:space="preserve"> the subgrade material in terms of density and moisture content throughout its design depth</w:t>
      </w:r>
      <w:r w:rsidR="009A47CC" w:rsidRPr="00412181">
        <w:rPr>
          <w:bCs/>
        </w:rPr>
        <w:t>, which is typically 8 inches</w:t>
      </w:r>
      <w:r w:rsidR="001F0C8F" w:rsidRPr="00412181">
        <w:rPr>
          <w:bCs/>
        </w:rPr>
        <w:t xml:space="preserve">. </w:t>
      </w:r>
      <w:r w:rsidR="0019203C" w:rsidRPr="00412181">
        <w:rPr>
          <w:bCs/>
        </w:rPr>
        <w:t xml:space="preserve">Additionally, </w:t>
      </w:r>
      <w:r w:rsidRPr="00412181">
        <w:rPr>
          <w:bCs/>
        </w:rPr>
        <w:t xml:space="preserve">it discusses how to </w:t>
      </w:r>
      <w:r w:rsidR="0019203C" w:rsidRPr="00412181">
        <w:rPr>
          <w:bCs/>
        </w:rPr>
        <w:t>loosen</w:t>
      </w:r>
      <w:r w:rsidR="00E94B37" w:rsidRPr="00412181">
        <w:rPr>
          <w:bCs/>
        </w:rPr>
        <w:t xml:space="preserve"> the subgrade soil throughout its design depth</w:t>
      </w:r>
      <w:r w:rsidR="0019203C" w:rsidRPr="00412181">
        <w:rPr>
          <w:bCs/>
        </w:rPr>
        <w:t xml:space="preserve"> as well as remove</w:t>
      </w:r>
      <w:r w:rsidR="00E94B37" w:rsidRPr="00412181">
        <w:rPr>
          <w:bCs/>
        </w:rPr>
        <w:t xml:space="preserve"> any materials larger than the material diameter</w:t>
      </w:r>
      <w:r w:rsidR="0019203C" w:rsidRPr="00412181">
        <w:rPr>
          <w:bCs/>
        </w:rPr>
        <w:t xml:space="preserve"> </w:t>
      </w:r>
      <w:r w:rsidR="00E94B37" w:rsidRPr="00412181">
        <w:rPr>
          <w:bCs/>
        </w:rPr>
        <w:t xml:space="preserve">limitations. </w:t>
      </w:r>
      <w:r w:rsidRPr="00412181">
        <w:rPr>
          <w:bCs/>
        </w:rPr>
        <w:t xml:space="preserve">This section </w:t>
      </w:r>
      <w:r w:rsidR="002C672D">
        <w:rPr>
          <w:bCs/>
        </w:rPr>
        <w:t>stresses</w:t>
      </w:r>
      <w:r w:rsidRPr="00412181">
        <w:rPr>
          <w:bCs/>
        </w:rPr>
        <w:t xml:space="preserve"> that i</w:t>
      </w:r>
      <w:r w:rsidR="004149AC" w:rsidRPr="00412181">
        <w:rPr>
          <w:bCs/>
        </w:rPr>
        <w:t xml:space="preserve">t is </w:t>
      </w:r>
      <w:r w:rsidR="009D5F47" w:rsidRPr="00412181">
        <w:rPr>
          <w:bCs/>
        </w:rPr>
        <w:t xml:space="preserve">critical that the soil beneath the treated subgrade depth is left undisturbed so that its strength is not </w:t>
      </w:r>
      <w:r w:rsidR="00233A29">
        <w:rPr>
          <w:bCs/>
        </w:rPr>
        <w:t>decreased</w:t>
      </w:r>
      <w:r w:rsidR="004149AC" w:rsidRPr="00412181">
        <w:rPr>
          <w:bCs/>
        </w:rPr>
        <w:t xml:space="preserve">. </w:t>
      </w:r>
      <w:r w:rsidRPr="00412181">
        <w:rPr>
          <w:bCs/>
        </w:rPr>
        <w:t>The process of s</w:t>
      </w:r>
      <w:r w:rsidR="00E94B37" w:rsidRPr="00412181">
        <w:rPr>
          <w:bCs/>
        </w:rPr>
        <w:t xml:space="preserve">carification is the same throughout the region, while pulverization varies slightly from state to state for both cement and lime stabilization treatments. </w:t>
      </w:r>
      <w:r w:rsidR="00317B65" w:rsidRPr="00412181">
        <w:rPr>
          <w:bCs/>
        </w:rPr>
        <w:t xml:space="preserve">Scarification is illustrated in </w:t>
      </w:r>
      <w:r w:rsidR="004D0296" w:rsidRPr="00412181">
        <w:rPr>
          <w:bCs/>
        </w:rPr>
        <w:fldChar w:fldCharType="begin"/>
      </w:r>
      <w:r w:rsidR="004D0296" w:rsidRPr="00412181">
        <w:rPr>
          <w:bCs/>
        </w:rPr>
        <w:instrText xml:space="preserve"> REF _Ref437862696 \h </w:instrText>
      </w:r>
      <w:r w:rsidR="004D0296" w:rsidRPr="00412181">
        <w:rPr>
          <w:bCs/>
        </w:rPr>
      </w:r>
      <w:r w:rsidR="004D0296" w:rsidRPr="00412181">
        <w:rPr>
          <w:bCs/>
        </w:rPr>
        <w:fldChar w:fldCharType="separate"/>
      </w:r>
      <w:r w:rsidR="00E90148">
        <w:t xml:space="preserve">Figure </w:t>
      </w:r>
      <w:r w:rsidR="00E90148">
        <w:rPr>
          <w:noProof/>
        </w:rPr>
        <w:t>1</w:t>
      </w:r>
      <w:r w:rsidR="004D0296" w:rsidRPr="00412181">
        <w:rPr>
          <w:bCs/>
        </w:rPr>
        <w:fldChar w:fldCharType="end"/>
      </w:r>
      <w:r w:rsidR="00317B65" w:rsidRPr="00412181">
        <w:rPr>
          <w:bCs/>
        </w:rPr>
        <w:t>.</w:t>
      </w:r>
    </w:p>
    <w:p w14:paraId="44613C05" w14:textId="77777777" w:rsidR="00250AF0" w:rsidRDefault="00250AF0" w:rsidP="00250AF0">
      <w:pPr>
        <w:jc w:val="both"/>
        <w:rPr>
          <w:bCs/>
        </w:rPr>
      </w:pPr>
    </w:p>
    <w:p w14:paraId="6DF8206B" w14:textId="5F06D4BD" w:rsidR="00250AF0" w:rsidRDefault="0087576C" w:rsidP="00250AF0">
      <w:pPr>
        <w:rPr>
          <w:bCs/>
        </w:rPr>
      </w:pPr>
      <w:r>
        <w:rPr>
          <w:noProof/>
        </w:rPr>
        <w:lastRenderedPageBreak/>
        <mc:AlternateContent>
          <mc:Choice Requires="wps">
            <w:drawing>
              <wp:anchor distT="45720" distB="45720" distL="114300" distR="114300" simplePos="0" relativeHeight="251661312" behindDoc="0" locked="0" layoutInCell="1" allowOverlap="1" wp14:anchorId="2C0B7C1F" wp14:editId="3494229B">
                <wp:simplePos x="0" y="0"/>
                <wp:positionH relativeFrom="margin">
                  <wp:align>right</wp:align>
                </wp:positionH>
                <wp:positionV relativeFrom="paragraph">
                  <wp:posOffset>2110740</wp:posOffset>
                </wp:positionV>
                <wp:extent cx="2360930" cy="2762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noFill/>
                        <a:ln w="9525">
                          <a:noFill/>
                          <a:miter lim="800000"/>
                          <a:headEnd/>
                          <a:tailEnd/>
                        </a:ln>
                      </wps:spPr>
                      <wps:txbx>
                        <w:txbxContent>
                          <w:p w14:paraId="2598D459" w14:textId="5A7119B3" w:rsidR="00D0002C" w:rsidRPr="0087576C" w:rsidRDefault="00D0002C" w:rsidP="0087576C">
                            <w:pPr>
                              <w:rPr>
                                <w:color w:val="FFFFFF" w:themeColor="background1"/>
                              </w:rPr>
                            </w:pPr>
                            <w:r w:rsidRPr="0087576C">
                              <w:rPr>
                                <w:color w:val="FFFFFF" w:themeColor="background1"/>
                              </w:rPr>
                              <w:t>MiningReview.com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C0B7C1F" id="_x0000_t202" coordsize="21600,21600" o:spt="202" path="m,l,21600r21600,l21600,xe">
                <v:stroke joinstyle="miter"/>
                <v:path gradientshapeok="t" o:connecttype="rect"/>
              </v:shapetype>
              <v:shape id="Text Box 2" o:spid="_x0000_s1026" type="#_x0000_t202" style="position:absolute;left:0;text-align:left;margin-left:134.7pt;margin-top:166.2pt;width:185.9pt;height:21.75pt;z-index:25166131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" filled="f" stroked="f">
                <v:textbox>
                  <w:txbxContent>
                    <w:p w14:paraId="2598D459" w14:textId="5A7119B3" w:rsidR="00D0002C" w:rsidRPr="0087576C" w:rsidRDefault="00D0002C" w:rsidP="0087576C">
                      <w:pPr>
                        <w:rPr>
                          <w:color w:val="FFFFFF" w:themeColor="background1"/>
                        </w:rPr>
                      </w:pPr>
                      <w:r w:rsidRPr="0087576C">
                        <w:rPr>
                          <w:color w:val="FFFFFF" w:themeColor="background1"/>
                        </w:rPr>
                        <w:t>MiningReview.com</w:t>
                      </w:r>
                    </w:p>
                  </w:txbxContent>
                </v:textbox>
                <w10:wrap anchorx="margin"/>
              </v:shape>
            </w:pict>
          </mc:Fallback>
        </mc:AlternateContent>
      </w:r>
      <w:r w:rsidR="00250AF0">
        <w:rPr>
          <w:noProof/>
        </w:rPr>
        <w:drawing>
          <wp:inline distT="0" distB="0" distL="0" distR="0" wp14:anchorId="47F701F0" wp14:editId="6A9E0EBE">
            <wp:extent cx="5394960" cy="2404530"/>
            <wp:effectExtent l="0" t="0" r="0" b="0"/>
            <wp:docPr id="17" name="Picture 17" descr="http://www.miningreview.com/wp-content/uploads/2015/07/Scarifying-of-the-road-su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ningreview.com/wp-content/uploads/2015/07/Scarifying-of-the-road-surface.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22018" r="11529" b="25386"/>
                    <a:stretch/>
                  </pic:blipFill>
                  <pic:spPr bwMode="auto">
                    <a:xfrm>
                      <a:off x="0" y="0"/>
                      <a:ext cx="5394960" cy="2404530"/>
                    </a:xfrm>
                    <a:prstGeom prst="roundRect">
                      <a:avLst/>
                    </a:prstGeom>
                    <a:noFill/>
                    <a:ln>
                      <a:noFill/>
                    </a:ln>
                    <a:extLst>
                      <a:ext uri="{53640926-AAD7-44D8-BBD7-CCE9431645EC}">
                        <a14:shadowObscured xmlns:a14="http://schemas.microsoft.com/office/drawing/2010/main"/>
                      </a:ext>
                    </a:extLst>
                  </pic:spPr>
                </pic:pic>
              </a:graphicData>
            </a:graphic>
          </wp:inline>
        </w:drawing>
      </w:r>
    </w:p>
    <w:p w14:paraId="5E7B57CE" w14:textId="47E68957" w:rsidR="00250AF0" w:rsidRDefault="004D0296" w:rsidP="004D0296">
      <w:pPr>
        <w:pStyle w:val="Caption"/>
      </w:pPr>
      <w:bookmarkStart w:id="0" w:name="_Ref437862696"/>
      <w:bookmarkStart w:id="1" w:name="_Toc437863878"/>
      <w:bookmarkStart w:id="2" w:name="_Toc447755339"/>
      <w:r>
        <w:t xml:space="preserve">Figure </w:t>
      </w:r>
      <w:r w:rsidR="00184FC2">
        <w:fldChar w:fldCharType="begin"/>
      </w:r>
      <w:r w:rsidR="00184FC2">
        <w:instrText xml:space="preserve"> SEQ Figure \* ARABIC </w:instrText>
      </w:r>
      <w:r w:rsidR="00184FC2">
        <w:fldChar w:fldCharType="separate"/>
      </w:r>
      <w:r w:rsidR="00E90148">
        <w:rPr>
          <w:noProof/>
        </w:rPr>
        <w:t>1</w:t>
      </w:r>
      <w:r w:rsidR="00184FC2">
        <w:rPr>
          <w:noProof/>
        </w:rPr>
        <w:fldChar w:fldCharType="end"/>
      </w:r>
      <w:bookmarkEnd w:id="0"/>
      <w:r>
        <w:t xml:space="preserve">: </w:t>
      </w:r>
      <w:r w:rsidR="00EC3BBA">
        <w:t>Example of Scarifying the</w:t>
      </w:r>
      <w:r w:rsidRPr="00BA6281">
        <w:t xml:space="preserve"> Subgrade</w:t>
      </w:r>
      <w:bookmarkEnd w:id="1"/>
      <w:bookmarkEnd w:id="2"/>
    </w:p>
    <w:p w14:paraId="43CDAA8E" w14:textId="77777777" w:rsidR="003F2B1D" w:rsidRDefault="003F2B1D" w:rsidP="001A1993"/>
    <w:p w14:paraId="6EA81250" w14:textId="77777777" w:rsidR="003F2B1D" w:rsidRPr="00E82956" w:rsidRDefault="003F2B1D" w:rsidP="00412181">
      <w:pPr>
        <w:ind w:left="720" w:firstLine="720"/>
        <w:jc w:val="both"/>
        <w:rPr>
          <w:bCs/>
        </w:rPr>
      </w:pPr>
      <w:r w:rsidRPr="00E82956">
        <w:rPr>
          <w:bCs/>
        </w:rPr>
        <w:t>Pulverization and scarification of the subgrade are important steps in the stabilization process, particularly for lime stabilization. When properly completed, both allow for more thorough mixing of the subgrade material and stabilizing agent as well as permit better compaction of the soil skeleton (Army and Air Force 1994). Despite this, spatial heterogeneity still tends to be an issue due to the presence of agglomerated elemental concentrations throughout the site (Army and Air Force 1994). These bulk aggregates are problematic because they allow the stabilizing agent to only react with the shell of the aggregate, leaving the core untreated.</w:t>
      </w:r>
    </w:p>
    <w:p w14:paraId="38CC3417" w14:textId="77777777" w:rsidR="004D0296" w:rsidRPr="004D0296" w:rsidRDefault="004D0296" w:rsidP="004D0296"/>
    <w:p w14:paraId="4BD00712" w14:textId="1BA3F8CE" w:rsidR="001B40D5" w:rsidRDefault="00412181" w:rsidP="001B40D5">
      <w:pPr>
        <w:ind w:left="1440"/>
        <w:jc w:val="both"/>
        <w:rPr>
          <w:bCs/>
        </w:rPr>
      </w:pPr>
      <w:r>
        <w:rPr>
          <w:b/>
        </w:rPr>
        <w:t>2.2.2.1</w:t>
      </w:r>
      <w:r w:rsidR="00E02115">
        <w:rPr>
          <w:b/>
        </w:rPr>
        <w:t xml:space="preserve"> Pulverization </w:t>
      </w:r>
      <w:r>
        <w:rPr>
          <w:b/>
        </w:rPr>
        <w:t>R</w:t>
      </w:r>
      <w:r w:rsidR="00075BB1">
        <w:rPr>
          <w:b/>
        </w:rPr>
        <w:t xml:space="preserve">equirements </w:t>
      </w:r>
      <w:r w:rsidR="001B40D5">
        <w:rPr>
          <w:b/>
        </w:rPr>
        <w:t>for</w:t>
      </w:r>
      <w:r w:rsidR="00E02115">
        <w:rPr>
          <w:b/>
        </w:rPr>
        <w:t xml:space="preserve"> </w:t>
      </w:r>
      <w:r w:rsidR="00583B0B" w:rsidRPr="00412181">
        <w:rPr>
          <w:b/>
        </w:rPr>
        <w:t>Cement T</w:t>
      </w:r>
      <w:r w:rsidR="001B40D5">
        <w:rPr>
          <w:b/>
        </w:rPr>
        <w:t>reated</w:t>
      </w:r>
      <w:r w:rsidR="00A27165" w:rsidRPr="00412181">
        <w:rPr>
          <w:b/>
        </w:rPr>
        <w:t xml:space="preserve"> </w:t>
      </w:r>
      <w:r w:rsidR="001B40D5">
        <w:rPr>
          <w:b/>
        </w:rPr>
        <w:t>Subgrades</w:t>
      </w:r>
    </w:p>
    <w:p w14:paraId="5B83AC81" w14:textId="06E3C8D6" w:rsidR="00E02115" w:rsidRDefault="00233A29" w:rsidP="003130B2">
      <w:pPr>
        <w:ind w:left="1440" w:firstLine="720"/>
        <w:jc w:val="both"/>
        <w:rPr>
          <w:bCs/>
        </w:rPr>
      </w:pPr>
      <w:r>
        <w:rPr>
          <w:bCs/>
        </w:rPr>
        <w:t>D</w:t>
      </w:r>
      <w:r w:rsidR="00E02115">
        <w:rPr>
          <w:bCs/>
        </w:rPr>
        <w:t>ifference</w:t>
      </w:r>
      <w:r>
        <w:rPr>
          <w:bCs/>
        </w:rPr>
        <w:t xml:space="preserve">s observed in pulverization requirements for cement treated subgrades are presented in </w:t>
      </w:r>
      <w:r w:rsidR="00020422">
        <w:rPr>
          <w:bCs/>
        </w:rPr>
        <w:fldChar w:fldCharType="begin"/>
      </w:r>
      <w:r w:rsidR="00020422">
        <w:rPr>
          <w:bCs/>
        </w:rPr>
        <w:instrText xml:space="preserve"> REF _Ref447377224 \h </w:instrText>
      </w:r>
      <w:r w:rsidR="00020422">
        <w:rPr>
          <w:bCs/>
        </w:rPr>
      </w:r>
      <w:r w:rsidR="00020422">
        <w:rPr>
          <w:bCs/>
        </w:rPr>
        <w:fldChar w:fldCharType="separate"/>
      </w:r>
      <w:r w:rsidR="00E90148">
        <w:t xml:space="preserve">Table </w:t>
      </w:r>
      <w:r w:rsidR="00E90148">
        <w:rPr>
          <w:noProof/>
        </w:rPr>
        <w:t>1</w:t>
      </w:r>
      <w:r w:rsidR="00020422">
        <w:rPr>
          <w:bCs/>
        </w:rPr>
        <w:fldChar w:fldCharType="end"/>
      </w:r>
      <w:r>
        <w:rPr>
          <w:bCs/>
        </w:rPr>
        <w:t xml:space="preserve">. </w:t>
      </w:r>
      <w:r w:rsidR="003130B2">
        <w:rPr>
          <w:bCs/>
        </w:rPr>
        <w:t>Basically, t</w:t>
      </w:r>
      <w:r w:rsidR="00020422">
        <w:rPr>
          <w:bCs/>
        </w:rPr>
        <w:t xml:space="preserve">his </w:t>
      </w:r>
      <w:r w:rsidR="003130B2">
        <w:rPr>
          <w:bCs/>
        </w:rPr>
        <w:t>section of the design specifications discusses</w:t>
      </w:r>
      <w:r w:rsidR="00E02115">
        <w:rPr>
          <w:bCs/>
        </w:rPr>
        <w:t xml:space="preserve"> </w:t>
      </w:r>
      <w:r w:rsidR="00075BB1">
        <w:rPr>
          <w:bCs/>
        </w:rPr>
        <w:t xml:space="preserve">the allowable maximum particle size of </w:t>
      </w:r>
      <w:r w:rsidR="00075BB1">
        <w:rPr>
          <w:bCs/>
        </w:rPr>
        <w:lastRenderedPageBreak/>
        <w:t>milled</w:t>
      </w:r>
      <w:r w:rsidR="00E02115">
        <w:rPr>
          <w:bCs/>
        </w:rPr>
        <w:t xml:space="preserve"> </w:t>
      </w:r>
      <w:r w:rsidR="00075BB1">
        <w:rPr>
          <w:bCs/>
        </w:rPr>
        <w:t>roadbed material to be stabilized and how much of the roadbed material must be smaller than the maximum size</w:t>
      </w:r>
      <w:r w:rsidR="00E02115">
        <w:rPr>
          <w:bCs/>
        </w:rPr>
        <w:t xml:space="preserve">. </w:t>
      </w:r>
    </w:p>
    <w:p w14:paraId="79EC982A" w14:textId="77777777" w:rsidR="00075BB1" w:rsidRDefault="00075BB1" w:rsidP="00020422">
      <w:pPr>
        <w:jc w:val="both"/>
        <w:rPr>
          <w:bCs/>
        </w:rPr>
      </w:pPr>
    </w:p>
    <w:p w14:paraId="783D944C" w14:textId="59D30E15" w:rsidR="00075BB1" w:rsidRDefault="00020422" w:rsidP="00020422">
      <w:pPr>
        <w:pStyle w:val="Caption"/>
        <w:spacing w:line="480" w:lineRule="auto"/>
        <w:ind w:left="720" w:right="576"/>
        <w:rPr>
          <w:bCs/>
        </w:rPr>
      </w:pPr>
      <w:bookmarkStart w:id="3" w:name="_Ref447377224"/>
      <w:bookmarkStart w:id="4" w:name="_Toc447755321"/>
      <w:r>
        <w:t xml:space="preserve">Table </w:t>
      </w:r>
      <w:r w:rsidR="00184FC2">
        <w:fldChar w:fldCharType="begin"/>
      </w:r>
      <w:r w:rsidR="00184FC2">
        <w:instrText xml:space="preserve"> SEQ Table \* ARABIC </w:instrText>
      </w:r>
      <w:r w:rsidR="00184FC2">
        <w:fldChar w:fldCharType="separate"/>
      </w:r>
      <w:r w:rsidR="00E90148">
        <w:rPr>
          <w:noProof/>
        </w:rPr>
        <w:t>1</w:t>
      </w:r>
      <w:r w:rsidR="00184FC2">
        <w:rPr>
          <w:noProof/>
        </w:rPr>
        <w:fldChar w:fldCharType="end"/>
      </w:r>
      <w:bookmarkEnd w:id="3"/>
      <w:r>
        <w:t>: Differences in Stabilization Specifications for Pulverization of Subgrade Soils in Preparation for Cement Treatment</w:t>
      </w:r>
      <w:bookmarkEnd w:id="4"/>
    </w:p>
    <w:tbl>
      <w:tblPr>
        <w:tblW w:w="7434" w:type="dxa"/>
        <w:jc w:val="center"/>
        <w:tblLook w:val="04A0" w:firstRow="1" w:lastRow="0" w:firstColumn="1" w:lastColumn="0" w:noHBand="0" w:noVBand="1"/>
      </w:tblPr>
      <w:tblGrid>
        <w:gridCol w:w="2304"/>
        <w:gridCol w:w="1440"/>
        <w:gridCol w:w="1440"/>
        <w:gridCol w:w="2250"/>
      </w:tblGrid>
      <w:tr w:rsidR="000A316F" w:rsidRPr="003C559A" w14:paraId="15AAC7CD" w14:textId="77777777" w:rsidTr="00020422">
        <w:trPr>
          <w:trHeight w:val="600"/>
          <w:jc w:val="center"/>
        </w:trPr>
        <w:tc>
          <w:tcPr>
            <w:tcW w:w="2304" w:type="dxa"/>
            <w:tcBorders>
              <w:top w:val="single" w:sz="4" w:space="0" w:color="auto"/>
              <w:left w:val="single" w:sz="4" w:space="0" w:color="auto"/>
              <w:bottom w:val="single" w:sz="4" w:space="0" w:color="auto"/>
            </w:tcBorders>
            <w:shd w:val="clear" w:color="000000" w:fill="BFBFBF"/>
            <w:vAlign w:val="center"/>
            <w:hideMark/>
          </w:tcPr>
          <w:p w14:paraId="4D77B0CC" w14:textId="5D368753" w:rsidR="000A316F" w:rsidRPr="003C559A" w:rsidRDefault="000A316F" w:rsidP="000153B7">
            <w:pPr>
              <w:spacing w:line="240" w:lineRule="auto"/>
              <w:rPr>
                <w:rFonts w:eastAsia="Times New Roman" w:cs="Times New Roman"/>
                <w:i/>
                <w:iCs/>
                <w:color w:val="000000"/>
                <w:sz w:val="22"/>
                <w:szCs w:val="22"/>
              </w:rPr>
            </w:pPr>
            <w:r>
              <w:rPr>
                <w:rFonts w:eastAsia="Times New Roman" w:cs="Times New Roman"/>
                <w:i/>
                <w:iCs/>
                <w:color w:val="000000"/>
                <w:sz w:val="22"/>
                <w:szCs w:val="22"/>
              </w:rPr>
              <w:t>State</w:t>
            </w:r>
          </w:p>
        </w:tc>
        <w:tc>
          <w:tcPr>
            <w:tcW w:w="1440" w:type="dxa"/>
            <w:tcBorders>
              <w:top w:val="single" w:sz="4" w:space="0" w:color="auto"/>
              <w:bottom w:val="single" w:sz="4" w:space="0" w:color="auto"/>
            </w:tcBorders>
            <w:shd w:val="clear" w:color="000000" w:fill="BFBFBF"/>
            <w:vAlign w:val="center"/>
            <w:hideMark/>
          </w:tcPr>
          <w:p w14:paraId="2D4D4003" w14:textId="77777777" w:rsidR="00020422" w:rsidRDefault="000A316F"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 xml:space="preserve">% Passing </w:t>
            </w:r>
          </w:p>
          <w:p w14:paraId="49211FDE" w14:textId="079D7A5A" w:rsidR="000A316F" w:rsidRPr="003C559A" w:rsidRDefault="000A316F"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#4 Sieve</w:t>
            </w:r>
          </w:p>
        </w:tc>
        <w:tc>
          <w:tcPr>
            <w:tcW w:w="1440" w:type="dxa"/>
            <w:tcBorders>
              <w:top w:val="single" w:sz="4" w:space="0" w:color="auto"/>
              <w:bottom w:val="single" w:sz="4" w:space="0" w:color="auto"/>
            </w:tcBorders>
            <w:shd w:val="clear" w:color="000000" w:fill="BFBFBF"/>
            <w:vAlign w:val="center"/>
          </w:tcPr>
          <w:p w14:paraId="16D0604B" w14:textId="428A9F47" w:rsidR="000A316F" w:rsidRPr="003C559A" w:rsidRDefault="000A316F"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 Passing 2.5” Sieve</w:t>
            </w:r>
          </w:p>
        </w:tc>
        <w:tc>
          <w:tcPr>
            <w:tcW w:w="2250" w:type="dxa"/>
            <w:tcBorders>
              <w:top w:val="single" w:sz="4" w:space="0" w:color="auto"/>
              <w:bottom w:val="single" w:sz="4" w:space="0" w:color="auto"/>
              <w:right w:val="single" w:sz="4" w:space="0" w:color="auto"/>
            </w:tcBorders>
            <w:shd w:val="clear" w:color="000000" w:fill="BFBFBF"/>
            <w:vAlign w:val="center"/>
          </w:tcPr>
          <w:p w14:paraId="6046C2C4" w14:textId="26025DB3" w:rsidR="000A316F" w:rsidRPr="003C559A" w:rsidRDefault="000A316F"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Additional Requirements</w:t>
            </w:r>
          </w:p>
        </w:tc>
      </w:tr>
      <w:tr w:rsidR="000A316F" w:rsidRPr="003C559A" w14:paraId="51F3AE36" w14:textId="77777777" w:rsidTr="00020422">
        <w:trPr>
          <w:trHeight w:val="576"/>
          <w:jc w:val="center"/>
        </w:trPr>
        <w:tc>
          <w:tcPr>
            <w:tcW w:w="2304" w:type="dxa"/>
            <w:tcBorders>
              <w:top w:val="single" w:sz="4" w:space="0" w:color="auto"/>
              <w:left w:val="single" w:sz="4" w:space="0" w:color="auto"/>
              <w:bottom w:val="nil"/>
            </w:tcBorders>
            <w:shd w:val="clear" w:color="000000" w:fill="FFFFFF"/>
            <w:noWrap/>
            <w:vAlign w:val="center"/>
            <w:hideMark/>
          </w:tcPr>
          <w:p w14:paraId="53BFBAD8" w14:textId="6336F1F4" w:rsidR="000A316F" w:rsidRPr="003C559A" w:rsidRDefault="000A316F"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Arkansas</w:t>
            </w:r>
          </w:p>
        </w:tc>
        <w:tc>
          <w:tcPr>
            <w:tcW w:w="1440" w:type="dxa"/>
            <w:tcBorders>
              <w:top w:val="single" w:sz="4" w:space="0" w:color="auto"/>
              <w:left w:val="dashed" w:sz="4" w:space="0" w:color="auto"/>
              <w:bottom w:val="nil"/>
            </w:tcBorders>
            <w:shd w:val="clear" w:color="000000" w:fill="FFFFFF"/>
            <w:noWrap/>
            <w:vAlign w:val="center"/>
          </w:tcPr>
          <w:p w14:paraId="46071AFB" w14:textId="3A8589F4" w:rsidR="000A316F" w:rsidRPr="003C559A" w:rsidRDefault="000A316F"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80</w:t>
            </w:r>
          </w:p>
        </w:tc>
        <w:tc>
          <w:tcPr>
            <w:tcW w:w="1440" w:type="dxa"/>
            <w:tcBorders>
              <w:top w:val="single" w:sz="4" w:space="0" w:color="auto"/>
              <w:bottom w:val="nil"/>
              <w:right w:val="dashed" w:sz="4" w:space="0" w:color="auto"/>
            </w:tcBorders>
            <w:shd w:val="clear" w:color="000000" w:fill="FFFFFF"/>
            <w:vAlign w:val="center"/>
          </w:tcPr>
          <w:p w14:paraId="19A2F0F8" w14:textId="7DCDB916" w:rsidR="000A316F" w:rsidRPr="000A316F" w:rsidRDefault="000A316F" w:rsidP="00457152">
            <w:pPr>
              <w:spacing w:line="240" w:lineRule="auto"/>
              <w:rPr>
                <w:rFonts w:eastAsia="Times New Roman" w:cs="Times New Roman"/>
                <w:i/>
                <w:iCs/>
                <w:color w:val="000000"/>
                <w:sz w:val="20"/>
                <w:szCs w:val="20"/>
              </w:rPr>
            </w:pPr>
          </w:p>
        </w:tc>
        <w:tc>
          <w:tcPr>
            <w:tcW w:w="2250" w:type="dxa"/>
            <w:tcBorders>
              <w:top w:val="single" w:sz="4" w:space="0" w:color="auto"/>
              <w:left w:val="dashed" w:sz="4" w:space="0" w:color="auto"/>
              <w:bottom w:val="nil"/>
              <w:right w:val="single" w:sz="4" w:space="0" w:color="auto"/>
            </w:tcBorders>
            <w:shd w:val="clear" w:color="000000" w:fill="FFFFFF"/>
            <w:vAlign w:val="center"/>
          </w:tcPr>
          <w:p w14:paraId="5F68C8FE" w14:textId="2AB94BF7" w:rsidR="000A316F" w:rsidRPr="000A316F" w:rsidRDefault="000A316F" w:rsidP="00020422">
            <w:pPr>
              <w:spacing w:line="240" w:lineRule="auto"/>
              <w:jc w:val="left"/>
              <w:rPr>
                <w:rFonts w:eastAsia="Times New Roman" w:cs="Times New Roman"/>
                <w:i/>
                <w:iCs/>
                <w:color w:val="000000"/>
                <w:sz w:val="20"/>
                <w:szCs w:val="20"/>
              </w:rPr>
            </w:pPr>
            <w:r>
              <w:rPr>
                <w:rFonts w:eastAsia="Times New Roman" w:cs="Times New Roman"/>
                <w:i/>
                <w:iCs/>
                <w:color w:val="000000"/>
                <w:sz w:val="20"/>
                <w:szCs w:val="20"/>
              </w:rPr>
              <w:t>Discard material retained on 3” sieve</w:t>
            </w:r>
          </w:p>
        </w:tc>
      </w:tr>
      <w:tr w:rsidR="000A316F" w:rsidRPr="003C559A" w14:paraId="64786AF2" w14:textId="77777777" w:rsidTr="00020422">
        <w:trPr>
          <w:trHeight w:val="576"/>
          <w:jc w:val="center"/>
        </w:trPr>
        <w:tc>
          <w:tcPr>
            <w:tcW w:w="2304" w:type="dxa"/>
            <w:tcBorders>
              <w:top w:val="nil"/>
              <w:left w:val="single" w:sz="4" w:space="0" w:color="auto"/>
              <w:bottom w:val="nil"/>
            </w:tcBorders>
            <w:shd w:val="clear" w:color="000000" w:fill="F2F2F2"/>
            <w:noWrap/>
            <w:vAlign w:val="center"/>
            <w:hideMark/>
          </w:tcPr>
          <w:p w14:paraId="0C6F23B7" w14:textId="047A377C" w:rsidR="000A316F" w:rsidRPr="003C559A" w:rsidRDefault="000A316F"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Louisiana</w:t>
            </w:r>
          </w:p>
        </w:tc>
        <w:tc>
          <w:tcPr>
            <w:tcW w:w="1440" w:type="dxa"/>
            <w:tcBorders>
              <w:top w:val="nil"/>
              <w:left w:val="dashed" w:sz="4" w:space="0" w:color="auto"/>
              <w:bottom w:val="nil"/>
            </w:tcBorders>
            <w:shd w:val="clear" w:color="000000" w:fill="F2F2F2"/>
            <w:noWrap/>
            <w:vAlign w:val="center"/>
          </w:tcPr>
          <w:p w14:paraId="58C63A34" w14:textId="1EB82977" w:rsidR="000A316F" w:rsidRPr="003C559A" w:rsidRDefault="000A316F"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60</w:t>
            </w:r>
          </w:p>
        </w:tc>
        <w:tc>
          <w:tcPr>
            <w:tcW w:w="1440" w:type="dxa"/>
            <w:tcBorders>
              <w:top w:val="nil"/>
              <w:bottom w:val="nil"/>
              <w:right w:val="dashed" w:sz="4" w:space="0" w:color="auto"/>
            </w:tcBorders>
            <w:shd w:val="clear" w:color="000000" w:fill="F2F2F2"/>
            <w:vAlign w:val="center"/>
          </w:tcPr>
          <w:p w14:paraId="47B3BEBF" w14:textId="08240ED0" w:rsidR="000A316F" w:rsidRPr="000A316F" w:rsidRDefault="000A316F" w:rsidP="000A316F">
            <w:pPr>
              <w:spacing w:line="240" w:lineRule="auto"/>
              <w:rPr>
                <w:rFonts w:eastAsia="Times New Roman" w:cs="Times New Roman"/>
                <w:i/>
                <w:iCs/>
                <w:color w:val="000000"/>
                <w:sz w:val="20"/>
                <w:szCs w:val="20"/>
              </w:rPr>
            </w:pPr>
          </w:p>
        </w:tc>
        <w:tc>
          <w:tcPr>
            <w:tcW w:w="2250" w:type="dxa"/>
            <w:tcBorders>
              <w:top w:val="nil"/>
              <w:left w:val="dashed" w:sz="4" w:space="0" w:color="auto"/>
              <w:bottom w:val="nil"/>
              <w:right w:val="single" w:sz="4" w:space="0" w:color="auto"/>
            </w:tcBorders>
            <w:shd w:val="clear" w:color="000000" w:fill="F2F2F2"/>
            <w:vAlign w:val="center"/>
          </w:tcPr>
          <w:p w14:paraId="63CA56FF" w14:textId="1C8A2868" w:rsidR="000A316F" w:rsidRPr="003C559A" w:rsidRDefault="00020422" w:rsidP="00020422">
            <w:pPr>
              <w:spacing w:line="240" w:lineRule="auto"/>
              <w:jc w:val="left"/>
              <w:rPr>
                <w:rFonts w:eastAsia="Times New Roman" w:cs="Times New Roman"/>
                <w:i/>
                <w:iCs/>
                <w:color w:val="000000"/>
                <w:sz w:val="20"/>
                <w:szCs w:val="20"/>
              </w:rPr>
            </w:pPr>
            <w:r>
              <w:rPr>
                <w:rFonts w:eastAsia="Times New Roman" w:cs="Times New Roman"/>
                <w:i/>
                <w:iCs/>
                <w:color w:val="000000"/>
                <w:sz w:val="20"/>
                <w:szCs w:val="20"/>
              </w:rPr>
              <w:t>No maximum material size</w:t>
            </w:r>
          </w:p>
        </w:tc>
      </w:tr>
      <w:tr w:rsidR="000A316F" w:rsidRPr="003C559A" w14:paraId="70EBC9B6" w14:textId="77777777" w:rsidTr="00020422">
        <w:trPr>
          <w:trHeight w:val="576"/>
          <w:jc w:val="center"/>
        </w:trPr>
        <w:tc>
          <w:tcPr>
            <w:tcW w:w="2304" w:type="dxa"/>
            <w:tcBorders>
              <w:top w:val="nil"/>
              <w:left w:val="single" w:sz="4" w:space="0" w:color="auto"/>
            </w:tcBorders>
            <w:shd w:val="clear" w:color="000000" w:fill="FFFFFF"/>
            <w:noWrap/>
            <w:vAlign w:val="center"/>
            <w:hideMark/>
          </w:tcPr>
          <w:p w14:paraId="7AABBED8" w14:textId="78256033" w:rsidR="000A316F" w:rsidRPr="003C559A" w:rsidRDefault="000A316F"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New Mexico</w:t>
            </w:r>
          </w:p>
        </w:tc>
        <w:tc>
          <w:tcPr>
            <w:tcW w:w="1440" w:type="dxa"/>
            <w:tcBorders>
              <w:top w:val="nil"/>
              <w:left w:val="dashed" w:sz="4" w:space="0" w:color="auto"/>
            </w:tcBorders>
            <w:shd w:val="clear" w:color="000000" w:fill="FFFFFF"/>
            <w:noWrap/>
            <w:vAlign w:val="center"/>
          </w:tcPr>
          <w:p w14:paraId="15AB211D" w14:textId="2C5D471F" w:rsidR="000A316F" w:rsidRPr="003C559A" w:rsidRDefault="000A316F"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80</w:t>
            </w:r>
          </w:p>
        </w:tc>
        <w:tc>
          <w:tcPr>
            <w:tcW w:w="1440" w:type="dxa"/>
            <w:tcBorders>
              <w:top w:val="nil"/>
              <w:right w:val="dashed" w:sz="4" w:space="0" w:color="auto"/>
            </w:tcBorders>
            <w:shd w:val="clear" w:color="000000" w:fill="FFFFFF"/>
            <w:vAlign w:val="center"/>
          </w:tcPr>
          <w:p w14:paraId="61220663" w14:textId="5184F8A9" w:rsidR="000A316F" w:rsidRPr="000A316F" w:rsidRDefault="000A316F" w:rsidP="000A316F">
            <w:pPr>
              <w:spacing w:line="240" w:lineRule="auto"/>
              <w:rPr>
                <w:rFonts w:eastAsia="Times New Roman" w:cs="Times New Roman"/>
                <w:i/>
                <w:iCs/>
                <w:color w:val="000000"/>
                <w:sz w:val="20"/>
                <w:szCs w:val="20"/>
              </w:rPr>
            </w:pPr>
          </w:p>
        </w:tc>
        <w:tc>
          <w:tcPr>
            <w:tcW w:w="2250" w:type="dxa"/>
            <w:tcBorders>
              <w:top w:val="nil"/>
              <w:left w:val="dashed" w:sz="4" w:space="0" w:color="auto"/>
              <w:right w:val="single" w:sz="4" w:space="0" w:color="auto"/>
            </w:tcBorders>
            <w:shd w:val="clear" w:color="000000" w:fill="FFFFFF"/>
            <w:vAlign w:val="center"/>
          </w:tcPr>
          <w:p w14:paraId="6ED15D0E" w14:textId="3CBCF406" w:rsidR="000A316F" w:rsidRPr="003C559A" w:rsidRDefault="00020422" w:rsidP="00020422">
            <w:pPr>
              <w:spacing w:line="240" w:lineRule="auto"/>
              <w:jc w:val="left"/>
              <w:rPr>
                <w:rFonts w:eastAsia="Times New Roman" w:cs="Times New Roman"/>
                <w:i/>
                <w:iCs/>
                <w:color w:val="000000"/>
                <w:sz w:val="20"/>
                <w:szCs w:val="20"/>
              </w:rPr>
            </w:pPr>
            <w:r>
              <w:rPr>
                <w:rFonts w:eastAsia="Times New Roman" w:cs="Times New Roman"/>
                <w:i/>
                <w:iCs/>
                <w:color w:val="000000"/>
                <w:sz w:val="20"/>
                <w:szCs w:val="20"/>
              </w:rPr>
              <w:t>Discard  material retained on 3” sieve</w:t>
            </w:r>
          </w:p>
        </w:tc>
      </w:tr>
      <w:tr w:rsidR="000A316F" w:rsidRPr="003C559A" w14:paraId="01F62414" w14:textId="77777777" w:rsidTr="00020422">
        <w:trPr>
          <w:trHeight w:val="576"/>
          <w:jc w:val="center"/>
        </w:trPr>
        <w:tc>
          <w:tcPr>
            <w:tcW w:w="2304" w:type="dxa"/>
            <w:tcBorders>
              <w:top w:val="nil"/>
              <w:left w:val="single" w:sz="4" w:space="0" w:color="auto"/>
            </w:tcBorders>
            <w:shd w:val="clear" w:color="000000" w:fill="F2F2F2"/>
            <w:noWrap/>
            <w:vAlign w:val="center"/>
            <w:hideMark/>
          </w:tcPr>
          <w:p w14:paraId="20A62D0D" w14:textId="5E7C220D" w:rsidR="000A316F" w:rsidRPr="003C559A" w:rsidRDefault="000A316F"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Oklahoma</w:t>
            </w:r>
          </w:p>
        </w:tc>
        <w:tc>
          <w:tcPr>
            <w:tcW w:w="1440" w:type="dxa"/>
            <w:tcBorders>
              <w:top w:val="nil"/>
              <w:left w:val="dashed" w:sz="4" w:space="0" w:color="auto"/>
            </w:tcBorders>
            <w:shd w:val="clear" w:color="000000" w:fill="F2F2F2"/>
            <w:noWrap/>
            <w:vAlign w:val="center"/>
          </w:tcPr>
          <w:p w14:paraId="0312FE4E" w14:textId="117E3D24" w:rsidR="000A316F" w:rsidRPr="003E3AE1" w:rsidRDefault="000A316F" w:rsidP="00457152">
            <w:pPr>
              <w:spacing w:line="240" w:lineRule="auto"/>
              <w:rPr>
                <w:rFonts w:eastAsia="Times New Roman" w:cs="Times New Roman"/>
                <w:b/>
                <w:bCs/>
                <w:i/>
                <w:iCs/>
                <w:color w:val="000000"/>
                <w:sz w:val="20"/>
                <w:szCs w:val="20"/>
              </w:rPr>
            </w:pPr>
          </w:p>
        </w:tc>
        <w:tc>
          <w:tcPr>
            <w:tcW w:w="1440" w:type="dxa"/>
            <w:tcBorders>
              <w:top w:val="nil"/>
              <w:right w:val="dashed" w:sz="4" w:space="0" w:color="auto"/>
            </w:tcBorders>
            <w:shd w:val="clear" w:color="000000" w:fill="F2F2F2"/>
            <w:vAlign w:val="center"/>
          </w:tcPr>
          <w:p w14:paraId="0AB29C2E" w14:textId="14825E35" w:rsidR="000A316F" w:rsidRPr="000A316F" w:rsidRDefault="000A316F" w:rsidP="00457152">
            <w:pPr>
              <w:spacing w:line="240" w:lineRule="auto"/>
              <w:rPr>
                <w:rFonts w:eastAsia="Times New Roman" w:cs="Times New Roman"/>
                <w:i/>
                <w:iCs/>
                <w:color w:val="000000"/>
                <w:sz w:val="20"/>
                <w:szCs w:val="20"/>
              </w:rPr>
            </w:pPr>
            <w:r w:rsidRPr="000A316F">
              <w:rPr>
                <w:rFonts w:eastAsia="Times New Roman" w:cs="Times New Roman"/>
                <w:i/>
                <w:iCs/>
                <w:color w:val="000000"/>
                <w:sz w:val="20"/>
                <w:szCs w:val="20"/>
              </w:rPr>
              <w:t>75</w:t>
            </w:r>
          </w:p>
        </w:tc>
        <w:tc>
          <w:tcPr>
            <w:tcW w:w="2250" w:type="dxa"/>
            <w:tcBorders>
              <w:top w:val="nil"/>
              <w:left w:val="dashed" w:sz="4" w:space="0" w:color="auto"/>
              <w:right w:val="single" w:sz="4" w:space="0" w:color="auto"/>
            </w:tcBorders>
            <w:shd w:val="clear" w:color="000000" w:fill="F2F2F2"/>
            <w:vAlign w:val="center"/>
          </w:tcPr>
          <w:p w14:paraId="7F9B4013" w14:textId="49ED5131" w:rsidR="000A316F" w:rsidRPr="00E17C6B" w:rsidRDefault="00020422" w:rsidP="00020422">
            <w:pPr>
              <w:spacing w:line="240" w:lineRule="auto"/>
              <w:jc w:val="left"/>
              <w:rPr>
                <w:rFonts w:eastAsia="Times New Roman" w:cs="Times New Roman"/>
                <w:i/>
                <w:iCs/>
                <w:color w:val="000000"/>
                <w:sz w:val="20"/>
                <w:szCs w:val="20"/>
              </w:rPr>
            </w:pPr>
            <w:r>
              <w:rPr>
                <w:rFonts w:eastAsia="Times New Roman" w:cs="Times New Roman"/>
                <w:i/>
                <w:iCs/>
                <w:color w:val="000000"/>
                <w:sz w:val="20"/>
                <w:szCs w:val="20"/>
              </w:rPr>
              <w:t>Reduce material retained on 3” sieve until passing</w:t>
            </w:r>
          </w:p>
        </w:tc>
      </w:tr>
      <w:tr w:rsidR="000A316F" w:rsidRPr="003C559A" w14:paraId="0ED5AB65" w14:textId="77777777" w:rsidTr="00020422">
        <w:trPr>
          <w:trHeight w:val="576"/>
          <w:jc w:val="center"/>
        </w:trPr>
        <w:tc>
          <w:tcPr>
            <w:tcW w:w="2304" w:type="dxa"/>
            <w:tcBorders>
              <w:top w:val="nil"/>
              <w:left w:val="single" w:sz="4" w:space="0" w:color="auto"/>
              <w:bottom w:val="single" w:sz="4" w:space="0" w:color="auto"/>
            </w:tcBorders>
            <w:shd w:val="clear" w:color="auto" w:fill="FFFFFF" w:themeFill="background1"/>
            <w:noWrap/>
            <w:vAlign w:val="center"/>
          </w:tcPr>
          <w:p w14:paraId="2FE3A80B" w14:textId="746EB0FD" w:rsidR="000A316F" w:rsidRDefault="000A316F"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Texas</w:t>
            </w:r>
          </w:p>
        </w:tc>
        <w:tc>
          <w:tcPr>
            <w:tcW w:w="1440" w:type="dxa"/>
            <w:tcBorders>
              <w:top w:val="nil"/>
              <w:left w:val="dashed" w:sz="4" w:space="0" w:color="auto"/>
              <w:bottom w:val="single" w:sz="4" w:space="0" w:color="auto"/>
            </w:tcBorders>
            <w:shd w:val="clear" w:color="auto" w:fill="FFFFFF" w:themeFill="background1"/>
            <w:noWrap/>
            <w:vAlign w:val="center"/>
          </w:tcPr>
          <w:p w14:paraId="4BB27EB2" w14:textId="77777777" w:rsidR="000A316F" w:rsidRDefault="000A316F" w:rsidP="00457152">
            <w:pPr>
              <w:spacing w:line="240" w:lineRule="auto"/>
              <w:rPr>
                <w:rFonts w:eastAsia="Times New Roman" w:cs="Times New Roman"/>
                <w:b/>
                <w:bCs/>
                <w:i/>
                <w:iCs/>
                <w:color w:val="000000"/>
                <w:sz w:val="20"/>
                <w:szCs w:val="20"/>
              </w:rPr>
            </w:pPr>
          </w:p>
        </w:tc>
        <w:tc>
          <w:tcPr>
            <w:tcW w:w="1440" w:type="dxa"/>
            <w:tcBorders>
              <w:top w:val="nil"/>
              <w:bottom w:val="single" w:sz="4" w:space="0" w:color="auto"/>
              <w:right w:val="dashed" w:sz="4" w:space="0" w:color="auto"/>
            </w:tcBorders>
            <w:shd w:val="clear" w:color="auto" w:fill="FFFFFF" w:themeFill="background1"/>
            <w:vAlign w:val="center"/>
          </w:tcPr>
          <w:p w14:paraId="19B33E32" w14:textId="6864CB07" w:rsidR="000A316F" w:rsidRPr="000A316F" w:rsidRDefault="000A316F" w:rsidP="00457152">
            <w:pPr>
              <w:spacing w:line="240" w:lineRule="auto"/>
              <w:rPr>
                <w:rFonts w:eastAsia="Times New Roman" w:cs="Times New Roman"/>
                <w:i/>
                <w:iCs/>
                <w:color w:val="000000"/>
                <w:sz w:val="20"/>
                <w:szCs w:val="20"/>
              </w:rPr>
            </w:pPr>
            <w:r w:rsidRPr="000A316F">
              <w:rPr>
                <w:rFonts w:eastAsia="Times New Roman" w:cs="Times New Roman"/>
                <w:i/>
                <w:iCs/>
                <w:color w:val="000000"/>
                <w:sz w:val="20"/>
                <w:szCs w:val="20"/>
              </w:rPr>
              <w:t>100</w:t>
            </w:r>
          </w:p>
        </w:tc>
        <w:tc>
          <w:tcPr>
            <w:tcW w:w="2250" w:type="dxa"/>
            <w:tcBorders>
              <w:top w:val="nil"/>
              <w:left w:val="dashed" w:sz="4" w:space="0" w:color="auto"/>
              <w:bottom w:val="single" w:sz="4" w:space="0" w:color="auto"/>
              <w:right w:val="single" w:sz="4" w:space="0" w:color="auto"/>
            </w:tcBorders>
            <w:shd w:val="clear" w:color="auto" w:fill="FFFFFF" w:themeFill="background1"/>
            <w:vAlign w:val="center"/>
          </w:tcPr>
          <w:p w14:paraId="35CCDA0B" w14:textId="77777777" w:rsidR="000A316F" w:rsidRDefault="000A316F" w:rsidP="00457152">
            <w:pPr>
              <w:spacing w:line="240" w:lineRule="auto"/>
              <w:rPr>
                <w:rFonts w:eastAsia="Times New Roman" w:cs="Times New Roman"/>
                <w:i/>
                <w:iCs/>
                <w:color w:val="000000"/>
                <w:sz w:val="20"/>
                <w:szCs w:val="20"/>
              </w:rPr>
            </w:pPr>
          </w:p>
        </w:tc>
      </w:tr>
    </w:tbl>
    <w:p w14:paraId="2104CD53" w14:textId="77777777" w:rsidR="00E02115" w:rsidRDefault="00E02115" w:rsidP="00B67A66">
      <w:pPr>
        <w:jc w:val="both"/>
        <w:rPr>
          <w:bCs/>
        </w:rPr>
      </w:pPr>
    </w:p>
    <w:p w14:paraId="7026FFD0" w14:textId="77777777" w:rsidR="002C0489" w:rsidRPr="008247CD" w:rsidRDefault="002C0489" w:rsidP="0062706B">
      <w:pPr>
        <w:pStyle w:val="ListParagraph"/>
        <w:ind w:left="1440"/>
        <w:jc w:val="both"/>
        <w:rPr>
          <w:bCs/>
        </w:rPr>
      </w:pPr>
    </w:p>
    <w:p w14:paraId="403CD962" w14:textId="12BFD580" w:rsidR="001B40D5" w:rsidRDefault="00E961C2" w:rsidP="00E961C2">
      <w:pPr>
        <w:ind w:left="1440"/>
        <w:jc w:val="both"/>
        <w:rPr>
          <w:b/>
        </w:rPr>
      </w:pPr>
      <w:r>
        <w:rPr>
          <w:b/>
        </w:rPr>
        <w:t xml:space="preserve">2.2.2.2 Pulverization </w:t>
      </w:r>
      <w:r w:rsidR="00075BB1" w:rsidRPr="00075BB1">
        <w:rPr>
          <w:b/>
        </w:rPr>
        <w:t xml:space="preserve">Requirements </w:t>
      </w:r>
      <w:r w:rsidR="001B40D5">
        <w:rPr>
          <w:b/>
        </w:rPr>
        <w:t>for</w:t>
      </w:r>
      <w:r w:rsidR="00075BB1" w:rsidRPr="00075BB1">
        <w:rPr>
          <w:b/>
        </w:rPr>
        <w:t xml:space="preserve"> </w:t>
      </w:r>
      <w:r w:rsidR="00A27165" w:rsidRPr="00075BB1">
        <w:rPr>
          <w:b/>
        </w:rPr>
        <w:t>L</w:t>
      </w:r>
      <w:r w:rsidR="00583B0B" w:rsidRPr="00075BB1">
        <w:rPr>
          <w:b/>
        </w:rPr>
        <w:t xml:space="preserve">ime </w:t>
      </w:r>
      <w:r w:rsidR="00583B0B" w:rsidRPr="00412181">
        <w:rPr>
          <w:b/>
        </w:rPr>
        <w:t>T</w:t>
      </w:r>
      <w:r w:rsidR="00A27165" w:rsidRPr="00412181">
        <w:rPr>
          <w:b/>
        </w:rPr>
        <w:t>reat</w:t>
      </w:r>
      <w:r w:rsidR="001B40D5">
        <w:rPr>
          <w:b/>
        </w:rPr>
        <w:t>ed Subgrades</w:t>
      </w:r>
    </w:p>
    <w:p w14:paraId="1F76A23E" w14:textId="312EE2DD" w:rsidR="003F2B1D" w:rsidRDefault="00075BB1" w:rsidP="00E961C2">
      <w:pPr>
        <w:ind w:left="1440" w:firstLine="720"/>
        <w:jc w:val="both"/>
        <w:rPr>
          <w:bCs/>
        </w:rPr>
      </w:pPr>
      <w:r>
        <w:rPr>
          <w:bCs/>
        </w:rPr>
        <w:t>The difference</w:t>
      </w:r>
      <w:r w:rsidR="003F2B1D">
        <w:rPr>
          <w:bCs/>
        </w:rPr>
        <w:t>s</w:t>
      </w:r>
      <w:r>
        <w:rPr>
          <w:bCs/>
        </w:rPr>
        <w:t xml:space="preserve"> in </w:t>
      </w:r>
      <w:r w:rsidR="003F2B1D">
        <w:rPr>
          <w:bCs/>
        </w:rPr>
        <w:t xml:space="preserve">the </w:t>
      </w:r>
      <w:r>
        <w:rPr>
          <w:bCs/>
        </w:rPr>
        <w:t>requirement for pulverization for future lime treatment between various states is similar to that of cement treatment</w:t>
      </w:r>
      <w:r w:rsidR="00E961C2">
        <w:rPr>
          <w:bCs/>
        </w:rPr>
        <w:t xml:space="preserve">, as seen in </w:t>
      </w:r>
      <w:r w:rsidR="00E961C2">
        <w:rPr>
          <w:bCs/>
        </w:rPr>
        <w:fldChar w:fldCharType="begin"/>
      </w:r>
      <w:r w:rsidR="00E961C2">
        <w:rPr>
          <w:bCs/>
        </w:rPr>
        <w:instrText xml:space="preserve"> REF _Ref447593940 \h </w:instrText>
      </w:r>
      <w:r w:rsidR="00E961C2">
        <w:rPr>
          <w:bCs/>
        </w:rPr>
      </w:r>
      <w:r w:rsidR="00E961C2">
        <w:rPr>
          <w:bCs/>
        </w:rPr>
        <w:fldChar w:fldCharType="separate"/>
      </w:r>
      <w:r w:rsidR="00E90148">
        <w:t xml:space="preserve">Table </w:t>
      </w:r>
      <w:r w:rsidR="00E90148">
        <w:rPr>
          <w:noProof/>
        </w:rPr>
        <w:t>2</w:t>
      </w:r>
      <w:r w:rsidR="00E961C2">
        <w:rPr>
          <w:bCs/>
        </w:rPr>
        <w:fldChar w:fldCharType="end"/>
      </w:r>
      <w:r w:rsidR="00E961C2">
        <w:rPr>
          <w:bCs/>
        </w:rPr>
        <w:t xml:space="preserve">. They </w:t>
      </w:r>
      <w:r w:rsidR="003F2B1D">
        <w:rPr>
          <w:bCs/>
        </w:rPr>
        <w:t xml:space="preserve">encompasses </w:t>
      </w:r>
      <w:r>
        <w:rPr>
          <w:bCs/>
        </w:rPr>
        <w:t xml:space="preserve">the allowable maximum particle size of milled roadbed material to be stabilized and how much of the roadbed material must be smaller than the maximum size. </w:t>
      </w:r>
    </w:p>
    <w:p w14:paraId="18D8C45F" w14:textId="77777777" w:rsidR="003F2B1D" w:rsidRDefault="003F2B1D" w:rsidP="00B67A66">
      <w:pPr>
        <w:jc w:val="both"/>
        <w:rPr>
          <w:bCs/>
        </w:rPr>
      </w:pPr>
    </w:p>
    <w:p w14:paraId="7C3DB823" w14:textId="77777777" w:rsidR="00175936" w:rsidRDefault="00175936" w:rsidP="00B67A66">
      <w:pPr>
        <w:jc w:val="both"/>
        <w:rPr>
          <w:bCs/>
        </w:rPr>
      </w:pPr>
    </w:p>
    <w:p w14:paraId="66CE11D2" w14:textId="77777777" w:rsidR="00175936" w:rsidRDefault="00175936" w:rsidP="00B67A66">
      <w:pPr>
        <w:jc w:val="both"/>
        <w:rPr>
          <w:bCs/>
        </w:rPr>
      </w:pPr>
    </w:p>
    <w:p w14:paraId="7181DA07" w14:textId="0CD2DF52" w:rsidR="00B9063E" w:rsidRDefault="00B9063E" w:rsidP="00B9063E">
      <w:pPr>
        <w:pStyle w:val="Caption"/>
        <w:spacing w:line="480" w:lineRule="auto"/>
        <w:ind w:left="720" w:right="576"/>
        <w:rPr>
          <w:bCs/>
        </w:rPr>
      </w:pPr>
      <w:bookmarkStart w:id="5" w:name="_Ref447593940"/>
      <w:bookmarkStart w:id="6" w:name="_Toc447755322"/>
      <w:r>
        <w:lastRenderedPageBreak/>
        <w:t xml:space="preserve">Table </w:t>
      </w:r>
      <w:r w:rsidR="00184FC2">
        <w:fldChar w:fldCharType="begin"/>
      </w:r>
      <w:r w:rsidR="00184FC2">
        <w:instrText xml:space="preserve"> SEQ Table \* ARABIC </w:instrText>
      </w:r>
      <w:r w:rsidR="00184FC2">
        <w:fldChar w:fldCharType="separate"/>
      </w:r>
      <w:r w:rsidR="00E90148">
        <w:rPr>
          <w:noProof/>
        </w:rPr>
        <w:t>2</w:t>
      </w:r>
      <w:r w:rsidR="00184FC2">
        <w:rPr>
          <w:noProof/>
        </w:rPr>
        <w:fldChar w:fldCharType="end"/>
      </w:r>
      <w:bookmarkEnd w:id="5"/>
      <w:r>
        <w:t>: Differences in Stabilization Specifications for Pulverization of Subgrade Soils in Preparation for Lime Treatment</w:t>
      </w:r>
      <w:bookmarkEnd w:id="6"/>
    </w:p>
    <w:tbl>
      <w:tblPr>
        <w:tblW w:w="7434" w:type="dxa"/>
        <w:jc w:val="center"/>
        <w:tblLook w:val="04A0" w:firstRow="1" w:lastRow="0" w:firstColumn="1" w:lastColumn="0" w:noHBand="0" w:noVBand="1"/>
      </w:tblPr>
      <w:tblGrid>
        <w:gridCol w:w="2304"/>
        <w:gridCol w:w="1440"/>
        <w:gridCol w:w="1440"/>
        <w:gridCol w:w="2250"/>
      </w:tblGrid>
      <w:tr w:rsidR="00B9063E" w:rsidRPr="003C559A" w14:paraId="367EE002" w14:textId="77777777" w:rsidTr="00457152">
        <w:trPr>
          <w:trHeight w:val="600"/>
          <w:jc w:val="center"/>
        </w:trPr>
        <w:tc>
          <w:tcPr>
            <w:tcW w:w="2304" w:type="dxa"/>
            <w:tcBorders>
              <w:top w:val="single" w:sz="4" w:space="0" w:color="auto"/>
              <w:left w:val="single" w:sz="4" w:space="0" w:color="auto"/>
              <w:bottom w:val="single" w:sz="4" w:space="0" w:color="auto"/>
            </w:tcBorders>
            <w:shd w:val="clear" w:color="000000" w:fill="BFBFBF"/>
            <w:vAlign w:val="center"/>
            <w:hideMark/>
          </w:tcPr>
          <w:p w14:paraId="2C63EFC1" w14:textId="77777777" w:rsidR="00B9063E" w:rsidRPr="003C559A" w:rsidRDefault="00B9063E"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State</w:t>
            </w:r>
          </w:p>
        </w:tc>
        <w:tc>
          <w:tcPr>
            <w:tcW w:w="1440" w:type="dxa"/>
            <w:tcBorders>
              <w:top w:val="single" w:sz="4" w:space="0" w:color="auto"/>
              <w:bottom w:val="single" w:sz="4" w:space="0" w:color="auto"/>
            </w:tcBorders>
            <w:shd w:val="clear" w:color="000000" w:fill="BFBFBF"/>
            <w:vAlign w:val="center"/>
            <w:hideMark/>
          </w:tcPr>
          <w:p w14:paraId="10F1992E" w14:textId="77777777" w:rsidR="00B9063E" w:rsidRDefault="00B9063E"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 xml:space="preserve">% Passing </w:t>
            </w:r>
          </w:p>
          <w:p w14:paraId="1F8E39ED" w14:textId="77777777" w:rsidR="00B9063E" w:rsidRPr="003C559A" w:rsidRDefault="00B9063E"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#4 Sieve</w:t>
            </w:r>
          </w:p>
        </w:tc>
        <w:tc>
          <w:tcPr>
            <w:tcW w:w="1440" w:type="dxa"/>
            <w:tcBorders>
              <w:top w:val="single" w:sz="4" w:space="0" w:color="auto"/>
              <w:bottom w:val="single" w:sz="4" w:space="0" w:color="auto"/>
            </w:tcBorders>
            <w:shd w:val="clear" w:color="000000" w:fill="BFBFBF"/>
            <w:vAlign w:val="center"/>
          </w:tcPr>
          <w:p w14:paraId="2E510620" w14:textId="77777777" w:rsidR="00B9063E" w:rsidRPr="003C559A" w:rsidRDefault="00B9063E"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 Passing 2.5” Sieve</w:t>
            </w:r>
          </w:p>
        </w:tc>
        <w:tc>
          <w:tcPr>
            <w:tcW w:w="2250" w:type="dxa"/>
            <w:tcBorders>
              <w:top w:val="single" w:sz="4" w:space="0" w:color="auto"/>
              <w:bottom w:val="single" w:sz="4" w:space="0" w:color="auto"/>
              <w:right w:val="single" w:sz="4" w:space="0" w:color="auto"/>
            </w:tcBorders>
            <w:shd w:val="clear" w:color="000000" w:fill="BFBFBF"/>
            <w:vAlign w:val="center"/>
          </w:tcPr>
          <w:p w14:paraId="7564C8F9" w14:textId="77777777" w:rsidR="00B9063E" w:rsidRPr="003C559A" w:rsidRDefault="00B9063E" w:rsidP="00457152">
            <w:pPr>
              <w:spacing w:line="240" w:lineRule="auto"/>
              <w:rPr>
                <w:rFonts w:eastAsia="Times New Roman" w:cs="Times New Roman"/>
                <w:i/>
                <w:iCs/>
                <w:color w:val="000000"/>
                <w:sz w:val="22"/>
                <w:szCs w:val="22"/>
              </w:rPr>
            </w:pPr>
            <w:r>
              <w:rPr>
                <w:rFonts w:eastAsia="Times New Roman" w:cs="Times New Roman"/>
                <w:i/>
                <w:iCs/>
                <w:color w:val="000000"/>
                <w:sz w:val="22"/>
                <w:szCs w:val="22"/>
              </w:rPr>
              <w:t>Additional Requirements</w:t>
            </w:r>
          </w:p>
        </w:tc>
      </w:tr>
      <w:tr w:rsidR="00B9063E" w:rsidRPr="003C559A" w14:paraId="7D3AD7D9" w14:textId="77777777" w:rsidTr="00457152">
        <w:trPr>
          <w:trHeight w:val="576"/>
          <w:jc w:val="center"/>
        </w:trPr>
        <w:tc>
          <w:tcPr>
            <w:tcW w:w="2304" w:type="dxa"/>
            <w:tcBorders>
              <w:top w:val="single" w:sz="4" w:space="0" w:color="auto"/>
              <w:left w:val="single" w:sz="4" w:space="0" w:color="auto"/>
              <w:bottom w:val="nil"/>
            </w:tcBorders>
            <w:shd w:val="clear" w:color="000000" w:fill="FFFFFF"/>
            <w:noWrap/>
            <w:vAlign w:val="center"/>
            <w:hideMark/>
          </w:tcPr>
          <w:p w14:paraId="3C6487C4" w14:textId="77777777" w:rsidR="00B9063E" w:rsidRPr="003C559A" w:rsidRDefault="00B9063E"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Arkansas</w:t>
            </w:r>
          </w:p>
        </w:tc>
        <w:tc>
          <w:tcPr>
            <w:tcW w:w="1440" w:type="dxa"/>
            <w:tcBorders>
              <w:top w:val="single" w:sz="4" w:space="0" w:color="auto"/>
              <w:left w:val="dashed" w:sz="4" w:space="0" w:color="auto"/>
              <w:bottom w:val="nil"/>
            </w:tcBorders>
            <w:shd w:val="clear" w:color="000000" w:fill="FFFFFF"/>
            <w:noWrap/>
            <w:vAlign w:val="center"/>
          </w:tcPr>
          <w:p w14:paraId="77B93846" w14:textId="154ED64F" w:rsidR="00B9063E" w:rsidRPr="003C559A" w:rsidRDefault="00B9063E"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&lt;80 (Partially Pulverized)</w:t>
            </w:r>
          </w:p>
        </w:tc>
        <w:tc>
          <w:tcPr>
            <w:tcW w:w="1440" w:type="dxa"/>
            <w:tcBorders>
              <w:top w:val="single" w:sz="4" w:space="0" w:color="auto"/>
              <w:bottom w:val="nil"/>
              <w:right w:val="dashed" w:sz="4" w:space="0" w:color="auto"/>
            </w:tcBorders>
            <w:shd w:val="clear" w:color="000000" w:fill="FFFFFF"/>
            <w:vAlign w:val="center"/>
          </w:tcPr>
          <w:p w14:paraId="17B0DFFA" w14:textId="77777777" w:rsidR="00B9063E" w:rsidRPr="000A316F" w:rsidRDefault="00B9063E" w:rsidP="00457152">
            <w:pPr>
              <w:spacing w:line="240" w:lineRule="auto"/>
              <w:rPr>
                <w:rFonts w:eastAsia="Times New Roman" w:cs="Times New Roman"/>
                <w:i/>
                <w:iCs/>
                <w:color w:val="000000"/>
                <w:sz w:val="20"/>
                <w:szCs w:val="20"/>
              </w:rPr>
            </w:pPr>
          </w:p>
        </w:tc>
        <w:tc>
          <w:tcPr>
            <w:tcW w:w="2250" w:type="dxa"/>
            <w:tcBorders>
              <w:top w:val="single" w:sz="4" w:space="0" w:color="auto"/>
              <w:left w:val="dashed" w:sz="4" w:space="0" w:color="auto"/>
              <w:bottom w:val="nil"/>
              <w:right w:val="single" w:sz="4" w:space="0" w:color="auto"/>
            </w:tcBorders>
            <w:shd w:val="clear" w:color="000000" w:fill="FFFFFF"/>
            <w:vAlign w:val="center"/>
          </w:tcPr>
          <w:p w14:paraId="778D27C0" w14:textId="77777777" w:rsidR="00B9063E" w:rsidRPr="000A316F" w:rsidRDefault="00B9063E" w:rsidP="00457152">
            <w:pPr>
              <w:spacing w:line="240" w:lineRule="auto"/>
              <w:jc w:val="left"/>
              <w:rPr>
                <w:rFonts w:eastAsia="Times New Roman" w:cs="Times New Roman"/>
                <w:i/>
                <w:iCs/>
                <w:color w:val="000000"/>
                <w:sz w:val="20"/>
                <w:szCs w:val="20"/>
              </w:rPr>
            </w:pPr>
            <w:r>
              <w:rPr>
                <w:rFonts w:eastAsia="Times New Roman" w:cs="Times New Roman"/>
                <w:i/>
                <w:iCs/>
                <w:color w:val="000000"/>
                <w:sz w:val="20"/>
                <w:szCs w:val="20"/>
              </w:rPr>
              <w:t>Discard material retained on 3” sieve</w:t>
            </w:r>
          </w:p>
        </w:tc>
      </w:tr>
      <w:tr w:rsidR="00B9063E" w:rsidRPr="003C559A" w14:paraId="1532F971" w14:textId="77777777" w:rsidTr="00457152">
        <w:trPr>
          <w:trHeight w:val="576"/>
          <w:jc w:val="center"/>
        </w:trPr>
        <w:tc>
          <w:tcPr>
            <w:tcW w:w="2304" w:type="dxa"/>
            <w:tcBorders>
              <w:top w:val="nil"/>
              <w:left w:val="single" w:sz="4" w:space="0" w:color="auto"/>
              <w:bottom w:val="nil"/>
            </w:tcBorders>
            <w:shd w:val="clear" w:color="000000" w:fill="F2F2F2"/>
            <w:noWrap/>
            <w:vAlign w:val="center"/>
            <w:hideMark/>
          </w:tcPr>
          <w:p w14:paraId="55779DA3" w14:textId="77777777" w:rsidR="00B9063E" w:rsidRPr="003C559A" w:rsidRDefault="00B9063E"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Louisiana</w:t>
            </w:r>
          </w:p>
        </w:tc>
        <w:tc>
          <w:tcPr>
            <w:tcW w:w="1440" w:type="dxa"/>
            <w:tcBorders>
              <w:top w:val="nil"/>
              <w:left w:val="dashed" w:sz="4" w:space="0" w:color="auto"/>
              <w:bottom w:val="nil"/>
            </w:tcBorders>
            <w:shd w:val="clear" w:color="000000" w:fill="F2F2F2"/>
            <w:noWrap/>
            <w:vAlign w:val="center"/>
          </w:tcPr>
          <w:p w14:paraId="68E74F27" w14:textId="557C1C19" w:rsidR="00B9063E" w:rsidRPr="003C559A" w:rsidRDefault="00B9063E"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50</w:t>
            </w:r>
          </w:p>
        </w:tc>
        <w:tc>
          <w:tcPr>
            <w:tcW w:w="1440" w:type="dxa"/>
            <w:tcBorders>
              <w:top w:val="nil"/>
              <w:bottom w:val="nil"/>
              <w:right w:val="dashed" w:sz="4" w:space="0" w:color="auto"/>
            </w:tcBorders>
            <w:shd w:val="clear" w:color="000000" w:fill="F2F2F2"/>
            <w:vAlign w:val="center"/>
          </w:tcPr>
          <w:p w14:paraId="0CD47C50" w14:textId="77777777" w:rsidR="00B9063E" w:rsidRPr="000A316F" w:rsidRDefault="00B9063E" w:rsidP="00457152">
            <w:pPr>
              <w:spacing w:line="240" w:lineRule="auto"/>
              <w:rPr>
                <w:rFonts w:eastAsia="Times New Roman" w:cs="Times New Roman"/>
                <w:i/>
                <w:iCs/>
                <w:color w:val="000000"/>
                <w:sz w:val="20"/>
                <w:szCs w:val="20"/>
              </w:rPr>
            </w:pPr>
          </w:p>
        </w:tc>
        <w:tc>
          <w:tcPr>
            <w:tcW w:w="2250" w:type="dxa"/>
            <w:tcBorders>
              <w:top w:val="nil"/>
              <w:left w:val="dashed" w:sz="4" w:space="0" w:color="auto"/>
              <w:bottom w:val="nil"/>
              <w:right w:val="single" w:sz="4" w:space="0" w:color="auto"/>
            </w:tcBorders>
            <w:shd w:val="clear" w:color="000000" w:fill="F2F2F2"/>
            <w:vAlign w:val="center"/>
          </w:tcPr>
          <w:p w14:paraId="4EB1C72D" w14:textId="29EE2747" w:rsidR="00B9063E" w:rsidRPr="003C559A" w:rsidRDefault="00B9063E" w:rsidP="00B9063E">
            <w:pPr>
              <w:spacing w:line="240" w:lineRule="auto"/>
              <w:jc w:val="left"/>
              <w:rPr>
                <w:rFonts w:eastAsia="Times New Roman" w:cs="Times New Roman"/>
                <w:i/>
                <w:iCs/>
                <w:color w:val="000000"/>
                <w:sz w:val="20"/>
                <w:szCs w:val="20"/>
              </w:rPr>
            </w:pPr>
            <w:r>
              <w:rPr>
                <w:rFonts w:eastAsia="Times New Roman" w:cs="Times New Roman"/>
                <w:i/>
                <w:iCs/>
                <w:color w:val="000000"/>
                <w:sz w:val="20"/>
                <w:szCs w:val="20"/>
              </w:rPr>
              <w:t>Not required prior; required after stabilization</w:t>
            </w:r>
          </w:p>
        </w:tc>
      </w:tr>
      <w:tr w:rsidR="00B9063E" w:rsidRPr="003C559A" w14:paraId="75960786" w14:textId="77777777" w:rsidTr="00457152">
        <w:trPr>
          <w:trHeight w:val="576"/>
          <w:jc w:val="center"/>
        </w:trPr>
        <w:tc>
          <w:tcPr>
            <w:tcW w:w="2304" w:type="dxa"/>
            <w:tcBorders>
              <w:top w:val="nil"/>
              <w:left w:val="single" w:sz="4" w:space="0" w:color="auto"/>
            </w:tcBorders>
            <w:shd w:val="clear" w:color="000000" w:fill="FFFFFF"/>
            <w:noWrap/>
            <w:vAlign w:val="center"/>
            <w:hideMark/>
          </w:tcPr>
          <w:p w14:paraId="5F9833B3" w14:textId="77777777" w:rsidR="00B9063E" w:rsidRPr="003C559A" w:rsidRDefault="00B9063E"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New Mexico</w:t>
            </w:r>
          </w:p>
        </w:tc>
        <w:tc>
          <w:tcPr>
            <w:tcW w:w="1440" w:type="dxa"/>
            <w:tcBorders>
              <w:top w:val="nil"/>
              <w:left w:val="dashed" w:sz="4" w:space="0" w:color="auto"/>
            </w:tcBorders>
            <w:shd w:val="clear" w:color="000000" w:fill="FFFFFF"/>
            <w:noWrap/>
            <w:vAlign w:val="center"/>
          </w:tcPr>
          <w:p w14:paraId="6D043716" w14:textId="77777777" w:rsidR="00B9063E" w:rsidRPr="003C559A" w:rsidRDefault="00B9063E"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80</w:t>
            </w:r>
          </w:p>
        </w:tc>
        <w:tc>
          <w:tcPr>
            <w:tcW w:w="1440" w:type="dxa"/>
            <w:tcBorders>
              <w:top w:val="nil"/>
              <w:right w:val="dashed" w:sz="4" w:space="0" w:color="auto"/>
            </w:tcBorders>
            <w:shd w:val="clear" w:color="000000" w:fill="FFFFFF"/>
            <w:vAlign w:val="center"/>
          </w:tcPr>
          <w:p w14:paraId="55C237C2" w14:textId="77777777" w:rsidR="00B9063E" w:rsidRPr="000A316F" w:rsidRDefault="00B9063E" w:rsidP="00457152">
            <w:pPr>
              <w:spacing w:line="240" w:lineRule="auto"/>
              <w:rPr>
                <w:rFonts w:eastAsia="Times New Roman" w:cs="Times New Roman"/>
                <w:i/>
                <w:iCs/>
                <w:color w:val="000000"/>
                <w:sz w:val="20"/>
                <w:szCs w:val="20"/>
              </w:rPr>
            </w:pPr>
          </w:p>
        </w:tc>
        <w:tc>
          <w:tcPr>
            <w:tcW w:w="2250" w:type="dxa"/>
            <w:tcBorders>
              <w:top w:val="nil"/>
              <w:left w:val="dashed" w:sz="4" w:space="0" w:color="auto"/>
              <w:right w:val="single" w:sz="4" w:space="0" w:color="auto"/>
            </w:tcBorders>
            <w:shd w:val="clear" w:color="000000" w:fill="FFFFFF"/>
            <w:vAlign w:val="center"/>
          </w:tcPr>
          <w:p w14:paraId="16E1F58E" w14:textId="2DDC44E1" w:rsidR="00B9063E" w:rsidRPr="003C559A" w:rsidRDefault="00B9063E" w:rsidP="00457152">
            <w:pPr>
              <w:spacing w:line="240" w:lineRule="auto"/>
              <w:jc w:val="left"/>
              <w:rPr>
                <w:rFonts w:eastAsia="Times New Roman" w:cs="Times New Roman"/>
                <w:i/>
                <w:iCs/>
                <w:color w:val="000000"/>
                <w:sz w:val="20"/>
                <w:szCs w:val="20"/>
              </w:rPr>
            </w:pPr>
            <w:r>
              <w:rPr>
                <w:rFonts w:eastAsia="Times New Roman" w:cs="Times New Roman"/>
                <w:i/>
                <w:iCs/>
                <w:color w:val="000000"/>
                <w:sz w:val="20"/>
                <w:szCs w:val="20"/>
              </w:rPr>
              <w:t>Discard material retained on 3” sieve</w:t>
            </w:r>
          </w:p>
        </w:tc>
      </w:tr>
      <w:tr w:rsidR="00B9063E" w:rsidRPr="003C559A" w14:paraId="099C5CB5" w14:textId="77777777" w:rsidTr="00457152">
        <w:trPr>
          <w:trHeight w:val="576"/>
          <w:jc w:val="center"/>
        </w:trPr>
        <w:tc>
          <w:tcPr>
            <w:tcW w:w="2304" w:type="dxa"/>
            <w:tcBorders>
              <w:top w:val="nil"/>
              <w:left w:val="single" w:sz="4" w:space="0" w:color="auto"/>
            </w:tcBorders>
            <w:shd w:val="clear" w:color="000000" w:fill="F2F2F2"/>
            <w:noWrap/>
            <w:vAlign w:val="center"/>
            <w:hideMark/>
          </w:tcPr>
          <w:p w14:paraId="17AB8FB3" w14:textId="77777777" w:rsidR="00B9063E" w:rsidRPr="003C559A" w:rsidRDefault="00B9063E"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Oklahoma</w:t>
            </w:r>
          </w:p>
        </w:tc>
        <w:tc>
          <w:tcPr>
            <w:tcW w:w="1440" w:type="dxa"/>
            <w:tcBorders>
              <w:top w:val="nil"/>
              <w:left w:val="dashed" w:sz="4" w:space="0" w:color="auto"/>
            </w:tcBorders>
            <w:shd w:val="clear" w:color="000000" w:fill="F2F2F2"/>
            <w:noWrap/>
            <w:vAlign w:val="center"/>
          </w:tcPr>
          <w:p w14:paraId="2BB48EC9" w14:textId="77777777" w:rsidR="00B9063E" w:rsidRPr="003E3AE1" w:rsidRDefault="00B9063E" w:rsidP="00457152">
            <w:pPr>
              <w:spacing w:line="240" w:lineRule="auto"/>
              <w:rPr>
                <w:rFonts w:eastAsia="Times New Roman" w:cs="Times New Roman"/>
                <w:b/>
                <w:bCs/>
                <w:i/>
                <w:iCs/>
                <w:color w:val="000000"/>
                <w:sz w:val="20"/>
                <w:szCs w:val="20"/>
              </w:rPr>
            </w:pPr>
          </w:p>
        </w:tc>
        <w:tc>
          <w:tcPr>
            <w:tcW w:w="1440" w:type="dxa"/>
            <w:tcBorders>
              <w:top w:val="nil"/>
              <w:right w:val="dashed" w:sz="4" w:space="0" w:color="auto"/>
            </w:tcBorders>
            <w:shd w:val="clear" w:color="000000" w:fill="F2F2F2"/>
            <w:vAlign w:val="center"/>
          </w:tcPr>
          <w:p w14:paraId="48D676CE" w14:textId="77777777" w:rsidR="00B9063E" w:rsidRPr="000A316F" w:rsidRDefault="00B9063E" w:rsidP="00457152">
            <w:pPr>
              <w:spacing w:line="240" w:lineRule="auto"/>
              <w:rPr>
                <w:rFonts w:eastAsia="Times New Roman" w:cs="Times New Roman"/>
                <w:i/>
                <w:iCs/>
                <w:color w:val="000000"/>
                <w:sz w:val="20"/>
                <w:szCs w:val="20"/>
              </w:rPr>
            </w:pPr>
            <w:r w:rsidRPr="000A316F">
              <w:rPr>
                <w:rFonts w:eastAsia="Times New Roman" w:cs="Times New Roman"/>
                <w:i/>
                <w:iCs/>
                <w:color w:val="000000"/>
                <w:sz w:val="20"/>
                <w:szCs w:val="20"/>
              </w:rPr>
              <w:t>75</w:t>
            </w:r>
          </w:p>
        </w:tc>
        <w:tc>
          <w:tcPr>
            <w:tcW w:w="2250" w:type="dxa"/>
            <w:tcBorders>
              <w:top w:val="nil"/>
              <w:left w:val="dashed" w:sz="4" w:space="0" w:color="auto"/>
              <w:right w:val="single" w:sz="4" w:space="0" w:color="auto"/>
            </w:tcBorders>
            <w:shd w:val="clear" w:color="000000" w:fill="F2F2F2"/>
            <w:vAlign w:val="center"/>
          </w:tcPr>
          <w:p w14:paraId="6698A91B" w14:textId="77777777" w:rsidR="00B9063E" w:rsidRPr="00E17C6B" w:rsidRDefault="00B9063E" w:rsidP="00457152">
            <w:pPr>
              <w:spacing w:line="240" w:lineRule="auto"/>
              <w:jc w:val="left"/>
              <w:rPr>
                <w:rFonts w:eastAsia="Times New Roman" w:cs="Times New Roman"/>
                <w:i/>
                <w:iCs/>
                <w:color w:val="000000"/>
                <w:sz w:val="20"/>
                <w:szCs w:val="20"/>
              </w:rPr>
            </w:pPr>
            <w:r>
              <w:rPr>
                <w:rFonts w:eastAsia="Times New Roman" w:cs="Times New Roman"/>
                <w:i/>
                <w:iCs/>
                <w:color w:val="000000"/>
                <w:sz w:val="20"/>
                <w:szCs w:val="20"/>
              </w:rPr>
              <w:t>Reduce material retained on 3” sieve until passing</w:t>
            </w:r>
          </w:p>
        </w:tc>
      </w:tr>
      <w:tr w:rsidR="00B9063E" w:rsidRPr="003C559A" w14:paraId="14F7F524" w14:textId="77777777" w:rsidTr="00457152">
        <w:trPr>
          <w:trHeight w:val="576"/>
          <w:jc w:val="center"/>
        </w:trPr>
        <w:tc>
          <w:tcPr>
            <w:tcW w:w="2304" w:type="dxa"/>
            <w:tcBorders>
              <w:top w:val="nil"/>
              <w:left w:val="single" w:sz="4" w:space="0" w:color="auto"/>
              <w:bottom w:val="single" w:sz="4" w:space="0" w:color="auto"/>
            </w:tcBorders>
            <w:shd w:val="clear" w:color="auto" w:fill="FFFFFF" w:themeFill="background1"/>
            <w:noWrap/>
            <w:vAlign w:val="center"/>
          </w:tcPr>
          <w:p w14:paraId="4E9D54CF" w14:textId="77777777" w:rsidR="00B9063E" w:rsidRDefault="00B9063E" w:rsidP="00457152">
            <w:pPr>
              <w:spacing w:line="240" w:lineRule="auto"/>
              <w:rPr>
                <w:rFonts w:eastAsia="Times New Roman" w:cs="Times New Roman"/>
                <w:i/>
                <w:iCs/>
                <w:color w:val="000000"/>
                <w:sz w:val="20"/>
                <w:szCs w:val="20"/>
              </w:rPr>
            </w:pPr>
            <w:r>
              <w:rPr>
                <w:rFonts w:eastAsia="Times New Roman" w:cs="Times New Roman"/>
                <w:i/>
                <w:iCs/>
                <w:color w:val="000000"/>
                <w:sz w:val="20"/>
                <w:szCs w:val="20"/>
              </w:rPr>
              <w:t>Texas</w:t>
            </w:r>
          </w:p>
        </w:tc>
        <w:tc>
          <w:tcPr>
            <w:tcW w:w="1440" w:type="dxa"/>
            <w:tcBorders>
              <w:top w:val="nil"/>
              <w:left w:val="dashed" w:sz="4" w:space="0" w:color="auto"/>
              <w:bottom w:val="single" w:sz="4" w:space="0" w:color="auto"/>
            </w:tcBorders>
            <w:shd w:val="clear" w:color="auto" w:fill="FFFFFF" w:themeFill="background1"/>
            <w:noWrap/>
            <w:vAlign w:val="center"/>
          </w:tcPr>
          <w:p w14:paraId="04CB66DD" w14:textId="77777777" w:rsidR="00B9063E" w:rsidRDefault="00B9063E" w:rsidP="00457152">
            <w:pPr>
              <w:spacing w:line="240" w:lineRule="auto"/>
              <w:rPr>
                <w:rFonts w:eastAsia="Times New Roman" w:cs="Times New Roman"/>
                <w:b/>
                <w:bCs/>
                <w:i/>
                <w:iCs/>
                <w:color w:val="000000"/>
                <w:sz w:val="20"/>
                <w:szCs w:val="20"/>
              </w:rPr>
            </w:pPr>
          </w:p>
        </w:tc>
        <w:tc>
          <w:tcPr>
            <w:tcW w:w="1440" w:type="dxa"/>
            <w:tcBorders>
              <w:top w:val="nil"/>
              <w:bottom w:val="single" w:sz="4" w:space="0" w:color="auto"/>
              <w:right w:val="dashed" w:sz="4" w:space="0" w:color="auto"/>
            </w:tcBorders>
            <w:shd w:val="clear" w:color="auto" w:fill="FFFFFF" w:themeFill="background1"/>
            <w:vAlign w:val="center"/>
          </w:tcPr>
          <w:p w14:paraId="0A35E1B6" w14:textId="77777777" w:rsidR="00B9063E" w:rsidRPr="000A316F" w:rsidRDefault="00B9063E" w:rsidP="00457152">
            <w:pPr>
              <w:spacing w:line="240" w:lineRule="auto"/>
              <w:rPr>
                <w:rFonts w:eastAsia="Times New Roman" w:cs="Times New Roman"/>
                <w:i/>
                <w:iCs/>
                <w:color w:val="000000"/>
                <w:sz w:val="20"/>
                <w:szCs w:val="20"/>
              </w:rPr>
            </w:pPr>
            <w:r w:rsidRPr="000A316F">
              <w:rPr>
                <w:rFonts w:eastAsia="Times New Roman" w:cs="Times New Roman"/>
                <w:i/>
                <w:iCs/>
                <w:color w:val="000000"/>
                <w:sz w:val="20"/>
                <w:szCs w:val="20"/>
              </w:rPr>
              <w:t>100</w:t>
            </w:r>
          </w:p>
        </w:tc>
        <w:tc>
          <w:tcPr>
            <w:tcW w:w="2250" w:type="dxa"/>
            <w:tcBorders>
              <w:top w:val="nil"/>
              <w:left w:val="dashed" w:sz="4" w:space="0" w:color="auto"/>
              <w:bottom w:val="single" w:sz="4" w:space="0" w:color="auto"/>
              <w:right w:val="single" w:sz="4" w:space="0" w:color="auto"/>
            </w:tcBorders>
            <w:shd w:val="clear" w:color="auto" w:fill="FFFFFF" w:themeFill="background1"/>
            <w:vAlign w:val="center"/>
          </w:tcPr>
          <w:p w14:paraId="5020CA26" w14:textId="77777777" w:rsidR="00B9063E" w:rsidRDefault="00B9063E" w:rsidP="00457152">
            <w:pPr>
              <w:spacing w:line="240" w:lineRule="auto"/>
              <w:rPr>
                <w:rFonts w:eastAsia="Times New Roman" w:cs="Times New Roman"/>
                <w:i/>
                <w:iCs/>
                <w:color w:val="000000"/>
                <w:sz w:val="20"/>
                <w:szCs w:val="20"/>
              </w:rPr>
            </w:pPr>
          </w:p>
        </w:tc>
      </w:tr>
    </w:tbl>
    <w:p w14:paraId="5DB6C715" w14:textId="77777777" w:rsidR="003F2B1D" w:rsidRDefault="003F2B1D" w:rsidP="00B67A66">
      <w:pPr>
        <w:jc w:val="both"/>
        <w:rPr>
          <w:bCs/>
        </w:rPr>
      </w:pPr>
    </w:p>
    <w:p w14:paraId="6CAAD129" w14:textId="77777777" w:rsidR="002C0489" w:rsidRPr="00B9063E" w:rsidRDefault="002C0489" w:rsidP="00B9063E">
      <w:pPr>
        <w:jc w:val="both"/>
        <w:rPr>
          <w:bCs/>
        </w:rPr>
      </w:pPr>
    </w:p>
    <w:p w14:paraId="1C9E9D2C" w14:textId="5A18B80A" w:rsidR="001B40D5" w:rsidRPr="00E961C2" w:rsidRDefault="00E961C2" w:rsidP="00E961C2">
      <w:pPr>
        <w:ind w:firstLine="720"/>
        <w:jc w:val="both"/>
        <w:rPr>
          <w:bCs/>
        </w:rPr>
      </w:pPr>
      <w:r>
        <w:rPr>
          <w:b/>
          <w:bCs/>
        </w:rPr>
        <w:t xml:space="preserve">2.2.3 </w:t>
      </w:r>
      <w:r w:rsidR="00E94B37" w:rsidRPr="00E961C2">
        <w:rPr>
          <w:b/>
          <w:bCs/>
        </w:rPr>
        <w:t>Application</w:t>
      </w:r>
      <w:r w:rsidR="00207D7B" w:rsidRPr="00E961C2">
        <w:rPr>
          <w:b/>
          <w:bCs/>
        </w:rPr>
        <w:t xml:space="preserve"> of Stabilizing</w:t>
      </w:r>
      <w:r w:rsidR="00E94B37" w:rsidRPr="00E961C2">
        <w:rPr>
          <w:b/>
          <w:bCs/>
        </w:rPr>
        <w:t xml:space="preserve"> Agent</w:t>
      </w:r>
      <w:r w:rsidR="00BC1DA6" w:rsidRPr="00E961C2">
        <w:rPr>
          <w:bCs/>
        </w:rPr>
        <w:t xml:space="preserve"> </w:t>
      </w:r>
    </w:p>
    <w:p w14:paraId="1F7A2F65" w14:textId="281C020B" w:rsidR="00BC1DA6" w:rsidRPr="001B40D5" w:rsidRDefault="003130B2" w:rsidP="001B40D5">
      <w:pPr>
        <w:ind w:left="720" w:firstLine="720"/>
        <w:jc w:val="both"/>
        <w:rPr>
          <w:bCs/>
        </w:rPr>
      </w:pPr>
      <w:r>
        <w:rPr>
          <w:bCs/>
        </w:rPr>
        <w:t xml:space="preserve">This </w:t>
      </w:r>
      <w:r w:rsidR="003F2B1D" w:rsidRPr="001B40D5">
        <w:rPr>
          <w:bCs/>
        </w:rPr>
        <w:t xml:space="preserve">section defines how to </w:t>
      </w:r>
      <w:r w:rsidR="0019203C" w:rsidRPr="001B40D5">
        <w:rPr>
          <w:bCs/>
        </w:rPr>
        <w:t>place</w:t>
      </w:r>
      <w:r w:rsidR="00F52D27" w:rsidRPr="001B40D5">
        <w:rPr>
          <w:bCs/>
        </w:rPr>
        <w:t xml:space="preserve"> the</w:t>
      </w:r>
      <w:r w:rsidR="0019203C" w:rsidRPr="001B40D5">
        <w:rPr>
          <w:bCs/>
        </w:rPr>
        <w:t xml:space="preserve"> </w:t>
      </w:r>
      <w:r w:rsidR="005C198D" w:rsidRPr="001B40D5">
        <w:rPr>
          <w:bCs/>
        </w:rPr>
        <w:t>chemical stabilizer</w:t>
      </w:r>
      <w:r w:rsidR="0019203C" w:rsidRPr="001B40D5">
        <w:rPr>
          <w:bCs/>
        </w:rPr>
        <w:t xml:space="preserve"> throughout</w:t>
      </w:r>
      <w:r w:rsidR="00486123" w:rsidRPr="001B40D5">
        <w:rPr>
          <w:bCs/>
        </w:rPr>
        <w:t xml:space="preserve"> the construction site. </w:t>
      </w:r>
      <w:r w:rsidR="00EA26D1" w:rsidRPr="001B40D5">
        <w:rPr>
          <w:bCs/>
        </w:rPr>
        <w:t>V</w:t>
      </w:r>
      <w:r w:rsidR="0077750E" w:rsidRPr="001B40D5">
        <w:rPr>
          <w:bCs/>
        </w:rPr>
        <w:t>ariations between states other than Texas are negligible</w:t>
      </w:r>
      <w:r w:rsidR="00ED0C0A" w:rsidRPr="001B40D5">
        <w:rPr>
          <w:bCs/>
        </w:rPr>
        <w:t xml:space="preserve"> when it comes to applying</w:t>
      </w:r>
      <w:r w:rsidR="00486123" w:rsidRPr="001B40D5">
        <w:rPr>
          <w:bCs/>
        </w:rPr>
        <w:t xml:space="preserve"> and spreading </w:t>
      </w:r>
      <w:r w:rsidR="00553906" w:rsidRPr="001B40D5">
        <w:rPr>
          <w:bCs/>
        </w:rPr>
        <w:t xml:space="preserve">cementitious stabilizer. </w:t>
      </w:r>
      <w:r w:rsidR="0077750E" w:rsidRPr="001B40D5">
        <w:rPr>
          <w:bCs/>
        </w:rPr>
        <w:t xml:space="preserve">Application of lime stabilizer, on the </w:t>
      </w:r>
      <w:r w:rsidR="00ED0C0A" w:rsidRPr="001B40D5">
        <w:rPr>
          <w:bCs/>
        </w:rPr>
        <w:t>other hand, has some noticeable differences</w:t>
      </w:r>
      <w:r w:rsidR="0077750E" w:rsidRPr="001B40D5">
        <w:rPr>
          <w:bCs/>
        </w:rPr>
        <w:t xml:space="preserve"> between states.</w:t>
      </w:r>
    </w:p>
    <w:p w14:paraId="7231698A" w14:textId="77777777" w:rsidR="002C0489" w:rsidRPr="00E82956" w:rsidRDefault="002C0489" w:rsidP="00E82956">
      <w:pPr>
        <w:ind w:left="720"/>
        <w:jc w:val="both"/>
        <w:rPr>
          <w:bCs/>
        </w:rPr>
      </w:pPr>
    </w:p>
    <w:p w14:paraId="32FFA674" w14:textId="79F4A04F" w:rsidR="001B40D5" w:rsidRPr="001B40D5" w:rsidRDefault="001B40D5" w:rsidP="001B40D5">
      <w:pPr>
        <w:ind w:left="720" w:firstLine="720"/>
        <w:jc w:val="both"/>
        <w:rPr>
          <w:b/>
        </w:rPr>
      </w:pPr>
      <w:r>
        <w:rPr>
          <w:b/>
        </w:rPr>
        <w:t xml:space="preserve">2.2.3.1 </w:t>
      </w:r>
      <w:r w:rsidR="007D72FB" w:rsidRPr="001B40D5">
        <w:rPr>
          <w:b/>
        </w:rPr>
        <w:t>Application Requi</w:t>
      </w:r>
      <w:r w:rsidRPr="001B40D5">
        <w:rPr>
          <w:b/>
        </w:rPr>
        <w:t>rements for</w:t>
      </w:r>
      <w:r w:rsidR="003F2B1D" w:rsidRPr="001B40D5">
        <w:rPr>
          <w:b/>
        </w:rPr>
        <w:t xml:space="preserve"> </w:t>
      </w:r>
      <w:r w:rsidR="00583B0B" w:rsidRPr="001B40D5">
        <w:rPr>
          <w:b/>
        </w:rPr>
        <w:t xml:space="preserve">Cement </w:t>
      </w:r>
      <w:r w:rsidRPr="001B40D5">
        <w:rPr>
          <w:b/>
        </w:rPr>
        <w:t>Treated Subgrades</w:t>
      </w:r>
    </w:p>
    <w:p w14:paraId="2E08E898" w14:textId="109C8A4F" w:rsidR="00283B28" w:rsidRPr="001B40D5" w:rsidRDefault="004149AC" w:rsidP="001B40D5">
      <w:pPr>
        <w:ind w:left="1440" w:firstLine="360"/>
        <w:jc w:val="both"/>
        <w:rPr>
          <w:bCs/>
        </w:rPr>
      </w:pPr>
      <w:r w:rsidRPr="001B40D5">
        <w:rPr>
          <w:bCs/>
        </w:rPr>
        <w:t xml:space="preserve"> </w:t>
      </w:r>
      <w:r w:rsidR="001B40D5">
        <w:rPr>
          <w:bCs/>
        </w:rPr>
        <w:tab/>
      </w:r>
      <w:r w:rsidR="00553906" w:rsidRPr="001B40D5">
        <w:rPr>
          <w:bCs/>
        </w:rPr>
        <w:t>Arkansas, Louisiana, New Mexico, and Oklahoma all require cementitious stabilizer to be applied dry. Texas</w:t>
      </w:r>
      <w:r w:rsidR="00D92B9B" w:rsidRPr="001B40D5">
        <w:rPr>
          <w:bCs/>
        </w:rPr>
        <w:t>, however,</w:t>
      </w:r>
      <w:r w:rsidR="00553906" w:rsidRPr="001B40D5">
        <w:rPr>
          <w:bCs/>
        </w:rPr>
        <w:t xml:space="preserve"> allows both dry and slurry stabilizer placement. </w:t>
      </w:r>
      <w:r w:rsidR="00D92B9B" w:rsidRPr="001B40D5">
        <w:rPr>
          <w:bCs/>
        </w:rPr>
        <w:t xml:space="preserve">Dry cement is typically poured via dump truck in specified amounts </w:t>
      </w:r>
      <w:r w:rsidR="003468A9" w:rsidRPr="001B40D5">
        <w:rPr>
          <w:bCs/>
        </w:rPr>
        <w:t>throughout the construction area</w:t>
      </w:r>
      <w:r w:rsidR="00D92B9B" w:rsidRPr="001B40D5">
        <w:rPr>
          <w:bCs/>
        </w:rPr>
        <w:t xml:space="preserve">. Approved spreading equipment then distributes the piles of cement evenly throughout the site. </w:t>
      </w:r>
      <w:r w:rsidR="003468A9" w:rsidRPr="001B40D5">
        <w:rPr>
          <w:bCs/>
        </w:rPr>
        <w:t xml:space="preserve">For the slurry method, cement and water are mixed </w:t>
      </w:r>
      <w:r w:rsidR="003468A9" w:rsidRPr="001B40D5">
        <w:rPr>
          <w:bCs/>
        </w:rPr>
        <w:lastRenderedPageBreak/>
        <w:t>and continuously agitated in a slurry truck and then sprayed uniformly throughout the site until the design cement content is reached.</w:t>
      </w:r>
    </w:p>
    <w:p w14:paraId="1C5B35F3" w14:textId="77777777" w:rsidR="002C0489" w:rsidRPr="002C0489" w:rsidRDefault="002C0489" w:rsidP="002C0489">
      <w:pPr>
        <w:ind w:left="1440"/>
        <w:jc w:val="both"/>
        <w:rPr>
          <w:bCs/>
        </w:rPr>
      </w:pPr>
    </w:p>
    <w:p w14:paraId="1DCA7471" w14:textId="2F7EC063" w:rsidR="001B40D5" w:rsidRDefault="002C0489" w:rsidP="001B40D5">
      <w:pPr>
        <w:ind w:left="1440"/>
        <w:jc w:val="both"/>
        <w:rPr>
          <w:b/>
        </w:rPr>
      </w:pPr>
      <w:r w:rsidRPr="002C0489">
        <w:rPr>
          <w:b/>
        </w:rPr>
        <w:t xml:space="preserve">2.2.3.2 </w:t>
      </w:r>
      <w:r w:rsidR="003F2B1D">
        <w:rPr>
          <w:b/>
        </w:rPr>
        <w:t>App</w:t>
      </w:r>
      <w:r w:rsidR="001B40D5">
        <w:rPr>
          <w:b/>
        </w:rPr>
        <w:t>lication requirements for</w:t>
      </w:r>
      <w:r w:rsidR="003F2B1D">
        <w:rPr>
          <w:b/>
        </w:rPr>
        <w:t xml:space="preserve"> </w:t>
      </w:r>
      <w:r w:rsidR="00583B0B" w:rsidRPr="002C0489">
        <w:rPr>
          <w:b/>
        </w:rPr>
        <w:t xml:space="preserve">Lime </w:t>
      </w:r>
      <w:r w:rsidR="001B40D5">
        <w:rPr>
          <w:b/>
        </w:rPr>
        <w:t>Treated Subgrades</w:t>
      </w:r>
    </w:p>
    <w:p w14:paraId="107A9F3E" w14:textId="7AE1D595" w:rsidR="003468A9" w:rsidRDefault="00283B28" w:rsidP="001B40D5">
      <w:pPr>
        <w:ind w:left="1440" w:firstLine="720"/>
        <w:jc w:val="both"/>
        <w:rPr>
          <w:bCs/>
        </w:rPr>
      </w:pPr>
      <w:r w:rsidRPr="002C0489">
        <w:rPr>
          <w:bCs/>
        </w:rPr>
        <w:t>The five southern plains states allow lime stabilizer to be applied either dry or as a slurry</w:t>
      </w:r>
      <w:r w:rsidR="00947C11" w:rsidRPr="002C0489">
        <w:rPr>
          <w:bCs/>
        </w:rPr>
        <w:t xml:space="preserve">. </w:t>
      </w:r>
      <w:r w:rsidR="00F00553" w:rsidRPr="002C0489">
        <w:rPr>
          <w:bCs/>
        </w:rPr>
        <w:t xml:space="preserve">Dry lime products typically include quick lime and hydrated lime. They can both be distributed through the construction area with a spreading truck. </w:t>
      </w:r>
      <w:r w:rsidR="002B74DC" w:rsidRPr="002C0489">
        <w:rPr>
          <w:bCs/>
        </w:rPr>
        <w:t>Louisiana, Oklahoma, and Texas allow for h</w:t>
      </w:r>
      <w:r w:rsidR="00F00553" w:rsidRPr="002C0489">
        <w:rPr>
          <w:bCs/>
        </w:rPr>
        <w:t xml:space="preserve">ydrated lime </w:t>
      </w:r>
      <w:r w:rsidR="002B74DC" w:rsidRPr="002C0489">
        <w:rPr>
          <w:bCs/>
        </w:rPr>
        <w:t xml:space="preserve">to also </w:t>
      </w:r>
      <w:r w:rsidR="00F00553" w:rsidRPr="002C0489">
        <w:rPr>
          <w:bCs/>
        </w:rPr>
        <w:t>be distr</w:t>
      </w:r>
      <w:r w:rsidR="002B74DC" w:rsidRPr="002C0489">
        <w:rPr>
          <w:bCs/>
        </w:rPr>
        <w:t>ibuted in bags and then spread. Approved spreading equipment then distributes the piles of lime evenly throughout the site. For the slurry method, lime and water are mixed and continuously agitated in a slurry truck and then sprayed uniformly throughout the site until the design lime content is reached.</w:t>
      </w:r>
    </w:p>
    <w:p w14:paraId="5AAF9104" w14:textId="77777777" w:rsidR="002C0489" w:rsidRPr="002C0489" w:rsidRDefault="002C0489" w:rsidP="002C0489">
      <w:pPr>
        <w:ind w:left="1440"/>
        <w:jc w:val="both"/>
        <w:rPr>
          <w:bCs/>
        </w:rPr>
      </w:pPr>
    </w:p>
    <w:p w14:paraId="463DEE93" w14:textId="6695B275" w:rsidR="00345744" w:rsidRDefault="00F35850" w:rsidP="002C0489">
      <w:pPr>
        <w:ind w:left="720" w:firstLine="720"/>
        <w:jc w:val="both"/>
        <w:rPr>
          <w:bCs/>
        </w:rPr>
      </w:pPr>
      <w:r>
        <w:rPr>
          <w:bCs/>
        </w:rPr>
        <w:t xml:space="preserve">Uniformly spreading the chemical stabilizer presents </w:t>
      </w:r>
      <w:r w:rsidR="00FD2EB6">
        <w:rPr>
          <w:bCs/>
        </w:rPr>
        <w:t xml:space="preserve">unique challenges regarding spatial homogeneity. Due to the large scale nature of subgrade stabilization, spatial variability </w:t>
      </w:r>
      <w:r w:rsidR="000E2EA3">
        <w:rPr>
          <w:bCs/>
        </w:rPr>
        <w:t xml:space="preserve">is </w:t>
      </w:r>
      <w:r w:rsidR="0077750E">
        <w:rPr>
          <w:bCs/>
        </w:rPr>
        <w:t>anticipated</w:t>
      </w:r>
      <w:r w:rsidR="00FD2EB6">
        <w:rPr>
          <w:bCs/>
        </w:rPr>
        <w:t xml:space="preserve">. </w:t>
      </w:r>
      <w:r w:rsidR="000E2EA3">
        <w:rPr>
          <w:bCs/>
        </w:rPr>
        <w:t xml:space="preserve">Uniform thickness of stabilizer throughout the site </w:t>
      </w:r>
      <w:r w:rsidR="00345744">
        <w:rPr>
          <w:bCs/>
        </w:rPr>
        <w:t xml:space="preserve">is simply not possible due to factors like surface roughness from scarification and tire depressions from the work trucks. Stabilizer will fill these depressions and voids, creating </w:t>
      </w:r>
      <w:r w:rsidR="00F87896">
        <w:rPr>
          <w:bCs/>
        </w:rPr>
        <w:t>higher concentrations of stabilizer in those locations</w:t>
      </w:r>
      <w:r w:rsidR="00345744">
        <w:rPr>
          <w:bCs/>
        </w:rPr>
        <w:t>.</w:t>
      </w:r>
    </w:p>
    <w:p w14:paraId="140B0800" w14:textId="77777777" w:rsidR="00056ABE" w:rsidRDefault="00056ABE" w:rsidP="00345744">
      <w:pPr>
        <w:ind w:left="720"/>
        <w:jc w:val="both"/>
        <w:rPr>
          <w:bCs/>
        </w:rPr>
      </w:pPr>
    </w:p>
    <w:p w14:paraId="0A8E8FEA" w14:textId="77777777" w:rsidR="00175936" w:rsidRDefault="00175936" w:rsidP="00345744">
      <w:pPr>
        <w:ind w:left="720"/>
        <w:jc w:val="both"/>
        <w:rPr>
          <w:bCs/>
        </w:rPr>
      </w:pPr>
    </w:p>
    <w:p w14:paraId="0EA937B2" w14:textId="2574110B" w:rsidR="001B40D5" w:rsidRPr="001B40D5" w:rsidRDefault="001B40D5" w:rsidP="001B40D5">
      <w:pPr>
        <w:ind w:firstLine="720"/>
        <w:jc w:val="both"/>
        <w:rPr>
          <w:bCs/>
        </w:rPr>
      </w:pPr>
      <w:r>
        <w:rPr>
          <w:b/>
        </w:rPr>
        <w:lastRenderedPageBreak/>
        <w:t xml:space="preserve">2.2.4 </w:t>
      </w:r>
      <w:r w:rsidR="00345744" w:rsidRPr="001B40D5">
        <w:rPr>
          <w:b/>
        </w:rPr>
        <w:t>Mixing</w:t>
      </w:r>
    </w:p>
    <w:p w14:paraId="71EBDB04" w14:textId="0CCA61F6" w:rsidR="00345744" w:rsidRPr="001B40D5" w:rsidRDefault="003F2B1D" w:rsidP="001B40D5">
      <w:pPr>
        <w:ind w:left="720" w:firstLine="720"/>
        <w:jc w:val="both"/>
        <w:rPr>
          <w:bCs/>
        </w:rPr>
      </w:pPr>
      <w:r w:rsidRPr="001B40D5">
        <w:rPr>
          <w:bCs/>
        </w:rPr>
        <w:t xml:space="preserve">This sub-section provides requirements on </w:t>
      </w:r>
      <w:r w:rsidR="0077750E" w:rsidRPr="001B40D5">
        <w:rPr>
          <w:bCs/>
        </w:rPr>
        <w:t>mix</w:t>
      </w:r>
      <w:r w:rsidRPr="001B40D5">
        <w:rPr>
          <w:bCs/>
        </w:rPr>
        <w:t>ing</w:t>
      </w:r>
      <w:r w:rsidR="0077750E" w:rsidRPr="001B40D5">
        <w:rPr>
          <w:bCs/>
        </w:rPr>
        <w:t xml:space="preserve"> the stabilizing agent</w:t>
      </w:r>
      <w:r w:rsidR="00451791" w:rsidRPr="001B40D5">
        <w:rPr>
          <w:bCs/>
        </w:rPr>
        <w:t xml:space="preserve"> with the prepared subgrade.</w:t>
      </w:r>
      <w:r w:rsidR="00B34946" w:rsidRPr="001B40D5">
        <w:rPr>
          <w:bCs/>
        </w:rPr>
        <w:t xml:space="preserve"> Differences in procedures between states are negligible for cement mixing</w:t>
      </w:r>
      <w:r w:rsidR="00056ABE" w:rsidRPr="001B40D5">
        <w:rPr>
          <w:bCs/>
        </w:rPr>
        <w:t xml:space="preserve"> while some small difference exist for lime mixing.</w:t>
      </w:r>
    </w:p>
    <w:p w14:paraId="1F9CBA9B" w14:textId="77777777" w:rsidR="002C0489" w:rsidRPr="002C0489" w:rsidRDefault="002C0489" w:rsidP="002C0489">
      <w:pPr>
        <w:ind w:left="720"/>
        <w:jc w:val="both"/>
        <w:rPr>
          <w:bCs/>
        </w:rPr>
      </w:pPr>
    </w:p>
    <w:p w14:paraId="3569C6D6" w14:textId="77777777" w:rsidR="001B40D5" w:rsidRDefault="002C0489" w:rsidP="002C0489">
      <w:pPr>
        <w:ind w:left="1440"/>
        <w:jc w:val="both"/>
        <w:rPr>
          <w:bCs/>
        </w:rPr>
      </w:pPr>
      <w:r w:rsidRPr="002C0489">
        <w:rPr>
          <w:b/>
        </w:rPr>
        <w:t xml:space="preserve">2.2.4.1 </w:t>
      </w:r>
      <w:r w:rsidR="001B40D5">
        <w:rPr>
          <w:b/>
        </w:rPr>
        <w:t>Mixing requirements for</w:t>
      </w:r>
      <w:r w:rsidR="003F2B1D">
        <w:rPr>
          <w:b/>
        </w:rPr>
        <w:t xml:space="preserve"> </w:t>
      </w:r>
      <w:r w:rsidR="00583B0B" w:rsidRPr="002C0489">
        <w:rPr>
          <w:b/>
        </w:rPr>
        <w:t xml:space="preserve">Cement </w:t>
      </w:r>
      <w:r w:rsidR="00583B0B" w:rsidRPr="007D72FB">
        <w:rPr>
          <w:b/>
        </w:rPr>
        <w:t>T</w:t>
      </w:r>
      <w:r w:rsidR="001B40D5">
        <w:rPr>
          <w:b/>
        </w:rPr>
        <w:t>reated Subgrades</w:t>
      </w:r>
      <w:r w:rsidR="00B34946" w:rsidRPr="002C0489">
        <w:rPr>
          <w:bCs/>
        </w:rPr>
        <w:t xml:space="preserve"> </w:t>
      </w:r>
    </w:p>
    <w:p w14:paraId="4170C818" w14:textId="35FDD6CF" w:rsidR="00B34946" w:rsidRDefault="00D2140F" w:rsidP="001B40D5">
      <w:pPr>
        <w:ind w:left="1440" w:firstLine="720"/>
        <w:jc w:val="both"/>
        <w:rPr>
          <w:bCs/>
        </w:rPr>
      </w:pPr>
      <w:r w:rsidRPr="002C0489">
        <w:rPr>
          <w:bCs/>
        </w:rPr>
        <w:t>All of the southern plains states require cement stabilizing agent</w:t>
      </w:r>
      <w:r w:rsidR="0024220B" w:rsidRPr="002C0489">
        <w:rPr>
          <w:bCs/>
        </w:rPr>
        <w:t>s</w:t>
      </w:r>
      <w:r w:rsidRPr="002C0489">
        <w:rPr>
          <w:bCs/>
        </w:rPr>
        <w:t xml:space="preserve"> to be mixed into the subgrade with self-powered mechanical rotor mixers as seen in </w:t>
      </w:r>
      <w:r w:rsidR="00F726A5" w:rsidRPr="002C0489">
        <w:rPr>
          <w:bCs/>
        </w:rPr>
        <w:fldChar w:fldCharType="begin"/>
      </w:r>
      <w:r w:rsidR="00F726A5" w:rsidRPr="002C0489">
        <w:rPr>
          <w:bCs/>
        </w:rPr>
        <w:instrText xml:space="preserve"> REF _Ref437862979 \h </w:instrText>
      </w:r>
      <w:r w:rsidR="00F726A5" w:rsidRPr="002C0489">
        <w:rPr>
          <w:bCs/>
        </w:rPr>
      </w:r>
      <w:r w:rsidR="00F726A5" w:rsidRPr="002C0489">
        <w:rPr>
          <w:bCs/>
        </w:rPr>
        <w:fldChar w:fldCharType="separate"/>
      </w:r>
      <w:r w:rsidR="00E90148">
        <w:t xml:space="preserve">Figure </w:t>
      </w:r>
      <w:r w:rsidR="00E90148">
        <w:rPr>
          <w:noProof/>
        </w:rPr>
        <w:t>2</w:t>
      </w:r>
      <w:r w:rsidR="00F726A5" w:rsidRPr="002C0489">
        <w:rPr>
          <w:bCs/>
        </w:rPr>
        <w:fldChar w:fldCharType="end"/>
      </w:r>
      <w:r w:rsidRPr="002C0489">
        <w:rPr>
          <w:bCs/>
        </w:rPr>
        <w:t>. All design specifications call for the site to be mixed until a uniform mix is achieved; however, Louisiana is only state that includes a minimum number of passes (i.e. two passes with the mixer).</w:t>
      </w:r>
      <w:r w:rsidR="00196934" w:rsidRPr="002C0489">
        <w:rPr>
          <w:bCs/>
        </w:rPr>
        <w:t xml:space="preserve"> </w:t>
      </w:r>
      <w:r w:rsidR="003F2B1D">
        <w:rPr>
          <w:bCs/>
        </w:rPr>
        <w:t>Each specification requires that m</w:t>
      </w:r>
      <w:r w:rsidR="00196934" w:rsidRPr="002C0489">
        <w:rPr>
          <w:bCs/>
        </w:rPr>
        <w:t xml:space="preserve">oisture </w:t>
      </w:r>
      <w:r w:rsidR="003F2B1D">
        <w:rPr>
          <w:bCs/>
        </w:rPr>
        <w:t>is</w:t>
      </w:r>
      <w:r w:rsidR="00196934" w:rsidRPr="002C0489">
        <w:rPr>
          <w:bCs/>
        </w:rPr>
        <w:t xml:space="preserve"> continuously added during operations to maintain a moisture content that is at optimum or slightly higher than optimum</w:t>
      </w:r>
      <w:r w:rsidR="003F2B1D">
        <w:rPr>
          <w:bCs/>
        </w:rPr>
        <w:t xml:space="preserve"> </w:t>
      </w:r>
      <w:r w:rsidR="00B968E5">
        <w:rPr>
          <w:bCs/>
        </w:rPr>
        <w:t>and</w:t>
      </w:r>
      <w:r w:rsidR="003F2B1D">
        <w:rPr>
          <w:bCs/>
        </w:rPr>
        <w:t xml:space="preserve"> that m</w:t>
      </w:r>
      <w:r w:rsidR="00196934" w:rsidRPr="002C0489">
        <w:rPr>
          <w:bCs/>
        </w:rPr>
        <w:t xml:space="preserve">ixing depth </w:t>
      </w:r>
      <w:r w:rsidR="003F2B1D" w:rsidRPr="002C0489">
        <w:rPr>
          <w:bCs/>
        </w:rPr>
        <w:t>sh</w:t>
      </w:r>
      <w:r w:rsidR="003F2B1D">
        <w:rPr>
          <w:bCs/>
        </w:rPr>
        <w:t>ould</w:t>
      </w:r>
      <w:r w:rsidR="003F2B1D" w:rsidRPr="002C0489">
        <w:rPr>
          <w:bCs/>
        </w:rPr>
        <w:t xml:space="preserve"> </w:t>
      </w:r>
      <w:r w:rsidR="00196934" w:rsidRPr="002C0489">
        <w:rPr>
          <w:bCs/>
        </w:rPr>
        <w:t xml:space="preserve">be limited to the design depth of the subgrade. </w:t>
      </w:r>
    </w:p>
    <w:p w14:paraId="5A67B974" w14:textId="77777777" w:rsidR="003130B2" w:rsidRDefault="003130B2" w:rsidP="001B40D5">
      <w:pPr>
        <w:ind w:left="1440" w:firstLine="720"/>
        <w:jc w:val="both"/>
        <w:rPr>
          <w:bCs/>
        </w:rPr>
      </w:pPr>
    </w:p>
    <w:p w14:paraId="068EF7E1" w14:textId="77777777" w:rsidR="003130B2" w:rsidRPr="008247CD" w:rsidRDefault="003130B2" w:rsidP="003130B2">
      <w:pPr>
        <w:pStyle w:val="ListParagraph"/>
        <w:ind w:left="0"/>
        <w:rPr>
          <w:bCs/>
        </w:rPr>
      </w:pPr>
      <w:r>
        <w:rPr>
          <w:noProof/>
        </w:rPr>
        <w:lastRenderedPageBreak/>
        <mc:AlternateContent>
          <mc:Choice Requires="wps">
            <w:drawing>
              <wp:anchor distT="45720" distB="45720" distL="114300" distR="114300" simplePos="0" relativeHeight="251663360" behindDoc="0" locked="0" layoutInCell="1" allowOverlap="1" wp14:anchorId="5C68C6E4" wp14:editId="3AA2F5D1">
                <wp:simplePos x="0" y="0"/>
                <wp:positionH relativeFrom="margin">
                  <wp:align>right</wp:align>
                </wp:positionH>
                <wp:positionV relativeFrom="paragraph">
                  <wp:posOffset>2756535</wp:posOffset>
                </wp:positionV>
                <wp:extent cx="2360930" cy="2762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noFill/>
                        <a:ln w="9525">
                          <a:noFill/>
                          <a:miter lim="800000"/>
                          <a:headEnd/>
                          <a:tailEnd/>
                        </a:ln>
                      </wps:spPr>
                      <wps:txbx>
                        <w:txbxContent>
                          <w:p w14:paraId="2E0EBDAA" w14:textId="77777777" w:rsidR="00D0002C" w:rsidRPr="0087576C" w:rsidRDefault="00D0002C" w:rsidP="003130B2">
                            <w:pPr>
                              <w:rPr>
                                <w:color w:val="FFFFFF" w:themeColor="background1"/>
                              </w:rPr>
                            </w:pPr>
                            <w:r>
                              <w:rPr>
                                <w:color w:val="FFFFFF" w:themeColor="background1"/>
                              </w:rPr>
                              <w:t>ClaussenFarms</w:t>
                            </w:r>
                            <w:r w:rsidRPr="0087576C">
                              <w:rPr>
                                <w:color w:val="FFFFFF" w:themeColor="background1"/>
                              </w:rPr>
                              <w:t>.com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68C6E4" id="_x0000_s1027" type="#_x0000_t202" style="position:absolute;left:0;text-align:left;margin-left:134.7pt;margin-top:217.05pt;width:185.9pt;height:21.75pt;z-index:25166336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" filled="f" stroked="f">
                <v:textbox>
                  <w:txbxContent>
                    <w:p w14:paraId="2E0EBDAA" w14:textId="77777777" w:rsidR="00D0002C" w:rsidRPr="0087576C" w:rsidRDefault="00D0002C" w:rsidP="003130B2">
                      <w:pPr>
                        <w:rPr>
                          <w:color w:val="FFFFFF" w:themeColor="background1"/>
                        </w:rPr>
                      </w:pPr>
                      <w:r>
                        <w:rPr>
                          <w:color w:val="FFFFFF" w:themeColor="background1"/>
                        </w:rPr>
                        <w:t>ClaussenFarms</w:t>
                      </w:r>
                      <w:r w:rsidRPr="0087576C">
                        <w:rPr>
                          <w:color w:val="FFFFFF" w:themeColor="background1"/>
                        </w:rPr>
                        <w:t>.com</w:t>
                      </w:r>
                    </w:p>
                  </w:txbxContent>
                </v:textbox>
                <w10:wrap anchorx="margin"/>
              </v:shape>
            </w:pict>
          </mc:Fallback>
        </mc:AlternateContent>
      </w:r>
      <w:r>
        <w:rPr>
          <w:noProof/>
        </w:rPr>
        <w:drawing>
          <wp:inline distT="0" distB="0" distL="0" distR="0" wp14:anchorId="18BD165D" wp14:editId="290FB38C">
            <wp:extent cx="5394960" cy="3034665"/>
            <wp:effectExtent l="0" t="0" r="0" b="0"/>
            <wp:docPr id="10" name="Picture 10" descr="http://claussenfarms.com/img/equipment/Claussen-Farms-Road-Mach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aussenfarms.com/img/equipment/Claussen-Farms-Road-Machin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3034665"/>
                    </a:xfrm>
                    <a:prstGeom prst="roundRect">
                      <a:avLst/>
                    </a:prstGeom>
                    <a:noFill/>
                    <a:ln>
                      <a:noFill/>
                    </a:ln>
                  </pic:spPr>
                </pic:pic>
              </a:graphicData>
            </a:graphic>
          </wp:inline>
        </w:drawing>
      </w:r>
    </w:p>
    <w:p w14:paraId="35C83367" w14:textId="77777777" w:rsidR="003130B2" w:rsidRDefault="003130B2" w:rsidP="003130B2">
      <w:pPr>
        <w:pStyle w:val="Caption"/>
      </w:pPr>
      <w:bookmarkStart w:id="7" w:name="_Ref437862979"/>
      <w:bookmarkStart w:id="8" w:name="_Toc437863879"/>
      <w:bookmarkStart w:id="9" w:name="_Toc447755340"/>
      <w:r>
        <w:t xml:space="preserve">Figure </w:t>
      </w:r>
      <w:r w:rsidR="00184FC2">
        <w:fldChar w:fldCharType="begin"/>
      </w:r>
      <w:r w:rsidR="00184FC2">
        <w:instrText xml:space="preserve"> SEQ Figure \* ARABIC </w:instrText>
      </w:r>
      <w:r w:rsidR="00184FC2">
        <w:fldChar w:fldCharType="separate"/>
      </w:r>
      <w:r w:rsidR="00E90148">
        <w:rPr>
          <w:noProof/>
        </w:rPr>
        <w:t>2</w:t>
      </w:r>
      <w:r w:rsidR="00184FC2">
        <w:rPr>
          <w:noProof/>
        </w:rPr>
        <w:fldChar w:fldCharType="end"/>
      </w:r>
      <w:bookmarkEnd w:id="7"/>
      <w:r>
        <w:t>: Self-Powered Mechanical Rotor Mixers</w:t>
      </w:r>
      <w:bookmarkEnd w:id="8"/>
      <w:bookmarkEnd w:id="9"/>
    </w:p>
    <w:p w14:paraId="67A77E14" w14:textId="77777777" w:rsidR="002C0489" w:rsidRPr="002C0489" w:rsidRDefault="002C0489" w:rsidP="002C0489">
      <w:pPr>
        <w:ind w:left="1440"/>
        <w:jc w:val="both"/>
        <w:rPr>
          <w:bCs/>
        </w:rPr>
      </w:pPr>
    </w:p>
    <w:p w14:paraId="4346F3FB" w14:textId="77777777" w:rsidR="001B40D5" w:rsidRDefault="002C0489" w:rsidP="001B40D5">
      <w:pPr>
        <w:ind w:left="1440"/>
        <w:jc w:val="both"/>
        <w:rPr>
          <w:b/>
        </w:rPr>
      </w:pPr>
      <w:r w:rsidRPr="002C0489">
        <w:rPr>
          <w:b/>
        </w:rPr>
        <w:t xml:space="preserve">2.2.4.2 </w:t>
      </w:r>
      <w:r w:rsidR="007D72FB">
        <w:rPr>
          <w:b/>
        </w:rPr>
        <w:t xml:space="preserve">Mixing Requirements </w:t>
      </w:r>
      <w:r w:rsidR="001B40D5">
        <w:rPr>
          <w:b/>
        </w:rPr>
        <w:t>for</w:t>
      </w:r>
      <w:r w:rsidR="003F2B1D">
        <w:rPr>
          <w:b/>
        </w:rPr>
        <w:t xml:space="preserve"> </w:t>
      </w:r>
      <w:r w:rsidR="00196934" w:rsidRPr="002C0489">
        <w:rPr>
          <w:b/>
        </w:rPr>
        <w:t xml:space="preserve">Lime </w:t>
      </w:r>
      <w:r w:rsidR="00583B0B" w:rsidRPr="002C0489">
        <w:rPr>
          <w:b/>
        </w:rPr>
        <w:t>T</w:t>
      </w:r>
      <w:r w:rsidR="00196934" w:rsidRPr="002C0489">
        <w:rPr>
          <w:b/>
        </w:rPr>
        <w:t>reat</w:t>
      </w:r>
      <w:r w:rsidR="001B40D5">
        <w:rPr>
          <w:b/>
        </w:rPr>
        <w:t>ed Subgrades</w:t>
      </w:r>
    </w:p>
    <w:p w14:paraId="063EB4E1" w14:textId="140ABFD3" w:rsidR="00056ABE" w:rsidRPr="002C0489" w:rsidRDefault="0024220B" w:rsidP="001B40D5">
      <w:pPr>
        <w:ind w:left="1440" w:firstLine="720"/>
        <w:jc w:val="both"/>
        <w:rPr>
          <w:bCs/>
        </w:rPr>
      </w:pPr>
      <w:r w:rsidRPr="002C0489">
        <w:rPr>
          <w:bCs/>
        </w:rPr>
        <w:t>The mixing phase of lime treatment generally consists of an initial mixing phase</w:t>
      </w:r>
      <w:r w:rsidR="000525F5">
        <w:rPr>
          <w:bCs/>
        </w:rPr>
        <w:t>,</w:t>
      </w:r>
      <w:r w:rsidRPr="002C0489">
        <w:rPr>
          <w:bCs/>
        </w:rPr>
        <w:t xml:space="preserve"> followed by a mellowing period</w:t>
      </w:r>
      <w:r w:rsidR="000525F5">
        <w:rPr>
          <w:bCs/>
        </w:rPr>
        <w:t xml:space="preserve">, </w:t>
      </w:r>
      <w:r w:rsidRPr="002C0489">
        <w:rPr>
          <w:bCs/>
        </w:rPr>
        <w:t xml:space="preserve">followed by a final mixing phase. Mixing is achieved using self-powered mechanical rotor mixers as seen in </w:t>
      </w:r>
      <w:r w:rsidR="00F726A5" w:rsidRPr="002C0489">
        <w:rPr>
          <w:bCs/>
        </w:rPr>
        <w:fldChar w:fldCharType="begin"/>
      </w:r>
      <w:r w:rsidR="00F726A5" w:rsidRPr="002C0489">
        <w:rPr>
          <w:bCs/>
        </w:rPr>
        <w:instrText xml:space="preserve"> REF _Ref437862979 \h </w:instrText>
      </w:r>
      <w:r w:rsidR="00F726A5" w:rsidRPr="002C0489">
        <w:rPr>
          <w:bCs/>
        </w:rPr>
      </w:r>
      <w:r w:rsidR="00F726A5" w:rsidRPr="002C0489">
        <w:rPr>
          <w:bCs/>
        </w:rPr>
        <w:fldChar w:fldCharType="separate"/>
      </w:r>
      <w:r w:rsidR="00E90148">
        <w:t xml:space="preserve">Figure </w:t>
      </w:r>
      <w:r w:rsidR="00E90148">
        <w:rPr>
          <w:noProof/>
        </w:rPr>
        <w:t>2</w:t>
      </w:r>
      <w:r w:rsidR="00F726A5" w:rsidRPr="002C0489">
        <w:rPr>
          <w:bCs/>
        </w:rPr>
        <w:fldChar w:fldCharType="end"/>
      </w:r>
      <w:r w:rsidRPr="002C0489">
        <w:rPr>
          <w:bCs/>
        </w:rPr>
        <w:t xml:space="preserve">, which must also be equipped to inject water while mixing. </w:t>
      </w:r>
      <w:r w:rsidR="00DC71B7" w:rsidRPr="002C0489">
        <w:rPr>
          <w:bCs/>
        </w:rPr>
        <w:t>Arkansas</w:t>
      </w:r>
      <w:r w:rsidR="00AA61D8" w:rsidRPr="002C0489">
        <w:rPr>
          <w:bCs/>
        </w:rPr>
        <w:t xml:space="preserve"> and</w:t>
      </w:r>
      <w:r w:rsidR="00DC71B7" w:rsidRPr="002C0489">
        <w:rPr>
          <w:bCs/>
        </w:rPr>
        <w:t xml:space="preserve"> Oklahoma</w:t>
      </w:r>
      <w:r w:rsidRPr="002C0489">
        <w:rPr>
          <w:bCs/>
        </w:rPr>
        <w:t xml:space="preserve"> require a minimum mellowing time of three days</w:t>
      </w:r>
      <w:r w:rsidR="00DC71B7" w:rsidRPr="002C0489">
        <w:rPr>
          <w:bCs/>
        </w:rPr>
        <w:t>, Louisiana requires two days, and New Mexico and Texas require one day. Final mixing is achieved by the same means as initial mixing.</w:t>
      </w:r>
    </w:p>
    <w:p w14:paraId="6369CDD2" w14:textId="77777777" w:rsidR="00F726A5" w:rsidRDefault="00F726A5" w:rsidP="00F726A5"/>
    <w:p w14:paraId="1AE82FC3" w14:textId="4F1A7CC0" w:rsidR="00DC71B7" w:rsidRDefault="00DC71B7" w:rsidP="000525F5">
      <w:pPr>
        <w:ind w:left="720" w:firstLine="720"/>
        <w:jc w:val="both"/>
        <w:rPr>
          <w:bCs/>
        </w:rPr>
      </w:pPr>
      <w:r>
        <w:rPr>
          <w:bCs/>
        </w:rPr>
        <w:t xml:space="preserve">Adequately mixing the chemical agents </w:t>
      </w:r>
      <w:r w:rsidR="00812E9D">
        <w:rPr>
          <w:bCs/>
        </w:rPr>
        <w:t xml:space="preserve">into the soil to produce a uniform mix is one of the most challenging components of subgrade stabilization (Army </w:t>
      </w:r>
      <w:r w:rsidR="00812E9D">
        <w:rPr>
          <w:bCs/>
        </w:rPr>
        <w:lastRenderedPageBreak/>
        <w:t>and Air Force 1994). Inadequate mixing is defined</w:t>
      </w:r>
      <w:r w:rsidR="00004E93">
        <w:rPr>
          <w:bCs/>
        </w:rPr>
        <w:t xml:space="preserve"> in some design specifications</w:t>
      </w:r>
      <w:r w:rsidR="00812E9D">
        <w:rPr>
          <w:bCs/>
        </w:rPr>
        <w:t xml:space="preserve"> as the presence of visible streaks and pockets of s</w:t>
      </w:r>
      <w:r w:rsidR="00004E93">
        <w:rPr>
          <w:bCs/>
        </w:rPr>
        <w:t>tabilizing agent.</w:t>
      </w:r>
      <w:r w:rsidR="00812E9D">
        <w:rPr>
          <w:bCs/>
        </w:rPr>
        <w:t xml:space="preserve"> This is limited to the surface, however.</w:t>
      </w:r>
      <w:r w:rsidR="00004E93">
        <w:rPr>
          <w:bCs/>
        </w:rPr>
        <w:t xml:space="preserve"> Spatial and depth heterogeneity is likely inevitable due to the macro nature of mixing and the micro nature of chemical reactions. </w:t>
      </w:r>
      <w:r w:rsidR="004F34E4">
        <w:rPr>
          <w:bCs/>
        </w:rPr>
        <w:t>Additionally</w:t>
      </w:r>
      <w:r w:rsidR="00004E93">
        <w:rPr>
          <w:bCs/>
        </w:rPr>
        <w:t xml:space="preserve">, it is unlikely that all </w:t>
      </w:r>
      <w:r w:rsidR="00CA2164">
        <w:rPr>
          <w:bCs/>
        </w:rPr>
        <w:t>stabilizer</w:t>
      </w:r>
      <w:r w:rsidR="00004E93">
        <w:rPr>
          <w:bCs/>
        </w:rPr>
        <w:t xml:space="preserve"> in the subgrade react</w:t>
      </w:r>
      <w:r w:rsidR="00CA2164">
        <w:rPr>
          <w:bCs/>
        </w:rPr>
        <w:t>s</w:t>
      </w:r>
      <w:r w:rsidR="00004E93">
        <w:rPr>
          <w:bCs/>
        </w:rPr>
        <w:t xml:space="preserve"> completely with each of the constituents </w:t>
      </w:r>
      <w:r w:rsidR="000525F5">
        <w:rPr>
          <w:bCs/>
        </w:rPr>
        <w:t xml:space="preserve">for the reaction </w:t>
      </w:r>
      <w:r w:rsidR="00004E93">
        <w:rPr>
          <w:bCs/>
        </w:rPr>
        <w:t>(i.e</w:t>
      </w:r>
      <w:r w:rsidR="00CA2164">
        <w:rPr>
          <w:bCs/>
        </w:rPr>
        <w:t>. the soil</w:t>
      </w:r>
      <w:r w:rsidR="00E3252E">
        <w:rPr>
          <w:bCs/>
        </w:rPr>
        <w:t xml:space="preserve"> and water).</w:t>
      </w:r>
    </w:p>
    <w:p w14:paraId="220AD614" w14:textId="77777777" w:rsidR="007A3197" w:rsidRDefault="007A3197" w:rsidP="000525F5">
      <w:pPr>
        <w:ind w:left="720" w:firstLine="720"/>
        <w:jc w:val="both"/>
        <w:rPr>
          <w:bCs/>
        </w:rPr>
      </w:pPr>
    </w:p>
    <w:p w14:paraId="4630B0AF" w14:textId="60058FC6" w:rsidR="00E3252E" w:rsidRPr="0008126D" w:rsidRDefault="0008126D" w:rsidP="0008126D">
      <w:pPr>
        <w:ind w:firstLine="720"/>
        <w:jc w:val="both"/>
        <w:rPr>
          <w:b/>
        </w:rPr>
      </w:pPr>
      <w:r>
        <w:rPr>
          <w:b/>
        </w:rPr>
        <w:t xml:space="preserve">2.2.5 </w:t>
      </w:r>
      <w:r w:rsidR="00E3252E" w:rsidRPr="0008126D">
        <w:rPr>
          <w:b/>
        </w:rPr>
        <w:t>Compaction</w:t>
      </w:r>
    </w:p>
    <w:p w14:paraId="53B3F542" w14:textId="2CB81446" w:rsidR="0008126D" w:rsidRDefault="0008126D" w:rsidP="00157E64">
      <w:pPr>
        <w:ind w:left="720" w:firstLine="720"/>
        <w:jc w:val="both"/>
        <w:rPr>
          <w:bCs/>
        </w:rPr>
      </w:pPr>
      <w:r w:rsidRPr="00412181">
        <w:rPr>
          <w:bCs/>
        </w:rPr>
        <w:t xml:space="preserve">This section provides instructions on how to </w:t>
      </w:r>
      <w:r>
        <w:rPr>
          <w:bCs/>
        </w:rPr>
        <w:t>achieve</w:t>
      </w:r>
      <w:r w:rsidRPr="00412181">
        <w:rPr>
          <w:bCs/>
        </w:rPr>
        <w:t xml:space="preserve"> proper soil </w:t>
      </w:r>
      <w:r>
        <w:rPr>
          <w:bCs/>
        </w:rPr>
        <w:t>compaction</w:t>
      </w:r>
      <w:r w:rsidRPr="00412181">
        <w:rPr>
          <w:bCs/>
        </w:rPr>
        <w:t xml:space="preserve"> and homogenize the subgrade material in terms of density and moisture content throughout its design depth</w:t>
      </w:r>
      <w:r>
        <w:rPr>
          <w:bCs/>
        </w:rPr>
        <w:t xml:space="preserve">. There are small differences between states on these procedures as well as between compaction of lime and cement stabilized projects. </w:t>
      </w:r>
    </w:p>
    <w:p w14:paraId="396C1DFE" w14:textId="2DD8D7CC" w:rsidR="00A34AE2" w:rsidRDefault="0009167B" w:rsidP="00E961C2">
      <w:pPr>
        <w:ind w:left="720" w:firstLine="720"/>
        <w:jc w:val="both"/>
        <w:rPr>
          <w:bCs/>
        </w:rPr>
      </w:pPr>
      <w:r>
        <w:rPr>
          <w:bCs/>
        </w:rPr>
        <w:t xml:space="preserve">All </w:t>
      </w:r>
      <w:r w:rsidR="00447BAC">
        <w:rPr>
          <w:bCs/>
        </w:rPr>
        <w:t>southern plains states require</w:t>
      </w:r>
      <w:r>
        <w:rPr>
          <w:bCs/>
        </w:rPr>
        <w:t xml:space="preserve"> subgrade</w:t>
      </w:r>
      <w:r w:rsidR="00447BAC">
        <w:rPr>
          <w:bCs/>
        </w:rPr>
        <w:t>s</w:t>
      </w:r>
      <w:r>
        <w:rPr>
          <w:bCs/>
        </w:rPr>
        <w:t xml:space="preserve"> to be compacted</w:t>
      </w:r>
      <w:r w:rsidR="005B5F82">
        <w:rPr>
          <w:bCs/>
        </w:rPr>
        <w:t xml:space="preserve"> immediately after mixing</w:t>
      </w:r>
      <w:r>
        <w:rPr>
          <w:bCs/>
        </w:rPr>
        <w:t xml:space="preserve"> to 95% of the maximum laboratory density</w:t>
      </w:r>
      <w:r w:rsidR="0008126D" w:rsidRPr="00412181">
        <w:rPr>
          <w:bCs/>
        </w:rPr>
        <w:t>.</w:t>
      </w:r>
      <w:r w:rsidR="00565069">
        <w:rPr>
          <w:bCs/>
        </w:rPr>
        <w:t xml:space="preserve"> Cement treated subgrades are to be compacted immediately, while lime treated subgrades required a mellowing period, as discussed earlier.</w:t>
      </w:r>
      <w:r>
        <w:rPr>
          <w:bCs/>
        </w:rPr>
        <w:t xml:space="preserve"> Maximum laboratory density, optimum moisture content, field density, and field moisture cont</w:t>
      </w:r>
      <w:r w:rsidR="005B5F82">
        <w:rPr>
          <w:bCs/>
        </w:rPr>
        <w:t>ent are obtained in accordance with</w:t>
      </w:r>
      <w:r>
        <w:rPr>
          <w:bCs/>
        </w:rPr>
        <w:t xml:space="preserve"> different publications throughout the region. These documents as well as differences in field moisture content limitations and maximum compaction time after </w:t>
      </w:r>
      <w:r w:rsidR="00565069">
        <w:rPr>
          <w:bCs/>
        </w:rPr>
        <w:t xml:space="preserve">cement </w:t>
      </w:r>
      <w:r>
        <w:rPr>
          <w:bCs/>
        </w:rPr>
        <w:t>mixing are all presented by state in</w:t>
      </w:r>
      <w:r w:rsidR="00E961C2">
        <w:rPr>
          <w:bCs/>
        </w:rPr>
        <w:t xml:space="preserve"> </w:t>
      </w:r>
      <w:r w:rsidR="00E961C2">
        <w:rPr>
          <w:bCs/>
        </w:rPr>
        <w:fldChar w:fldCharType="begin"/>
      </w:r>
      <w:r w:rsidR="00E961C2">
        <w:rPr>
          <w:bCs/>
        </w:rPr>
        <w:instrText xml:space="preserve"> REF _Ref447602260 \h </w:instrText>
      </w:r>
      <w:r w:rsidR="00E961C2">
        <w:rPr>
          <w:bCs/>
        </w:rPr>
      </w:r>
      <w:r w:rsidR="00E961C2">
        <w:rPr>
          <w:bCs/>
        </w:rPr>
        <w:fldChar w:fldCharType="separate"/>
      </w:r>
      <w:r w:rsidR="00E90148">
        <w:t xml:space="preserve">Table </w:t>
      </w:r>
      <w:r w:rsidR="00E90148">
        <w:rPr>
          <w:noProof/>
        </w:rPr>
        <w:t>3</w:t>
      </w:r>
      <w:r w:rsidR="00E961C2">
        <w:rPr>
          <w:bCs/>
        </w:rPr>
        <w:fldChar w:fldCharType="end"/>
      </w:r>
      <w:r>
        <w:rPr>
          <w:bCs/>
        </w:rPr>
        <w:t>.</w:t>
      </w:r>
      <w:r w:rsidR="005B5F82">
        <w:rPr>
          <w:bCs/>
        </w:rPr>
        <w:t xml:space="preserve"> </w:t>
      </w:r>
      <w:r w:rsidR="00565069">
        <w:rPr>
          <w:bCs/>
        </w:rPr>
        <w:t xml:space="preserve">There are maximum compaction times for lime mixing. </w:t>
      </w:r>
      <w:r w:rsidR="005B5F82">
        <w:rPr>
          <w:bCs/>
        </w:rPr>
        <w:t xml:space="preserve">The only other </w:t>
      </w:r>
      <w:r w:rsidR="00565069">
        <w:rPr>
          <w:bCs/>
        </w:rPr>
        <w:t xml:space="preserve">notable </w:t>
      </w:r>
      <w:r w:rsidR="005B5F82">
        <w:rPr>
          <w:bCs/>
        </w:rPr>
        <w:t>difference</w:t>
      </w:r>
      <w:r w:rsidR="00565069">
        <w:rPr>
          <w:bCs/>
        </w:rPr>
        <w:t xml:space="preserve"> in compaction specifications</w:t>
      </w:r>
      <w:r w:rsidR="005B5F82">
        <w:rPr>
          <w:bCs/>
        </w:rPr>
        <w:t xml:space="preserve"> is that Louisiana requires sheepsfoot or </w:t>
      </w:r>
      <w:r w:rsidR="005B5F82">
        <w:rPr>
          <w:bCs/>
        </w:rPr>
        <w:lastRenderedPageBreak/>
        <w:t>tamping foot rollers for initial compaction.</w:t>
      </w:r>
      <w:r w:rsidR="00565069">
        <w:rPr>
          <w:bCs/>
        </w:rPr>
        <w:t xml:space="preserve"> Pneumatic rollers are mentioned in all other specifications for compaction.</w:t>
      </w:r>
    </w:p>
    <w:p w14:paraId="11E91BA1" w14:textId="77777777" w:rsidR="00A34AE2" w:rsidRDefault="00A34AE2" w:rsidP="00A34AE2">
      <w:pPr>
        <w:jc w:val="both"/>
        <w:rPr>
          <w:bCs/>
        </w:rPr>
      </w:pPr>
    </w:p>
    <w:p w14:paraId="19CC2DE7" w14:textId="4635A0BA" w:rsidR="0009167B" w:rsidRDefault="0009167B" w:rsidP="00565069">
      <w:pPr>
        <w:pStyle w:val="Caption"/>
        <w:spacing w:line="480" w:lineRule="auto"/>
        <w:ind w:left="1080" w:right="936"/>
        <w:rPr>
          <w:bCs/>
        </w:rPr>
      </w:pPr>
      <w:bookmarkStart w:id="10" w:name="_Ref447602260"/>
      <w:bookmarkStart w:id="11" w:name="_Toc447755323"/>
      <w:r>
        <w:t xml:space="preserve">Table </w:t>
      </w:r>
      <w:r w:rsidR="00184FC2">
        <w:fldChar w:fldCharType="begin"/>
      </w:r>
      <w:r w:rsidR="00184FC2">
        <w:instrText xml:space="preserve"> SEQ Table \* ARABIC </w:instrText>
      </w:r>
      <w:r w:rsidR="00184FC2">
        <w:fldChar w:fldCharType="separate"/>
      </w:r>
      <w:r w:rsidR="00E90148">
        <w:rPr>
          <w:noProof/>
        </w:rPr>
        <w:t>3</w:t>
      </w:r>
      <w:r w:rsidR="00184FC2">
        <w:rPr>
          <w:noProof/>
        </w:rPr>
        <w:fldChar w:fldCharType="end"/>
      </w:r>
      <w:bookmarkEnd w:id="10"/>
      <w:r>
        <w:t xml:space="preserve">: Differences in Stabilization Specifications for Compaction of Subgrade </w:t>
      </w:r>
      <w:r w:rsidR="00565069">
        <w:t>Soils</w:t>
      </w:r>
      <w:bookmarkEnd w:id="11"/>
    </w:p>
    <w:tbl>
      <w:tblPr>
        <w:tblW w:w="8497" w:type="dxa"/>
        <w:jc w:val="center"/>
        <w:tblLook w:val="04A0" w:firstRow="1" w:lastRow="0" w:firstColumn="1" w:lastColumn="0" w:noHBand="0" w:noVBand="1"/>
      </w:tblPr>
      <w:tblGrid>
        <w:gridCol w:w="1297"/>
        <w:gridCol w:w="1440"/>
        <w:gridCol w:w="1440"/>
        <w:gridCol w:w="1440"/>
        <w:gridCol w:w="1440"/>
        <w:gridCol w:w="1440"/>
      </w:tblGrid>
      <w:tr w:rsidR="00565069" w:rsidRPr="003C559A" w14:paraId="3D3D0302" w14:textId="71EDFEC3" w:rsidTr="0009167B">
        <w:trPr>
          <w:trHeight w:val="600"/>
          <w:jc w:val="center"/>
        </w:trPr>
        <w:tc>
          <w:tcPr>
            <w:tcW w:w="1297" w:type="dxa"/>
            <w:tcBorders>
              <w:top w:val="single" w:sz="4" w:space="0" w:color="auto"/>
              <w:left w:val="single" w:sz="4" w:space="0" w:color="auto"/>
              <w:bottom w:val="single" w:sz="4" w:space="0" w:color="auto"/>
            </w:tcBorders>
            <w:shd w:val="clear" w:color="000000" w:fill="BFBFBF"/>
            <w:vAlign w:val="center"/>
            <w:hideMark/>
          </w:tcPr>
          <w:p w14:paraId="3E2160A9" w14:textId="77777777" w:rsidR="00320C99" w:rsidRPr="003C559A" w:rsidRDefault="00320C99" w:rsidP="00320C99">
            <w:pPr>
              <w:spacing w:line="240" w:lineRule="auto"/>
              <w:rPr>
                <w:rFonts w:eastAsia="Times New Roman" w:cs="Times New Roman"/>
                <w:i/>
                <w:iCs/>
                <w:color w:val="000000"/>
                <w:sz w:val="22"/>
                <w:szCs w:val="22"/>
              </w:rPr>
            </w:pPr>
            <w:r>
              <w:rPr>
                <w:rFonts w:eastAsia="Times New Roman" w:cs="Times New Roman"/>
                <w:i/>
                <w:iCs/>
                <w:color w:val="000000"/>
                <w:sz w:val="22"/>
                <w:szCs w:val="22"/>
              </w:rPr>
              <w:t>State</w:t>
            </w:r>
          </w:p>
        </w:tc>
        <w:tc>
          <w:tcPr>
            <w:tcW w:w="1440" w:type="dxa"/>
            <w:tcBorders>
              <w:top w:val="single" w:sz="4" w:space="0" w:color="auto"/>
              <w:bottom w:val="single" w:sz="4" w:space="0" w:color="auto"/>
            </w:tcBorders>
            <w:shd w:val="clear" w:color="000000" w:fill="BFBFBF"/>
            <w:vAlign w:val="center"/>
            <w:hideMark/>
          </w:tcPr>
          <w:p w14:paraId="21860358" w14:textId="6E0E41D4" w:rsidR="00320C99" w:rsidRPr="003C559A" w:rsidRDefault="00320C99" w:rsidP="00320C99">
            <w:pPr>
              <w:spacing w:line="240" w:lineRule="auto"/>
              <w:rPr>
                <w:rFonts w:eastAsia="Times New Roman" w:cs="Times New Roman"/>
                <w:i/>
                <w:iCs/>
                <w:color w:val="000000"/>
                <w:sz w:val="22"/>
                <w:szCs w:val="22"/>
              </w:rPr>
            </w:pPr>
            <w:r>
              <w:rPr>
                <w:rFonts w:eastAsia="Times New Roman" w:cs="Times New Roman"/>
                <w:i/>
                <w:iCs/>
                <w:color w:val="000000"/>
                <w:sz w:val="22"/>
                <w:szCs w:val="22"/>
              </w:rPr>
              <w:t xml:space="preserve">Max Lab Density / Optimum Moisture Content </w:t>
            </w:r>
          </w:p>
        </w:tc>
        <w:tc>
          <w:tcPr>
            <w:tcW w:w="1440" w:type="dxa"/>
            <w:tcBorders>
              <w:top w:val="single" w:sz="4" w:space="0" w:color="auto"/>
              <w:bottom w:val="single" w:sz="4" w:space="0" w:color="auto"/>
            </w:tcBorders>
            <w:shd w:val="clear" w:color="000000" w:fill="BFBFBF"/>
            <w:vAlign w:val="center"/>
          </w:tcPr>
          <w:p w14:paraId="2D3B198B" w14:textId="46BCD3ED" w:rsidR="00320C99" w:rsidRPr="003C559A" w:rsidRDefault="00320C99" w:rsidP="00320C99">
            <w:pPr>
              <w:spacing w:line="240" w:lineRule="auto"/>
              <w:rPr>
                <w:rFonts w:eastAsia="Times New Roman" w:cs="Times New Roman"/>
                <w:i/>
                <w:iCs/>
                <w:color w:val="000000"/>
                <w:sz w:val="22"/>
                <w:szCs w:val="22"/>
              </w:rPr>
            </w:pPr>
            <w:r>
              <w:rPr>
                <w:rFonts w:eastAsia="Times New Roman" w:cs="Times New Roman"/>
                <w:i/>
                <w:iCs/>
                <w:color w:val="000000"/>
                <w:sz w:val="22"/>
                <w:szCs w:val="22"/>
              </w:rPr>
              <w:t>Field Density Determined By</w:t>
            </w:r>
          </w:p>
        </w:tc>
        <w:tc>
          <w:tcPr>
            <w:tcW w:w="1440" w:type="dxa"/>
            <w:tcBorders>
              <w:top w:val="single" w:sz="4" w:space="0" w:color="auto"/>
              <w:bottom w:val="single" w:sz="4" w:space="0" w:color="auto"/>
            </w:tcBorders>
            <w:shd w:val="clear" w:color="000000" w:fill="BFBFBF"/>
            <w:vAlign w:val="center"/>
          </w:tcPr>
          <w:p w14:paraId="14325F42" w14:textId="4CAE99D8" w:rsidR="00320C99" w:rsidRDefault="00320C99" w:rsidP="00320C99">
            <w:pPr>
              <w:spacing w:line="240" w:lineRule="auto"/>
              <w:rPr>
                <w:rFonts w:eastAsia="Times New Roman" w:cs="Times New Roman"/>
                <w:i/>
                <w:iCs/>
                <w:color w:val="000000"/>
                <w:sz w:val="22"/>
                <w:szCs w:val="22"/>
              </w:rPr>
            </w:pPr>
            <w:r>
              <w:rPr>
                <w:rFonts w:eastAsia="Times New Roman" w:cs="Times New Roman"/>
                <w:i/>
                <w:iCs/>
                <w:color w:val="000000"/>
                <w:sz w:val="22"/>
                <w:szCs w:val="22"/>
              </w:rPr>
              <w:t>Field Moisture Content Determined By</w:t>
            </w:r>
          </w:p>
        </w:tc>
        <w:tc>
          <w:tcPr>
            <w:tcW w:w="1440" w:type="dxa"/>
            <w:tcBorders>
              <w:top w:val="single" w:sz="4" w:space="0" w:color="auto"/>
              <w:bottom w:val="single" w:sz="4" w:space="0" w:color="auto"/>
            </w:tcBorders>
            <w:shd w:val="clear" w:color="000000" w:fill="BFBFBF"/>
            <w:vAlign w:val="center"/>
          </w:tcPr>
          <w:p w14:paraId="0F8B7286" w14:textId="26EDEBCF" w:rsidR="00320C99" w:rsidRDefault="0009167B" w:rsidP="00320C99">
            <w:pPr>
              <w:spacing w:line="240" w:lineRule="auto"/>
              <w:rPr>
                <w:rFonts w:eastAsia="Times New Roman" w:cs="Times New Roman"/>
                <w:i/>
                <w:iCs/>
                <w:color w:val="000000"/>
                <w:sz w:val="22"/>
                <w:szCs w:val="22"/>
              </w:rPr>
            </w:pPr>
            <w:r>
              <w:rPr>
                <w:rFonts w:eastAsia="Times New Roman" w:cs="Times New Roman"/>
                <w:i/>
                <w:iCs/>
                <w:color w:val="000000"/>
                <w:sz w:val="22"/>
                <w:szCs w:val="22"/>
              </w:rPr>
              <w:t xml:space="preserve">Field </w:t>
            </w:r>
            <w:r w:rsidR="00320C99">
              <w:rPr>
                <w:rFonts w:eastAsia="Times New Roman" w:cs="Times New Roman"/>
                <w:i/>
                <w:iCs/>
                <w:color w:val="000000"/>
                <w:sz w:val="22"/>
                <w:szCs w:val="22"/>
              </w:rPr>
              <w:t>Moisture Content Limitations</w:t>
            </w:r>
          </w:p>
        </w:tc>
        <w:tc>
          <w:tcPr>
            <w:tcW w:w="1440" w:type="dxa"/>
            <w:tcBorders>
              <w:top w:val="single" w:sz="4" w:space="0" w:color="auto"/>
              <w:bottom w:val="single" w:sz="4" w:space="0" w:color="auto"/>
              <w:right w:val="single" w:sz="4" w:space="0" w:color="auto"/>
            </w:tcBorders>
            <w:shd w:val="clear" w:color="000000" w:fill="BFBFBF"/>
            <w:vAlign w:val="center"/>
          </w:tcPr>
          <w:p w14:paraId="52537AD8" w14:textId="6F906450" w:rsidR="00320C99" w:rsidRDefault="00320C99" w:rsidP="00320C99">
            <w:pPr>
              <w:spacing w:line="240" w:lineRule="auto"/>
              <w:rPr>
                <w:rFonts w:eastAsia="Times New Roman" w:cs="Times New Roman"/>
                <w:i/>
                <w:iCs/>
                <w:color w:val="000000"/>
                <w:sz w:val="22"/>
                <w:szCs w:val="22"/>
              </w:rPr>
            </w:pPr>
            <w:r>
              <w:rPr>
                <w:rFonts w:eastAsia="Times New Roman" w:cs="Times New Roman"/>
                <w:i/>
                <w:iCs/>
                <w:color w:val="000000"/>
                <w:sz w:val="22"/>
                <w:szCs w:val="22"/>
              </w:rPr>
              <w:t xml:space="preserve">Maximum Compaction Time after </w:t>
            </w:r>
            <w:r w:rsidR="00565069">
              <w:rPr>
                <w:rFonts w:eastAsia="Times New Roman" w:cs="Times New Roman"/>
                <w:i/>
                <w:iCs/>
                <w:color w:val="000000"/>
                <w:sz w:val="22"/>
                <w:szCs w:val="22"/>
              </w:rPr>
              <w:t xml:space="preserve">Cement </w:t>
            </w:r>
            <w:r>
              <w:rPr>
                <w:rFonts w:eastAsia="Times New Roman" w:cs="Times New Roman"/>
                <w:i/>
                <w:iCs/>
                <w:color w:val="000000"/>
                <w:sz w:val="22"/>
                <w:szCs w:val="22"/>
              </w:rPr>
              <w:t>Mixing</w:t>
            </w:r>
          </w:p>
        </w:tc>
      </w:tr>
      <w:tr w:rsidR="00565069" w:rsidRPr="003C559A" w14:paraId="6C7939D8" w14:textId="679CA1FC" w:rsidTr="0009167B">
        <w:trPr>
          <w:trHeight w:val="576"/>
          <w:jc w:val="center"/>
        </w:trPr>
        <w:tc>
          <w:tcPr>
            <w:tcW w:w="1297" w:type="dxa"/>
            <w:tcBorders>
              <w:top w:val="single" w:sz="4" w:space="0" w:color="auto"/>
              <w:left w:val="single" w:sz="4" w:space="0" w:color="auto"/>
              <w:bottom w:val="nil"/>
            </w:tcBorders>
            <w:shd w:val="clear" w:color="000000" w:fill="FFFFFF"/>
            <w:noWrap/>
            <w:vAlign w:val="center"/>
            <w:hideMark/>
          </w:tcPr>
          <w:p w14:paraId="68A933F9" w14:textId="77777777" w:rsidR="00320C99" w:rsidRPr="003C559A" w:rsidRDefault="00320C99" w:rsidP="0009167B">
            <w:pPr>
              <w:spacing w:line="240" w:lineRule="auto"/>
              <w:rPr>
                <w:rFonts w:eastAsia="Times New Roman" w:cs="Times New Roman"/>
                <w:i/>
                <w:iCs/>
                <w:color w:val="000000"/>
                <w:sz w:val="20"/>
                <w:szCs w:val="20"/>
              </w:rPr>
            </w:pPr>
            <w:r>
              <w:rPr>
                <w:rFonts w:eastAsia="Times New Roman" w:cs="Times New Roman"/>
                <w:i/>
                <w:iCs/>
                <w:color w:val="000000"/>
                <w:sz w:val="20"/>
                <w:szCs w:val="20"/>
              </w:rPr>
              <w:t>Arkansas</w:t>
            </w:r>
          </w:p>
        </w:tc>
        <w:tc>
          <w:tcPr>
            <w:tcW w:w="1440" w:type="dxa"/>
            <w:tcBorders>
              <w:top w:val="single" w:sz="4" w:space="0" w:color="auto"/>
              <w:left w:val="dashed" w:sz="4" w:space="0" w:color="auto"/>
              <w:bottom w:val="nil"/>
            </w:tcBorders>
            <w:shd w:val="clear" w:color="000000" w:fill="FFFFFF"/>
            <w:noWrap/>
            <w:vAlign w:val="center"/>
          </w:tcPr>
          <w:p w14:paraId="3E3BC5E7" w14:textId="2E25B0A2"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AASHTO T 134</w:t>
            </w:r>
          </w:p>
        </w:tc>
        <w:tc>
          <w:tcPr>
            <w:tcW w:w="1440" w:type="dxa"/>
            <w:tcBorders>
              <w:top w:val="single" w:sz="4" w:space="0" w:color="auto"/>
              <w:bottom w:val="nil"/>
            </w:tcBorders>
            <w:shd w:val="clear" w:color="000000" w:fill="FFFFFF"/>
            <w:vAlign w:val="center"/>
          </w:tcPr>
          <w:p w14:paraId="1623FEB8" w14:textId="551B0B4E"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AASHTO T 310</w:t>
            </w:r>
          </w:p>
        </w:tc>
        <w:tc>
          <w:tcPr>
            <w:tcW w:w="1440" w:type="dxa"/>
            <w:tcBorders>
              <w:top w:val="single" w:sz="4" w:space="0" w:color="auto"/>
              <w:bottom w:val="nil"/>
            </w:tcBorders>
            <w:shd w:val="clear" w:color="000000" w:fill="FFFFFF"/>
            <w:vAlign w:val="center"/>
          </w:tcPr>
          <w:p w14:paraId="39DCC0C5" w14:textId="2D1C6A37" w:rsidR="00320C99" w:rsidRPr="00157E64" w:rsidRDefault="00447BAC"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AASHTO T 310</w:t>
            </w:r>
          </w:p>
        </w:tc>
        <w:tc>
          <w:tcPr>
            <w:tcW w:w="1440" w:type="dxa"/>
            <w:tcBorders>
              <w:top w:val="single" w:sz="4" w:space="0" w:color="auto"/>
              <w:bottom w:val="nil"/>
            </w:tcBorders>
            <w:shd w:val="clear" w:color="000000" w:fill="FFFFFF"/>
            <w:vAlign w:val="center"/>
          </w:tcPr>
          <w:p w14:paraId="079A2DFE" w14:textId="4F646B54"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 5% OMC</w:t>
            </w:r>
          </w:p>
        </w:tc>
        <w:tc>
          <w:tcPr>
            <w:tcW w:w="1440" w:type="dxa"/>
            <w:tcBorders>
              <w:top w:val="single" w:sz="4" w:space="0" w:color="auto"/>
              <w:bottom w:val="nil"/>
              <w:right w:val="single" w:sz="4" w:space="0" w:color="auto"/>
            </w:tcBorders>
            <w:shd w:val="clear" w:color="000000" w:fill="FFFFFF"/>
            <w:vAlign w:val="center"/>
          </w:tcPr>
          <w:p w14:paraId="7EFF2180" w14:textId="6458F01F"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2 hours</w:t>
            </w:r>
          </w:p>
        </w:tc>
      </w:tr>
      <w:tr w:rsidR="00565069" w:rsidRPr="003C559A" w14:paraId="7FC3DF7D" w14:textId="1CB52D5A" w:rsidTr="0009167B">
        <w:trPr>
          <w:trHeight w:val="576"/>
          <w:jc w:val="center"/>
        </w:trPr>
        <w:tc>
          <w:tcPr>
            <w:tcW w:w="1297" w:type="dxa"/>
            <w:tcBorders>
              <w:top w:val="nil"/>
              <w:left w:val="single" w:sz="4" w:space="0" w:color="auto"/>
              <w:bottom w:val="nil"/>
            </w:tcBorders>
            <w:shd w:val="clear" w:color="000000" w:fill="F2F2F2"/>
            <w:noWrap/>
            <w:vAlign w:val="center"/>
            <w:hideMark/>
          </w:tcPr>
          <w:p w14:paraId="01ACFC4C" w14:textId="77777777" w:rsidR="00320C99" w:rsidRPr="003C559A" w:rsidRDefault="00320C99" w:rsidP="0009167B">
            <w:pPr>
              <w:spacing w:line="240" w:lineRule="auto"/>
              <w:rPr>
                <w:rFonts w:eastAsia="Times New Roman" w:cs="Times New Roman"/>
                <w:i/>
                <w:iCs/>
                <w:color w:val="000000"/>
                <w:sz w:val="20"/>
                <w:szCs w:val="20"/>
              </w:rPr>
            </w:pPr>
            <w:r>
              <w:rPr>
                <w:rFonts w:eastAsia="Times New Roman" w:cs="Times New Roman"/>
                <w:i/>
                <w:iCs/>
                <w:color w:val="000000"/>
                <w:sz w:val="20"/>
                <w:szCs w:val="20"/>
              </w:rPr>
              <w:t>Louisiana</w:t>
            </w:r>
          </w:p>
        </w:tc>
        <w:tc>
          <w:tcPr>
            <w:tcW w:w="1440" w:type="dxa"/>
            <w:tcBorders>
              <w:top w:val="nil"/>
              <w:left w:val="dashed" w:sz="4" w:space="0" w:color="auto"/>
              <w:bottom w:val="nil"/>
            </w:tcBorders>
            <w:shd w:val="clear" w:color="000000" w:fill="F2F2F2"/>
            <w:noWrap/>
            <w:vAlign w:val="center"/>
          </w:tcPr>
          <w:p w14:paraId="6457A794" w14:textId="098D91DF"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DOTD TR 415 or 418</w:t>
            </w:r>
          </w:p>
        </w:tc>
        <w:tc>
          <w:tcPr>
            <w:tcW w:w="1440" w:type="dxa"/>
            <w:tcBorders>
              <w:top w:val="nil"/>
              <w:bottom w:val="nil"/>
            </w:tcBorders>
            <w:shd w:val="clear" w:color="000000" w:fill="F2F2F2"/>
            <w:vAlign w:val="center"/>
          </w:tcPr>
          <w:p w14:paraId="11C4CCE9" w14:textId="1721C605"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DOTD TR 436</w:t>
            </w:r>
          </w:p>
        </w:tc>
        <w:tc>
          <w:tcPr>
            <w:tcW w:w="1440" w:type="dxa"/>
            <w:tcBorders>
              <w:top w:val="nil"/>
              <w:bottom w:val="nil"/>
            </w:tcBorders>
            <w:shd w:val="clear" w:color="000000" w:fill="F2F2F2"/>
            <w:vAlign w:val="center"/>
          </w:tcPr>
          <w:p w14:paraId="6A8877A4" w14:textId="26985706"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DOTD TR 403</w:t>
            </w:r>
          </w:p>
        </w:tc>
        <w:tc>
          <w:tcPr>
            <w:tcW w:w="1440" w:type="dxa"/>
            <w:tcBorders>
              <w:top w:val="nil"/>
              <w:bottom w:val="nil"/>
            </w:tcBorders>
            <w:shd w:val="clear" w:color="000000" w:fill="F2F2F2"/>
            <w:vAlign w:val="center"/>
          </w:tcPr>
          <w:p w14:paraId="6645673A" w14:textId="28A33F66"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 2% OMC</w:t>
            </w:r>
          </w:p>
        </w:tc>
        <w:tc>
          <w:tcPr>
            <w:tcW w:w="1440" w:type="dxa"/>
            <w:tcBorders>
              <w:top w:val="nil"/>
              <w:bottom w:val="nil"/>
              <w:right w:val="single" w:sz="4" w:space="0" w:color="auto"/>
            </w:tcBorders>
            <w:shd w:val="clear" w:color="000000" w:fill="F2F2F2"/>
            <w:vAlign w:val="center"/>
          </w:tcPr>
          <w:p w14:paraId="6D99A74A" w14:textId="4300C32F"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3 hours</w:t>
            </w:r>
          </w:p>
        </w:tc>
      </w:tr>
      <w:tr w:rsidR="00565069" w:rsidRPr="003C559A" w14:paraId="2DAF90B2" w14:textId="3AB3BAAB" w:rsidTr="0009167B">
        <w:trPr>
          <w:trHeight w:val="576"/>
          <w:jc w:val="center"/>
        </w:trPr>
        <w:tc>
          <w:tcPr>
            <w:tcW w:w="1297" w:type="dxa"/>
            <w:tcBorders>
              <w:top w:val="nil"/>
              <w:left w:val="single" w:sz="4" w:space="0" w:color="auto"/>
            </w:tcBorders>
            <w:shd w:val="clear" w:color="000000" w:fill="FFFFFF"/>
            <w:noWrap/>
            <w:vAlign w:val="center"/>
            <w:hideMark/>
          </w:tcPr>
          <w:p w14:paraId="1861C43C" w14:textId="77777777" w:rsidR="00320C99" w:rsidRPr="003C559A" w:rsidRDefault="00320C99" w:rsidP="0009167B">
            <w:pPr>
              <w:spacing w:line="240" w:lineRule="auto"/>
              <w:rPr>
                <w:rFonts w:eastAsia="Times New Roman" w:cs="Times New Roman"/>
                <w:i/>
                <w:iCs/>
                <w:color w:val="000000"/>
                <w:sz w:val="20"/>
                <w:szCs w:val="20"/>
              </w:rPr>
            </w:pPr>
            <w:r>
              <w:rPr>
                <w:rFonts w:eastAsia="Times New Roman" w:cs="Times New Roman"/>
                <w:i/>
                <w:iCs/>
                <w:color w:val="000000"/>
                <w:sz w:val="20"/>
                <w:szCs w:val="20"/>
              </w:rPr>
              <w:t>New Mexico</w:t>
            </w:r>
          </w:p>
        </w:tc>
        <w:tc>
          <w:tcPr>
            <w:tcW w:w="1440" w:type="dxa"/>
            <w:tcBorders>
              <w:top w:val="nil"/>
              <w:left w:val="dashed" w:sz="4" w:space="0" w:color="auto"/>
            </w:tcBorders>
            <w:shd w:val="clear" w:color="000000" w:fill="FFFFFF"/>
            <w:noWrap/>
            <w:vAlign w:val="center"/>
          </w:tcPr>
          <w:p w14:paraId="79B1F527" w14:textId="05B67587"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AASHTO T 180</w:t>
            </w:r>
          </w:p>
        </w:tc>
        <w:tc>
          <w:tcPr>
            <w:tcW w:w="1440" w:type="dxa"/>
            <w:tcBorders>
              <w:top w:val="nil"/>
            </w:tcBorders>
            <w:shd w:val="clear" w:color="000000" w:fill="FFFFFF"/>
            <w:vAlign w:val="center"/>
          </w:tcPr>
          <w:p w14:paraId="3B16E4AF" w14:textId="43C76900"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n/a</w:t>
            </w:r>
          </w:p>
        </w:tc>
        <w:tc>
          <w:tcPr>
            <w:tcW w:w="1440" w:type="dxa"/>
            <w:tcBorders>
              <w:top w:val="nil"/>
            </w:tcBorders>
            <w:shd w:val="clear" w:color="000000" w:fill="FFFFFF"/>
            <w:vAlign w:val="center"/>
          </w:tcPr>
          <w:p w14:paraId="395323F3" w14:textId="36F11176"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n/a</w:t>
            </w:r>
          </w:p>
        </w:tc>
        <w:tc>
          <w:tcPr>
            <w:tcW w:w="1440" w:type="dxa"/>
            <w:tcBorders>
              <w:top w:val="nil"/>
            </w:tcBorders>
            <w:shd w:val="clear" w:color="000000" w:fill="FFFFFF"/>
            <w:vAlign w:val="center"/>
          </w:tcPr>
          <w:p w14:paraId="0A4F178F" w14:textId="157616F4"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+ 3 to 5% OMC</w:t>
            </w:r>
          </w:p>
        </w:tc>
        <w:tc>
          <w:tcPr>
            <w:tcW w:w="1440" w:type="dxa"/>
            <w:tcBorders>
              <w:top w:val="nil"/>
              <w:right w:val="single" w:sz="4" w:space="0" w:color="auto"/>
            </w:tcBorders>
            <w:shd w:val="clear" w:color="000000" w:fill="FFFFFF"/>
            <w:vAlign w:val="center"/>
          </w:tcPr>
          <w:p w14:paraId="1C0D0478" w14:textId="0F4CA776"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4 hours</w:t>
            </w:r>
          </w:p>
        </w:tc>
      </w:tr>
      <w:tr w:rsidR="00565069" w:rsidRPr="003C559A" w14:paraId="700E81A2" w14:textId="3A713AF9" w:rsidTr="0009167B">
        <w:trPr>
          <w:trHeight w:val="576"/>
          <w:jc w:val="center"/>
        </w:trPr>
        <w:tc>
          <w:tcPr>
            <w:tcW w:w="1297" w:type="dxa"/>
            <w:tcBorders>
              <w:top w:val="nil"/>
              <w:left w:val="single" w:sz="4" w:space="0" w:color="auto"/>
            </w:tcBorders>
            <w:shd w:val="clear" w:color="000000" w:fill="F2F2F2"/>
            <w:noWrap/>
            <w:vAlign w:val="center"/>
            <w:hideMark/>
          </w:tcPr>
          <w:p w14:paraId="434ED501" w14:textId="77777777" w:rsidR="00320C99" w:rsidRPr="003C559A" w:rsidRDefault="00320C99" w:rsidP="0009167B">
            <w:pPr>
              <w:spacing w:line="240" w:lineRule="auto"/>
              <w:rPr>
                <w:rFonts w:eastAsia="Times New Roman" w:cs="Times New Roman"/>
                <w:i/>
                <w:iCs/>
                <w:color w:val="000000"/>
                <w:sz w:val="20"/>
                <w:szCs w:val="20"/>
              </w:rPr>
            </w:pPr>
            <w:r>
              <w:rPr>
                <w:rFonts w:eastAsia="Times New Roman" w:cs="Times New Roman"/>
                <w:i/>
                <w:iCs/>
                <w:color w:val="000000"/>
                <w:sz w:val="20"/>
                <w:szCs w:val="20"/>
              </w:rPr>
              <w:t>Oklahoma</w:t>
            </w:r>
          </w:p>
        </w:tc>
        <w:tc>
          <w:tcPr>
            <w:tcW w:w="1440" w:type="dxa"/>
            <w:tcBorders>
              <w:top w:val="nil"/>
              <w:left w:val="dashed" w:sz="4" w:space="0" w:color="auto"/>
            </w:tcBorders>
            <w:shd w:val="clear" w:color="000000" w:fill="F2F2F2"/>
            <w:noWrap/>
            <w:vAlign w:val="center"/>
          </w:tcPr>
          <w:p w14:paraId="424E671F" w14:textId="61BD25EF"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AASHTO T 180</w:t>
            </w:r>
          </w:p>
        </w:tc>
        <w:tc>
          <w:tcPr>
            <w:tcW w:w="1440" w:type="dxa"/>
            <w:tcBorders>
              <w:top w:val="nil"/>
            </w:tcBorders>
            <w:shd w:val="clear" w:color="000000" w:fill="F2F2F2"/>
            <w:vAlign w:val="center"/>
          </w:tcPr>
          <w:p w14:paraId="54D6EF58" w14:textId="67D4974C"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AASHTO T 310</w:t>
            </w:r>
          </w:p>
        </w:tc>
        <w:tc>
          <w:tcPr>
            <w:tcW w:w="1440" w:type="dxa"/>
            <w:tcBorders>
              <w:top w:val="nil"/>
            </w:tcBorders>
            <w:shd w:val="clear" w:color="000000" w:fill="F2F2F2"/>
            <w:vAlign w:val="center"/>
          </w:tcPr>
          <w:p w14:paraId="4C26BFD4" w14:textId="039F91FA"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AASHTO T 99</w:t>
            </w:r>
          </w:p>
        </w:tc>
        <w:tc>
          <w:tcPr>
            <w:tcW w:w="1440" w:type="dxa"/>
            <w:tcBorders>
              <w:top w:val="nil"/>
            </w:tcBorders>
            <w:shd w:val="clear" w:color="000000" w:fill="F2F2F2"/>
            <w:vAlign w:val="center"/>
          </w:tcPr>
          <w:p w14:paraId="2A4F8C5C" w14:textId="41938193"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 2% OMC</w:t>
            </w:r>
          </w:p>
        </w:tc>
        <w:tc>
          <w:tcPr>
            <w:tcW w:w="1440" w:type="dxa"/>
            <w:tcBorders>
              <w:top w:val="nil"/>
              <w:right w:val="single" w:sz="4" w:space="0" w:color="auto"/>
            </w:tcBorders>
            <w:shd w:val="clear" w:color="000000" w:fill="F2F2F2"/>
            <w:vAlign w:val="center"/>
          </w:tcPr>
          <w:p w14:paraId="24F031F5" w14:textId="0AC114FD"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2 hours</w:t>
            </w:r>
          </w:p>
        </w:tc>
      </w:tr>
      <w:tr w:rsidR="00565069" w:rsidRPr="003C559A" w14:paraId="53FA9A52" w14:textId="2DB95321" w:rsidTr="0009167B">
        <w:trPr>
          <w:trHeight w:val="576"/>
          <w:jc w:val="center"/>
        </w:trPr>
        <w:tc>
          <w:tcPr>
            <w:tcW w:w="1297" w:type="dxa"/>
            <w:tcBorders>
              <w:top w:val="nil"/>
              <w:left w:val="single" w:sz="4" w:space="0" w:color="auto"/>
              <w:bottom w:val="single" w:sz="4" w:space="0" w:color="auto"/>
            </w:tcBorders>
            <w:shd w:val="clear" w:color="auto" w:fill="FFFFFF" w:themeFill="background1"/>
            <w:noWrap/>
            <w:vAlign w:val="center"/>
          </w:tcPr>
          <w:p w14:paraId="77900C4C" w14:textId="77777777" w:rsidR="00320C99" w:rsidRDefault="00320C99" w:rsidP="0009167B">
            <w:pPr>
              <w:spacing w:line="240" w:lineRule="auto"/>
              <w:rPr>
                <w:rFonts w:eastAsia="Times New Roman" w:cs="Times New Roman"/>
                <w:i/>
                <w:iCs/>
                <w:color w:val="000000"/>
                <w:sz w:val="20"/>
                <w:szCs w:val="20"/>
              </w:rPr>
            </w:pPr>
            <w:r>
              <w:rPr>
                <w:rFonts w:eastAsia="Times New Roman" w:cs="Times New Roman"/>
                <w:i/>
                <w:iCs/>
                <w:color w:val="000000"/>
                <w:sz w:val="20"/>
                <w:szCs w:val="20"/>
              </w:rPr>
              <w:t>Texas</w:t>
            </w:r>
          </w:p>
        </w:tc>
        <w:tc>
          <w:tcPr>
            <w:tcW w:w="1440" w:type="dxa"/>
            <w:tcBorders>
              <w:top w:val="nil"/>
              <w:left w:val="dashed" w:sz="4" w:space="0" w:color="auto"/>
              <w:bottom w:val="single" w:sz="4" w:space="0" w:color="auto"/>
            </w:tcBorders>
            <w:shd w:val="clear" w:color="auto" w:fill="FFFFFF" w:themeFill="background1"/>
            <w:noWrap/>
            <w:vAlign w:val="center"/>
          </w:tcPr>
          <w:p w14:paraId="6C34C7E7" w14:textId="77777777"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TEX - 120 E</w:t>
            </w:r>
          </w:p>
        </w:tc>
        <w:tc>
          <w:tcPr>
            <w:tcW w:w="1440" w:type="dxa"/>
            <w:tcBorders>
              <w:top w:val="nil"/>
              <w:bottom w:val="single" w:sz="4" w:space="0" w:color="auto"/>
            </w:tcBorders>
            <w:shd w:val="clear" w:color="auto" w:fill="FFFFFF" w:themeFill="background1"/>
            <w:vAlign w:val="center"/>
          </w:tcPr>
          <w:p w14:paraId="3FE5D258" w14:textId="545F08B7" w:rsidR="00320C99" w:rsidRPr="00157E64" w:rsidRDefault="0009167B"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TEX - 115</w:t>
            </w:r>
            <w:r w:rsidR="00320C99" w:rsidRPr="00157E64">
              <w:rPr>
                <w:rFonts w:eastAsia="Times New Roman" w:cs="Times New Roman"/>
                <w:i/>
                <w:iCs/>
                <w:color w:val="000000"/>
                <w:sz w:val="20"/>
                <w:szCs w:val="20"/>
              </w:rPr>
              <w:t xml:space="preserve"> E</w:t>
            </w:r>
          </w:p>
        </w:tc>
        <w:tc>
          <w:tcPr>
            <w:tcW w:w="1440" w:type="dxa"/>
            <w:tcBorders>
              <w:top w:val="nil"/>
              <w:bottom w:val="single" w:sz="4" w:space="0" w:color="auto"/>
            </w:tcBorders>
            <w:shd w:val="clear" w:color="auto" w:fill="FFFFFF" w:themeFill="background1"/>
            <w:vAlign w:val="center"/>
          </w:tcPr>
          <w:p w14:paraId="0170F2C9" w14:textId="503A9CC1"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TEX - 103 E</w:t>
            </w:r>
          </w:p>
        </w:tc>
        <w:tc>
          <w:tcPr>
            <w:tcW w:w="1440" w:type="dxa"/>
            <w:tcBorders>
              <w:top w:val="nil"/>
              <w:bottom w:val="single" w:sz="4" w:space="0" w:color="auto"/>
            </w:tcBorders>
            <w:shd w:val="clear" w:color="auto" w:fill="FFFFFF" w:themeFill="background1"/>
            <w:vAlign w:val="center"/>
          </w:tcPr>
          <w:p w14:paraId="4DCA0A64" w14:textId="45D92655"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 2 % OMC</w:t>
            </w:r>
          </w:p>
        </w:tc>
        <w:tc>
          <w:tcPr>
            <w:tcW w:w="1440" w:type="dxa"/>
            <w:tcBorders>
              <w:top w:val="nil"/>
              <w:bottom w:val="single" w:sz="4" w:space="0" w:color="auto"/>
              <w:right w:val="single" w:sz="4" w:space="0" w:color="auto"/>
            </w:tcBorders>
            <w:shd w:val="clear" w:color="auto" w:fill="FFFFFF" w:themeFill="background1"/>
            <w:vAlign w:val="center"/>
          </w:tcPr>
          <w:p w14:paraId="39B6EBA3" w14:textId="2C4EED73" w:rsidR="00320C99" w:rsidRPr="00157E64" w:rsidRDefault="00320C99" w:rsidP="0009167B">
            <w:pPr>
              <w:spacing w:line="240" w:lineRule="auto"/>
              <w:rPr>
                <w:rFonts w:eastAsia="Times New Roman" w:cs="Times New Roman"/>
                <w:i/>
                <w:iCs/>
                <w:color w:val="000000"/>
                <w:sz w:val="20"/>
                <w:szCs w:val="20"/>
              </w:rPr>
            </w:pPr>
            <w:r w:rsidRPr="00157E64">
              <w:rPr>
                <w:rFonts w:eastAsia="Times New Roman" w:cs="Times New Roman"/>
                <w:i/>
                <w:iCs/>
                <w:color w:val="000000"/>
                <w:sz w:val="20"/>
                <w:szCs w:val="20"/>
              </w:rPr>
              <w:t>2 hours</w:t>
            </w:r>
          </w:p>
        </w:tc>
      </w:tr>
    </w:tbl>
    <w:p w14:paraId="36D5AB82" w14:textId="77777777" w:rsidR="00A34AE2" w:rsidRDefault="00A34AE2" w:rsidP="00A34AE2">
      <w:pPr>
        <w:jc w:val="both"/>
        <w:rPr>
          <w:bCs/>
        </w:rPr>
      </w:pPr>
    </w:p>
    <w:p w14:paraId="18F6CD4E" w14:textId="77777777" w:rsidR="00447BAC" w:rsidRDefault="00447BAC" w:rsidP="005B5F82">
      <w:pPr>
        <w:ind w:left="1440"/>
        <w:jc w:val="both"/>
        <w:rPr>
          <w:b/>
        </w:rPr>
      </w:pPr>
    </w:p>
    <w:p w14:paraId="744AB669" w14:textId="4A413BBD" w:rsidR="003A638F" w:rsidRPr="004F34E4" w:rsidRDefault="004F34E4" w:rsidP="00056ABE">
      <w:pPr>
        <w:ind w:firstLine="720"/>
        <w:jc w:val="both"/>
        <w:rPr>
          <w:bCs/>
        </w:rPr>
      </w:pPr>
      <w:r>
        <w:rPr>
          <w:bCs/>
        </w:rPr>
        <w:t>In conclusion, there are</w:t>
      </w:r>
      <w:r w:rsidRPr="004F34E4">
        <w:rPr>
          <w:bCs/>
        </w:rPr>
        <w:t xml:space="preserve"> plenty of opportunities </w:t>
      </w:r>
      <w:r w:rsidR="007A3197">
        <w:rPr>
          <w:bCs/>
        </w:rPr>
        <w:t>to induce stabilizer distribution errors</w:t>
      </w:r>
      <w:r w:rsidR="008E3EC6">
        <w:rPr>
          <w:bCs/>
        </w:rPr>
        <w:t>, both spatially and with depth</w:t>
      </w:r>
      <w:r w:rsidR="00EC3BBA">
        <w:rPr>
          <w:bCs/>
        </w:rPr>
        <w:t>,</w:t>
      </w:r>
      <w:r w:rsidRPr="004F34E4">
        <w:rPr>
          <w:bCs/>
        </w:rPr>
        <w:t xml:space="preserve"> during subgrade stabilization. </w:t>
      </w:r>
      <w:r w:rsidR="003462B0">
        <w:rPr>
          <w:bCs/>
        </w:rPr>
        <w:t>Due to the complex nature of soil,</w:t>
      </w:r>
      <w:r>
        <w:rPr>
          <w:bCs/>
        </w:rPr>
        <w:t xml:space="preserve"> it is unrealistic to strive for a perfectly homogenous subgrade</w:t>
      </w:r>
      <w:r w:rsidR="003462B0">
        <w:rPr>
          <w:bCs/>
        </w:rPr>
        <w:t xml:space="preserve">; however, it is not unreasonable to make efforts to mitigate these </w:t>
      </w:r>
      <w:r w:rsidR="007A3197">
        <w:rPr>
          <w:bCs/>
        </w:rPr>
        <w:t xml:space="preserve">distribution </w:t>
      </w:r>
      <w:r w:rsidR="003462B0">
        <w:rPr>
          <w:bCs/>
        </w:rPr>
        <w:t>errors to the best of our abilities.</w:t>
      </w:r>
      <w:r w:rsidR="00E379BD">
        <w:rPr>
          <w:bCs/>
        </w:rPr>
        <w:t xml:space="preserve"> XRF spectrometry may be a valuable aid in this effort.</w:t>
      </w:r>
      <w:r>
        <w:rPr>
          <w:bCs/>
        </w:rPr>
        <w:t xml:space="preserve"> </w:t>
      </w:r>
    </w:p>
    <w:p w14:paraId="78F5231B" w14:textId="77777777" w:rsidR="003A638F" w:rsidRPr="003A638F" w:rsidRDefault="003A638F" w:rsidP="003A638F">
      <w:pPr>
        <w:jc w:val="both"/>
        <w:rPr>
          <w:bCs/>
          <w:highlight w:val="yellow"/>
        </w:rPr>
      </w:pPr>
    </w:p>
    <w:p w14:paraId="341109ED" w14:textId="0DBC24CD" w:rsidR="003A638F" w:rsidRPr="0096291B" w:rsidRDefault="003A638F" w:rsidP="0096291B">
      <w:pPr>
        <w:pStyle w:val="ListParagraph"/>
        <w:numPr>
          <w:ilvl w:val="1"/>
          <w:numId w:val="14"/>
        </w:numPr>
        <w:jc w:val="both"/>
        <w:rPr>
          <w:b/>
        </w:rPr>
      </w:pPr>
      <w:r w:rsidRPr="0096291B">
        <w:rPr>
          <w:b/>
        </w:rPr>
        <w:t>XRF Spectrometry</w:t>
      </w:r>
    </w:p>
    <w:p w14:paraId="7D6EE0A9" w14:textId="13D58960" w:rsidR="008E3EC6" w:rsidRDefault="00603030" w:rsidP="000525F5">
      <w:pPr>
        <w:ind w:firstLine="720"/>
        <w:jc w:val="both"/>
      </w:pPr>
      <w:r>
        <w:t>XRF</w:t>
      </w:r>
      <w:r w:rsidR="003A638F" w:rsidRPr="00A63626">
        <w:t xml:space="preserve"> spectrometry has been extensively studied for the better part of the last century. The works of Charles G. Barkla and Henry G.J. Moseley in the early 1900’s laid </w:t>
      </w:r>
      <w:r w:rsidR="003A638F" w:rsidRPr="00A63626">
        <w:lastRenderedPageBreak/>
        <w:t>the foundation for this tech</w:t>
      </w:r>
      <w:r w:rsidR="00D77FDC">
        <w:t>nology by identifying correlation</w:t>
      </w:r>
      <w:r w:rsidR="00D77FDC" w:rsidRPr="00A63626">
        <w:t>s</w:t>
      </w:r>
      <w:r w:rsidR="003A638F" w:rsidRPr="00A63626">
        <w:t xml:space="preserve"> between emitted radiation</w:t>
      </w:r>
      <w:r>
        <w:t xml:space="preserve"> (i.e. fluorescence </w:t>
      </w:r>
      <w:r w:rsidR="00771F08">
        <w:t>X-ray</w:t>
      </w:r>
      <w:r>
        <w:t xml:space="preserve"> radiation)</w:t>
      </w:r>
      <w:r w:rsidR="003A638F" w:rsidRPr="00A63626">
        <w:t xml:space="preserve"> from samples subjected to </w:t>
      </w:r>
      <w:r w:rsidR="00771F08">
        <w:t>X-ray</w:t>
      </w:r>
      <w:r w:rsidR="003A638F" w:rsidRPr="00A63626">
        <w:t>s and the chemical makeup of the samples</w:t>
      </w:r>
      <w:r w:rsidR="00056ABE">
        <w:t xml:space="preserve"> (</w:t>
      </w:r>
      <w:r w:rsidR="00CB20E9">
        <w:t>Moseley 1914; Moseley 1913; Barkla and Sadler 1909</w:t>
      </w:r>
      <w:r w:rsidR="00056ABE">
        <w:t>)</w:t>
      </w:r>
      <w:r w:rsidR="003A638F" w:rsidRPr="00A63626">
        <w:t>.</w:t>
      </w:r>
      <w:r w:rsidR="00D9177A">
        <w:t xml:space="preserve"> These discoveries were built upon and eventually lead to the development of </w:t>
      </w:r>
      <w:r>
        <w:t xml:space="preserve">technologies </w:t>
      </w:r>
      <w:r w:rsidR="00D9177A">
        <w:t xml:space="preserve">capable of </w:t>
      </w:r>
      <w:r w:rsidR="00AD2219">
        <w:t xml:space="preserve">quantitatively determining </w:t>
      </w:r>
      <w:r w:rsidR="003A638F" w:rsidRPr="00A63626">
        <w:t xml:space="preserve">the elemental composition of </w:t>
      </w:r>
      <w:r w:rsidR="00D9177A">
        <w:t xml:space="preserve">unknown </w:t>
      </w:r>
      <w:r w:rsidR="00D93019">
        <w:t xml:space="preserve">samples. </w:t>
      </w:r>
      <w:r w:rsidR="007667B4">
        <w:t>T</w:t>
      </w:r>
      <w:r w:rsidR="00D93019">
        <w:t>he XRF</w:t>
      </w:r>
      <w:r w:rsidR="003A638F" w:rsidRPr="00A63626">
        <w:t xml:space="preserve"> </w:t>
      </w:r>
      <w:r w:rsidR="00D93019">
        <w:t>industry</w:t>
      </w:r>
      <w:r w:rsidR="009A47CC">
        <w:t xml:space="preserve"> </w:t>
      </w:r>
      <w:r w:rsidR="003A638F">
        <w:t>flourished</w:t>
      </w:r>
      <w:r w:rsidR="007667B4">
        <w:t xml:space="preserve"> after the 1950s</w:t>
      </w:r>
      <w:r w:rsidR="00AA1425">
        <w:t xml:space="preserve"> and </w:t>
      </w:r>
      <w:r w:rsidR="00F02E36">
        <w:t xml:space="preserve">continues to </w:t>
      </w:r>
      <w:r w:rsidR="00AA61D8">
        <w:t xml:space="preserve">flourish </w:t>
      </w:r>
      <w:r w:rsidR="00F02E36">
        <w:t>t</w:t>
      </w:r>
      <w:r w:rsidR="00AA1425">
        <w:t>oday</w:t>
      </w:r>
      <w:r w:rsidR="007667B4">
        <w:t>, finding its place in dozens</w:t>
      </w:r>
      <w:r w:rsidR="00D93019">
        <w:t xml:space="preserve"> </w:t>
      </w:r>
      <w:r w:rsidR="00F02E36">
        <w:t xml:space="preserve">of </w:t>
      </w:r>
      <w:r w:rsidR="00D93019">
        <w:t xml:space="preserve">industries </w:t>
      </w:r>
      <w:r w:rsidR="000525F5">
        <w:t>for countless applications. Some of these applications include</w:t>
      </w:r>
      <w:r w:rsidR="002F5C97">
        <w:t xml:space="preserve"> environmental </w:t>
      </w:r>
      <w:r w:rsidR="002C6C23">
        <w:t>analyses of water quality, air quality, and lead contamination</w:t>
      </w:r>
      <w:r w:rsidR="002F5C97">
        <w:t xml:space="preserve"> (Abdelbagi</w:t>
      </w:r>
      <w:r w:rsidR="00C577DF">
        <w:t>,</w:t>
      </w:r>
      <w:r w:rsidR="002F5C97">
        <w:t xml:space="preserve"> et al. 2011; </w:t>
      </w:r>
      <w:r w:rsidR="00C577DF">
        <w:t xml:space="preserve">Binstock, et al. 2008; </w:t>
      </w:r>
      <w:r w:rsidR="002C6C23">
        <w:t xml:space="preserve">Kim, et al. 2007; </w:t>
      </w:r>
      <w:r w:rsidR="002F5C97">
        <w:t>Zawisza and Sitko 2006</w:t>
      </w:r>
      <w:r w:rsidR="002C6C23">
        <w:t>)</w:t>
      </w:r>
      <w:r w:rsidR="002F5C97">
        <w:t>;</w:t>
      </w:r>
      <w:r w:rsidR="007667B4">
        <w:t xml:space="preserve"> </w:t>
      </w:r>
      <w:r w:rsidR="002C6C23">
        <w:t xml:space="preserve">pharmaceutical analyses of </w:t>
      </w:r>
      <w:r w:rsidR="00AA1425">
        <w:t xml:space="preserve">drug </w:t>
      </w:r>
      <w:r w:rsidR="002C6C23">
        <w:t>impurities</w:t>
      </w:r>
      <w:r w:rsidR="003C5ACE">
        <w:t>, catalyst residues, and vitamin extraction</w:t>
      </w:r>
      <w:r w:rsidR="002C6C23">
        <w:t xml:space="preserve"> (</w:t>
      </w:r>
      <w:r w:rsidR="00C110B3">
        <w:t xml:space="preserve">Moradi, et al. 2015; Ortiz, et al. 2012; </w:t>
      </w:r>
      <w:r w:rsidR="002C6C23">
        <w:t>Arzhantsev, et al. 2011;</w:t>
      </w:r>
      <w:r w:rsidR="003C5ACE">
        <w:t xml:space="preserve"> Margu</w:t>
      </w:r>
      <w:r w:rsidR="003C5ACE">
        <w:rPr>
          <w:rFonts w:cs="Times New Roman"/>
        </w:rPr>
        <w:t>í, et al.</w:t>
      </w:r>
      <w:r w:rsidR="00C110B3">
        <w:t xml:space="preserve"> 2009</w:t>
      </w:r>
      <w:r w:rsidR="003C5ACE">
        <w:t xml:space="preserve">); </w:t>
      </w:r>
      <w:r w:rsidR="00D95CD8">
        <w:t xml:space="preserve">archeological analyses </w:t>
      </w:r>
      <w:r w:rsidR="004C517A">
        <w:t>of obsidian</w:t>
      </w:r>
      <w:r w:rsidR="004C5328">
        <w:t xml:space="preserve"> </w:t>
      </w:r>
      <w:r w:rsidR="002328AC">
        <w:t>(</w:t>
      </w:r>
      <w:r w:rsidR="00C110B3">
        <w:t xml:space="preserve">Frahm 2013;  </w:t>
      </w:r>
      <w:r w:rsidR="002328AC">
        <w:t>Forster and Grave 2012</w:t>
      </w:r>
      <w:r w:rsidR="004C517A">
        <w:t>; Millhauser, et al. 2011</w:t>
      </w:r>
      <w:r w:rsidR="002328AC">
        <w:t>)</w:t>
      </w:r>
      <w:r w:rsidR="000A7E66">
        <w:t xml:space="preserve">; </w:t>
      </w:r>
      <w:r w:rsidR="00AA1425">
        <w:t xml:space="preserve">and </w:t>
      </w:r>
      <w:r w:rsidR="000A7E66">
        <w:t>consumer goods analyses of FDA-regulated products and household items (</w:t>
      </w:r>
      <w:r w:rsidR="00C110B3">
        <w:t xml:space="preserve">Sun, et al. 2013; </w:t>
      </w:r>
      <w:r w:rsidR="000A7E66">
        <w:t>Kulikov, e</w:t>
      </w:r>
      <w:r w:rsidR="00C110B3">
        <w:t>t al. 2012; Palmer, et al. 2009</w:t>
      </w:r>
      <w:r w:rsidR="000A7E66">
        <w:t>)</w:t>
      </w:r>
      <w:r w:rsidR="00AA1425">
        <w:t xml:space="preserve"> to name a few</w:t>
      </w:r>
      <w:r w:rsidR="008E3EC6">
        <w:t xml:space="preserve">. </w:t>
      </w:r>
      <w:r w:rsidR="007A3197">
        <w:t>PH</w:t>
      </w:r>
      <w:r w:rsidR="00AA1425">
        <w:t>XRF has further transfo</w:t>
      </w:r>
      <w:r>
        <w:t>rmed these industries</w:t>
      </w:r>
      <w:r w:rsidR="00AA1425">
        <w:t xml:space="preserve"> </w:t>
      </w:r>
      <w:r>
        <w:t>by providing the benefits of</w:t>
      </w:r>
      <w:r w:rsidR="00AA1425">
        <w:t xml:space="preserve"> </w:t>
      </w:r>
      <w:r>
        <w:t xml:space="preserve">accurate, </w:t>
      </w:r>
      <w:r w:rsidR="00AA1425">
        <w:t xml:space="preserve">non-destructive analysis </w:t>
      </w:r>
      <w:r>
        <w:t xml:space="preserve">capabilities with the convenience of portability, saving time and sample transport and storage costs (Parsons, et al. 2013). </w:t>
      </w:r>
    </w:p>
    <w:p w14:paraId="5495CE5E" w14:textId="30ACF44F" w:rsidR="003A638F" w:rsidRDefault="00567F44" w:rsidP="007A3197">
      <w:pPr>
        <w:ind w:firstLine="720"/>
        <w:jc w:val="both"/>
        <w:rPr>
          <w:noProof/>
        </w:rPr>
      </w:pPr>
      <w:r>
        <w:t>PH</w:t>
      </w:r>
      <w:r w:rsidR="00AD2219">
        <w:t>XRF</w:t>
      </w:r>
      <w:r w:rsidR="003A638F">
        <w:t xml:space="preserve"> </w:t>
      </w:r>
      <w:r w:rsidR="00F02E36">
        <w:t xml:space="preserve">conveniently </w:t>
      </w:r>
      <w:r w:rsidR="003A638F">
        <w:t>equip</w:t>
      </w:r>
      <w:r w:rsidR="00AD2219">
        <w:t>s</w:t>
      </w:r>
      <w:r w:rsidR="003A638F">
        <w:t xml:space="preserve"> the user with a </w:t>
      </w:r>
      <w:r w:rsidR="00AD2219">
        <w:t>handheld</w:t>
      </w:r>
      <w:r w:rsidR="003A638F">
        <w:t xml:space="preserve"> elemental analysis tool that can determine the makeup of a material in as little as 30 seconds</w:t>
      </w:r>
      <w:r w:rsidR="003A638F" w:rsidRPr="00A63626">
        <w:t xml:space="preserve">. </w:t>
      </w:r>
      <w:r w:rsidR="003A638F">
        <w:t xml:space="preserve">A description of the </w:t>
      </w:r>
      <w:r w:rsidR="00AA61D8">
        <w:t xml:space="preserve">testing </w:t>
      </w:r>
      <w:r w:rsidR="003A638F">
        <w:t>process after eng</w:t>
      </w:r>
      <w:r w:rsidR="007A3197">
        <w:t>aging the trigger is as follows. T</w:t>
      </w:r>
      <w:r w:rsidR="003A638F">
        <w:t>he</w:t>
      </w:r>
      <w:r w:rsidR="003A638F" w:rsidRPr="00A63626">
        <w:t xml:space="preserve"> device</w:t>
      </w:r>
      <w:r w:rsidR="00825F9D">
        <w:t xml:space="preserve">s activate a rhodium target </w:t>
      </w:r>
      <w:r w:rsidR="00771F08">
        <w:t>X-ray</w:t>
      </w:r>
      <w:r w:rsidR="003A638F" w:rsidRPr="00A63626">
        <w:t xml:space="preserve"> tube which generates a uniform stream of </w:t>
      </w:r>
      <w:r w:rsidR="00771F08">
        <w:t>X-ray</w:t>
      </w:r>
      <w:r w:rsidR="003A638F" w:rsidRPr="00A63626">
        <w:t xml:space="preserve">s. These </w:t>
      </w:r>
      <w:r w:rsidR="00771F08">
        <w:t>X-ray</w:t>
      </w:r>
      <w:r w:rsidR="003A638F" w:rsidRPr="00A63626">
        <w:t xml:space="preserve">s pass through the soil sample, ejecting electrons </w:t>
      </w:r>
      <w:r>
        <w:t xml:space="preserve">in the lower level orbitals </w:t>
      </w:r>
      <w:r w:rsidR="003A638F" w:rsidRPr="00A63626">
        <w:t>along the way</w:t>
      </w:r>
      <w:r>
        <w:t>,</w:t>
      </w:r>
      <w:r w:rsidR="003A638F" w:rsidRPr="00A63626">
        <w:t xml:space="preserve"> similar</w:t>
      </w:r>
      <w:r w:rsidR="00AD2219">
        <w:t>ly</w:t>
      </w:r>
      <w:r w:rsidR="003A638F" w:rsidRPr="00A63626">
        <w:t xml:space="preserve"> to </w:t>
      </w:r>
      <w:r w:rsidR="00AD2219">
        <w:t>what is illustrated in</w:t>
      </w:r>
      <w:r w:rsidR="003A638F">
        <w:t xml:space="preserve"> </w:t>
      </w:r>
      <w:r w:rsidR="00F726A5">
        <w:fldChar w:fldCharType="begin"/>
      </w:r>
      <w:r w:rsidR="00F726A5">
        <w:instrText xml:space="preserve"> REF _Ref437863074 \h </w:instrText>
      </w:r>
      <w:r w:rsidR="00F726A5">
        <w:fldChar w:fldCharType="separate"/>
      </w:r>
      <w:r w:rsidR="00E90148">
        <w:t xml:space="preserve">Figure </w:t>
      </w:r>
      <w:r w:rsidR="00E90148">
        <w:rPr>
          <w:noProof/>
        </w:rPr>
        <w:t>3</w:t>
      </w:r>
      <w:r w:rsidR="00F726A5">
        <w:fldChar w:fldCharType="end"/>
      </w:r>
      <w:r w:rsidR="003A638F" w:rsidRPr="00A63626">
        <w:t xml:space="preserve">. </w:t>
      </w:r>
      <w:r w:rsidR="00AD2219">
        <w:t xml:space="preserve">This creates an unstable atom. </w:t>
      </w:r>
      <w:r w:rsidR="003A638F" w:rsidRPr="00A63626">
        <w:t xml:space="preserve">The electrons on the outer </w:t>
      </w:r>
      <w:r w:rsidR="003A638F" w:rsidRPr="00A63626">
        <w:lastRenderedPageBreak/>
        <w:t>orbitals of the atom then “jump” down to fill the void of the ejected electron. This “jump” requires the electrons to go from a higher energy state</w:t>
      </w:r>
      <w:r w:rsidR="00AD2219">
        <w:t>s</w:t>
      </w:r>
      <w:r w:rsidR="003A638F" w:rsidRPr="00A63626">
        <w:t xml:space="preserve"> to a lower one</w:t>
      </w:r>
      <w:r w:rsidR="00AD2219">
        <w:t>s</w:t>
      </w:r>
      <w:r w:rsidR="003A638F" w:rsidRPr="00A63626">
        <w:t xml:space="preserve">; </w:t>
      </w:r>
      <w:r w:rsidR="00AD2219">
        <w:t>that is to say</w:t>
      </w:r>
      <w:r w:rsidR="003A638F" w:rsidRPr="00A63626">
        <w:t xml:space="preserve">, </w:t>
      </w:r>
      <w:r w:rsidR="003A638F">
        <w:t>the electrons emit</w:t>
      </w:r>
      <w:r w:rsidR="003A638F" w:rsidRPr="00A63626">
        <w:t xml:space="preserve"> energy </w:t>
      </w:r>
      <w:r>
        <w:t>during this jump</w:t>
      </w:r>
      <w:r w:rsidR="003A638F" w:rsidRPr="00A63626">
        <w:t>. This energy is</w:t>
      </w:r>
      <w:r w:rsidR="00AD2219">
        <w:t xml:space="preserve"> in a form of radiation called </w:t>
      </w:r>
      <w:r w:rsidR="00771F08">
        <w:t>X-ray</w:t>
      </w:r>
      <w:r w:rsidR="003A638F" w:rsidRPr="00A63626">
        <w:t xml:space="preserve"> fluorescence</w:t>
      </w:r>
      <w:r w:rsidR="007A3197">
        <w:t>,</w:t>
      </w:r>
      <w:r w:rsidR="003A638F" w:rsidRPr="00A63626">
        <w:t xml:space="preserve"> which is unique to the atom that it come</w:t>
      </w:r>
      <w:r w:rsidR="00AA61D8">
        <w:t>s</w:t>
      </w:r>
      <w:r w:rsidR="003A638F" w:rsidRPr="00A63626">
        <w:t xml:space="preserve"> from. The handheld device</w:t>
      </w:r>
      <w:r w:rsidR="00825F9D">
        <w:t>s have</w:t>
      </w:r>
      <w:r w:rsidR="003A638F" w:rsidRPr="00A63626">
        <w:t xml:space="preserve"> a 10 mm</w:t>
      </w:r>
      <w:r w:rsidR="003A638F" w:rsidRPr="003A638F">
        <w:rPr>
          <w:vertAlign w:val="superscript"/>
        </w:rPr>
        <w:t>2</w:t>
      </w:r>
      <w:r w:rsidR="003A638F" w:rsidRPr="00A63626">
        <w:t xml:space="preserve"> silicon drift detector that identifies this radiation. The onboard computer converts these readings into </w:t>
      </w:r>
      <w:r w:rsidR="00AD2219">
        <w:t>elemental percentages by weight</w:t>
      </w:r>
      <w:r>
        <w:t xml:space="preserve"> or ppm</w:t>
      </w:r>
      <w:r w:rsidR="00AD2219">
        <w:t>.</w:t>
      </w:r>
      <w:r w:rsidR="003A638F" w:rsidRPr="00A63626">
        <w:t xml:space="preserve"> </w:t>
      </w:r>
    </w:p>
    <w:p w14:paraId="3BB5D029" w14:textId="148464F5" w:rsidR="00056ABE" w:rsidRDefault="00056ABE" w:rsidP="003A638F">
      <w:pPr>
        <w:ind w:firstLine="720"/>
        <w:jc w:val="both"/>
        <w:rPr>
          <w:noProof/>
        </w:rPr>
      </w:pPr>
    </w:p>
    <w:p w14:paraId="121ADB0C" w14:textId="4EB2E766" w:rsidR="003A638F" w:rsidRDefault="003A638F" w:rsidP="003A638F">
      <w:pPr>
        <w:rPr>
          <w:noProof/>
        </w:rPr>
      </w:pPr>
      <w:r w:rsidRPr="00A63626">
        <w:rPr>
          <w:noProof/>
        </w:rPr>
        <w:drawing>
          <wp:inline distT="0" distB="0" distL="0" distR="0" wp14:anchorId="1BA1AACE" wp14:editId="242264D6">
            <wp:extent cx="3397955"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a:blip r:embed="rId14">
                      <a:extLst>
                        <a:ext uri="{28A0092B-C50C-407E-A947-70E740481C1C}">
                          <a14:useLocalDpi xmlns:a14="http://schemas.microsoft.com/office/drawing/2010/main" val="0"/>
                        </a:ext>
                      </a:extLst>
                    </a:blip>
                    <a:stretch>
                      <a:fillRect/>
                    </a:stretch>
                  </pic:blipFill>
                  <pic:spPr>
                    <a:xfrm>
                      <a:off x="0" y="0"/>
                      <a:ext cx="3397955" cy="2743200"/>
                    </a:xfrm>
                    <a:prstGeom prst="roundRect">
                      <a:avLst/>
                    </a:prstGeom>
                  </pic:spPr>
                </pic:pic>
              </a:graphicData>
            </a:graphic>
          </wp:inline>
        </w:drawing>
      </w:r>
    </w:p>
    <w:p w14:paraId="051304CC" w14:textId="735EF52E" w:rsidR="003A638F" w:rsidRDefault="00F726A5" w:rsidP="0086611A">
      <w:pPr>
        <w:pStyle w:val="Caption"/>
      </w:pPr>
      <w:bookmarkStart w:id="12" w:name="_Ref437863074"/>
      <w:bookmarkStart w:id="13" w:name="_Toc437863880"/>
      <w:bookmarkStart w:id="14" w:name="_Toc447755341"/>
      <w:r>
        <w:t xml:space="preserve">Figure </w:t>
      </w:r>
      <w:r w:rsidR="00184FC2">
        <w:fldChar w:fldCharType="begin"/>
      </w:r>
      <w:r w:rsidR="00184FC2">
        <w:instrText xml:space="preserve"> SEQ Figure \* ARABIC </w:instrText>
      </w:r>
      <w:r w:rsidR="00184FC2">
        <w:fldChar w:fldCharType="separate"/>
      </w:r>
      <w:r w:rsidR="00E90148">
        <w:rPr>
          <w:noProof/>
        </w:rPr>
        <w:t>3</w:t>
      </w:r>
      <w:r w:rsidR="00184FC2">
        <w:rPr>
          <w:noProof/>
        </w:rPr>
        <w:fldChar w:fldCharType="end"/>
      </w:r>
      <w:bookmarkEnd w:id="12"/>
      <w:r>
        <w:t xml:space="preserve">: </w:t>
      </w:r>
      <w:r w:rsidRPr="00B57FD8">
        <w:t>XRF Emitted from a Radiated Bromine Atom</w:t>
      </w:r>
      <w:bookmarkEnd w:id="13"/>
      <w:r w:rsidR="0086611A">
        <w:t xml:space="preserve"> (Bruker 2013)</w:t>
      </w:r>
      <w:bookmarkEnd w:id="14"/>
    </w:p>
    <w:p w14:paraId="1E91159E" w14:textId="77777777" w:rsidR="00F726A5" w:rsidRPr="00F726A5" w:rsidRDefault="00F726A5" w:rsidP="00F726A5"/>
    <w:p w14:paraId="10C07CF1" w14:textId="027D3E04" w:rsidR="003A638F" w:rsidRDefault="003A638F" w:rsidP="007A3197">
      <w:pPr>
        <w:ind w:firstLine="720"/>
        <w:jc w:val="both"/>
      </w:pPr>
      <w:r>
        <w:t xml:space="preserve">Extensive research focusing on XRF sample preparation has been conducted over the years. </w:t>
      </w:r>
      <w:r w:rsidR="00F568B7">
        <w:t xml:space="preserve">The literature suggests that soil preparation is particularly challenging due to the </w:t>
      </w:r>
      <w:r>
        <w:t>c</w:t>
      </w:r>
      <w:r w:rsidR="00F568B7">
        <w:t>omplex and non-homogenous nature of the material</w:t>
      </w:r>
      <w:r w:rsidR="00F02E36">
        <w:t>; but, these challenges can be mitigated with appropriate preparation techniques and analysis</w:t>
      </w:r>
      <w:r>
        <w:t>.</w:t>
      </w:r>
      <w:r w:rsidR="00F568B7">
        <w:t xml:space="preserve"> </w:t>
      </w:r>
      <w:r w:rsidR="00F02E36">
        <w:t xml:space="preserve">Many errors are dependent on the type of XRF sample that is prepared. </w:t>
      </w:r>
      <w:r>
        <w:t>For this research, pressed pellet</w:t>
      </w:r>
      <w:r w:rsidR="00AC1D3B">
        <w:t>s</w:t>
      </w:r>
      <w:r>
        <w:t xml:space="preserve"> and powder samples </w:t>
      </w:r>
      <w:r w:rsidR="00567F44">
        <w:t>were</w:t>
      </w:r>
      <w:r w:rsidR="00F02E36">
        <w:t xml:space="preserve"> created. Pressed pellets often fall victim to </w:t>
      </w:r>
      <w:r>
        <w:t>systematic errors</w:t>
      </w:r>
      <w:r w:rsidR="007A3197">
        <w:t xml:space="preserve">, </w:t>
      </w:r>
      <w:r w:rsidR="007A3197">
        <w:lastRenderedPageBreak/>
        <w:t>such as</w:t>
      </w:r>
      <w:r>
        <w:t xml:space="preserve"> absorption and enhancement</w:t>
      </w:r>
      <w:r w:rsidR="00C110B3">
        <w:t xml:space="preserve"> (Parsons, et al. 2013; Imanishi 2010</w:t>
      </w:r>
      <w:r w:rsidR="00465DEE">
        <w:t>)</w:t>
      </w:r>
      <w:r>
        <w:t>, variations in chemical states, and particle size effects (</w:t>
      </w:r>
      <w:r w:rsidR="00D77FDC">
        <w:t>H</w:t>
      </w:r>
      <w:r w:rsidR="00D77FDC">
        <w:rPr>
          <w:rFonts w:cs="Times New Roman"/>
        </w:rPr>
        <w:t>ü</w:t>
      </w:r>
      <w:r w:rsidR="00D77FDC">
        <w:t xml:space="preserve">rkamp, et al. 2009; </w:t>
      </w:r>
      <w:r>
        <w:t xml:space="preserve">Kruskerski 2006). </w:t>
      </w:r>
    </w:p>
    <w:p w14:paraId="4385D95B" w14:textId="0C67ABE3" w:rsidR="003A638F" w:rsidRDefault="003A638F" w:rsidP="00567F44">
      <w:pPr>
        <w:ind w:firstLine="720"/>
        <w:jc w:val="both"/>
      </w:pPr>
      <w:r>
        <w:t xml:space="preserve">Absorption is an effect caused by the presence of water. Water easily absorbs low energy </w:t>
      </w:r>
      <w:r w:rsidR="00771F08">
        <w:t>X-ray</w:t>
      </w:r>
      <w:r>
        <w:t xml:space="preserve">s, so its presence will degrade detectability (Imanishi </w:t>
      </w:r>
      <w:r w:rsidR="00AC1D3B">
        <w:t>2010). For optimal measurement</w:t>
      </w:r>
      <w:r>
        <w:t>s, water content should be as low as possible (Imanishi 2010).</w:t>
      </w:r>
      <w:r w:rsidR="00035BEF">
        <w:t xml:space="preserve"> </w:t>
      </w:r>
      <w:r w:rsidR="003B44DE">
        <w:t>This effect</w:t>
      </w:r>
      <w:r w:rsidR="00465DEE">
        <w:t xml:space="preserve"> is more pronounced in fine soils and is often underestimated in the literature (Parsons, et al. 2013). </w:t>
      </w:r>
      <w:r w:rsidR="00DC5867">
        <w:t xml:space="preserve">For this experiment, all mixes </w:t>
      </w:r>
      <w:r w:rsidR="00567F44">
        <w:t>were</w:t>
      </w:r>
      <w:r w:rsidR="00DC5867">
        <w:t xml:space="preserve"> air dried to reduce these effects.</w:t>
      </w:r>
    </w:p>
    <w:p w14:paraId="00F04D8E" w14:textId="3FB8EF00" w:rsidR="003A638F" w:rsidRDefault="003A638F" w:rsidP="00457152">
      <w:pPr>
        <w:ind w:firstLine="720"/>
        <w:jc w:val="both"/>
      </w:pPr>
      <w:r>
        <w:t>Particle size effects</w:t>
      </w:r>
      <w:r w:rsidR="00567F44">
        <w:t xml:space="preserve">, which are typically the most significant source of error for pressed pellets, </w:t>
      </w:r>
      <w:r w:rsidR="00F02E36">
        <w:t>affec</w:t>
      </w:r>
      <w:r w:rsidR="00690CFD">
        <w:t>t the intensities of XRF that are</w:t>
      </w:r>
      <w:r w:rsidR="00F02E36">
        <w:t xml:space="preserve"> emitted from the sample</w:t>
      </w:r>
      <w:r w:rsidR="00567F44">
        <w:t xml:space="preserve"> (Kruskerski 2006). </w:t>
      </w:r>
      <w:r w:rsidR="00F02E36">
        <w:t>When</w:t>
      </w:r>
      <w:r>
        <w:t xml:space="preserve"> </w:t>
      </w:r>
      <w:r w:rsidR="00624F0C">
        <w:t>larg</w:t>
      </w:r>
      <w:r w:rsidR="00AA61D8">
        <w:t xml:space="preserve">er </w:t>
      </w:r>
      <w:r>
        <w:t xml:space="preserve">particle sizes are present, </w:t>
      </w:r>
      <w:r w:rsidR="00F02E36">
        <w:t xml:space="preserve">XRF intensities are typically weaker, </w:t>
      </w:r>
      <w:r>
        <w:t>particularly in lighter elements such as c</w:t>
      </w:r>
      <w:r w:rsidR="00624F0C">
        <w:t xml:space="preserve">alcium (Maruyama 2008). XRF intensities decrease as the distance from the radiated atom to the XRF detector increases (Imanishi 2010). In samples with larger particles, larger voids are present which </w:t>
      </w:r>
      <w:r w:rsidR="00D04A11">
        <w:t>increases this distance</w:t>
      </w:r>
      <w:r w:rsidR="003B44DE">
        <w:t xml:space="preserve"> as seen in </w:t>
      </w:r>
      <w:r w:rsidR="00876D8D">
        <w:fldChar w:fldCharType="begin"/>
      </w:r>
      <w:r w:rsidR="00876D8D">
        <w:instrText xml:space="preserve"> REF _Ref438909883 \h </w:instrText>
      </w:r>
      <w:r w:rsidR="00876D8D">
        <w:fldChar w:fldCharType="separate"/>
      </w:r>
      <w:r w:rsidR="00E90148">
        <w:t xml:space="preserve">Figure </w:t>
      </w:r>
      <w:r w:rsidR="00E90148">
        <w:rPr>
          <w:noProof/>
        </w:rPr>
        <w:t>4</w:t>
      </w:r>
      <w:r w:rsidR="00876D8D">
        <w:fldChar w:fldCharType="end"/>
      </w:r>
      <w:r w:rsidR="003B44DE">
        <w:t xml:space="preserve"> (Imanishi 2010)</w:t>
      </w:r>
      <w:r w:rsidR="00876D8D">
        <w:t xml:space="preserve">. </w:t>
      </w:r>
      <w:r>
        <w:t>These effects occur in granular materials and can be reduced</w:t>
      </w:r>
      <w:r w:rsidR="00F02E36">
        <w:t xml:space="preserve"> but not totally eliminated</w:t>
      </w:r>
      <w:r>
        <w:t xml:space="preserve"> by homogenizing the sample (Markowicz 2011). For this study, a variety of particle sizes </w:t>
      </w:r>
      <w:r w:rsidR="00567F44">
        <w:t>were tested</w:t>
      </w:r>
      <w:r>
        <w:t xml:space="preserve"> to determi</w:t>
      </w:r>
      <w:r w:rsidR="00624F0C">
        <w:t>ne the necessary amount of mill</w:t>
      </w:r>
      <w:r>
        <w:t>i</w:t>
      </w:r>
      <w:r w:rsidR="00825F9D">
        <w:t xml:space="preserve">ng required to achieve PHXRF </w:t>
      </w:r>
      <m:oMath>
        <m:r>
          <w:rPr>
            <w:rFonts w:ascii="Cambria Math" w:hAnsi="Cambria Math"/>
          </w:rPr>
          <m:t>SC</m:t>
        </m:r>
      </m:oMath>
      <w:r>
        <w:t xml:space="preserve"> measurements </w:t>
      </w:r>
      <w:r w:rsidR="00567F44">
        <w:t>comparable to the measurements of commercial</w:t>
      </w:r>
      <w:r>
        <w:t xml:space="preserve"> </w:t>
      </w:r>
      <w:r w:rsidR="00567F44">
        <w:t>laboratory</w:t>
      </w:r>
      <w:r>
        <w:t>.</w:t>
      </w:r>
    </w:p>
    <w:p w14:paraId="1C3DFDD7" w14:textId="77777777" w:rsidR="00876D8D" w:rsidRDefault="00876D8D" w:rsidP="00D04A11">
      <w:pPr>
        <w:ind w:firstLine="720"/>
        <w:jc w:val="both"/>
      </w:pPr>
    </w:p>
    <w:p w14:paraId="113FD928" w14:textId="5FB13359" w:rsidR="00876D8D" w:rsidRDefault="00876D8D" w:rsidP="00876D8D">
      <w:pPr>
        <w:jc w:val="both"/>
      </w:pPr>
      <w:r>
        <w:rPr>
          <w:noProof/>
        </w:rPr>
        <w:lastRenderedPageBreak/>
        <w:drawing>
          <wp:inline distT="0" distB="0" distL="0" distR="0" wp14:anchorId="2813C844" wp14:editId="58556930">
            <wp:extent cx="2560320" cy="1693062"/>
            <wp:effectExtent l="0" t="0" r="0" b="254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1.png"/>
                    <pic:cNvPicPr/>
                  </pic:nvPicPr>
                  <pic:blipFill>
                    <a:blip r:embed="rId15">
                      <a:extLst>
                        <a:ext uri="{28A0092B-C50C-407E-A947-70E740481C1C}">
                          <a14:useLocalDpi xmlns:a14="http://schemas.microsoft.com/office/drawing/2010/main" val="0"/>
                        </a:ext>
                      </a:extLst>
                    </a:blip>
                    <a:stretch>
                      <a:fillRect/>
                    </a:stretch>
                  </pic:blipFill>
                  <pic:spPr>
                    <a:xfrm>
                      <a:off x="0" y="0"/>
                      <a:ext cx="2560320" cy="1693062"/>
                    </a:xfrm>
                    <a:prstGeom prst="rect">
                      <a:avLst/>
                    </a:prstGeom>
                  </pic:spPr>
                </pic:pic>
              </a:graphicData>
            </a:graphic>
          </wp:inline>
        </w:drawing>
      </w:r>
      <w:r w:rsidR="00E379BD">
        <w:t xml:space="preserve">         </w:t>
      </w:r>
      <w:r>
        <w:rPr>
          <w:noProof/>
        </w:rPr>
        <w:drawing>
          <wp:inline distT="0" distB="0" distL="0" distR="0" wp14:anchorId="6FBAE056" wp14:editId="1E2CC3A4">
            <wp:extent cx="2560320" cy="1708692"/>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2.png"/>
                    <pic:cNvPicPr/>
                  </pic:nvPicPr>
                  <pic:blipFill rotWithShape="1">
                    <a:blip r:embed="rId16">
                      <a:extLst>
                        <a:ext uri="{28A0092B-C50C-407E-A947-70E740481C1C}">
                          <a14:useLocalDpi xmlns:a14="http://schemas.microsoft.com/office/drawing/2010/main" val="0"/>
                        </a:ext>
                      </a:extLst>
                    </a:blip>
                    <a:srcRect l="230" r="-2"/>
                    <a:stretch/>
                  </pic:blipFill>
                  <pic:spPr bwMode="auto">
                    <a:xfrm>
                      <a:off x="0" y="0"/>
                      <a:ext cx="2560320" cy="1708692"/>
                    </a:xfrm>
                    <a:prstGeom prst="rect">
                      <a:avLst/>
                    </a:prstGeom>
                    <a:ln>
                      <a:noFill/>
                    </a:ln>
                    <a:extLst>
                      <a:ext uri="{53640926-AAD7-44D8-BBD7-CCE9431645EC}">
                        <a14:shadowObscured xmlns:a14="http://schemas.microsoft.com/office/drawing/2010/main"/>
                      </a:ext>
                    </a:extLst>
                  </pic:spPr>
                </pic:pic>
              </a:graphicData>
            </a:graphic>
          </wp:inline>
        </w:drawing>
      </w:r>
    </w:p>
    <w:p w14:paraId="597A81E9" w14:textId="5E63CE57" w:rsidR="00876D8D" w:rsidRDefault="00876D8D" w:rsidP="0086611A">
      <w:pPr>
        <w:pStyle w:val="Caption"/>
      </w:pPr>
      <w:bookmarkStart w:id="15" w:name="_Ref438909883"/>
      <w:bookmarkStart w:id="16" w:name="_Ref438909879"/>
      <w:bookmarkStart w:id="17" w:name="_Toc447755342"/>
      <w:r>
        <w:t xml:space="preserve">Figure </w:t>
      </w:r>
      <w:r w:rsidR="00184FC2">
        <w:fldChar w:fldCharType="begin"/>
      </w:r>
      <w:r w:rsidR="00184FC2">
        <w:instrText xml:space="preserve"> SEQ Figure \* ARABIC </w:instrText>
      </w:r>
      <w:r w:rsidR="00184FC2">
        <w:fldChar w:fldCharType="separate"/>
      </w:r>
      <w:r w:rsidR="00E90148">
        <w:rPr>
          <w:noProof/>
        </w:rPr>
        <w:t>4</w:t>
      </w:r>
      <w:r w:rsidR="00184FC2">
        <w:rPr>
          <w:noProof/>
        </w:rPr>
        <w:fldChar w:fldCharType="end"/>
      </w:r>
      <w:bookmarkEnd w:id="15"/>
      <w:r>
        <w:t>: Effect of Particle Size on Length of XRF Path</w:t>
      </w:r>
      <w:bookmarkEnd w:id="16"/>
      <w:bookmarkEnd w:id="17"/>
      <w:r w:rsidR="002A4128">
        <w:t xml:space="preserve"> </w:t>
      </w:r>
    </w:p>
    <w:p w14:paraId="28676A11" w14:textId="77777777" w:rsidR="00876D8D" w:rsidRPr="00876D8D" w:rsidRDefault="00876D8D" w:rsidP="00876D8D"/>
    <w:p w14:paraId="3E927203" w14:textId="2E11CEF7" w:rsidR="00AD2219" w:rsidRDefault="00F02E36" w:rsidP="00190241">
      <w:pPr>
        <w:ind w:firstLine="720"/>
        <w:jc w:val="both"/>
      </w:pPr>
      <w:r>
        <w:t>For XRF applications specific to stabilized subgrades, p</w:t>
      </w:r>
      <w:r w:rsidR="00AD2219" w:rsidRPr="00224F7E">
        <w:t>revious research validated that commer</w:t>
      </w:r>
      <w:r w:rsidR="00AD2219">
        <w:t>cialized laboratory XRF produce</w:t>
      </w:r>
      <w:r w:rsidR="00AD2219" w:rsidRPr="00224F7E">
        <w:t xml:space="preserve"> accurate and reliable results when used to determine </w:t>
      </w:r>
      <m:oMath>
        <m:r>
          <w:rPr>
            <w:rFonts w:ascii="Cambria Math" w:hAnsi="Cambria Math"/>
          </w:rPr>
          <m:t>SC</m:t>
        </m:r>
      </m:oMath>
      <w:r>
        <w:t xml:space="preserve"> </w:t>
      </w:r>
      <w:r w:rsidR="00AD2219" w:rsidRPr="00224F7E">
        <w:t>in subgrade soils (Cerato and Miller 2013). It was found that the “Whole Rock Analysis” method conduc</w:t>
      </w:r>
      <w:r w:rsidR="00AD2219">
        <w:t xml:space="preserve">ted by </w:t>
      </w:r>
      <w:r w:rsidR="00BA3346">
        <w:t>ALS</w:t>
      </w:r>
      <w:r w:rsidR="00175936">
        <w:t>g</w:t>
      </w:r>
      <w:r w:rsidR="00BA3346">
        <w:t>lobal</w:t>
      </w:r>
      <w:r w:rsidR="00AD2219">
        <w:t xml:space="preserve"> laboratories i</w:t>
      </w:r>
      <w:r w:rsidR="00AD2219" w:rsidRPr="00224F7E">
        <w:t>s accurate</w:t>
      </w:r>
      <w:r w:rsidR="00AD2219">
        <w:t xml:space="preserve"> to</w:t>
      </w:r>
      <w:r w:rsidR="00AD2219" w:rsidRPr="00224F7E">
        <w:t xml:space="preserve"> within 0.01% when determining </w:t>
      </w:r>
      <w:r w:rsidR="00190241">
        <w:t xml:space="preserve">calcium oxide </w:t>
      </w:r>
      <w:r w:rsidR="00AD2219" w:rsidRPr="00224F7E">
        <w:t xml:space="preserve">content in </w:t>
      </w:r>
      <w:r w:rsidR="00AD2219">
        <w:t xml:space="preserve">four different soils mixed with three different stabilizers </w:t>
      </w:r>
      <w:r w:rsidR="00AD2219" w:rsidRPr="00224F7E">
        <w:t>(Cerato and Miller 2013).</w:t>
      </w:r>
      <w:r w:rsidR="00D64B16">
        <w:t xml:space="preserve"> These conclusions were drawn from</w:t>
      </w:r>
      <w:r w:rsidR="00D64B16">
        <w:rPr>
          <w:rFonts w:eastAsiaTheme="minorEastAsia"/>
          <w:bCs/>
        </w:rPr>
        <w:t xml:space="preserve"> several blind trials over a four year period (Cerato and Miller 2013)</w:t>
      </w:r>
      <w:r w:rsidR="00190241">
        <w:rPr>
          <w:rFonts w:eastAsiaTheme="minorEastAsia"/>
          <w:bCs/>
        </w:rPr>
        <w:t>.</w:t>
      </w:r>
      <w:r w:rsidR="00AD2219" w:rsidRPr="00224F7E">
        <w:t xml:space="preserve"> </w:t>
      </w:r>
      <w:r w:rsidR="00E6041F">
        <w:t>The “Whole Rock Analysis” method subjects the sample to</w:t>
      </w:r>
      <w:r w:rsidR="00D40451">
        <w:t xml:space="preserve"> meticulous sample preparation. </w:t>
      </w:r>
      <w:r w:rsidR="00E6041F">
        <w:t>After milling, the samples are fused into glass discs, which effectively eliminate</w:t>
      </w:r>
      <w:r w:rsidR="00B611A6">
        <w:t>s</w:t>
      </w:r>
      <w:r w:rsidR="00E6041F">
        <w:t xml:space="preserve"> </w:t>
      </w:r>
      <w:r w:rsidR="003B44DE">
        <w:t>moisture</w:t>
      </w:r>
      <w:r w:rsidR="00E6041F">
        <w:t xml:space="preserve"> and particle size effects.</w:t>
      </w:r>
      <w:r w:rsidR="00D40451">
        <w:t xml:space="preserve"> </w:t>
      </w:r>
      <m:oMath>
        <m:r>
          <w:rPr>
            <w:rFonts w:ascii="Cambria Math" w:hAnsi="Cambria Math"/>
          </w:rPr>
          <m:t>SC</m:t>
        </m:r>
      </m:oMath>
      <w:r w:rsidR="00AD2219">
        <w:t xml:space="preserve"> can be </w:t>
      </w:r>
      <w:r w:rsidR="00190241">
        <w:t>calculated</w:t>
      </w:r>
      <w:r w:rsidR="00AD2219">
        <w:t xml:space="preserve"> from the calcium oxide contents, </w:t>
      </w:r>
      <m:oMath>
        <m:r>
          <w:rPr>
            <w:rFonts w:ascii="Cambria Math" w:hAnsi="Cambria Math"/>
          </w:rPr>
          <m:t>CaO</m:t>
        </m:r>
      </m:oMath>
      <w:r w:rsidR="00AD2219">
        <w:t xml:space="preserve">, of the stabilized soil, </w:t>
      </w:r>
      <w:r w:rsidR="00190241">
        <w:t>raw</w:t>
      </w:r>
      <w:r w:rsidR="00AD2219">
        <w:t xml:space="preserve"> soil, and chemical additive </w:t>
      </w:r>
      <w:r w:rsidR="00AD2219" w:rsidRPr="006C4B95">
        <w:t xml:space="preserve">using </w:t>
      </w:r>
      <w:r w:rsidR="00693361">
        <w:t xml:space="preserve">Equation </w:t>
      </w:r>
      <w:r w:rsidR="006C4B95" w:rsidRPr="006C4B95">
        <w:fldChar w:fldCharType="begin"/>
      </w:r>
      <w:r w:rsidR="006C4B95" w:rsidRPr="006C4B95">
        <w:instrText xml:space="preserve"> REF _Ref437868056 \h </w:instrText>
      </w:r>
      <w:r w:rsidR="006C4B95">
        <w:instrText xml:space="preserve"> \* MERGEFORMAT </w:instrText>
      </w:r>
      <w:r w:rsidR="006C4B95" w:rsidRPr="006C4B95">
        <w:fldChar w:fldCharType="separate"/>
      </w:r>
      <w:r w:rsidR="00E90148" w:rsidRPr="00E90148">
        <w:t>(1</w:t>
      </w:r>
      <w:r w:rsidR="00E90148" w:rsidRPr="00E90148">
        <w:rPr>
          <w:noProof/>
        </w:rPr>
        <w:t>)</w:t>
      </w:r>
      <w:r w:rsidR="006C4B95" w:rsidRPr="006C4B95">
        <w:fldChar w:fldCharType="end"/>
      </w:r>
      <w:r w:rsidR="00AD2219" w:rsidRPr="006C4B95">
        <w:t>.</w:t>
      </w:r>
      <w:r w:rsidR="00AD2219">
        <w:t xml:space="preserve"> </w:t>
      </w:r>
      <w:r w:rsidR="00190241">
        <w:t xml:space="preserve">All </w:t>
      </w:r>
      <m:oMath>
        <m:r>
          <w:rPr>
            <w:rFonts w:ascii="Cambria Math" w:hAnsi="Cambria Math"/>
          </w:rPr>
          <m:t>SC</m:t>
        </m:r>
      </m:oMath>
      <w:r w:rsidR="00190241">
        <w:rPr>
          <w:rFonts w:eastAsiaTheme="minorEastAsia"/>
        </w:rPr>
        <w:t>s presented in this research were calculated using this equation.</w:t>
      </w:r>
    </w:p>
    <w:p w14:paraId="5C640E06" w14:textId="77777777" w:rsidR="00803601" w:rsidRDefault="00803601" w:rsidP="00AD2219">
      <w:pPr>
        <w:jc w:val="both"/>
      </w:pPr>
    </w:p>
    <w:p w14:paraId="2C3E568C" w14:textId="77777777" w:rsidR="00175936" w:rsidRDefault="00175936" w:rsidP="00AD2219">
      <w:pPr>
        <w:jc w:val="both"/>
      </w:pPr>
    </w:p>
    <w:p w14:paraId="6E8AF493" w14:textId="77777777" w:rsidR="00175936" w:rsidRDefault="00175936" w:rsidP="00AD2219">
      <w:pPr>
        <w:jc w:val="both"/>
      </w:pPr>
    </w:p>
    <w:tbl>
      <w:tblPr>
        <w:tblStyle w:val="TableGrid"/>
        <w:tblW w:w="8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3"/>
        <w:gridCol w:w="450"/>
      </w:tblGrid>
      <w:tr w:rsidR="00AD2219" w14:paraId="4564E1DC" w14:textId="77777777" w:rsidTr="00DA279E">
        <w:trPr>
          <w:trHeight w:val="513"/>
        </w:trPr>
        <w:tc>
          <w:tcPr>
            <w:tcW w:w="7875" w:type="dxa"/>
          </w:tcPr>
          <w:p w14:paraId="33E02C3D" w14:textId="77777777" w:rsidR="00AD2219" w:rsidRDefault="00AD2219" w:rsidP="002A24FD">
            <w:pPr>
              <w:spacing w:line="480" w:lineRule="auto"/>
              <w:jc w:val="center"/>
              <w:rPr>
                <w:sz w:val="20"/>
                <w:szCs w:val="20"/>
              </w:rPr>
            </w:pPr>
            <m:oMathPara>
              <m:oMath>
                <m:r>
                  <w:rPr>
                    <w:rFonts w:ascii="Cambria Math" w:hAnsi="Cambria Math"/>
                    <w:sz w:val="20"/>
                    <w:szCs w:val="20"/>
                  </w:rPr>
                  <w:lastRenderedPageBreak/>
                  <m:t>SC=</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CaO</m:t>
                            </m:r>
                          </m:e>
                          <m:sub>
                            <m:r>
                              <w:rPr>
                                <w:rFonts w:ascii="Cambria Math" w:hAnsi="Cambria Math"/>
                                <w:sz w:val="20"/>
                                <w:szCs w:val="20"/>
                              </w:rPr>
                              <m:t>f</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CaO</m:t>
                            </m:r>
                          </m:e>
                          <m:sub>
                            <m:r>
                              <w:rPr>
                                <w:rFonts w:ascii="Cambria Math" w:hAnsi="Cambria Math"/>
                                <w:sz w:val="20"/>
                                <w:szCs w:val="20"/>
                              </w:rPr>
                              <m:t>0</m:t>
                            </m:r>
                          </m:sub>
                        </m:sSub>
                      </m:num>
                      <m:den>
                        <m:sSub>
                          <m:sSubPr>
                            <m:ctrlPr>
                              <w:rPr>
                                <w:rFonts w:ascii="Cambria Math" w:hAnsi="Cambria Math"/>
                                <w:i/>
                                <w:sz w:val="20"/>
                                <w:szCs w:val="20"/>
                              </w:rPr>
                            </m:ctrlPr>
                          </m:sSubPr>
                          <m:e>
                            <m:r>
                              <w:rPr>
                                <w:rFonts w:ascii="Cambria Math" w:hAnsi="Cambria Math"/>
                                <w:sz w:val="20"/>
                                <w:szCs w:val="20"/>
                              </w:rPr>
                              <m:t>CaO</m:t>
                            </m:r>
                          </m:e>
                          <m:sub>
                            <m:r>
                              <w:rPr>
                                <w:rFonts w:ascii="Cambria Math" w:hAnsi="Cambria Math"/>
                                <w:sz w:val="20"/>
                                <w:szCs w:val="20"/>
                              </w:rPr>
                              <m:t>CA</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CaO</m:t>
                            </m:r>
                          </m:e>
                          <m:sub>
                            <m:r>
                              <w:rPr>
                                <w:rFonts w:ascii="Cambria Math" w:hAnsi="Cambria Math"/>
                                <w:sz w:val="20"/>
                                <w:szCs w:val="20"/>
                              </w:rPr>
                              <m:t>0</m:t>
                            </m:r>
                          </m:sub>
                        </m:sSub>
                      </m:den>
                    </m:f>
                  </m:e>
                </m:d>
                <m:r>
                  <w:rPr>
                    <w:rFonts w:ascii="Cambria Math" w:hAnsi="Cambria Math"/>
                    <w:sz w:val="20"/>
                    <w:szCs w:val="20"/>
                  </w:rPr>
                  <m:t>×100%</m:t>
                </m:r>
              </m:oMath>
            </m:oMathPara>
          </w:p>
        </w:tc>
        <w:tc>
          <w:tcPr>
            <w:tcW w:w="448" w:type="dxa"/>
          </w:tcPr>
          <w:p w14:paraId="3A0DFB0D" w14:textId="57B001B2" w:rsidR="00AD2219" w:rsidRPr="006C4B95" w:rsidRDefault="006C4B95" w:rsidP="002A24FD">
            <w:pPr>
              <w:spacing w:line="480" w:lineRule="auto"/>
              <w:jc w:val="center"/>
              <w:rPr>
                <w:sz w:val="20"/>
                <w:szCs w:val="20"/>
              </w:rPr>
            </w:pPr>
            <w:bookmarkStart w:id="18" w:name="_Ref442279324"/>
            <w:bookmarkStart w:id="19" w:name="_Ref437868056"/>
            <w:r w:rsidRPr="006C4B95">
              <w:rPr>
                <w:sz w:val="20"/>
                <w:szCs w:val="20"/>
              </w:rPr>
              <w:t>(</w:t>
            </w:r>
            <w:r w:rsidRPr="006C4B95">
              <w:rPr>
                <w:sz w:val="20"/>
                <w:szCs w:val="20"/>
              </w:rPr>
              <w:fldChar w:fldCharType="begin"/>
            </w:r>
            <w:r w:rsidRPr="006C4B95">
              <w:rPr>
                <w:sz w:val="20"/>
                <w:szCs w:val="20"/>
              </w:rPr>
              <w:instrText xml:space="preserve"> SEQ Equation \* ARABIC </w:instrText>
            </w:r>
            <w:r w:rsidRPr="006C4B95">
              <w:rPr>
                <w:sz w:val="20"/>
                <w:szCs w:val="20"/>
              </w:rPr>
              <w:fldChar w:fldCharType="separate"/>
            </w:r>
            <w:r w:rsidR="00E90148">
              <w:rPr>
                <w:noProof/>
                <w:sz w:val="20"/>
                <w:szCs w:val="20"/>
              </w:rPr>
              <w:t>1</w:t>
            </w:r>
            <w:r w:rsidRPr="006C4B95">
              <w:rPr>
                <w:sz w:val="20"/>
                <w:szCs w:val="20"/>
              </w:rPr>
              <w:fldChar w:fldCharType="end"/>
            </w:r>
            <w:bookmarkEnd w:id="18"/>
            <w:r w:rsidR="00AD2219" w:rsidRPr="006C4B95">
              <w:rPr>
                <w:sz w:val="20"/>
                <w:szCs w:val="20"/>
              </w:rPr>
              <w:t>)</w:t>
            </w:r>
            <w:bookmarkEnd w:id="19"/>
          </w:p>
        </w:tc>
      </w:tr>
    </w:tbl>
    <w:p w14:paraId="4A39A158" w14:textId="77777777" w:rsidR="00AD2219" w:rsidRDefault="00AD2219" w:rsidP="00AD2219">
      <w:pPr>
        <w:jc w:val="both"/>
      </w:pPr>
    </w:p>
    <w:p w14:paraId="1FEF8071" w14:textId="6F0D3936" w:rsidR="00AD2219" w:rsidRPr="00196BFD" w:rsidRDefault="00AD2219" w:rsidP="00AD2219">
      <w:pPr>
        <w:jc w:val="left"/>
        <w:rPr>
          <w:rFonts w:eastAsiaTheme="minorEastAsia"/>
          <w:sz w:val="20"/>
          <w:szCs w:val="20"/>
        </w:rPr>
      </w:pPr>
      <w:r>
        <w:rPr>
          <w:sz w:val="20"/>
          <w:szCs w:val="20"/>
        </w:rPr>
        <w:t>Where:</w:t>
      </w:r>
      <w:r>
        <w:rPr>
          <w:sz w:val="20"/>
          <w:szCs w:val="20"/>
        </w:rPr>
        <w:tab/>
      </w:r>
      <m:oMath>
        <m:sSub>
          <m:sSubPr>
            <m:ctrlPr>
              <w:rPr>
                <w:rFonts w:ascii="Cambria Math" w:hAnsi="Cambria Math"/>
                <w:i/>
                <w:sz w:val="20"/>
                <w:szCs w:val="20"/>
              </w:rPr>
            </m:ctrlPr>
          </m:sSubPr>
          <m:e>
            <m:r>
              <w:rPr>
                <w:rFonts w:ascii="Cambria Math" w:hAnsi="Cambria Math"/>
                <w:sz w:val="20"/>
                <w:szCs w:val="20"/>
              </w:rPr>
              <m:t>CaO</m:t>
            </m:r>
          </m:e>
          <m:sub>
            <m:r>
              <w:rPr>
                <w:rFonts w:ascii="Cambria Math" w:hAnsi="Cambria Math"/>
                <w:sz w:val="20"/>
                <w:szCs w:val="20"/>
              </w:rPr>
              <m:t>f</m:t>
            </m:r>
          </m:sub>
        </m:sSub>
        <m:r>
          <w:rPr>
            <w:rFonts w:ascii="Cambria Math" w:hAnsi="Cambria Math"/>
            <w:sz w:val="20"/>
            <w:szCs w:val="20"/>
          </w:rPr>
          <m:t xml:space="preserve">=CaO measured by XRF in the chemically stabilized soil sample </m:t>
        </m:r>
        <m:r>
          <w:rPr>
            <w:rFonts w:ascii="Cambria Math" w:eastAsiaTheme="minorEastAsia" w:hAnsi="Cambria Math"/>
            <w:sz w:val="20"/>
            <w:szCs w:val="20"/>
          </w:rPr>
          <m:t>(%)</m:t>
        </m:r>
      </m:oMath>
    </w:p>
    <w:p w14:paraId="421F2FDD" w14:textId="30BDBE25" w:rsidR="00AD2219" w:rsidRPr="00196BFD" w:rsidRDefault="00AD2219" w:rsidP="00AD2219">
      <w:pPr>
        <w:jc w:val="left"/>
        <w:rPr>
          <w:rFonts w:eastAsiaTheme="minorEastAsia"/>
          <w:sz w:val="20"/>
          <w:szCs w:val="20"/>
        </w:rPr>
      </w:pPr>
      <w:r>
        <w:rPr>
          <w:rFonts w:eastAsiaTheme="minorEastAsia"/>
          <w:sz w:val="20"/>
          <w:szCs w:val="20"/>
        </w:rPr>
        <w:tab/>
      </w:r>
      <m:oMath>
        <m:sSub>
          <m:sSubPr>
            <m:ctrlPr>
              <w:rPr>
                <w:rFonts w:ascii="Cambria Math" w:hAnsi="Cambria Math"/>
                <w:i/>
                <w:sz w:val="20"/>
                <w:szCs w:val="20"/>
              </w:rPr>
            </m:ctrlPr>
          </m:sSubPr>
          <m:e>
            <m:r>
              <w:rPr>
                <w:rFonts w:ascii="Cambria Math" w:hAnsi="Cambria Math"/>
                <w:sz w:val="20"/>
                <w:szCs w:val="20"/>
              </w:rPr>
              <m:t>CaO</m:t>
            </m:r>
          </m:e>
          <m:sub>
            <m:r>
              <w:rPr>
                <w:rFonts w:ascii="Cambria Math" w:hAnsi="Cambria Math"/>
                <w:sz w:val="20"/>
                <w:szCs w:val="20"/>
              </w:rPr>
              <m:t>0</m:t>
            </m:r>
          </m:sub>
        </m:sSub>
        <m:r>
          <w:rPr>
            <w:rFonts w:ascii="Cambria Math" w:hAnsi="Cambria Math"/>
            <w:sz w:val="20"/>
            <w:szCs w:val="20"/>
          </w:rPr>
          <m:t xml:space="preserve">=CaO measured by XRF in the untreated natural soil sample </m:t>
        </m:r>
        <m:r>
          <w:rPr>
            <w:rFonts w:ascii="Cambria Math" w:eastAsiaTheme="minorEastAsia" w:hAnsi="Cambria Math"/>
            <w:sz w:val="20"/>
            <w:szCs w:val="20"/>
          </w:rPr>
          <m:t>(%)</m:t>
        </m:r>
      </m:oMath>
    </w:p>
    <w:p w14:paraId="417C0FB2" w14:textId="658FD912" w:rsidR="00AD2219" w:rsidRDefault="00AD2219" w:rsidP="00AD2219">
      <w:pPr>
        <w:jc w:val="left"/>
        <w:rPr>
          <w:rFonts w:eastAsiaTheme="minorEastAsia"/>
          <w:sz w:val="20"/>
          <w:szCs w:val="20"/>
        </w:rPr>
      </w:pPr>
      <w:r>
        <w:rPr>
          <w:rFonts w:eastAsiaTheme="minorEastAsia"/>
          <w:sz w:val="20"/>
          <w:szCs w:val="20"/>
        </w:rPr>
        <w:tab/>
      </w:r>
      <m:oMath>
        <m:sSub>
          <m:sSubPr>
            <m:ctrlPr>
              <w:rPr>
                <w:rFonts w:ascii="Cambria Math" w:hAnsi="Cambria Math"/>
                <w:i/>
                <w:sz w:val="20"/>
                <w:szCs w:val="20"/>
              </w:rPr>
            </m:ctrlPr>
          </m:sSubPr>
          <m:e>
            <m:r>
              <w:rPr>
                <w:rFonts w:ascii="Cambria Math" w:hAnsi="Cambria Math"/>
                <w:sz w:val="20"/>
                <w:szCs w:val="20"/>
              </w:rPr>
              <m:t>CaO</m:t>
            </m:r>
          </m:e>
          <m:sub>
            <m:r>
              <w:rPr>
                <w:rFonts w:ascii="Cambria Math" w:hAnsi="Cambria Math"/>
                <w:sz w:val="20"/>
                <w:szCs w:val="20"/>
              </w:rPr>
              <m:t>CA</m:t>
            </m:r>
          </m:sub>
        </m:sSub>
        <m:r>
          <w:rPr>
            <w:rFonts w:ascii="Cambria Math" w:hAnsi="Cambria Math"/>
            <w:sz w:val="20"/>
            <w:szCs w:val="20"/>
          </w:rPr>
          <m:t xml:space="preserve">=CaO measured by XRF in the chemical additive </m:t>
        </m:r>
        <m:r>
          <w:rPr>
            <w:rFonts w:ascii="Cambria Math" w:eastAsiaTheme="minorEastAsia" w:hAnsi="Cambria Math"/>
            <w:sz w:val="20"/>
            <w:szCs w:val="20"/>
          </w:rPr>
          <m:t>(%)</m:t>
        </m:r>
      </m:oMath>
    </w:p>
    <w:p w14:paraId="4F72F468" w14:textId="77777777" w:rsidR="00AD2219" w:rsidRDefault="00AD2219" w:rsidP="00AD2219">
      <w:pPr>
        <w:jc w:val="left"/>
      </w:pPr>
    </w:p>
    <w:p w14:paraId="08172455" w14:textId="7D4283F1" w:rsidR="00AD2219" w:rsidRDefault="001E6B02" w:rsidP="00E6041F">
      <w:pPr>
        <w:ind w:firstLine="720"/>
        <w:jc w:val="both"/>
      </w:pPr>
      <w:r>
        <w:t>The aforementioned research led to this</w:t>
      </w:r>
      <w:r w:rsidR="00AD2219" w:rsidRPr="00224F7E">
        <w:t xml:space="preserve"> current investiga</w:t>
      </w:r>
      <w:r w:rsidR="00D8488C">
        <w:t>tion to verify that PH</w:t>
      </w:r>
      <w:r w:rsidR="00AD2219" w:rsidRPr="00224F7E">
        <w:t xml:space="preserve">XRF systems </w:t>
      </w:r>
      <w:r w:rsidR="003B44DE">
        <w:t>have accuracy comparable to those</w:t>
      </w:r>
      <w:r w:rsidR="00AD2219" w:rsidRPr="00224F7E">
        <w:t xml:space="preserve"> of commercial laboratories. </w:t>
      </w:r>
    </w:p>
    <w:p w14:paraId="65DB8FA0" w14:textId="77777777" w:rsidR="003A638F" w:rsidRPr="003A638F" w:rsidRDefault="003A638F" w:rsidP="003A638F">
      <w:pPr>
        <w:pStyle w:val="ListParagraph"/>
        <w:jc w:val="both"/>
        <w:rPr>
          <w:bCs/>
          <w:highlight w:val="yellow"/>
        </w:rPr>
        <w:sectPr w:rsidR="003A638F" w:rsidRPr="003A638F" w:rsidSect="00A45898">
          <w:headerReference w:type="default" r:id="rId17"/>
          <w:footerReference w:type="default" r:id="rId18"/>
          <w:pgSz w:w="12240" w:h="15840"/>
          <w:pgMar w:top="1440" w:right="1440" w:bottom="1440" w:left="2304" w:header="720" w:footer="144" w:gutter="0"/>
          <w:pgNumType w:start="1"/>
          <w:cols w:space="720"/>
          <w:docGrid w:linePitch="360"/>
        </w:sectPr>
      </w:pPr>
    </w:p>
    <w:p w14:paraId="6CDAA2FE" w14:textId="77777777" w:rsidR="00224F7E" w:rsidRDefault="00A9340E" w:rsidP="006427AD">
      <w:pPr>
        <w:pStyle w:val="Heading1"/>
      </w:pPr>
      <w:r w:rsidRPr="00A9340E">
        <w:lastRenderedPageBreak/>
        <w:t>CHAPTER 3</w:t>
      </w:r>
    </w:p>
    <w:p w14:paraId="1AABD50D" w14:textId="77777777" w:rsidR="00A9340E" w:rsidRDefault="00A9340E" w:rsidP="006427AD">
      <w:pPr>
        <w:pStyle w:val="Heading1"/>
      </w:pPr>
      <w:r>
        <w:t>METHODS</w:t>
      </w:r>
    </w:p>
    <w:p w14:paraId="4D19010E" w14:textId="77777777" w:rsidR="00A9340E" w:rsidRDefault="00A9340E" w:rsidP="00A9340E">
      <w:pPr>
        <w:rPr>
          <w:b/>
        </w:rPr>
      </w:pPr>
    </w:p>
    <w:p w14:paraId="534A4BCE" w14:textId="77777777" w:rsidR="00A9340E" w:rsidRDefault="00A9340E" w:rsidP="00A9340E">
      <w:pPr>
        <w:jc w:val="left"/>
        <w:rPr>
          <w:b/>
        </w:rPr>
      </w:pPr>
      <w:r w:rsidRPr="00A9340E">
        <w:rPr>
          <w:b/>
        </w:rPr>
        <w:t>3.1 Materials and Apparatuses</w:t>
      </w:r>
    </w:p>
    <w:p w14:paraId="6F1A9DDE" w14:textId="21F0D54E" w:rsidR="00AA61D8" w:rsidRPr="009A47CC" w:rsidRDefault="00AA61D8" w:rsidP="009A47CC">
      <w:pPr>
        <w:ind w:firstLine="720"/>
        <w:jc w:val="left"/>
      </w:pPr>
      <w:r w:rsidRPr="009A47CC">
        <w:t xml:space="preserve">The materials, including soil and stabilizer type, and </w:t>
      </w:r>
      <w:r>
        <w:t xml:space="preserve">non-standard laboratory </w:t>
      </w:r>
      <w:r w:rsidRPr="009A47CC">
        <w:t>equipment used in this research are as follows:</w:t>
      </w:r>
    </w:p>
    <w:p w14:paraId="644AEFE1" w14:textId="695C9F4F" w:rsidR="00A9340E" w:rsidRPr="00A9340E" w:rsidRDefault="00A9340E" w:rsidP="00A9340E">
      <w:pPr>
        <w:pStyle w:val="ListParagraph"/>
        <w:numPr>
          <w:ilvl w:val="0"/>
          <w:numId w:val="1"/>
        </w:numPr>
        <w:jc w:val="both"/>
      </w:pPr>
      <w:r w:rsidRPr="00A9340E">
        <w:rPr>
          <w:i/>
        </w:rPr>
        <w:t>Old Hickory Clay (OHC)</w:t>
      </w:r>
      <w:r w:rsidRPr="00A9340E">
        <w:t xml:space="preserve"> – Kaolinite soil from Hickory, Kentucky</w:t>
      </w:r>
    </w:p>
    <w:p w14:paraId="29E186F9" w14:textId="7BFCD1FD" w:rsidR="00A9340E" w:rsidRPr="00A9340E" w:rsidRDefault="00A9340E" w:rsidP="00A9340E">
      <w:pPr>
        <w:pStyle w:val="ListParagraph"/>
        <w:numPr>
          <w:ilvl w:val="0"/>
          <w:numId w:val="1"/>
        </w:numPr>
        <w:jc w:val="both"/>
      </w:pPr>
      <w:r w:rsidRPr="00A9340E">
        <w:rPr>
          <w:i/>
        </w:rPr>
        <w:t>Super Gel-X Bentonite (SGB)</w:t>
      </w:r>
      <w:r w:rsidRPr="00A9340E">
        <w:t xml:space="preserve"> – Absorbent impure</w:t>
      </w:r>
      <w:r w:rsidR="002A5C6B">
        <w:t xml:space="preserve"> </w:t>
      </w:r>
      <w:r w:rsidR="006C4B95">
        <w:t xml:space="preserve">bentonite </w:t>
      </w:r>
      <w:r w:rsidR="002A5C6B">
        <w:t xml:space="preserve">clay from Titan Industries </w:t>
      </w:r>
      <w:r w:rsidR="007F1D48">
        <w:t>Inc.</w:t>
      </w:r>
    </w:p>
    <w:p w14:paraId="4C03B814" w14:textId="0F162E92" w:rsidR="00A9340E" w:rsidRPr="00A9340E" w:rsidRDefault="00A9340E" w:rsidP="006C4B95">
      <w:pPr>
        <w:pStyle w:val="ListParagraph"/>
        <w:numPr>
          <w:ilvl w:val="0"/>
          <w:numId w:val="1"/>
        </w:numPr>
        <w:jc w:val="both"/>
      </w:pPr>
      <w:r w:rsidRPr="00A9340E">
        <w:rPr>
          <w:i/>
        </w:rPr>
        <w:t>Hydrated Lime</w:t>
      </w:r>
      <w:r w:rsidR="00841F80">
        <w:t xml:space="preserve"> – Q</w:t>
      </w:r>
      <w:r w:rsidR="002A5C6B">
        <w:t xml:space="preserve">uicklime </w:t>
      </w:r>
      <w:r w:rsidR="006C4B95">
        <w:t>and water mix</w:t>
      </w:r>
      <w:r w:rsidR="00841F80">
        <w:t xml:space="preserve"> from the Texas Lime Company</w:t>
      </w:r>
      <w:r w:rsidR="00DA279E">
        <w:t xml:space="preserve"> in Cleburne, Texas.</w:t>
      </w:r>
    </w:p>
    <w:p w14:paraId="45B9A4E4" w14:textId="77439E85" w:rsidR="00A9340E" w:rsidRPr="00A9340E" w:rsidRDefault="00A9340E" w:rsidP="00841F80">
      <w:pPr>
        <w:pStyle w:val="ListParagraph"/>
        <w:numPr>
          <w:ilvl w:val="0"/>
          <w:numId w:val="1"/>
        </w:numPr>
        <w:jc w:val="both"/>
      </w:pPr>
      <w:r w:rsidRPr="00A9340E">
        <w:rPr>
          <w:i/>
        </w:rPr>
        <w:t>Cement Kiln Dust (CKD)</w:t>
      </w:r>
      <w:r w:rsidRPr="00A9340E">
        <w:t xml:space="preserve"> – Fine, highly alkaline waste r</w:t>
      </w:r>
      <w:r w:rsidR="002A5C6B">
        <w:t>emoved from cement kiln exhaust</w:t>
      </w:r>
      <w:r w:rsidR="00841F80">
        <w:t xml:space="preserve"> from Silver Star Construction Co., Inc. in Moore, Oklahoma</w:t>
      </w:r>
    </w:p>
    <w:p w14:paraId="7DF79F8F" w14:textId="5182C3CF" w:rsidR="00A9340E" w:rsidRPr="00A9340E" w:rsidRDefault="001075E9" w:rsidP="00A9340E">
      <w:pPr>
        <w:pStyle w:val="ListParagraph"/>
        <w:numPr>
          <w:ilvl w:val="0"/>
          <w:numId w:val="1"/>
        </w:numPr>
        <w:jc w:val="both"/>
      </w:pPr>
      <w:r>
        <w:rPr>
          <w:i/>
        </w:rPr>
        <w:t>Fly Ash</w:t>
      </w:r>
      <w:r w:rsidR="00A9340E" w:rsidRPr="00A9340E">
        <w:t xml:space="preserve"> </w:t>
      </w:r>
      <w:r w:rsidR="00841F80" w:rsidRPr="00DA279E">
        <w:rPr>
          <w:i/>
          <w:iCs/>
        </w:rPr>
        <w:t>Class C</w:t>
      </w:r>
      <w:r w:rsidR="00A9340E" w:rsidRPr="00A9340E">
        <w:t>– Fine</w:t>
      </w:r>
      <w:r w:rsidR="002A5C6B">
        <w:t xml:space="preserve"> reside generated in combustion</w:t>
      </w:r>
      <w:r w:rsidR="00841F80">
        <w:t xml:space="preserve"> from Silver Star Construction Co., Inc. in Moore, Oklahoma</w:t>
      </w:r>
    </w:p>
    <w:p w14:paraId="02999DE6" w14:textId="1127EDFE" w:rsidR="00A9340E" w:rsidRPr="00A9340E" w:rsidRDefault="00A9340E" w:rsidP="00DA279E">
      <w:pPr>
        <w:pStyle w:val="ListParagraph"/>
        <w:numPr>
          <w:ilvl w:val="0"/>
          <w:numId w:val="1"/>
        </w:numPr>
        <w:jc w:val="both"/>
      </w:pPr>
      <w:r w:rsidRPr="00A9340E">
        <w:rPr>
          <w:i/>
        </w:rPr>
        <w:t>SPEX Shatterbox 8515</w:t>
      </w:r>
      <w:r w:rsidRPr="00A9340E">
        <w:t xml:space="preserve"> – Fully au</w:t>
      </w:r>
      <w:r w:rsidR="002A5C6B">
        <w:t xml:space="preserve">tomated electric </w:t>
      </w:r>
      <w:r w:rsidR="00DA279E">
        <w:t>miller</w:t>
      </w:r>
    </w:p>
    <w:p w14:paraId="4E5F54C2" w14:textId="0F123BBD" w:rsidR="00A9340E" w:rsidRPr="00A9340E" w:rsidRDefault="00A9340E" w:rsidP="00A9340E">
      <w:pPr>
        <w:pStyle w:val="ListParagraph"/>
        <w:numPr>
          <w:ilvl w:val="0"/>
          <w:numId w:val="1"/>
        </w:numPr>
        <w:jc w:val="both"/>
      </w:pPr>
      <w:r w:rsidRPr="00A9340E">
        <w:rPr>
          <w:i/>
        </w:rPr>
        <w:t>SPEX 3630 X-Press</w:t>
      </w:r>
      <w:r w:rsidRPr="00A9340E">
        <w:t xml:space="preserve"> – Automatic press machi</w:t>
      </w:r>
      <w:r w:rsidR="002A5C6B">
        <w:t>ne used to press pellet samples</w:t>
      </w:r>
    </w:p>
    <w:p w14:paraId="3A437A6E" w14:textId="5FF32EEE" w:rsidR="00A9340E" w:rsidRPr="00A9340E" w:rsidRDefault="00A9340E" w:rsidP="00A9340E">
      <w:pPr>
        <w:pStyle w:val="ListParagraph"/>
        <w:numPr>
          <w:ilvl w:val="0"/>
          <w:numId w:val="1"/>
        </w:numPr>
        <w:jc w:val="both"/>
      </w:pPr>
      <w:r w:rsidRPr="00A9340E">
        <w:rPr>
          <w:i/>
        </w:rPr>
        <w:t>SPEX 40mm Evacuable Die Set</w:t>
      </w:r>
      <w:r w:rsidRPr="00A9340E">
        <w:t xml:space="preserve"> – Die set</w:t>
      </w:r>
      <w:r w:rsidR="002A5C6B">
        <w:t xml:space="preserve"> used to create pressed pellets</w:t>
      </w:r>
    </w:p>
    <w:p w14:paraId="49BCB3A3" w14:textId="5FE7D122" w:rsidR="00A9340E" w:rsidRPr="00A9340E" w:rsidRDefault="00A9340E" w:rsidP="00A9340E">
      <w:pPr>
        <w:pStyle w:val="ListParagraph"/>
        <w:numPr>
          <w:ilvl w:val="0"/>
          <w:numId w:val="1"/>
        </w:numPr>
        <w:jc w:val="both"/>
      </w:pPr>
      <w:r w:rsidRPr="00A9340E">
        <w:rPr>
          <w:i/>
        </w:rPr>
        <w:t>Premier Lab Supply 40mm Tapered Wall Aluminum Cups</w:t>
      </w:r>
      <w:r w:rsidRPr="00A9340E">
        <w:t xml:space="preserve"> – Shallow, thin-walled aluminum caps </w:t>
      </w:r>
      <w:r w:rsidR="002A5C6B">
        <w:t>for reinforcing pressed pellets</w:t>
      </w:r>
    </w:p>
    <w:p w14:paraId="674460B5" w14:textId="00F111A2" w:rsidR="00A9340E" w:rsidRPr="00A9340E" w:rsidRDefault="00A9340E" w:rsidP="00A9340E">
      <w:pPr>
        <w:pStyle w:val="ListParagraph"/>
        <w:numPr>
          <w:ilvl w:val="0"/>
          <w:numId w:val="1"/>
        </w:numPr>
        <w:jc w:val="both"/>
      </w:pPr>
      <w:r w:rsidRPr="00A9340E">
        <w:rPr>
          <w:i/>
        </w:rPr>
        <w:t>Premier Lab Supply PB-100 Binding Additive</w:t>
      </w:r>
      <w:r w:rsidRPr="00A9340E">
        <w:t xml:space="preserve"> – Cellulose powder used to bond materials tog</w:t>
      </w:r>
      <w:r w:rsidR="002A5C6B">
        <w:t>ether in pressed pellet samples</w:t>
      </w:r>
    </w:p>
    <w:p w14:paraId="5682A910" w14:textId="25DC1596" w:rsidR="002955A4" w:rsidRPr="00A9340E" w:rsidRDefault="00A9340E" w:rsidP="002955A4">
      <w:pPr>
        <w:pStyle w:val="ListParagraph"/>
        <w:numPr>
          <w:ilvl w:val="0"/>
          <w:numId w:val="1"/>
        </w:numPr>
        <w:jc w:val="both"/>
      </w:pPr>
      <w:r w:rsidRPr="00A9340E">
        <w:rPr>
          <w:i/>
        </w:rPr>
        <w:lastRenderedPageBreak/>
        <w:t xml:space="preserve">Premier Lab Supply 35mm Single Open Ended Cup/Ring/Collar </w:t>
      </w:r>
      <w:r w:rsidRPr="00A9340E">
        <w:t>– Sam</w:t>
      </w:r>
      <w:r w:rsidR="002A5C6B">
        <w:t>ple cup used for powder samples</w:t>
      </w:r>
    </w:p>
    <w:p w14:paraId="75B12501" w14:textId="7DC7D099" w:rsidR="00A9340E" w:rsidRPr="00A9340E" w:rsidRDefault="00A9340E" w:rsidP="00A9340E">
      <w:pPr>
        <w:pStyle w:val="ListParagraph"/>
        <w:numPr>
          <w:ilvl w:val="0"/>
          <w:numId w:val="1"/>
        </w:numPr>
        <w:jc w:val="both"/>
      </w:pPr>
      <w:r w:rsidRPr="00A9340E">
        <w:rPr>
          <w:i/>
        </w:rPr>
        <w:t xml:space="preserve">Premier Lab Supply Mylar Low Sulfur Pre-Cut Thin Film – </w:t>
      </w:r>
      <w:r w:rsidRPr="00A9340E">
        <w:t>Film used on the scanning sur</w:t>
      </w:r>
      <w:r w:rsidR="002A5C6B">
        <w:t>face of the powder samples</w:t>
      </w:r>
    </w:p>
    <w:p w14:paraId="27E593AC" w14:textId="42670CEF" w:rsidR="00A9340E" w:rsidRDefault="00A9340E" w:rsidP="006C4B95">
      <w:pPr>
        <w:pStyle w:val="ListParagraph"/>
        <w:numPr>
          <w:ilvl w:val="0"/>
          <w:numId w:val="1"/>
        </w:numPr>
        <w:jc w:val="both"/>
      </w:pPr>
      <w:r w:rsidRPr="00A9340E">
        <w:rPr>
          <w:i/>
        </w:rPr>
        <w:t>Bruker S1 Titan</w:t>
      </w:r>
      <w:r w:rsidR="006C4B95">
        <w:t xml:space="preserve"> – PH</w:t>
      </w:r>
      <w:r w:rsidR="002A5C6B">
        <w:t>XRF spectrometer</w:t>
      </w:r>
    </w:p>
    <w:p w14:paraId="2D5EEE26" w14:textId="0D6F83A0" w:rsidR="00A9340E" w:rsidRDefault="00A9340E" w:rsidP="00A9340E">
      <w:pPr>
        <w:pStyle w:val="ListParagraph"/>
        <w:numPr>
          <w:ilvl w:val="0"/>
          <w:numId w:val="1"/>
        </w:numPr>
        <w:jc w:val="both"/>
      </w:pPr>
      <w:r w:rsidRPr="00A9340E">
        <w:rPr>
          <w:i/>
        </w:rPr>
        <w:t>Thermo Scientific Niton XL3t GOLDD+</w:t>
      </w:r>
      <w:r w:rsidR="001C643A">
        <w:rPr>
          <w:i/>
        </w:rPr>
        <w:t xml:space="preserve"> –</w:t>
      </w:r>
      <w:r w:rsidR="006C4B95">
        <w:t xml:space="preserve"> PH</w:t>
      </w:r>
      <w:r w:rsidR="002A5C6B">
        <w:t>XRF spectrometer</w:t>
      </w:r>
    </w:p>
    <w:p w14:paraId="0149B406" w14:textId="77777777" w:rsidR="003B44DE" w:rsidRDefault="003B44DE" w:rsidP="003B44DE">
      <w:pPr>
        <w:jc w:val="both"/>
      </w:pPr>
    </w:p>
    <w:p w14:paraId="248D43AB" w14:textId="7EA363C8" w:rsidR="00D51B8B" w:rsidRPr="003B44DE" w:rsidRDefault="00D51B8B" w:rsidP="003B44DE">
      <w:pPr>
        <w:jc w:val="left"/>
        <w:rPr>
          <w:b/>
        </w:rPr>
      </w:pPr>
      <w:r w:rsidRPr="003B44DE">
        <w:rPr>
          <w:b/>
        </w:rPr>
        <w:t>3.2 Testing Matrix</w:t>
      </w:r>
    </w:p>
    <w:p w14:paraId="58C1B76D" w14:textId="78349E41" w:rsidR="00D51B8B" w:rsidRPr="003B44DE" w:rsidRDefault="001B40D5" w:rsidP="003B44DE">
      <w:pPr>
        <w:ind w:firstLine="720"/>
        <w:jc w:val="both"/>
        <w:rPr>
          <w:b/>
        </w:rPr>
      </w:pPr>
      <w:r>
        <w:rPr>
          <w:b/>
        </w:rPr>
        <w:t xml:space="preserve">3.2.1 </w:t>
      </w:r>
      <w:r w:rsidR="00D51B8B" w:rsidRPr="003B44DE">
        <w:rPr>
          <w:b/>
        </w:rPr>
        <w:t>Laboratory</w:t>
      </w:r>
    </w:p>
    <w:p w14:paraId="24C3A7F2" w14:textId="43420BDF" w:rsidR="00D51B8B" w:rsidRDefault="00D51B8B" w:rsidP="007939C5">
      <w:pPr>
        <w:ind w:left="720" w:firstLine="720"/>
        <w:jc w:val="both"/>
      </w:pPr>
      <w:r>
        <w:t>Two different one-mineral soils</w:t>
      </w:r>
      <w:r w:rsidR="00C4173F">
        <w:t>, OHC and SGB,</w:t>
      </w:r>
      <w:r>
        <w:t xml:space="preserve"> were combin</w:t>
      </w:r>
      <w:r w:rsidRPr="00AE3632">
        <w:t xml:space="preserve">ed with </w:t>
      </w:r>
      <w:r>
        <w:t xml:space="preserve">various amounts of hydrated lime, </w:t>
      </w:r>
      <w:r w:rsidR="001B40D5">
        <w:t>CKD</w:t>
      </w:r>
      <w:r>
        <w:t>, and fly ash</w:t>
      </w:r>
      <w:r w:rsidRPr="00AE3632">
        <w:t xml:space="preserve"> to </w:t>
      </w:r>
      <w:r>
        <w:t>create 14 mixes with</w:t>
      </w:r>
      <w:r w:rsidRPr="00AE3632">
        <w:t xml:space="preserve"> </w:t>
      </w:r>
      <m:oMath>
        <m:r>
          <w:rPr>
            <w:rFonts w:ascii="Cambria Math" w:hAnsi="Cambria Math"/>
          </w:rPr>
          <m:t>SC</m:t>
        </m:r>
      </m:oMath>
      <w:r>
        <w:t>s ranging from</w:t>
      </w:r>
      <w:r w:rsidRPr="00AE3632">
        <w:t xml:space="preserve"> </w:t>
      </w:r>
      <w:r w:rsidR="0012127F">
        <w:t>0 to 64</w:t>
      </w:r>
      <w:r>
        <w:t>%. These 14 mixes were milled to particle diameters of</w:t>
      </w:r>
      <w:r w:rsidRPr="00AE3632">
        <w:t xml:space="preserve"> </w:t>
      </w:r>
      <w:r>
        <w:t xml:space="preserve">passing the No. 4, No. 40, </w:t>
      </w:r>
      <w:r w:rsidRPr="00AE3632">
        <w:t xml:space="preserve">No. 100, and No. 200 </w:t>
      </w:r>
      <w:r>
        <w:t xml:space="preserve">sieves, creating a matrix of 56 total samples. A portion of these samples were pressed into 56 compacted pellets and a portion of the passing No. 200 sieve samples were used to create 14 powder samples. This created a total matrix of 70 samples of varying </w:t>
      </w:r>
      <m:oMath>
        <m:r>
          <w:rPr>
            <w:rFonts w:ascii="Cambria Math" w:hAnsi="Cambria Math"/>
          </w:rPr>
          <m:t>SC</m:t>
        </m:r>
      </m:oMath>
      <w:r w:rsidR="00457152">
        <w:rPr>
          <w:rFonts w:eastAsiaTheme="minorEastAsia"/>
        </w:rPr>
        <w:t>s</w:t>
      </w:r>
      <w:r>
        <w:t xml:space="preserve">, particle sizes, and sample types. </w:t>
      </w:r>
      <w:r w:rsidR="00627BCA">
        <w:t>This matrix</w:t>
      </w:r>
      <w:r w:rsidR="000E50B6">
        <w:t>, along with the corresponding number of scans</w:t>
      </w:r>
      <w:r w:rsidR="007939C5">
        <w:t xml:space="preserve"> per unique sample</w:t>
      </w:r>
      <w:r w:rsidR="000E50B6">
        <w:t xml:space="preserve"> by two PHXRF spectrometers,</w:t>
      </w:r>
      <w:r w:rsidR="00627BCA">
        <w:t xml:space="preserve"> is illustrated in</w:t>
      </w:r>
      <w:r w:rsidR="00C4173F">
        <w:t xml:space="preserve"> </w:t>
      </w:r>
      <w:r w:rsidR="00C4173F">
        <w:fldChar w:fldCharType="begin"/>
      </w:r>
      <w:r w:rsidR="00C4173F">
        <w:instrText xml:space="preserve"> REF _Ref447441735 \h </w:instrText>
      </w:r>
      <w:r w:rsidR="00C4173F">
        <w:fldChar w:fldCharType="separate"/>
      </w:r>
      <w:r w:rsidR="00E90148">
        <w:t xml:space="preserve">Table </w:t>
      </w:r>
      <w:r w:rsidR="00E90148">
        <w:rPr>
          <w:noProof/>
        </w:rPr>
        <w:t>4</w:t>
      </w:r>
      <w:r w:rsidR="00C4173F">
        <w:fldChar w:fldCharType="end"/>
      </w:r>
      <w:r w:rsidR="00627BCA">
        <w:t xml:space="preserve">. </w:t>
      </w:r>
      <w:r>
        <w:t>A variety of analysis techniques were assessed including scan duration and standard or quartering scan techniques</w:t>
      </w:r>
      <w:r w:rsidRPr="00AE3632">
        <w:t>. Finally, t</w:t>
      </w:r>
      <w:r>
        <w:t>he results of these devices were</w:t>
      </w:r>
      <w:r w:rsidRPr="00AE3632">
        <w:t xml:space="preserve"> compared to results received from a commercial laboratory</w:t>
      </w:r>
      <w:r>
        <w:t xml:space="preserve"> in order to determine the most practical, effective, and accurate preparation and analysis techniques. Device </w:t>
      </w:r>
      <w:r>
        <w:lastRenderedPageBreak/>
        <w:t>recommendations were made based on the performances of the PHXRF spectrometers</w:t>
      </w:r>
      <w:r w:rsidRPr="00AE3632">
        <w:t>.</w:t>
      </w:r>
    </w:p>
    <w:p w14:paraId="473A3314" w14:textId="77777777" w:rsidR="00963450" w:rsidRDefault="00963450" w:rsidP="00C4173F">
      <w:pPr>
        <w:ind w:left="720" w:firstLine="720"/>
        <w:jc w:val="both"/>
      </w:pPr>
    </w:p>
    <w:p w14:paraId="11C43269" w14:textId="0A471F62" w:rsidR="0052482E" w:rsidRDefault="00C4173F" w:rsidP="000E50B6">
      <w:pPr>
        <w:pStyle w:val="Caption"/>
        <w:spacing w:line="480" w:lineRule="auto"/>
      </w:pPr>
      <w:bookmarkStart w:id="20" w:name="_Ref447441735"/>
      <w:bookmarkStart w:id="21" w:name="_Toc447755324"/>
      <w:r>
        <w:t xml:space="preserve">Table </w:t>
      </w:r>
      <w:r w:rsidR="00184FC2">
        <w:fldChar w:fldCharType="begin"/>
      </w:r>
      <w:r w:rsidR="00184FC2">
        <w:instrText xml:space="preserve"> SEQ Table \* ARABIC </w:instrText>
      </w:r>
      <w:r w:rsidR="00184FC2">
        <w:fldChar w:fldCharType="separate"/>
      </w:r>
      <w:r w:rsidR="00E90148">
        <w:rPr>
          <w:noProof/>
        </w:rPr>
        <w:t>4</w:t>
      </w:r>
      <w:r w:rsidR="00184FC2">
        <w:rPr>
          <w:noProof/>
        </w:rPr>
        <w:fldChar w:fldCharType="end"/>
      </w:r>
      <w:bookmarkEnd w:id="20"/>
      <w:r>
        <w:t xml:space="preserve">: </w:t>
      </w:r>
      <w:r w:rsidR="00167FDC">
        <w:t xml:space="preserve">Testing Matrix Showing </w:t>
      </w:r>
      <w:r w:rsidR="000E50B6">
        <w:t xml:space="preserve">Number of Scans (S1 Titan / Niton XL3t) of </w:t>
      </w:r>
      <w:r w:rsidR="00167FDC">
        <w:t xml:space="preserve">all Seventy </w:t>
      </w:r>
      <w:r w:rsidR="000E50B6">
        <w:t>Unique Samples and their</w:t>
      </w:r>
      <w:r w:rsidR="00167FDC">
        <w:t xml:space="preserve"> Corresponding Soil Type</w:t>
      </w:r>
      <w:r w:rsidR="000E50B6">
        <w:t>s</w:t>
      </w:r>
      <w:r w:rsidR="00167FDC">
        <w:t xml:space="preserve">, </w:t>
      </w:r>
      <w:r w:rsidR="007939C5">
        <w:t xml:space="preserve">Stabilizer Contents, </w:t>
      </w:r>
      <w:r w:rsidR="00167FDC">
        <w:t>Sample Type</w:t>
      </w:r>
      <w:r w:rsidR="000E50B6">
        <w:t>s</w:t>
      </w:r>
      <w:r w:rsidR="003D3F7E">
        <w:t>,</w:t>
      </w:r>
      <w:r w:rsidR="00167FDC">
        <w:t xml:space="preserve"> and Maximum Particle Size</w:t>
      </w:r>
      <w:r w:rsidR="000E50B6">
        <w:t>s</w:t>
      </w:r>
      <w:bookmarkEnd w:id="21"/>
    </w:p>
    <w:tbl>
      <w:tblPr>
        <w:tblW w:w="7531"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5"/>
        <w:gridCol w:w="1296"/>
        <w:gridCol w:w="1152"/>
        <w:gridCol w:w="1152"/>
        <w:gridCol w:w="1152"/>
        <w:gridCol w:w="1152"/>
        <w:gridCol w:w="1152"/>
      </w:tblGrid>
      <w:tr w:rsidR="00627BCA" w:rsidRPr="002A4C64" w14:paraId="016D140C" w14:textId="77777777" w:rsidTr="007939C5">
        <w:trPr>
          <w:trHeight w:val="432"/>
          <w:jc w:val="center"/>
        </w:trPr>
        <w:tc>
          <w:tcPr>
            <w:tcW w:w="475" w:type="dxa"/>
            <w:tcBorders>
              <w:top w:val="nil"/>
              <w:left w:val="nil"/>
              <w:bottom w:val="nil"/>
              <w:right w:val="single" w:sz="4" w:space="0" w:color="auto"/>
            </w:tcBorders>
            <w:shd w:val="clear" w:color="auto" w:fill="auto"/>
            <w:vAlign w:val="center"/>
          </w:tcPr>
          <w:p w14:paraId="1EA83F63" w14:textId="77777777" w:rsidR="00627BCA" w:rsidRPr="002A4C64" w:rsidRDefault="00627BCA" w:rsidP="00BF2A18">
            <w:pPr>
              <w:spacing w:line="240" w:lineRule="auto"/>
              <w:rPr>
                <w:rFonts w:asciiTheme="majorBidi" w:eastAsia="Calibri" w:hAnsiTheme="majorBidi" w:cstheme="majorBidi"/>
                <w:i/>
                <w:color w:val="000000"/>
                <w:sz w:val="22"/>
                <w:szCs w:val="22"/>
              </w:rPr>
            </w:pPr>
          </w:p>
        </w:tc>
        <w:tc>
          <w:tcPr>
            <w:tcW w:w="1296" w:type="dxa"/>
            <w:vMerge w:val="restart"/>
            <w:tcBorders>
              <w:top w:val="single" w:sz="4" w:space="0" w:color="auto"/>
              <w:left w:val="single" w:sz="4" w:space="0" w:color="auto"/>
              <w:bottom w:val="single" w:sz="4" w:space="0" w:color="auto"/>
              <w:right w:val="nil"/>
            </w:tcBorders>
            <w:shd w:val="clear" w:color="auto" w:fill="BFBFBF" w:themeFill="background1" w:themeFillShade="BF"/>
            <w:vAlign w:val="center"/>
          </w:tcPr>
          <w:p w14:paraId="14CF8CF8" w14:textId="77777777" w:rsidR="00627BCA" w:rsidRDefault="007939C5" w:rsidP="00BF2A18">
            <w:pPr>
              <w:spacing w:line="240" w:lineRule="auto"/>
              <w:rPr>
                <w:rFonts w:asciiTheme="majorBidi" w:eastAsia="Calibri" w:hAnsiTheme="majorBidi" w:cstheme="majorBidi"/>
                <w:i/>
                <w:color w:val="000000"/>
                <w:sz w:val="22"/>
                <w:szCs w:val="22"/>
              </w:rPr>
            </w:pPr>
            <w:r>
              <w:rPr>
                <w:rFonts w:asciiTheme="majorBidi" w:eastAsia="Calibri" w:hAnsiTheme="majorBidi" w:cstheme="majorBidi"/>
                <w:i/>
                <w:color w:val="000000"/>
                <w:sz w:val="22"/>
                <w:szCs w:val="22"/>
              </w:rPr>
              <w:t>Stabilizer Content</w:t>
            </w:r>
          </w:p>
          <w:p w14:paraId="37947E46" w14:textId="6AF9C9B4" w:rsidR="007939C5" w:rsidRPr="002A4C64" w:rsidRDefault="007939C5" w:rsidP="00BF2A18">
            <w:pPr>
              <w:spacing w:line="240" w:lineRule="auto"/>
              <w:rPr>
                <w:rFonts w:asciiTheme="majorBidi" w:eastAsia="Calibri" w:hAnsiTheme="majorBidi" w:cstheme="majorBidi"/>
                <w:i/>
                <w:color w:val="000000"/>
                <w:sz w:val="22"/>
                <w:szCs w:val="22"/>
              </w:rPr>
            </w:pPr>
            <w:r>
              <w:rPr>
                <w:rFonts w:asciiTheme="majorBidi" w:eastAsia="Calibri" w:hAnsiTheme="majorBidi" w:cstheme="majorBidi"/>
                <w:i/>
                <w:color w:val="000000"/>
                <w:sz w:val="22"/>
                <w:szCs w:val="22"/>
              </w:rPr>
              <w:t>(%)</w:t>
            </w:r>
          </w:p>
        </w:tc>
        <w:tc>
          <w:tcPr>
            <w:tcW w:w="4608" w:type="dxa"/>
            <w:gridSpan w:val="4"/>
            <w:tcBorders>
              <w:top w:val="single" w:sz="4" w:space="0" w:color="auto"/>
              <w:left w:val="nil"/>
              <w:bottom w:val="nil"/>
            </w:tcBorders>
            <w:shd w:val="clear" w:color="000000" w:fill="BFBFBF"/>
            <w:vAlign w:val="center"/>
          </w:tcPr>
          <w:p w14:paraId="404A87C6" w14:textId="4B1000A5" w:rsidR="00627BCA" w:rsidRPr="00C4173F" w:rsidRDefault="00627BCA" w:rsidP="00BF2A18">
            <w:pPr>
              <w:spacing w:line="240" w:lineRule="auto"/>
              <w:rPr>
                <w:rFonts w:asciiTheme="majorBidi" w:eastAsia="Times New Roman" w:hAnsiTheme="majorBidi" w:cstheme="majorBidi"/>
                <w:i/>
                <w:iCs/>
                <w:color w:val="000000"/>
                <w:sz w:val="22"/>
                <w:szCs w:val="22"/>
              </w:rPr>
            </w:pPr>
            <w:r w:rsidRPr="00C4173F">
              <w:rPr>
                <w:rFonts w:asciiTheme="majorBidi" w:eastAsia="Times New Roman" w:hAnsiTheme="majorBidi" w:cstheme="majorBidi"/>
                <w:i/>
                <w:iCs/>
                <w:color w:val="000000"/>
                <w:sz w:val="22"/>
                <w:szCs w:val="22"/>
              </w:rPr>
              <w:t>Pressed Pellets</w:t>
            </w:r>
          </w:p>
        </w:tc>
        <w:tc>
          <w:tcPr>
            <w:tcW w:w="1152" w:type="dxa"/>
            <w:tcBorders>
              <w:top w:val="single" w:sz="4" w:space="0" w:color="auto"/>
            </w:tcBorders>
            <w:shd w:val="clear" w:color="000000" w:fill="BFBFBF"/>
            <w:vAlign w:val="center"/>
          </w:tcPr>
          <w:p w14:paraId="0647895B" w14:textId="7B8075D6" w:rsidR="007939C5" w:rsidRDefault="007939C5" w:rsidP="007939C5">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Powder</w:t>
            </w:r>
          </w:p>
        </w:tc>
      </w:tr>
      <w:tr w:rsidR="00627BCA" w:rsidRPr="002A4C64" w14:paraId="021BD9D0" w14:textId="77777777" w:rsidTr="00C4173F">
        <w:trPr>
          <w:trHeight w:val="516"/>
          <w:jc w:val="center"/>
        </w:trPr>
        <w:tc>
          <w:tcPr>
            <w:tcW w:w="475" w:type="dxa"/>
            <w:tcBorders>
              <w:top w:val="nil"/>
              <w:left w:val="nil"/>
              <w:bottom w:val="single" w:sz="4" w:space="0" w:color="auto"/>
              <w:right w:val="single" w:sz="4" w:space="0" w:color="auto"/>
            </w:tcBorders>
            <w:shd w:val="clear" w:color="auto" w:fill="auto"/>
            <w:vAlign w:val="center"/>
          </w:tcPr>
          <w:p w14:paraId="1274BF70" w14:textId="062B270A" w:rsidR="00627BCA" w:rsidRPr="002A4C64" w:rsidRDefault="00627BCA" w:rsidP="00BF2A18">
            <w:pPr>
              <w:spacing w:line="240" w:lineRule="auto"/>
              <w:rPr>
                <w:rFonts w:asciiTheme="majorBidi" w:eastAsia="Calibri" w:hAnsiTheme="majorBidi" w:cstheme="majorBidi"/>
                <w:i/>
                <w:color w:val="000000"/>
                <w:sz w:val="22"/>
                <w:szCs w:val="22"/>
              </w:rPr>
            </w:pPr>
          </w:p>
        </w:tc>
        <w:tc>
          <w:tcPr>
            <w:tcW w:w="1296" w:type="dxa"/>
            <w:vMerge/>
            <w:tcBorders>
              <w:top w:val="nil"/>
              <w:bottom w:val="single" w:sz="4" w:space="0" w:color="auto"/>
              <w:right w:val="nil"/>
            </w:tcBorders>
            <w:shd w:val="clear" w:color="auto" w:fill="BFBFBF" w:themeFill="background1" w:themeFillShade="BF"/>
            <w:vAlign w:val="center"/>
          </w:tcPr>
          <w:p w14:paraId="23E0F1D3" w14:textId="7AFB1AD5" w:rsidR="00627BCA" w:rsidRDefault="00627BCA" w:rsidP="00BF2A18">
            <w:pPr>
              <w:spacing w:line="240" w:lineRule="auto"/>
              <w:rPr>
                <w:rFonts w:eastAsia="Calibri" w:cs="Arial"/>
                <w:color w:val="000000"/>
                <w:sz w:val="22"/>
                <w:szCs w:val="22"/>
              </w:rPr>
            </w:pPr>
          </w:p>
        </w:tc>
        <w:tc>
          <w:tcPr>
            <w:tcW w:w="1152" w:type="dxa"/>
            <w:tcBorders>
              <w:top w:val="nil"/>
              <w:left w:val="nil"/>
              <w:bottom w:val="single" w:sz="4" w:space="0" w:color="auto"/>
            </w:tcBorders>
            <w:shd w:val="clear" w:color="000000" w:fill="BFBFBF"/>
            <w:vAlign w:val="center"/>
          </w:tcPr>
          <w:p w14:paraId="07A9DFBB" w14:textId="29B7035D" w:rsidR="00627BCA" w:rsidRPr="00C4173F" w:rsidRDefault="00627BCA" w:rsidP="00BF2A18">
            <w:pPr>
              <w:spacing w:line="240" w:lineRule="auto"/>
              <w:rPr>
                <w:rFonts w:asciiTheme="majorBidi" w:eastAsia="Times New Roman" w:hAnsiTheme="majorBidi" w:cstheme="majorBidi"/>
                <w:i/>
                <w:iCs/>
                <w:color w:val="000000"/>
                <w:sz w:val="22"/>
                <w:szCs w:val="22"/>
              </w:rPr>
            </w:pPr>
            <w:r w:rsidRPr="00C4173F">
              <w:rPr>
                <w:rFonts w:asciiTheme="majorBidi" w:eastAsia="Times New Roman" w:hAnsiTheme="majorBidi" w:cstheme="majorBidi"/>
                <w:i/>
                <w:iCs/>
                <w:color w:val="000000"/>
                <w:sz w:val="22"/>
                <w:szCs w:val="22"/>
              </w:rPr>
              <w:t>Passing No. 4</w:t>
            </w:r>
          </w:p>
        </w:tc>
        <w:tc>
          <w:tcPr>
            <w:tcW w:w="1152" w:type="dxa"/>
            <w:tcBorders>
              <w:top w:val="nil"/>
              <w:bottom w:val="single" w:sz="4" w:space="0" w:color="auto"/>
            </w:tcBorders>
            <w:shd w:val="clear" w:color="000000" w:fill="BFBFBF"/>
            <w:vAlign w:val="center"/>
          </w:tcPr>
          <w:p w14:paraId="1AF8C5A1" w14:textId="083F5011" w:rsidR="00627BCA" w:rsidRPr="00C4173F" w:rsidRDefault="00627BCA" w:rsidP="00BF2A18">
            <w:pPr>
              <w:spacing w:line="240" w:lineRule="auto"/>
              <w:rPr>
                <w:rFonts w:asciiTheme="majorBidi" w:eastAsia="Calibri" w:hAnsiTheme="majorBidi" w:cstheme="majorBidi"/>
                <w:i/>
                <w:iCs/>
                <w:sz w:val="22"/>
                <w:szCs w:val="22"/>
              </w:rPr>
            </w:pPr>
            <w:r w:rsidRPr="00C4173F">
              <w:rPr>
                <w:rFonts w:asciiTheme="majorBidi" w:eastAsia="Calibri" w:hAnsiTheme="majorBidi" w:cstheme="majorBidi"/>
                <w:i/>
                <w:iCs/>
                <w:sz w:val="22"/>
                <w:szCs w:val="22"/>
              </w:rPr>
              <w:t>Passing No. 40</w:t>
            </w:r>
          </w:p>
        </w:tc>
        <w:tc>
          <w:tcPr>
            <w:tcW w:w="1152" w:type="dxa"/>
            <w:tcBorders>
              <w:top w:val="nil"/>
            </w:tcBorders>
            <w:shd w:val="clear" w:color="000000" w:fill="BFBFBF"/>
            <w:vAlign w:val="center"/>
          </w:tcPr>
          <w:p w14:paraId="54C269E9" w14:textId="1DE327E8" w:rsidR="00627BCA" w:rsidRPr="00C4173F" w:rsidRDefault="00627BCA" w:rsidP="00BF2A18">
            <w:pPr>
              <w:spacing w:line="240" w:lineRule="auto"/>
              <w:rPr>
                <w:rFonts w:asciiTheme="majorBidi" w:eastAsia="Times New Roman" w:hAnsiTheme="majorBidi" w:cstheme="majorBidi"/>
                <w:i/>
                <w:iCs/>
                <w:sz w:val="22"/>
                <w:szCs w:val="22"/>
              </w:rPr>
            </w:pPr>
            <w:r w:rsidRPr="00C4173F">
              <w:rPr>
                <w:rFonts w:asciiTheme="majorBidi" w:eastAsia="Times New Roman" w:hAnsiTheme="majorBidi" w:cstheme="majorBidi"/>
                <w:i/>
                <w:iCs/>
                <w:sz w:val="22"/>
                <w:szCs w:val="22"/>
              </w:rPr>
              <w:t>Passing No. 100</w:t>
            </w:r>
          </w:p>
        </w:tc>
        <w:tc>
          <w:tcPr>
            <w:tcW w:w="1152" w:type="dxa"/>
            <w:tcBorders>
              <w:top w:val="nil"/>
            </w:tcBorders>
            <w:shd w:val="clear" w:color="000000" w:fill="BFBFBF"/>
            <w:vAlign w:val="center"/>
          </w:tcPr>
          <w:p w14:paraId="4165E0DE" w14:textId="4E67196B" w:rsidR="00627BCA" w:rsidRPr="00C4173F" w:rsidRDefault="00627BCA" w:rsidP="00BF2A18">
            <w:pPr>
              <w:spacing w:line="240" w:lineRule="auto"/>
              <w:rPr>
                <w:rFonts w:asciiTheme="majorBidi" w:eastAsia="Times New Roman" w:hAnsiTheme="majorBidi" w:cstheme="majorBidi"/>
                <w:i/>
                <w:iCs/>
                <w:color w:val="000000"/>
                <w:sz w:val="22"/>
                <w:szCs w:val="22"/>
              </w:rPr>
            </w:pPr>
            <w:r w:rsidRPr="00C4173F">
              <w:rPr>
                <w:rFonts w:asciiTheme="majorBidi" w:eastAsia="Times New Roman" w:hAnsiTheme="majorBidi" w:cstheme="majorBidi"/>
                <w:i/>
                <w:iCs/>
                <w:color w:val="000000"/>
                <w:sz w:val="22"/>
                <w:szCs w:val="22"/>
              </w:rPr>
              <w:t>Passing No. 200</w:t>
            </w:r>
          </w:p>
        </w:tc>
        <w:tc>
          <w:tcPr>
            <w:tcW w:w="1152" w:type="dxa"/>
            <w:tcBorders>
              <w:bottom w:val="single" w:sz="4" w:space="0" w:color="auto"/>
            </w:tcBorders>
            <w:shd w:val="clear" w:color="000000" w:fill="BFBFBF"/>
            <w:vAlign w:val="center"/>
          </w:tcPr>
          <w:p w14:paraId="7C707A96" w14:textId="249B7912" w:rsidR="00627BCA" w:rsidRPr="002A4C64" w:rsidRDefault="007939C5" w:rsidP="00BF2A18">
            <w:pPr>
              <w:spacing w:line="240" w:lineRule="auto"/>
              <w:rPr>
                <w:rFonts w:asciiTheme="majorBidi" w:eastAsia="Times New Roman" w:hAnsiTheme="majorBidi" w:cstheme="majorBidi"/>
                <w:i/>
                <w:iCs/>
                <w:color w:val="000000"/>
                <w:sz w:val="22"/>
                <w:szCs w:val="22"/>
              </w:rPr>
            </w:pPr>
            <w:r w:rsidRPr="00C4173F">
              <w:rPr>
                <w:rFonts w:asciiTheme="majorBidi" w:eastAsia="Times New Roman" w:hAnsiTheme="majorBidi" w:cstheme="majorBidi"/>
                <w:i/>
                <w:iCs/>
                <w:color w:val="000000"/>
                <w:sz w:val="22"/>
                <w:szCs w:val="22"/>
              </w:rPr>
              <w:t>Passing No. 200</w:t>
            </w:r>
          </w:p>
        </w:tc>
      </w:tr>
      <w:tr w:rsidR="00627BCA" w:rsidRPr="002A4C64" w14:paraId="7B96100E" w14:textId="77777777" w:rsidTr="00C4173F">
        <w:trPr>
          <w:trHeight w:val="300"/>
          <w:jc w:val="center"/>
        </w:trPr>
        <w:tc>
          <w:tcPr>
            <w:tcW w:w="475" w:type="dxa"/>
            <w:vMerge w:val="restart"/>
            <w:tcBorders>
              <w:top w:val="single" w:sz="4" w:space="0" w:color="auto"/>
              <w:right w:val="single" w:sz="4" w:space="0" w:color="auto"/>
            </w:tcBorders>
            <w:shd w:val="clear" w:color="auto" w:fill="BFBFBF" w:themeFill="background1" w:themeFillShade="BF"/>
            <w:textDirection w:val="btLr"/>
            <w:vAlign w:val="center"/>
          </w:tcPr>
          <w:p w14:paraId="7D6A29AC" w14:textId="77777777" w:rsidR="00627BCA" w:rsidRPr="002A4C64" w:rsidRDefault="00627BCA" w:rsidP="00BF2A18">
            <w:pPr>
              <w:spacing w:line="240" w:lineRule="auto"/>
              <w:ind w:left="113" w:right="113"/>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OHC</w:t>
            </w:r>
          </w:p>
        </w:tc>
        <w:tc>
          <w:tcPr>
            <w:tcW w:w="1296" w:type="dxa"/>
            <w:tcBorders>
              <w:top w:val="single" w:sz="4" w:space="0" w:color="auto"/>
              <w:right w:val="dashed" w:sz="4" w:space="0" w:color="auto"/>
            </w:tcBorders>
            <w:shd w:val="clear" w:color="000000" w:fill="FFFFFF"/>
            <w:vAlign w:val="center"/>
          </w:tcPr>
          <w:p w14:paraId="6CCDB07B" w14:textId="63D5A2B0" w:rsidR="00627BCA" w:rsidRPr="002A4C64" w:rsidRDefault="00175936" w:rsidP="00627BCA">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 xml:space="preserve">0 </w:t>
            </w:r>
            <w:r w:rsidR="00627BCA">
              <w:rPr>
                <w:rFonts w:asciiTheme="majorBidi" w:eastAsia="Times New Roman" w:hAnsiTheme="majorBidi" w:cstheme="majorBidi"/>
                <w:i/>
                <w:iCs/>
                <w:color w:val="000000"/>
                <w:sz w:val="22"/>
                <w:szCs w:val="22"/>
              </w:rPr>
              <w:t>Raw</w:t>
            </w:r>
          </w:p>
        </w:tc>
        <w:tc>
          <w:tcPr>
            <w:tcW w:w="1152" w:type="dxa"/>
            <w:tcBorders>
              <w:top w:val="single" w:sz="4" w:space="0" w:color="auto"/>
              <w:left w:val="dashed" w:sz="4" w:space="0" w:color="auto"/>
              <w:bottom w:val="nil"/>
              <w:right w:val="nil"/>
            </w:tcBorders>
            <w:shd w:val="clear" w:color="000000" w:fill="FFFFFF"/>
            <w:noWrap/>
            <w:vAlign w:val="center"/>
          </w:tcPr>
          <w:p w14:paraId="29F853F3" w14:textId="6DBA5362" w:rsidR="00627BCA" w:rsidRPr="002A4C64" w:rsidRDefault="00A7089E"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w:t>
            </w:r>
            <w:r w:rsidR="00DB0C13">
              <w:rPr>
                <w:rFonts w:asciiTheme="majorBidi" w:eastAsia="Times New Roman" w:hAnsiTheme="majorBidi" w:cstheme="majorBidi"/>
                <w:i/>
                <w:iCs/>
                <w:color w:val="000000"/>
                <w:sz w:val="22"/>
                <w:szCs w:val="22"/>
              </w:rPr>
              <w:t xml:space="preserve"> / 3</w:t>
            </w:r>
          </w:p>
        </w:tc>
        <w:tc>
          <w:tcPr>
            <w:tcW w:w="1152" w:type="dxa"/>
            <w:tcBorders>
              <w:top w:val="single" w:sz="4" w:space="0" w:color="auto"/>
              <w:left w:val="nil"/>
              <w:bottom w:val="nil"/>
            </w:tcBorders>
            <w:shd w:val="clear" w:color="000000" w:fill="FFFFFF"/>
            <w:vAlign w:val="center"/>
          </w:tcPr>
          <w:p w14:paraId="36B94F18" w14:textId="0666D080"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single" w:sz="4" w:space="0" w:color="auto"/>
            </w:tcBorders>
            <w:shd w:val="clear" w:color="000000" w:fill="FFFFFF"/>
            <w:noWrap/>
            <w:vAlign w:val="center"/>
          </w:tcPr>
          <w:p w14:paraId="7E1C1FEF" w14:textId="50A707C8"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single" w:sz="4" w:space="0" w:color="auto"/>
              <w:right w:val="dashed" w:sz="4" w:space="0" w:color="auto"/>
            </w:tcBorders>
            <w:shd w:val="clear" w:color="000000" w:fill="FFFFFF"/>
            <w:noWrap/>
            <w:vAlign w:val="center"/>
          </w:tcPr>
          <w:p w14:paraId="18021A53" w14:textId="582BA980"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single" w:sz="4" w:space="0" w:color="auto"/>
              <w:left w:val="dashed" w:sz="4" w:space="0" w:color="auto"/>
              <w:bottom w:val="nil"/>
            </w:tcBorders>
            <w:shd w:val="clear" w:color="000000" w:fill="FFFFFF"/>
            <w:noWrap/>
            <w:vAlign w:val="center"/>
          </w:tcPr>
          <w:p w14:paraId="23B8976E" w14:textId="7C209BB5"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52 / 1</w:t>
            </w:r>
            <w:r w:rsidR="00627BCA">
              <w:rPr>
                <w:rFonts w:asciiTheme="majorBidi" w:eastAsia="Times New Roman" w:hAnsiTheme="majorBidi" w:cstheme="majorBidi"/>
                <w:i/>
                <w:iCs/>
                <w:color w:val="000000"/>
                <w:sz w:val="22"/>
                <w:szCs w:val="22"/>
              </w:rPr>
              <w:t>5</w:t>
            </w:r>
          </w:p>
        </w:tc>
      </w:tr>
      <w:tr w:rsidR="00627BCA" w:rsidRPr="002A4C64" w14:paraId="0F71E7DB"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46F2D2A9" w14:textId="77777777" w:rsidR="00627BCA" w:rsidRPr="002A4C64" w:rsidRDefault="00627BCA" w:rsidP="00BF2A18">
            <w:pPr>
              <w:spacing w:line="240" w:lineRule="auto"/>
              <w:rPr>
                <w:rFonts w:asciiTheme="majorBidi" w:eastAsia="Times New Roman" w:hAnsiTheme="majorBidi" w:cstheme="majorBidi"/>
                <w:i/>
                <w:iCs/>
                <w:color w:val="000000"/>
                <w:sz w:val="22"/>
                <w:szCs w:val="22"/>
              </w:rPr>
            </w:pPr>
          </w:p>
        </w:tc>
        <w:tc>
          <w:tcPr>
            <w:tcW w:w="1296" w:type="dxa"/>
            <w:tcBorders>
              <w:right w:val="dashed" w:sz="4" w:space="0" w:color="auto"/>
            </w:tcBorders>
            <w:shd w:val="clear" w:color="auto" w:fill="F2F2F2" w:themeFill="background1" w:themeFillShade="F2"/>
            <w:vAlign w:val="center"/>
          </w:tcPr>
          <w:p w14:paraId="6C8874AF" w14:textId="77777777" w:rsidR="00627BCA" w:rsidRPr="002A4C64" w:rsidRDefault="00627BCA" w:rsidP="00627BCA">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 Lime</w:t>
            </w:r>
          </w:p>
        </w:tc>
        <w:tc>
          <w:tcPr>
            <w:tcW w:w="1152" w:type="dxa"/>
            <w:tcBorders>
              <w:top w:val="nil"/>
              <w:left w:val="dashed" w:sz="4" w:space="0" w:color="auto"/>
              <w:bottom w:val="nil"/>
              <w:right w:val="nil"/>
            </w:tcBorders>
            <w:shd w:val="clear" w:color="auto" w:fill="F2F2F2" w:themeFill="background1" w:themeFillShade="F2"/>
            <w:noWrap/>
            <w:vAlign w:val="center"/>
          </w:tcPr>
          <w:p w14:paraId="49F14EDE" w14:textId="44FFA031"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nil"/>
              <w:bottom w:val="nil"/>
            </w:tcBorders>
            <w:shd w:val="clear" w:color="auto" w:fill="F2F2F2" w:themeFill="background1" w:themeFillShade="F2"/>
            <w:vAlign w:val="center"/>
          </w:tcPr>
          <w:p w14:paraId="496B66B3" w14:textId="2F59A86E"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shd w:val="clear" w:color="auto" w:fill="F2F2F2" w:themeFill="background1" w:themeFillShade="F2"/>
            <w:noWrap/>
            <w:vAlign w:val="center"/>
          </w:tcPr>
          <w:p w14:paraId="384FC8E1" w14:textId="0603B178"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right w:val="dashed" w:sz="4" w:space="0" w:color="auto"/>
            </w:tcBorders>
            <w:shd w:val="clear" w:color="auto" w:fill="F2F2F2" w:themeFill="background1" w:themeFillShade="F2"/>
            <w:noWrap/>
            <w:vAlign w:val="center"/>
          </w:tcPr>
          <w:p w14:paraId="67DA3022" w14:textId="160F2620"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dashed" w:sz="4" w:space="0" w:color="auto"/>
              <w:bottom w:val="nil"/>
            </w:tcBorders>
            <w:shd w:val="clear" w:color="auto" w:fill="F2F2F2" w:themeFill="background1" w:themeFillShade="F2"/>
            <w:noWrap/>
            <w:vAlign w:val="center"/>
          </w:tcPr>
          <w:p w14:paraId="387584BC" w14:textId="66A5942E"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52 / 15</w:t>
            </w:r>
          </w:p>
        </w:tc>
      </w:tr>
      <w:tr w:rsidR="00627BCA" w:rsidRPr="002A4C64" w14:paraId="4A6695C4"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1FD881F2" w14:textId="77777777" w:rsidR="00627BCA" w:rsidRPr="002A4C64" w:rsidRDefault="00627BCA" w:rsidP="00BF2A18">
            <w:pPr>
              <w:spacing w:line="240" w:lineRule="auto"/>
              <w:rPr>
                <w:rFonts w:asciiTheme="majorBidi" w:eastAsia="Times New Roman" w:hAnsiTheme="majorBidi" w:cstheme="majorBidi"/>
                <w:i/>
                <w:iCs/>
                <w:color w:val="000000"/>
                <w:sz w:val="22"/>
                <w:szCs w:val="22"/>
              </w:rPr>
            </w:pPr>
          </w:p>
        </w:tc>
        <w:tc>
          <w:tcPr>
            <w:tcW w:w="1296" w:type="dxa"/>
            <w:tcBorders>
              <w:right w:val="dashed" w:sz="4" w:space="0" w:color="auto"/>
            </w:tcBorders>
            <w:shd w:val="clear" w:color="auto" w:fill="FFFFFF" w:themeFill="background1"/>
            <w:vAlign w:val="center"/>
          </w:tcPr>
          <w:p w14:paraId="4FFDDC08" w14:textId="77777777" w:rsidR="00627BCA" w:rsidRPr="002A4C64" w:rsidRDefault="00627BCA" w:rsidP="00627BCA">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7 Lime</w:t>
            </w:r>
          </w:p>
        </w:tc>
        <w:tc>
          <w:tcPr>
            <w:tcW w:w="1152" w:type="dxa"/>
            <w:tcBorders>
              <w:top w:val="nil"/>
              <w:left w:val="dashed" w:sz="4" w:space="0" w:color="auto"/>
              <w:bottom w:val="nil"/>
              <w:right w:val="nil"/>
            </w:tcBorders>
            <w:shd w:val="clear" w:color="auto" w:fill="FFFFFF" w:themeFill="background1"/>
            <w:noWrap/>
            <w:vAlign w:val="center"/>
          </w:tcPr>
          <w:p w14:paraId="58EF04CF" w14:textId="349EFAFA"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nil"/>
              <w:bottom w:val="nil"/>
            </w:tcBorders>
            <w:shd w:val="clear" w:color="auto" w:fill="FFFFFF" w:themeFill="background1"/>
            <w:vAlign w:val="center"/>
          </w:tcPr>
          <w:p w14:paraId="6498543C" w14:textId="2921C589"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shd w:val="clear" w:color="auto" w:fill="FFFFFF" w:themeFill="background1"/>
            <w:noWrap/>
            <w:vAlign w:val="center"/>
          </w:tcPr>
          <w:p w14:paraId="42E4763C" w14:textId="1BF046C4"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right w:val="dashed" w:sz="4" w:space="0" w:color="auto"/>
            </w:tcBorders>
            <w:shd w:val="clear" w:color="auto" w:fill="FFFFFF" w:themeFill="background1"/>
            <w:noWrap/>
            <w:vAlign w:val="center"/>
          </w:tcPr>
          <w:p w14:paraId="5198BFFA" w14:textId="04B36286"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n/a</w:t>
            </w:r>
          </w:p>
        </w:tc>
        <w:tc>
          <w:tcPr>
            <w:tcW w:w="1152" w:type="dxa"/>
            <w:tcBorders>
              <w:top w:val="nil"/>
              <w:left w:val="dashed" w:sz="4" w:space="0" w:color="auto"/>
              <w:bottom w:val="nil"/>
            </w:tcBorders>
            <w:shd w:val="clear" w:color="auto" w:fill="FFFFFF" w:themeFill="background1"/>
            <w:noWrap/>
            <w:vAlign w:val="center"/>
          </w:tcPr>
          <w:p w14:paraId="6C09AE0A" w14:textId="11DD6A35"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n/a</w:t>
            </w:r>
          </w:p>
        </w:tc>
      </w:tr>
      <w:tr w:rsidR="00627BCA" w:rsidRPr="002A4C64" w14:paraId="13352B77"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5C8C5BD7" w14:textId="77777777" w:rsidR="00627BCA" w:rsidRPr="002A4C64" w:rsidRDefault="00627BCA" w:rsidP="00BF2A18">
            <w:pPr>
              <w:spacing w:line="240" w:lineRule="auto"/>
              <w:rPr>
                <w:rFonts w:asciiTheme="majorBidi" w:eastAsia="Times New Roman" w:hAnsiTheme="majorBidi" w:cstheme="majorBidi"/>
                <w:i/>
                <w:iCs/>
                <w:color w:val="000000"/>
                <w:sz w:val="22"/>
                <w:szCs w:val="22"/>
              </w:rPr>
            </w:pPr>
          </w:p>
        </w:tc>
        <w:tc>
          <w:tcPr>
            <w:tcW w:w="1296" w:type="dxa"/>
            <w:tcBorders>
              <w:right w:val="dashed" w:sz="4" w:space="0" w:color="auto"/>
            </w:tcBorders>
            <w:shd w:val="clear" w:color="auto" w:fill="F2F2F2" w:themeFill="background1" w:themeFillShade="F2"/>
            <w:vAlign w:val="center"/>
          </w:tcPr>
          <w:p w14:paraId="0FAC2691" w14:textId="77777777" w:rsidR="00627BCA" w:rsidRDefault="00627BCA" w:rsidP="00627BCA">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15</w:t>
            </w:r>
            <w:r w:rsidRPr="002A4C64">
              <w:rPr>
                <w:rFonts w:asciiTheme="majorBidi" w:eastAsia="Times New Roman" w:hAnsiTheme="majorBidi" w:cstheme="majorBidi"/>
                <w:i/>
                <w:iCs/>
                <w:color w:val="000000"/>
                <w:sz w:val="22"/>
                <w:szCs w:val="22"/>
              </w:rPr>
              <w:t xml:space="preserve"> CKD</w:t>
            </w:r>
          </w:p>
        </w:tc>
        <w:tc>
          <w:tcPr>
            <w:tcW w:w="1152" w:type="dxa"/>
            <w:tcBorders>
              <w:top w:val="nil"/>
              <w:left w:val="dashed" w:sz="4" w:space="0" w:color="auto"/>
              <w:bottom w:val="nil"/>
              <w:right w:val="nil"/>
            </w:tcBorders>
            <w:shd w:val="clear" w:color="auto" w:fill="F2F2F2" w:themeFill="background1" w:themeFillShade="F2"/>
            <w:noWrap/>
            <w:vAlign w:val="center"/>
          </w:tcPr>
          <w:p w14:paraId="5A504BE3" w14:textId="264AB8E8"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nil"/>
              <w:bottom w:val="nil"/>
            </w:tcBorders>
            <w:shd w:val="clear" w:color="auto" w:fill="F2F2F2" w:themeFill="background1" w:themeFillShade="F2"/>
            <w:vAlign w:val="center"/>
          </w:tcPr>
          <w:p w14:paraId="557C1AAE" w14:textId="0E34E1DF"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shd w:val="clear" w:color="auto" w:fill="F2F2F2" w:themeFill="background1" w:themeFillShade="F2"/>
            <w:noWrap/>
            <w:vAlign w:val="center"/>
          </w:tcPr>
          <w:p w14:paraId="15186F8A" w14:textId="1B7BF110"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right w:val="dashed" w:sz="4" w:space="0" w:color="auto"/>
            </w:tcBorders>
            <w:shd w:val="clear" w:color="auto" w:fill="F2F2F2" w:themeFill="background1" w:themeFillShade="F2"/>
            <w:noWrap/>
            <w:vAlign w:val="center"/>
          </w:tcPr>
          <w:p w14:paraId="657BAAF1" w14:textId="62696DED"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dashed" w:sz="4" w:space="0" w:color="auto"/>
              <w:bottom w:val="nil"/>
            </w:tcBorders>
            <w:shd w:val="clear" w:color="auto" w:fill="F2F2F2" w:themeFill="background1" w:themeFillShade="F2"/>
            <w:noWrap/>
            <w:vAlign w:val="center"/>
          </w:tcPr>
          <w:p w14:paraId="5459C707" w14:textId="3D59AE57"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52 / 15</w:t>
            </w:r>
          </w:p>
        </w:tc>
      </w:tr>
      <w:tr w:rsidR="00627BCA" w:rsidRPr="002A4C64" w14:paraId="795D1ED7"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79D1387D" w14:textId="77777777" w:rsidR="00627BCA" w:rsidRPr="002A4C64" w:rsidRDefault="00627BCA" w:rsidP="00BF2A18">
            <w:pPr>
              <w:spacing w:line="240" w:lineRule="auto"/>
              <w:rPr>
                <w:rFonts w:asciiTheme="majorBidi" w:eastAsia="Times New Roman" w:hAnsiTheme="majorBidi" w:cstheme="majorBidi"/>
                <w:i/>
                <w:iCs/>
                <w:color w:val="000000"/>
                <w:sz w:val="22"/>
                <w:szCs w:val="22"/>
              </w:rPr>
            </w:pPr>
          </w:p>
        </w:tc>
        <w:tc>
          <w:tcPr>
            <w:tcW w:w="1296" w:type="dxa"/>
            <w:tcBorders>
              <w:right w:val="dashed" w:sz="4" w:space="0" w:color="auto"/>
            </w:tcBorders>
            <w:shd w:val="clear" w:color="auto" w:fill="FFFFFF" w:themeFill="background1"/>
            <w:vAlign w:val="center"/>
          </w:tcPr>
          <w:p w14:paraId="6A70FF74" w14:textId="77777777" w:rsidR="00627BCA" w:rsidRDefault="00627BCA" w:rsidP="00627BCA">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23</w:t>
            </w:r>
            <w:r w:rsidRPr="002A4C64">
              <w:rPr>
                <w:rFonts w:asciiTheme="majorBidi" w:eastAsia="Times New Roman" w:hAnsiTheme="majorBidi" w:cstheme="majorBidi"/>
                <w:i/>
                <w:iCs/>
                <w:color w:val="000000"/>
                <w:sz w:val="22"/>
                <w:szCs w:val="22"/>
              </w:rPr>
              <w:t xml:space="preserve"> CKD</w:t>
            </w:r>
          </w:p>
        </w:tc>
        <w:tc>
          <w:tcPr>
            <w:tcW w:w="1152" w:type="dxa"/>
            <w:tcBorders>
              <w:top w:val="nil"/>
              <w:left w:val="dashed" w:sz="4" w:space="0" w:color="auto"/>
              <w:bottom w:val="nil"/>
              <w:right w:val="nil"/>
            </w:tcBorders>
            <w:shd w:val="clear" w:color="auto" w:fill="FFFFFF" w:themeFill="background1"/>
            <w:noWrap/>
            <w:vAlign w:val="center"/>
          </w:tcPr>
          <w:p w14:paraId="0C0502A6" w14:textId="46B81624"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nil"/>
              <w:bottom w:val="nil"/>
            </w:tcBorders>
            <w:shd w:val="clear" w:color="auto" w:fill="FFFFFF" w:themeFill="background1"/>
            <w:vAlign w:val="center"/>
          </w:tcPr>
          <w:p w14:paraId="3743574C" w14:textId="3EDDECD3"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shd w:val="clear" w:color="auto" w:fill="FFFFFF" w:themeFill="background1"/>
            <w:noWrap/>
            <w:vAlign w:val="center"/>
          </w:tcPr>
          <w:p w14:paraId="2D78D2E8" w14:textId="7D50661C"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right w:val="dashed" w:sz="4" w:space="0" w:color="auto"/>
            </w:tcBorders>
            <w:shd w:val="clear" w:color="auto" w:fill="FFFFFF" w:themeFill="background1"/>
            <w:noWrap/>
            <w:vAlign w:val="center"/>
          </w:tcPr>
          <w:p w14:paraId="0F3FCF06" w14:textId="113B5F35"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dashed" w:sz="4" w:space="0" w:color="auto"/>
              <w:bottom w:val="nil"/>
            </w:tcBorders>
            <w:shd w:val="clear" w:color="auto" w:fill="FFFFFF" w:themeFill="background1"/>
            <w:noWrap/>
            <w:vAlign w:val="center"/>
          </w:tcPr>
          <w:p w14:paraId="1DF5CA43" w14:textId="5D26CA0B"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52 / 15</w:t>
            </w:r>
          </w:p>
        </w:tc>
      </w:tr>
      <w:tr w:rsidR="00627BCA" w:rsidRPr="002A4C64" w14:paraId="717A33A5"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04750848" w14:textId="77777777" w:rsidR="00627BCA" w:rsidRPr="002A4C64" w:rsidRDefault="00627BCA" w:rsidP="00BF2A18">
            <w:pPr>
              <w:spacing w:line="240" w:lineRule="auto"/>
              <w:rPr>
                <w:rFonts w:asciiTheme="majorBidi" w:eastAsia="Times New Roman" w:hAnsiTheme="majorBidi" w:cstheme="majorBidi"/>
                <w:i/>
                <w:iCs/>
                <w:color w:val="000000"/>
                <w:sz w:val="22"/>
                <w:szCs w:val="22"/>
              </w:rPr>
            </w:pPr>
          </w:p>
        </w:tc>
        <w:tc>
          <w:tcPr>
            <w:tcW w:w="1296" w:type="dxa"/>
            <w:tcBorders>
              <w:bottom w:val="nil"/>
              <w:right w:val="dashed" w:sz="4" w:space="0" w:color="auto"/>
            </w:tcBorders>
            <w:shd w:val="clear" w:color="auto" w:fill="F2F2F2" w:themeFill="background1" w:themeFillShade="F2"/>
            <w:vAlign w:val="center"/>
          </w:tcPr>
          <w:p w14:paraId="18CB7478" w14:textId="77777777" w:rsidR="00627BCA" w:rsidRDefault="00627BCA" w:rsidP="00627BCA">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w:t>
            </w:r>
            <w:r>
              <w:rPr>
                <w:rFonts w:asciiTheme="majorBidi" w:eastAsia="Times New Roman" w:hAnsiTheme="majorBidi" w:cstheme="majorBidi"/>
                <w:i/>
                <w:iCs/>
                <w:color w:val="000000"/>
                <w:sz w:val="22"/>
                <w:szCs w:val="22"/>
              </w:rPr>
              <w:t>4</w:t>
            </w:r>
            <w:r w:rsidRPr="002A4C64">
              <w:rPr>
                <w:rFonts w:asciiTheme="majorBidi" w:eastAsia="Times New Roman" w:hAnsiTheme="majorBidi" w:cstheme="majorBidi"/>
                <w:i/>
                <w:iCs/>
                <w:color w:val="000000"/>
                <w:sz w:val="22"/>
                <w:szCs w:val="22"/>
              </w:rPr>
              <w:t xml:space="preserve"> Fly Ash</w:t>
            </w:r>
          </w:p>
        </w:tc>
        <w:tc>
          <w:tcPr>
            <w:tcW w:w="1152" w:type="dxa"/>
            <w:tcBorders>
              <w:top w:val="nil"/>
              <w:left w:val="dashed" w:sz="4" w:space="0" w:color="auto"/>
              <w:bottom w:val="nil"/>
              <w:right w:val="nil"/>
            </w:tcBorders>
            <w:shd w:val="clear" w:color="auto" w:fill="F2F2F2" w:themeFill="background1" w:themeFillShade="F2"/>
            <w:noWrap/>
            <w:vAlign w:val="center"/>
          </w:tcPr>
          <w:p w14:paraId="503FEFEB" w14:textId="1341F9A5"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nil"/>
              <w:bottom w:val="nil"/>
            </w:tcBorders>
            <w:shd w:val="clear" w:color="auto" w:fill="F2F2F2" w:themeFill="background1" w:themeFillShade="F2"/>
            <w:vAlign w:val="center"/>
          </w:tcPr>
          <w:p w14:paraId="3FE3D96C" w14:textId="21BB6694"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bottom w:val="nil"/>
            </w:tcBorders>
            <w:shd w:val="clear" w:color="auto" w:fill="F2F2F2" w:themeFill="background1" w:themeFillShade="F2"/>
            <w:noWrap/>
            <w:vAlign w:val="center"/>
          </w:tcPr>
          <w:p w14:paraId="2318CFEA" w14:textId="16D21597"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bottom w:val="nil"/>
              <w:right w:val="dashed" w:sz="4" w:space="0" w:color="auto"/>
            </w:tcBorders>
            <w:shd w:val="clear" w:color="auto" w:fill="F2F2F2" w:themeFill="background1" w:themeFillShade="F2"/>
            <w:noWrap/>
            <w:vAlign w:val="center"/>
          </w:tcPr>
          <w:p w14:paraId="09ED0905" w14:textId="68FC5FF5"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dashed" w:sz="4" w:space="0" w:color="auto"/>
              <w:bottom w:val="nil"/>
            </w:tcBorders>
            <w:shd w:val="clear" w:color="auto" w:fill="F2F2F2" w:themeFill="background1" w:themeFillShade="F2"/>
            <w:noWrap/>
            <w:vAlign w:val="center"/>
          </w:tcPr>
          <w:p w14:paraId="657FC374" w14:textId="000285FA"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52 / 15</w:t>
            </w:r>
          </w:p>
        </w:tc>
      </w:tr>
      <w:tr w:rsidR="00627BCA" w:rsidRPr="002A4C64" w14:paraId="7F1510C1" w14:textId="77777777" w:rsidTr="00C4173F">
        <w:trPr>
          <w:trHeight w:val="315"/>
          <w:jc w:val="center"/>
        </w:trPr>
        <w:tc>
          <w:tcPr>
            <w:tcW w:w="475" w:type="dxa"/>
            <w:vMerge/>
            <w:tcBorders>
              <w:bottom w:val="single" w:sz="4" w:space="0" w:color="auto"/>
              <w:right w:val="single" w:sz="4" w:space="0" w:color="auto"/>
            </w:tcBorders>
            <w:shd w:val="clear" w:color="auto" w:fill="BFBFBF" w:themeFill="background1" w:themeFillShade="BF"/>
            <w:vAlign w:val="center"/>
          </w:tcPr>
          <w:p w14:paraId="781C4077" w14:textId="77777777" w:rsidR="00627BCA" w:rsidRPr="002A4C64" w:rsidRDefault="00627BCA" w:rsidP="00BF2A18">
            <w:pPr>
              <w:spacing w:line="240" w:lineRule="auto"/>
              <w:rPr>
                <w:rFonts w:asciiTheme="majorBidi" w:eastAsia="Times New Roman" w:hAnsiTheme="majorBidi" w:cstheme="majorBidi"/>
                <w:i/>
                <w:iCs/>
                <w:color w:val="000000"/>
                <w:sz w:val="22"/>
                <w:szCs w:val="22"/>
              </w:rPr>
            </w:pPr>
          </w:p>
        </w:tc>
        <w:tc>
          <w:tcPr>
            <w:tcW w:w="1296" w:type="dxa"/>
            <w:tcBorders>
              <w:top w:val="nil"/>
              <w:bottom w:val="dashed" w:sz="4" w:space="0" w:color="auto"/>
              <w:right w:val="dashed" w:sz="4" w:space="0" w:color="auto"/>
            </w:tcBorders>
            <w:shd w:val="clear" w:color="auto" w:fill="FFFFFF" w:themeFill="background1"/>
            <w:vAlign w:val="center"/>
          </w:tcPr>
          <w:p w14:paraId="6EE21B6D" w14:textId="77777777" w:rsidR="00627BCA" w:rsidRDefault="00627BCA" w:rsidP="00627BCA">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64</w:t>
            </w:r>
            <w:r w:rsidRPr="002A4C64">
              <w:rPr>
                <w:rFonts w:asciiTheme="majorBidi" w:eastAsia="Times New Roman" w:hAnsiTheme="majorBidi" w:cstheme="majorBidi"/>
                <w:i/>
                <w:iCs/>
                <w:color w:val="000000"/>
                <w:sz w:val="22"/>
                <w:szCs w:val="22"/>
              </w:rPr>
              <w:t xml:space="preserve"> Fly Ash</w:t>
            </w:r>
          </w:p>
        </w:tc>
        <w:tc>
          <w:tcPr>
            <w:tcW w:w="1152" w:type="dxa"/>
            <w:tcBorders>
              <w:top w:val="nil"/>
              <w:left w:val="dashed" w:sz="4" w:space="0" w:color="auto"/>
              <w:bottom w:val="dashed" w:sz="4" w:space="0" w:color="auto"/>
              <w:right w:val="nil"/>
            </w:tcBorders>
            <w:shd w:val="clear" w:color="auto" w:fill="FFFFFF" w:themeFill="background1"/>
            <w:noWrap/>
            <w:vAlign w:val="center"/>
          </w:tcPr>
          <w:p w14:paraId="73430AB9" w14:textId="588C5A3C"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nil"/>
              <w:bottom w:val="dashed" w:sz="4" w:space="0" w:color="auto"/>
            </w:tcBorders>
            <w:shd w:val="clear" w:color="auto" w:fill="FFFFFF" w:themeFill="background1"/>
            <w:vAlign w:val="center"/>
          </w:tcPr>
          <w:p w14:paraId="6DFF4B39" w14:textId="79F96B84"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bottom w:val="dashed" w:sz="4" w:space="0" w:color="auto"/>
            </w:tcBorders>
            <w:shd w:val="clear" w:color="auto" w:fill="FFFFFF" w:themeFill="background1"/>
            <w:noWrap/>
            <w:vAlign w:val="center"/>
          </w:tcPr>
          <w:p w14:paraId="75F5B8D3" w14:textId="0D9FC7F9"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bottom w:val="dashed" w:sz="4" w:space="0" w:color="auto"/>
              <w:right w:val="dashed" w:sz="4" w:space="0" w:color="auto"/>
            </w:tcBorders>
            <w:shd w:val="clear" w:color="auto" w:fill="FFFFFF" w:themeFill="background1"/>
            <w:noWrap/>
            <w:vAlign w:val="center"/>
          </w:tcPr>
          <w:p w14:paraId="6EC05EE0" w14:textId="0C8D5D15" w:rsidR="00627BCA" w:rsidRPr="002A4C64" w:rsidRDefault="00DB0C13" w:rsidP="00627BCA">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40 / 3</w:t>
            </w:r>
          </w:p>
        </w:tc>
        <w:tc>
          <w:tcPr>
            <w:tcW w:w="1152" w:type="dxa"/>
            <w:tcBorders>
              <w:top w:val="nil"/>
              <w:left w:val="dashed" w:sz="4" w:space="0" w:color="auto"/>
              <w:bottom w:val="dashed" w:sz="4" w:space="0" w:color="auto"/>
            </w:tcBorders>
            <w:shd w:val="clear" w:color="auto" w:fill="FFFFFF" w:themeFill="background1"/>
            <w:noWrap/>
            <w:vAlign w:val="center"/>
          </w:tcPr>
          <w:p w14:paraId="6504AAB0" w14:textId="162BDA86"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52 / 15</w:t>
            </w:r>
          </w:p>
        </w:tc>
      </w:tr>
      <w:tr w:rsidR="00627BCA" w:rsidRPr="002A4C64" w14:paraId="356F5ECC" w14:textId="77777777" w:rsidTr="00C4173F">
        <w:trPr>
          <w:trHeight w:val="315"/>
          <w:jc w:val="center"/>
        </w:trPr>
        <w:tc>
          <w:tcPr>
            <w:tcW w:w="475" w:type="dxa"/>
            <w:vMerge w:val="restart"/>
            <w:tcBorders>
              <w:top w:val="single" w:sz="4" w:space="0" w:color="auto"/>
              <w:left w:val="single" w:sz="4" w:space="0" w:color="auto"/>
              <w:right w:val="single" w:sz="4" w:space="0" w:color="auto"/>
            </w:tcBorders>
            <w:shd w:val="clear" w:color="auto" w:fill="BFBFBF" w:themeFill="background1" w:themeFillShade="BF"/>
            <w:textDirection w:val="btLr"/>
            <w:vAlign w:val="center"/>
          </w:tcPr>
          <w:p w14:paraId="6630AEC0" w14:textId="151E61F0" w:rsidR="00627BCA" w:rsidRPr="002A4C64" w:rsidRDefault="00627BCA" w:rsidP="00BF2A18">
            <w:pPr>
              <w:spacing w:line="240" w:lineRule="auto"/>
              <w:ind w:left="113" w:right="113"/>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SGB</w:t>
            </w:r>
          </w:p>
        </w:tc>
        <w:tc>
          <w:tcPr>
            <w:tcW w:w="1296" w:type="dxa"/>
            <w:tcBorders>
              <w:top w:val="dashed" w:sz="4" w:space="0" w:color="auto"/>
              <w:left w:val="single" w:sz="4" w:space="0" w:color="auto"/>
              <w:bottom w:val="nil"/>
              <w:right w:val="dashed" w:sz="4" w:space="0" w:color="auto"/>
            </w:tcBorders>
            <w:shd w:val="clear" w:color="auto" w:fill="F2F2F2" w:themeFill="background1" w:themeFillShade="F2"/>
            <w:vAlign w:val="center"/>
          </w:tcPr>
          <w:p w14:paraId="74ACF8A7" w14:textId="15CF1A60" w:rsidR="00627BCA" w:rsidRPr="002A4C64" w:rsidRDefault="00175936" w:rsidP="00627BCA">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 xml:space="preserve">0 </w:t>
            </w:r>
            <w:r w:rsidR="00627BCA">
              <w:rPr>
                <w:rFonts w:asciiTheme="majorBidi" w:eastAsia="Times New Roman" w:hAnsiTheme="majorBidi" w:cstheme="majorBidi"/>
                <w:i/>
                <w:iCs/>
                <w:color w:val="000000"/>
                <w:sz w:val="22"/>
                <w:szCs w:val="22"/>
              </w:rPr>
              <w:t>Raw</w:t>
            </w:r>
          </w:p>
        </w:tc>
        <w:tc>
          <w:tcPr>
            <w:tcW w:w="1152" w:type="dxa"/>
            <w:tcBorders>
              <w:top w:val="dashed" w:sz="4" w:space="0" w:color="auto"/>
              <w:left w:val="dashed" w:sz="4" w:space="0" w:color="auto"/>
              <w:bottom w:val="nil"/>
              <w:right w:val="nil"/>
            </w:tcBorders>
            <w:shd w:val="clear" w:color="auto" w:fill="F2F2F2" w:themeFill="background1" w:themeFillShade="F2"/>
            <w:noWrap/>
            <w:vAlign w:val="center"/>
          </w:tcPr>
          <w:p w14:paraId="2ACC1701" w14:textId="5B77DCBA"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dashed" w:sz="4" w:space="0" w:color="auto"/>
              <w:left w:val="nil"/>
              <w:bottom w:val="nil"/>
            </w:tcBorders>
            <w:shd w:val="clear" w:color="auto" w:fill="F2F2F2" w:themeFill="background1" w:themeFillShade="F2"/>
            <w:vAlign w:val="center"/>
          </w:tcPr>
          <w:p w14:paraId="729B5069" w14:textId="704017CF"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dashed" w:sz="4" w:space="0" w:color="auto"/>
              <w:bottom w:val="nil"/>
            </w:tcBorders>
            <w:shd w:val="clear" w:color="auto" w:fill="F2F2F2" w:themeFill="background1" w:themeFillShade="F2"/>
            <w:noWrap/>
            <w:vAlign w:val="center"/>
          </w:tcPr>
          <w:p w14:paraId="4B68BE2F" w14:textId="1F22415F"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dashed" w:sz="4" w:space="0" w:color="auto"/>
              <w:bottom w:val="nil"/>
              <w:right w:val="dashed" w:sz="4" w:space="0" w:color="auto"/>
            </w:tcBorders>
            <w:shd w:val="clear" w:color="auto" w:fill="F2F2F2" w:themeFill="background1" w:themeFillShade="F2"/>
            <w:noWrap/>
            <w:vAlign w:val="center"/>
          </w:tcPr>
          <w:p w14:paraId="0C54FC9A" w14:textId="30FB1931"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dashed" w:sz="4" w:space="0" w:color="auto"/>
              <w:left w:val="dashed" w:sz="4" w:space="0" w:color="auto"/>
              <w:bottom w:val="nil"/>
            </w:tcBorders>
            <w:shd w:val="clear" w:color="auto" w:fill="F2F2F2" w:themeFill="background1" w:themeFillShade="F2"/>
            <w:noWrap/>
            <w:vAlign w:val="center"/>
          </w:tcPr>
          <w:p w14:paraId="336B4629" w14:textId="0E40CF23"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24 / 15</w:t>
            </w:r>
          </w:p>
        </w:tc>
      </w:tr>
      <w:tr w:rsidR="00627BCA" w:rsidRPr="002A4C64" w14:paraId="6E062076"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0C949207" w14:textId="77777777" w:rsidR="00627BCA" w:rsidRPr="002A4C64" w:rsidRDefault="00627BCA" w:rsidP="00BF2A18">
            <w:pPr>
              <w:spacing w:line="240" w:lineRule="auto"/>
              <w:jc w:val="left"/>
              <w:rPr>
                <w:rFonts w:asciiTheme="majorBidi" w:eastAsia="Times New Roman" w:hAnsiTheme="majorBidi" w:cstheme="majorBidi"/>
                <w:i/>
                <w:iCs/>
                <w:color w:val="000000"/>
                <w:sz w:val="22"/>
                <w:szCs w:val="22"/>
              </w:rPr>
            </w:pPr>
          </w:p>
        </w:tc>
        <w:tc>
          <w:tcPr>
            <w:tcW w:w="1296" w:type="dxa"/>
            <w:tcBorders>
              <w:top w:val="nil"/>
              <w:left w:val="single" w:sz="4" w:space="0" w:color="auto"/>
              <w:bottom w:val="nil"/>
              <w:right w:val="dashed" w:sz="4" w:space="0" w:color="auto"/>
            </w:tcBorders>
            <w:shd w:val="clear" w:color="auto" w:fill="FFFFFF" w:themeFill="background1"/>
            <w:vAlign w:val="center"/>
          </w:tcPr>
          <w:p w14:paraId="3AB2C8D2" w14:textId="77777777" w:rsidR="00627BCA" w:rsidRPr="002A4C64" w:rsidRDefault="00627BCA" w:rsidP="00627BCA">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 Lime</w:t>
            </w:r>
          </w:p>
        </w:tc>
        <w:tc>
          <w:tcPr>
            <w:tcW w:w="1152" w:type="dxa"/>
            <w:tcBorders>
              <w:top w:val="nil"/>
              <w:left w:val="dashed" w:sz="4" w:space="0" w:color="auto"/>
              <w:bottom w:val="nil"/>
              <w:right w:val="nil"/>
            </w:tcBorders>
            <w:shd w:val="clear" w:color="auto" w:fill="FFFFFF" w:themeFill="background1"/>
            <w:noWrap/>
            <w:vAlign w:val="center"/>
          </w:tcPr>
          <w:p w14:paraId="77CEF58E" w14:textId="5957F523"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nil"/>
              <w:bottom w:val="nil"/>
            </w:tcBorders>
            <w:shd w:val="clear" w:color="auto" w:fill="FFFFFF" w:themeFill="background1"/>
            <w:vAlign w:val="center"/>
          </w:tcPr>
          <w:p w14:paraId="59AF3D8C" w14:textId="738DC710"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tcBorders>
            <w:shd w:val="clear" w:color="auto" w:fill="FFFFFF" w:themeFill="background1"/>
            <w:noWrap/>
            <w:vAlign w:val="center"/>
          </w:tcPr>
          <w:p w14:paraId="32D91288" w14:textId="17AC9C23"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right w:val="dashed" w:sz="4" w:space="0" w:color="auto"/>
            </w:tcBorders>
            <w:shd w:val="clear" w:color="auto" w:fill="FFFFFF" w:themeFill="background1"/>
            <w:noWrap/>
            <w:vAlign w:val="center"/>
          </w:tcPr>
          <w:p w14:paraId="4CA8A9BF" w14:textId="060C1A65"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dashed" w:sz="4" w:space="0" w:color="auto"/>
              <w:bottom w:val="nil"/>
            </w:tcBorders>
            <w:shd w:val="clear" w:color="auto" w:fill="FFFFFF" w:themeFill="background1"/>
            <w:noWrap/>
            <w:vAlign w:val="center"/>
          </w:tcPr>
          <w:p w14:paraId="7D84E305" w14:textId="2D66AB9C" w:rsidR="00627BCA" w:rsidRPr="002A4C64" w:rsidRDefault="00DB0C13" w:rsidP="00BF2A18">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24 / 15</w:t>
            </w:r>
          </w:p>
        </w:tc>
      </w:tr>
      <w:tr w:rsidR="00DB0C13" w:rsidRPr="002A4C64" w14:paraId="3CC32C38"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7C185390" w14:textId="77777777" w:rsidR="00DB0C13" w:rsidRPr="002A4C64" w:rsidRDefault="00DB0C13" w:rsidP="00DB0C13">
            <w:pPr>
              <w:spacing w:line="240" w:lineRule="auto"/>
              <w:jc w:val="left"/>
              <w:rPr>
                <w:rFonts w:asciiTheme="majorBidi" w:eastAsia="Times New Roman" w:hAnsiTheme="majorBidi" w:cstheme="majorBidi"/>
                <w:i/>
                <w:iCs/>
                <w:color w:val="000000"/>
                <w:sz w:val="22"/>
                <w:szCs w:val="22"/>
              </w:rPr>
            </w:pPr>
          </w:p>
        </w:tc>
        <w:tc>
          <w:tcPr>
            <w:tcW w:w="1296" w:type="dxa"/>
            <w:tcBorders>
              <w:top w:val="nil"/>
              <w:left w:val="single" w:sz="4" w:space="0" w:color="auto"/>
              <w:bottom w:val="nil"/>
              <w:right w:val="dashed" w:sz="4" w:space="0" w:color="auto"/>
            </w:tcBorders>
            <w:shd w:val="clear" w:color="auto" w:fill="F2F2F2" w:themeFill="background1" w:themeFillShade="F2"/>
            <w:vAlign w:val="center"/>
          </w:tcPr>
          <w:p w14:paraId="4C4AAF87" w14:textId="77777777"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6</w:t>
            </w:r>
            <w:r w:rsidRPr="002A4C64">
              <w:rPr>
                <w:rFonts w:asciiTheme="majorBidi" w:eastAsia="Times New Roman" w:hAnsiTheme="majorBidi" w:cstheme="majorBidi"/>
                <w:i/>
                <w:iCs/>
                <w:color w:val="000000"/>
                <w:sz w:val="22"/>
                <w:szCs w:val="22"/>
              </w:rPr>
              <w:t xml:space="preserve"> Lime</w:t>
            </w:r>
          </w:p>
        </w:tc>
        <w:tc>
          <w:tcPr>
            <w:tcW w:w="1152" w:type="dxa"/>
            <w:tcBorders>
              <w:top w:val="nil"/>
              <w:left w:val="dashed" w:sz="4" w:space="0" w:color="auto"/>
              <w:bottom w:val="nil"/>
              <w:right w:val="nil"/>
            </w:tcBorders>
            <w:shd w:val="clear" w:color="auto" w:fill="F2F2F2" w:themeFill="background1" w:themeFillShade="F2"/>
            <w:noWrap/>
            <w:vAlign w:val="center"/>
          </w:tcPr>
          <w:p w14:paraId="683C9D64" w14:textId="63DED79C"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nil"/>
              <w:bottom w:val="nil"/>
            </w:tcBorders>
            <w:shd w:val="clear" w:color="auto" w:fill="F2F2F2" w:themeFill="background1" w:themeFillShade="F2"/>
            <w:vAlign w:val="center"/>
          </w:tcPr>
          <w:p w14:paraId="786EECE0" w14:textId="34995A95"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tcBorders>
            <w:shd w:val="clear" w:color="auto" w:fill="F2F2F2" w:themeFill="background1" w:themeFillShade="F2"/>
            <w:noWrap/>
            <w:vAlign w:val="center"/>
          </w:tcPr>
          <w:p w14:paraId="52824EA0" w14:textId="59F3F997"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right w:val="dashed" w:sz="4" w:space="0" w:color="auto"/>
            </w:tcBorders>
            <w:shd w:val="clear" w:color="auto" w:fill="F2F2F2" w:themeFill="background1" w:themeFillShade="F2"/>
            <w:noWrap/>
            <w:vAlign w:val="center"/>
          </w:tcPr>
          <w:p w14:paraId="6C0F36B3" w14:textId="4589A34C"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dashed" w:sz="4" w:space="0" w:color="auto"/>
              <w:bottom w:val="nil"/>
            </w:tcBorders>
            <w:shd w:val="clear" w:color="auto" w:fill="F2F2F2" w:themeFill="background1" w:themeFillShade="F2"/>
            <w:noWrap/>
            <w:vAlign w:val="center"/>
          </w:tcPr>
          <w:p w14:paraId="1EB2646B" w14:textId="5DF24200"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24 / 15</w:t>
            </w:r>
          </w:p>
        </w:tc>
      </w:tr>
      <w:tr w:rsidR="00DB0C13" w:rsidRPr="002A4C64" w14:paraId="17721131"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268447E6" w14:textId="77777777" w:rsidR="00DB0C13" w:rsidRPr="002A4C64" w:rsidRDefault="00DB0C13" w:rsidP="00DB0C13">
            <w:pPr>
              <w:spacing w:line="240" w:lineRule="auto"/>
              <w:jc w:val="left"/>
              <w:rPr>
                <w:rFonts w:asciiTheme="majorBidi" w:eastAsia="Times New Roman" w:hAnsiTheme="majorBidi" w:cstheme="majorBidi"/>
                <w:i/>
                <w:iCs/>
                <w:color w:val="000000"/>
                <w:sz w:val="22"/>
                <w:szCs w:val="22"/>
              </w:rPr>
            </w:pPr>
          </w:p>
        </w:tc>
        <w:tc>
          <w:tcPr>
            <w:tcW w:w="1296" w:type="dxa"/>
            <w:tcBorders>
              <w:top w:val="nil"/>
              <w:left w:val="single" w:sz="4" w:space="0" w:color="auto"/>
              <w:bottom w:val="nil"/>
              <w:right w:val="dashed" w:sz="4" w:space="0" w:color="auto"/>
            </w:tcBorders>
            <w:shd w:val="clear" w:color="auto" w:fill="FFFFFF" w:themeFill="background1"/>
            <w:vAlign w:val="center"/>
          </w:tcPr>
          <w:p w14:paraId="3BC6F714" w14:textId="77777777"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w:t>
            </w:r>
            <w:r w:rsidRPr="002A4C64">
              <w:rPr>
                <w:rFonts w:asciiTheme="majorBidi" w:eastAsia="Times New Roman" w:hAnsiTheme="majorBidi" w:cstheme="majorBidi"/>
                <w:i/>
                <w:iCs/>
                <w:color w:val="000000"/>
                <w:sz w:val="22"/>
                <w:szCs w:val="22"/>
              </w:rPr>
              <w:t xml:space="preserve"> CKD</w:t>
            </w:r>
          </w:p>
        </w:tc>
        <w:tc>
          <w:tcPr>
            <w:tcW w:w="1152" w:type="dxa"/>
            <w:tcBorders>
              <w:top w:val="nil"/>
              <w:left w:val="dashed" w:sz="4" w:space="0" w:color="auto"/>
              <w:bottom w:val="nil"/>
              <w:right w:val="nil"/>
            </w:tcBorders>
            <w:shd w:val="clear" w:color="auto" w:fill="FFFFFF" w:themeFill="background1"/>
            <w:noWrap/>
            <w:vAlign w:val="center"/>
          </w:tcPr>
          <w:p w14:paraId="5B01A0C4" w14:textId="205B82A5"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nil"/>
              <w:bottom w:val="nil"/>
            </w:tcBorders>
            <w:shd w:val="clear" w:color="auto" w:fill="FFFFFF" w:themeFill="background1"/>
            <w:vAlign w:val="center"/>
          </w:tcPr>
          <w:p w14:paraId="68816B9F" w14:textId="7BECF793"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tcBorders>
            <w:shd w:val="clear" w:color="auto" w:fill="FFFFFF" w:themeFill="background1"/>
            <w:noWrap/>
            <w:vAlign w:val="center"/>
          </w:tcPr>
          <w:p w14:paraId="480AAC98" w14:textId="2ECFAE68"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right w:val="dashed" w:sz="4" w:space="0" w:color="auto"/>
            </w:tcBorders>
            <w:shd w:val="clear" w:color="auto" w:fill="FFFFFF" w:themeFill="background1"/>
            <w:noWrap/>
            <w:vAlign w:val="center"/>
          </w:tcPr>
          <w:p w14:paraId="5C8C2A65" w14:textId="11A9CB42"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dashed" w:sz="4" w:space="0" w:color="auto"/>
              <w:bottom w:val="nil"/>
            </w:tcBorders>
            <w:shd w:val="clear" w:color="auto" w:fill="FFFFFF" w:themeFill="background1"/>
            <w:noWrap/>
            <w:vAlign w:val="center"/>
          </w:tcPr>
          <w:p w14:paraId="0843431B" w14:textId="7C901EED"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24 / 15</w:t>
            </w:r>
          </w:p>
        </w:tc>
      </w:tr>
      <w:tr w:rsidR="00DB0C13" w:rsidRPr="002A4C64" w14:paraId="0D4C5616"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0E0A48FD" w14:textId="77777777" w:rsidR="00DB0C13" w:rsidRPr="002A4C64" w:rsidRDefault="00DB0C13" w:rsidP="00DB0C13">
            <w:pPr>
              <w:spacing w:line="240" w:lineRule="auto"/>
              <w:jc w:val="left"/>
              <w:rPr>
                <w:rFonts w:asciiTheme="majorBidi" w:eastAsia="Times New Roman" w:hAnsiTheme="majorBidi" w:cstheme="majorBidi"/>
                <w:i/>
                <w:iCs/>
                <w:color w:val="000000"/>
                <w:sz w:val="22"/>
                <w:szCs w:val="22"/>
              </w:rPr>
            </w:pPr>
          </w:p>
        </w:tc>
        <w:tc>
          <w:tcPr>
            <w:tcW w:w="1296" w:type="dxa"/>
            <w:tcBorders>
              <w:top w:val="nil"/>
              <w:left w:val="single" w:sz="4" w:space="0" w:color="auto"/>
              <w:bottom w:val="nil"/>
              <w:right w:val="dashed" w:sz="4" w:space="0" w:color="auto"/>
            </w:tcBorders>
            <w:shd w:val="clear" w:color="auto" w:fill="F2F2F2" w:themeFill="background1" w:themeFillShade="F2"/>
            <w:vAlign w:val="center"/>
          </w:tcPr>
          <w:p w14:paraId="3B9ED0A0" w14:textId="77777777"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21</w:t>
            </w:r>
            <w:r w:rsidRPr="002A4C64">
              <w:rPr>
                <w:rFonts w:asciiTheme="majorBidi" w:eastAsia="Times New Roman" w:hAnsiTheme="majorBidi" w:cstheme="majorBidi"/>
                <w:i/>
                <w:iCs/>
                <w:color w:val="000000"/>
                <w:sz w:val="22"/>
                <w:szCs w:val="22"/>
              </w:rPr>
              <w:t xml:space="preserve"> CKD</w:t>
            </w:r>
          </w:p>
        </w:tc>
        <w:tc>
          <w:tcPr>
            <w:tcW w:w="1152" w:type="dxa"/>
            <w:tcBorders>
              <w:top w:val="nil"/>
              <w:left w:val="dashed" w:sz="4" w:space="0" w:color="auto"/>
              <w:bottom w:val="nil"/>
              <w:right w:val="nil"/>
            </w:tcBorders>
            <w:shd w:val="clear" w:color="auto" w:fill="F2F2F2" w:themeFill="background1" w:themeFillShade="F2"/>
            <w:noWrap/>
            <w:vAlign w:val="center"/>
          </w:tcPr>
          <w:p w14:paraId="56B6653D" w14:textId="32A4C1AF"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nil"/>
              <w:bottom w:val="nil"/>
            </w:tcBorders>
            <w:shd w:val="clear" w:color="auto" w:fill="F2F2F2" w:themeFill="background1" w:themeFillShade="F2"/>
            <w:vAlign w:val="center"/>
          </w:tcPr>
          <w:p w14:paraId="2E56AA35" w14:textId="27E83BFA"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tcBorders>
            <w:shd w:val="clear" w:color="auto" w:fill="F2F2F2" w:themeFill="background1" w:themeFillShade="F2"/>
            <w:noWrap/>
            <w:vAlign w:val="center"/>
          </w:tcPr>
          <w:p w14:paraId="4DCC6CF3" w14:textId="40CE181A"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right w:val="dashed" w:sz="4" w:space="0" w:color="auto"/>
            </w:tcBorders>
            <w:shd w:val="clear" w:color="auto" w:fill="F2F2F2" w:themeFill="background1" w:themeFillShade="F2"/>
            <w:noWrap/>
            <w:vAlign w:val="center"/>
          </w:tcPr>
          <w:p w14:paraId="367C7ADF" w14:textId="5FD628C2"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dashed" w:sz="4" w:space="0" w:color="auto"/>
              <w:bottom w:val="nil"/>
            </w:tcBorders>
            <w:shd w:val="clear" w:color="auto" w:fill="F2F2F2" w:themeFill="background1" w:themeFillShade="F2"/>
            <w:noWrap/>
            <w:vAlign w:val="center"/>
          </w:tcPr>
          <w:p w14:paraId="6082999F" w14:textId="65201810"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24 / 15</w:t>
            </w:r>
          </w:p>
        </w:tc>
      </w:tr>
      <w:tr w:rsidR="00DB0C13" w:rsidRPr="002A4C64" w14:paraId="0BA2CE7F"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448F3DFE" w14:textId="77777777" w:rsidR="00DB0C13" w:rsidRPr="002A4C64" w:rsidRDefault="00DB0C13" w:rsidP="00DB0C13">
            <w:pPr>
              <w:spacing w:line="240" w:lineRule="auto"/>
              <w:jc w:val="left"/>
              <w:rPr>
                <w:rFonts w:asciiTheme="majorBidi" w:eastAsia="Times New Roman" w:hAnsiTheme="majorBidi" w:cstheme="majorBidi"/>
                <w:i/>
                <w:iCs/>
                <w:color w:val="000000"/>
                <w:sz w:val="22"/>
                <w:szCs w:val="22"/>
              </w:rPr>
            </w:pPr>
          </w:p>
        </w:tc>
        <w:tc>
          <w:tcPr>
            <w:tcW w:w="1296" w:type="dxa"/>
            <w:tcBorders>
              <w:top w:val="nil"/>
              <w:left w:val="single" w:sz="4" w:space="0" w:color="auto"/>
              <w:bottom w:val="nil"/>
              <w:right w:val="dashed" w:sz="4" w:space="0" w:color="auto"/>
            </w:tcBorders>
            <w:shd w:val="clear" w:color="auto" w:fill="FFFFFF" w:themeFill="background1"/>
            <w:vAlign w:val="center"/>
          </w:tcPr>
          <w:p w14:paraId="464A155C" w14:textId="77777777" w:rsidR="00DB0C13" w:rsidRPr="002A4C64" w:rsidRDefault="00DB0C13" w:rsidP="00DB0C13">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41 Fly Ash</w:t>
            </w:r>
          </w:p>
        </w:tc>
        <w:tc>
          <w:tcPr>
            <w:tcW w:w="1152" w:type="dxa"/>
            <w:tcBorders>
              <w:top w:val="nil"/>
              <w:left w:val="dashed" w:sz="4" w:space="0" w:color="auto"/>
              <w:bottom w:val="nil"/>
              <w:right w:val="nil"/>
            </w:tcBorders>
            <w:shd w:val="clear" w:color="auto" w:fill="FFFFFF" w:themeFill="background1"/>
            <w:noWrap/>
            <w:vAlign w:val="center"/>
          </w:tcPr>
          <w:p w14:paraId="23224D54" w14:textId="21298711"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nil"/>
              <w:bottom w:val="nil"/>
            </w:tcBorders>
            <w:shd w:val="clear" w:color="auto" w:fill="FFFFFF" w:themeFill="background1"/>
            <w:vAlign w:val="center"/>
          </w:tcPr>
          <w:p w14:paraId="75FD605C" w14:textId="1FD3C8E2"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tcBorders>
            <w:shd w:val="clear" w:color="auto" w:fill="FFFFFF" w:themeFill="background1"/>
            <w:noWrap/>
            <w:vAlign w:val="center"/>
          </w:tcPr>
          <w:p w14:paraId="1466A941" w14:textId="774F743B"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nil"/>
              <w:right w:val="dashed" w:sz="4" w:space="0" w:color="auto"/>
            </w:tcBorders>
            <w:shd w:val="clear" w:color="auto" w:fill="FFFFFF" w:themeFill="background1"/>
            <w:noWrap/>
            <w:vAlign w:val="center"/>
          </w:tcPr>
          <w:p w14:paraId="4177D198" w14:textId="1365FE22"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dashed" w:sz="4" w:space="0" w:color="auto"/>
              <w:bottom w:val="nil"/>
            </w:tcBorders>
            <w:shd w:val="clear" w:color="auto" w:fill="FFFFFF" w:themeFill="background1"/>
            <w:noWrap/>
            <w:vAlign w:val="center"/>
          </w:tcPr>
          <w:p w14:paraId="2CB089CA" w14:textId="1F2BDA82"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24 / 15</w:t>
            </w:r>
          </w:p>
        </w:tc>
      </w:tr>
      <w:tr w:rsidR="00DB0C13" w:rsidRPr="002A4C64" w14:paraId="1E0755CF" w14:textId="77777777" w:rsidTr="00C4173F">
        <w:trPr>
          <w:trHeight w:val="315"/>
          <w:jc w:val="center"/>
        </w:trPr>
        <w:tc>
          <w:tcPr>
            <w:tcW w:w="47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FD895E1" w14:textId="605C3FF4" w:rsidR="00DB0C13" w:rsidRPr="002A4C64" w:rsidRDefault="00DB0C13" w:rsidP="00DB0C13">
            <w:pPr>
              <w:spacing w:line="240" w:lineRule="auto"/>
              <w:jc w:val="left"/>
              <w:rPr>
                <w:rFonts w:asciiTheme="majorBidi" w:eastAsia="Times New Roman" w:hAnsiTheme="majorBidi" w:cstheme="majorBidi"/>
                <w:i/>
                <w:iCs/>
                <w:color w:val="000000"/>
                <w:sz w:val="22"/>
                <w:szCs w:val="22"/>
              </w:rPr>
            </w:pPr>
          </w:p>
        </w:tc>
        <w:tc>
          <w:tcPr>
            <w:tcW w:w="1296" w:type="dxa"/>
            <w:tcBorders>
              <w:top w:val="nil"/>
              <w:left w:val="single" w:sz="4" w:space="0" w:color="auto"/>
              <w:bottom w:val="single" w:sz="4" w:space="0" w:color="auto"/>
              <w:right w:val="dashed" w:sz="4" w:space="0" w:color="auto"/>
            </w:tcBorders>
            <w:shd w:val="clear" w:color="auto" w:fill="F2F2F2" w:themeFill="background1" w:themeFillShade="F2"/>
            <w:vAlign w:val="center"/>
          </w:tcPr>
          <w:p w14:paraId="32FADE56" w14:textId="77777777"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63</w:t>
            </w:r>
            <w:r w:rsidRPr="002A4C64">
              <w:rPr>
                <w:rFonts w:asciiTheme="majorBidi" w:eastAsia="Times New Roman" w:hAnsiTheme="majorBidi" w:cstheme="majorBidi"/>
                <w:i/>
                <w:iCs/>
                <w:color w:val="000000"/>
                <w:sz w:val="22"/>
                <w:szCs w:val="22"/>
              </w:rPr>
              <w:t xml:space="preserve"> Fly Ash</w:t>
            </w:r>
          </w:p>
        </w:tc>
        <w:tc>
          <w:tcPr>
            <w:tcW w:w="1152" w:type="dxa"/>
            <w:tcBorders>
              <w:top w:val="nil"/>
              <w:left w:val="dashed" w:sz="4" w:space="0" w:color="auto"/>
              <w:bottom w:val="single" w:sz="4" w:space="0" w:color="auto"/>
              <w:right w:val="nil"/>
            </w:tcBorders>
            <w:shd w:val="clear" w:color="auto" w:fill="F2F2F2" w:themeFill="background1" w:themeFillShade="F2"/>
            <w:noWrap/>
            <w:vAlign w:val="center"/>
          </w:tcPr>
          <w:p w14:paraId="5D305DFC" w14:textId="5DBA1E6F"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nil"/>
              <w:bottom w:val="single" w:sz="4" w:space="0" w:color="auto"/>
            </w:tcBorders>
            <w:shd w:val="clear" w:color="auto" w:fill="F2F2F2" w:themeFill="background1" w:themeFillShade="F2"/>
            <w:vAlign w:val="center"/>
          </w:tcPr>
          <w:p w14:paraId="23927719" w14:textId="38CEA77F"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single" w:sz="4" w:space="0" w:color="auto"/>
            </w:tcBorders>
            <w:shd w:val="clear" w:color="auto" w:fill="F2F2F2" w:themeFill="background1" w:themeFillShade="F2"/>
            <w:noWrap/>
            <w:vAlign w:val="center"/>
          </w:tcPr>
          <w:p w14:paraId="44EFB8CC" w14:textId="727A69DD"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bottom w:val="single" w:sz="4" w:space="0" w:color="auto"/>
              <w:right w:val="dashed" w:sz="4" w:space="0" w:color="auto"/>
            </w:tcBorders>
            <w:shd w:val="clear" w:color="auto" w:fill="F2F2F2" w:themeFill="background1" w:themeFillShade="F2"/>
            <w:noWrap/>
            <w:vAlign w:val="center"/>
          </w:tcPr>
          <w:p w14:paraId="3B914539" w14:textId="6C29A1D4"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 / 3</w:t>
            </w:r>
          </w:p>
        </w:tc>
        <w:tc>
          <w:tcPr>
            <w:tcW w:w="1152" w:type="dxa"/>
            <w:tcBorders>
              <w:top w:val="nil"/>
              <w:left w:val="dashed" w:sz="4" w:space="0" w:color="auto"/>
              <w:bottom w:val="single" w:sz="4" w:space="0" w:color="auto"/>
            </w:tcBorders>
            <w:shd w:val="clear" w:color="auto" w:fill="F2F2F2" w:themeFill="background1" w:themeFillShade="F2"/>
            <w:noWrap/>
            <w:vAlign w:val="center"/>
          </w:tcPr>
          <w:p w14:paraId="4F1970C0" w14:textId="62BF4295" w:rsidR="00DB0C13" w:rsidRPr="002A4C64" w:rsidRDefault="00DB0C13" w:rsidP="00DB0C13">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24 / 15</w:t>
            </w:r>
          </w:p>
        </w:tc>
      </w:tr>
    </w:tbl>
    <w:p w14:paraId="36E1E0AB" w14:textId="77777777" w:rsidR="00627BCA" w:rsidRDefault="00627BCA" w:rsidP="0052482E">
      <w:pPr>
        <w:jc w:val="both"/>
      </w:pPr>
    </w:p>
    <w:p w14:paraId="1E413C70" w14:textId="77777777" w:rsidR="00D51B8B" w:rsidRDefault="00D51B8B" w:rsidP="003B44DE">
      <w:pPr>
        <w:jc w:val="both"/>
      </w:pPr>
    </w:p>
    <w:p w14:paraId="47B850B4" w14:textId="5693C180" w:rsidR="00D51B8B" w:rsidRPr="001B40D5" w:rsidRDefault="001B40D5" w:rsidP="001B40D5">
      <w:pPr>
        <w:ind w:left="720"/>
        <w:jc w:val="both"/>
        <w:rPr>
          <w:b/>
        </w:rPr>
      </w:pPr>
      <w:r>
        <w:rPr>
          <w:b/>
        </w:rPr>
        <w:t xml:space="preserve">3.2.2 </w:t>
      </w:r>
      <w:r w:rsidR="00D51B8B" w:rsidRPr="001B40D5">
        <w:rPr>
          <w:b/>
        </w:rPr>
        <w:t>Field Testing</w:t>
      </w:r>
    </w:p>
    <w:p w14:paraId="010EC563" w14:textId="6079955A" w:rsidR="00D51B8B" w:rsidRDefault="00D51B8B" w:rsidP="0012127F">
      <w:pPr>
        <w:ind w:left="720" w:firstLine="720"/>
        <w:jc w:val="both"/>
      </w:pPr>
      <w:r>
        <w:t>Three</w:t>
      </w:r>
      <w:r w:rsidR="001B40D5">
        <w:t xml:space="preserve"> </w:t>
      </w:r>
      <w:r>
        <w:t xml:space="preserve">different subgrade stabilization sites with different calcium-based stabilizers were located throughout the state of Oklahoma. </w:t>
      </w:r>
      <w:r w:rsidR="0012127F">
        <w:t>Both in situ and ex situ PHXRF measurements were taken at each site</w:t>
      </w:r>
      <w:r>
        <w:t xml:space="preserve"> in a grid pattern over a 50 foot long by 10 foot wide area. </w:t>
      </w:r>
      <w:r w:rsidR="00167FDC">
        <w:t xml:space="preserve">In situ measurements are defined in this thesis as taking </w:t>
      </w:r>
      <w:r w:rsidR="00167FDC">
        <w:lastRenderedPageBreak/>
        <w:t xml:space="preserve">surface PHXRF measurements at the grid locations with no sample preparation. </w:t>
      </w:r>
      <w:r w:rsidR="00167FDC">
        <w:rPr>
          <w:rFonts w:eastAsiaTheme="minorEastAsia"/>
          <w:bCs/>
        </w:rPr>
        <w:t xml:space="preserve">Ex situ measurements, on the other hand, are defined as retrieving soil samples from the 33 grid locations, bringing them back to the laboratory, processing them over a #40 sieve, placing them in sample cups, and using the PHXRF to measure SC.  </w:t>
      </w:r>
      <w:r>
        <w:t>PHXRF measurements and samples were taken every five feet along the length and width of the area for a total of 33 locations. This allowed for spatial homogeneity to be assessed. At the 33 locations, samples were taken at various depths</w:t>
      </w:r>
      <w:r w:rsidR="0012127F">
        <w:t xml:space="preserve"> as well</w:t>
      </w:r>
      <w:r>
        <w:t>. For pre-treatment samples, 0</w:t>
      </w:r>
      <w:r w:rsidR="00662193">
        <w:t xml:space="preserve"> </w:t>
      </w:r>
      <w:r>
        <w:t>-</w:t>
      </w:r>
      <w:r w:rsidR="00662193">
        <w:t xml:space="preserve"> </w:t>
      </w:r>
      <w:r>
        <w:t>9 inch and 9</w:t>
      </w:r>
      <w:r w:rsidR="00662193">
        <w:t xml:space="preserve"> </w:t>
      </w:r>
      <w:r>
        <w:t>-</w:t>
      </w:r>
      <w:r w:rsidR="00662193">
        <w:t xml:space="preserve"> </w:t>
      </w:r>
      <w:r>
        <w:t>12 inch samples were taken; for post-treatment samples, 0</w:t>
      </w:r>
      <w:r w:rsidR="00662193">
        <w:t xml:space="preserve"> </w:t>
      </w:r>
      <w:r>
        <w:t>-</w:t>
      </w:r>
      <w:r w:rsidR="00662193">
        <w:t xml:space="preserve"> </w:t>
      </w:r>
      <w:r>
        <w:t>3 inch, 3</w:t>
      </w:r>
      <w:r w:rsidR="00662193">
        <w:t xml:space="preserve"> </w:t>
      </w:r>
      <w:r>
        <w:t>-</w:t>
      </w:r>
      <w:r w:rsidR="00662193">
        <w:t xml:space="preserve"> </w:t>
      </w:r>
      <w:r>
        <w:t>6 inch, 6</w:t>
      </w:r>
      <w:r w:rsidR="00662193">
        <w:t xml:space="preserve"> </w:t>
      </w:r>
      <w:r>
        <w:t>-</w:t>
      </w:r>
      <w:r w:rsidR="00662193">
        <w:t xml:space="preserve"> </w:t>
      </w:r>
      <w:r>
        <w:t>9 inch, and 9</w:t>
      </w:r>
      <w:r w:rsidR="00662193">
        <w:t xml:space="preserve"> </w:t>
      </w:r>
      <w:r>
        <w:t>-</w:t>
      </w:r>
      <w:r w:rsidR="00662193">
        <w:t xml:space="preserve"> </w:t>
      </w:r>
      <w:r>
        <w:t>12 inch samples. This allowed for depth homogeneity to be assessed. Ad</w:t>
      </w:r>
      <w:r w:rsidR="0012127F">
        <w:t xml:space="preserve">ditionally, random grid samples </w:t>
      </w:r>
      <w:r>
        <w:t xml:space="preserve">were analyzed by a verified commercial laboratory to assess field accuracy of the PHXRF device. </w:t>
      </w:r>
    </w:p>
    <w:p w14:paraId="775B98C7" w14:textId="77777777" w:rsidR="00A9340E" w:rsidRDefault="00A9340E" w:rsidP="00A9340E">
      <w:pPr>
        <w:jc w:val="left"/>
        <w:rPr>
          <w:b/>
        </w:rPr>
      </w:pPr>
    </w:p>
    <w:p w14:paraId="1000F418" w14:textId="61CA77F2" w:rsidR="00A9340E" w:rsidRPr="00A9340E" w:rsidRDefault="001B40D5" w:rsidP="00A9340E">
      <w:pPr>
        <w:jc w:val="left"/>
        <w:rPr>
          <w:b/>
        </w:rPr>
      </w:pPr>
      <w:r>
        <w:rPr>
          <w:b/>
        </w:rPr>
        <w:t>3.3</w:t>
      </w:r>
      <w:r w:rsidR="00A9340E" w:rsidRPr="00A9340E">
        <w:rPr>
          <w:b/>
        </w:rPr>
        <w:t xml:space="preserve"> Mixing Procedures</w:t>
      </w:r>
    </w:p>
    <w:p w14:paraId="0FA1027B" w14:textId="57243EF1" w:rsidR="00A9340E" w:rsidRDefault="00A9340E" w:rsidP="00457152">
      <w:pPr>
        <w:ind w:firstLine="720"/>
        <w:jc w:val="both"/>
      </w:pPr>
      <w:r w:rsidRPr="00A9340E">
        <w:t>The mo</w:t>
      </w:r>
      <w:r w:rsidR="00D3308C">
        <w:t>isture content of the soils</w:t>
      </w:r>
      <w:r w:rsidR="00FA5453">
        <w:t xml:space="preserve">, </w:t>
      </w:r>
      <m:oMath>
        <m:sSub>
          <m:sSubPr>
            <m:ctrlPr>
              <w:rPr>
                <w:rFonts w:ascii="Cambria Math" w:hAnsi="Cambria Math"/>
                <w:i/>
              </w:rPr>
            </m:ctrlPr>
          </m:sSubPr>
          <m:e>
            <m:r>
              <w:rPr>
                <w:rFonts w:ascii="Cambria Math" w:hAnsi="Cambria Math"/>
              </w:rPr>
              <m:t>w</m:t>
            </m:r>
          </m:e>
          <m:sub>
            <m:r>
              <w:rPr>
                <w:rFonts w:ascii="Cambria Math" w:hAnsi="Cambria Math"/>
              </w:rPr>
              <m:t>c</m:t>
            </m:r>
          </m:sub>
        </m:sSub>
      </m:oMath>
      <w:r w:rsidR="00FA5453">
        <w:rPr>
          <w:rFonts w:eastAsiaTheme="minorEastAsia"/>
        </w:rPr>
        <w:t>,</w:t>
      </w:r>
      <w:r w:rsidR="00241249">
        <w:t xml:space="preserve"> were</w:t>
      </w:r>
      <w:r w:rsidRPr="00A9340E">
        <w:t xml:space="preserve"> determined</w:t>
      </w:r>
      <w:r w:rsidR="006C4B95">
        <w:t xml:space="preserve"> for OHC</w:t>
      </w:r>
      <w:r w:rsidR="00C16488">
        <w:t xml:space="preserve"> and SGB</w:t>
      </w:r>
      <w:r w:rsidRPr="00A9340E">
        <w:t xml:space="preserve"> </w:t>
      </w:r>
      <w:r w:rsidR="00C16488">
        <w:t xml:space="preserve">soils </w:t>
      </w:r>
      <w:r w:rsidRPr="00A9340E">
        <w:t>in accordance with ASTM D2216-</w:t>
      </w:r>
      <w:r w:rsidR="00D3308C">
        <w:t>10</w:t>
      </w:r>
      <w:r w:rsidR="002A5C6B">
        <w:t xml:space="preserve"> Standard Test Methods for Laboratory Determination of Water (Moisture) Content of Soil and Rock by Mass</w:t>
      </w:r>
      <w:r w:rsidR="009D6CD2">
        <w:t xml:space="preserve"> prior to mixing with stabilizer</w:t>
      </w:r>
      <w:r w:rsidR="00D3308C">
        <w:t xml:space="preserve">. </w:t>
      </w:r>
      <w:r w:rsidR="00FA5453">
        <w:t xml:space="preserve">Amounts of soil and </w:t>
      </w:r>
      <w:r w:rsidR="00255AC8">
        <w:t xml:space="preserve">chemical </w:t>
      </w:r>
      <w:r w:rsidR="00FA5453">
        <w:t>stabilizer required to produce a wi</w:t>
      </w:r>
      <w:r w:rsidR="00E25DE2">
        <w:t xml:space="preserve">de range of </w:t>
      </w:r>
      <m:oMath>
        <m:r>
          <w:rPr>
            <w:rFonts w:ascii="Cambria Math" w:hAnsi="Cambria Math"/>
          </w:rPr>
          <m:t>SC</m:t>
        </m:r>
      </m:oMath>
      <w:r w:rsidR="00457152">
        <w:rPr>
          <w:rFonts w:eastAsiaTheme="minorEastAsia"/>
        </w:rPr>
        <w:t>s</w:t>
      </w:r>
      <w:r w:rsidR="009D6CD2">
        <w:rPr>
          <w:rFonts w:eastAsiaTheme="minorEastAsia"/>
        </w:rPr>
        <w:t xml:space="preserve"> by dry mass</w:t>
      </w:r>
      <w:r w:rsidR="00241249">
        <w:rPr>
          <w:rFonts w:eastAsiaTheme="minorEastAsia"/>
        </w:rPr>
        <w:t xml:space="preserve"> were</w:t>
      </w:r>
      <w:r w:rsidR="00FA5453">
        <w:rPr>
          <w:rFonts w:eastAsiaTheme="minorEastAsia"/>
        </w:rPr>
        <w:t xml:space="preserve"> </w:t>
      </w:r>
      <w:r w:rsidR="00D1095E">
        <w:rPr>
          <w:rFonts w:eastAsiaTheme="minorEastAsia"/>
        </w:rPr>
        <w:t xml:space="preserve">calculated using </w:t>
      </w:r>
      <w:r w:rsidR="00D1095E" w:rsidRPr="006C4B95">
        <w:rPr>
          <w:rFonts w:eastAsiaTheme="minorEastAsia"/>
        </w:rPr>
        <w:t xml:space="preserve">Equations </w:t>
      </w:r>
      <w:r w:rsidR="006C4B95" w:rsidRPr="006C4B95">
        <w:rPr>
          <w:rFonts w:eastAsiaTheme="minorEastAsia"/>
        </w:rPr>
        <w:fldChar w:fldCharType="begin"/>
      </w:r>
      <w:r w:rsidR="006C4B95" w:rsidRPr="006C4B95">
        <w:rPr>
          <w:rFonts w:eastAsiaTheme="minorEastAsia"/>
        </w:rPr>
        <w:instrText xml:space="preserve"> REF _Ref437868184 \h </w:instrText>
      </w:r>
      <w:r w:rsidR="006C4B95">
        <w:rPr>
          <w:rFonts w:eastAsiaTheme="minorEastAsia"/>
        </w:rPr>
        <w:instrText xml:space="preserve"> \* MERGEFORMAT </w:instrText>
      </w:r>
      <w:r w:rsidR="006C4B95" w:rsidRPr="006C4B95">
        <w:rPr>
          <w:rFonts w:eastAsiaTheme="minorEastAsia"/>
        </w:rPr>
      </w:r>
      <w:r w:rsidR="006C4B95" w:rsidRPr="006C4B95">
        <w:rPr>
          <w:rFonts w:eastAsiaTheme="minorEastAsia"/>
        </w:rPr>
        <w:fldChar w:fldCharType="separate"/>
      </w:r>
      <w:r w:rsidR="00E90148" w:rsidRPr="00E90148">
        <w:t>(</w:t>
      </w:r>
      <w:r w:rsidR="00E90148" w:rsidRPr="00E90148">
        <w:rPr>
          <w:noProof/>
        </w:rPr>
        <w:t>2</w:t>
      </w:r>
      <w:r w:rsidR="00E90148" w:rsidRPr="00E90148">
        <w:t>)</w:t>
      </w:r>
      <w:r w:rsidR="006C4B95" w:rsidRPr="006C4B95">
        <w:rPr>
          <w:rFonts w:eastAsiaTheme="minorEastAsia"/>
        </w:rPr>
        <w:fldChar w:fldCharType="end"/>
      </w:r>
      <w:r w:rsidR="00D1095E" w:rsidRPr="006C4B95">
        <w:rPr>
          <w:rFonts w:eastAsiaTheme="minorEastAsia"/>
        </w:rPr>
        <w:t xml:space="preserve"> and </w:t>
      </w:r>
      <w:r w:rsidR="006C4B95" w:rsidRPr="006C4B95">
        <w:rPr>
          <w:rFonts w:eastAsiaTheme="minorEastAsia"/>
        </w:rPr>
        <w:fldChar w:fldCharType="begin"/>
      </w:r>
      <w:r w:rsidR="006C4B95" w:rsidRPr="006C4B95">
        <w:rPr>
          <w:rFonts w:eastAsiaTheme="minorEastAsia"/>
        </w:rPr>
        <w:instrText xml:space="preserve"> REF _Ref437868190 \h </w:instrText>
      </w:r>
      <w:r w:rsidR="006C4B95">
        <w:rPr>
          <w:rFonts w:eastAsiaTheme="minorEastAsia"/>
        </w:rPr>
        <w:instrText xml:space="preserve"> \* MERGEFORMAT </w:instrText>
      </w:r>
      <w:r w:rsidR="006C4B95" w:rsidRPr="006C4B95">
        <w:rPr>
          <w:rFonts w:eastAsiaTheme="minorEastAsia"/>
        </w:rPr>
      </w:r>
      <w:r w:rsidR="006C4B95" w:rsidRPr="006C4B95">
        <w:rPr>
          <w:rFonts w:eastAsiaTheme="minorEastAsia"/>
        </w:rPr>
        <w:fldChar w:fldCharType="separate"/>
      </w:r>
      <w:r w:rsidR="00E90148" w:rsidRPr="00E90148">
        <w:t>(</w:t>
      </w:r>
      <w:r w:rsidR="00E90148" w:rsidRPr="00E90148">
        <w:rPr>
          <w:noProof/>
        </w:rPr>
        <w:t>3</w:t>
      </w:r>
      <w:r w:rsidR="00E90148" w:rsidRPr="00E90148">
        <w:t>)</w:t>
      </w:r>
      <w:r w:rsidR="006C4B95" w:rsidRPr="006C4B95">
        <w:rPr>
          <w:rFonts w:eastAsiaTheme="minorEastAsia"/>
        </w:rPr>
        <w:fldChar w:fldCharType="end"/>
      </w:r>
      <w:r w:rsidR="00FA5453">
        <w:rPr>
          <w:rFonts w:eastAsiaTheme="minorEastAsia"/>
        </w:rPr>
        <w:t xml:space="preserve">. </w:t>
      </w:r>
      <m:oMath>
        <m:r>
          <w:rPr>
            <w:rFonts w:ascii="Cambria Math" w:hAnsi="Cambria Math"/>
          </w:rPr>
          <m:t>SC</m:t>
        </m:r>
      </m:oMath>
      <w:r w:rsidR="00255AC8">
        <w:rPr>
          <w:rFonts w:eastAsiaTheme="minorEastAsia"/>
        </w:rPr>
        <w:t>s</w:t>
      </w:r>
      <w:r w:rsidR="00C16488">
        <w:rPr>
          <w:rFonts w:eastAsiaTheme="minorEastAsia"/>
        </w:rPr>
        <w:t xml:space="preserve"> </w:t>
      </w:r>
      <w:r w:rsidR="00241249">
        <w:rPr>
          <w:rFonts w:eastAsiaTheme="minorEastAsia"/>
        </w:rPr>
        <w:t xml:space="preserve">chosen </w:t>
      </w:r>
      <w:r w:rsidR="00C16488">
        <w:rPr>
          <w:rFonts w:eastAsiaTheme="minorEastAsia"/>
        </w:rPr>
        <w:t>for this experiment</w:t>
      </w:r>
      <w:r w:rsidR="0003077D">
        <w:rPr>
          <w:rFonts w:eastAsiaTheme="minorEastAsia"/>
        </w:rPr>
        <w:t xml:space="preserve"> stretch from 0 to 64</w:t>
      </w:r>
      <w:r w:rsidR="00255AC8">
        <w:rPr>
          <w:rFonts w:eastAsiaTheme="minorEastAsia"/>
        </w:rPr>
        <w:t xml:space="preserve">% in order to </w:t>
      </w:r>
      <w:r w:rsidR="00C16488">
        <w:rPr>
          <w:rFonts w:eastAsiaTheme="minorEastAsia"/>
        </w:rPr>
        <w:t xml:space="preserve">assess the limits of </w:t>
      </w:r>
      <w:r w:rsidR="008E09E2">
        <w:rPr>
          <w:rFonts w:eastAsiaTheme="minorEastAsia"/>
        </w:rPr>
        <w:t xml:space="preserve">the </w:t>
      </w:r>
      <w:r w:rsidR="00241249">
        <w:rPr>
          <w:rFonts w:eastAsiaTheme="minorEastAsia"/>
        </w:rPr>
        <w:t>PHXRF units</w:t>
      </w:r>
      <w:r w:rsidR="00C16488">
        <w:rPr>
          <w:rFonts w:eastAsiaTheme="minorEastAsia"/>
        </w:rPr>
        <w:t xml:space="preserve"> for the applications ment</w:t>
      </w:r>
      <w:r w:rsidR="00241249">
        <w:rPr>
          <w:rFonts w:eastAsiaTheme="minorEastAsia"/>
        </w:rPr>
        <w:t>ioned earlier in this research</w:t>
      </w:r>
      <w:r w:rsidR="00255AC8">
        <w:rPr>
          <w:rFonts w:eastAsiaTheme="minorEastAsia"/>
        </w:rPr>
        <w:t xml:space="preserve">. </w:t>
      </w:r>
      <w:r w:rsidR="006C4B95">
        <w:rPr>
          <w:rFonts w:eastAsiaTheme="minorEastAsia"/>
        </w:rPr>
        <w:fldChar w:fldCharType="begin"/>
      </w:r>
      <w:r w:rsidR="006C4B95">
        <w:rPr>
          <w:rFonts w:eastAsiaTheme="minorEastAsia"/>
        </w:rPr>
        <w:instrText xml:space="preserve"> REF _Ref437867921 \h </w:instrText>
      </w:r>
      <w:r w:rsidR="006C4B95">
        <w:rPr>
          <w:rFonts w:eastAsiaTheme="minorEastAsia"/>
        </w:rPr>
      </w:r>
      <w:r w:rsidR="006C4B95">
        <w:rPr>
          <w:rFonts w:eastAsiaTheme="minorEastAsia"/>
        </w:rPr>
        <w:fldChar w:fldCharType="separate"/>
      </w:r>
      <w:r w:rsidR="00E90148">
        <w:t xml:space="preserve">Table </w:t>
      </w:r>
      <w:r w:rsidR="00E90148">
        <w:rPr>
          <w:noProof/>
        </w:rPr>
        <w:t>5</w:t>
      </w:r>
      <w:r w:rsidR="006C4B95">
        <w:rPr>
          <w:rFonts w:eastAsiaTheme="minorEastAsia"/>
        </w:rPr>
        <w:fldChar w:fldCharType="end"/>
      </w:r>
      <w:r w:rsidR="00C16488">
        <w:rPr>
          <w:rFonts w:eastAsiaTheme="minorEastAsia"/>
        </w:rPr>
        <w:t xml:space="preserve"> presents the calculated amounts of the soils and stabilizers </w:t>
      </w:r>
      <w:r w:rsidR="005E1295">
        <w:rPr>
          <w:rFonts w:eastAsiaTheme="minorEastAsia"/>
        </w:rPr>
        <w:t xml:space="preserve">needed </w:t>
      </w:r>
      <w:r w:rsidR="00C16488">
        <w:rPr>
          <w:rFonts w:eastAsiaTheme="minorEastAsia"/>
        </w:rPr>
        <w:t xml:space="preserve">to produce </w:t>
      </w:r>
      <w:r w:rsidR="005E1295">
        <w:rPr>
          <w:rFonts w:eastAsiaTheme="minorEastAsia"/>
        </w:rPr>
        <w:t xml:space="preserve">14 mixes that span </w:t>
      </w:r>
      <w:r w:rsidR="00C16488">
        <w:rPr>
          <w:rFonts w:eastAsiaTheme="minorEastAsia"/>
        </w:rPr>
        <w:t xml:space="preserve">this range. </w:t>
      </w:r>
    </w:p>
    <w:p w14:paraId="34759E9D" w14:textId="77777777" w:rsidR="002A5C6B" w:rsidRPr="00A9340E" w:rsidRDefault="002A5C6B" w:rsidP="00A9340E">
      <w:pPr>
        <w:ind w:firstLine="720"/>
        <w:jc w:val="both"/>
      </w:pP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450"/>
      </w:tblGrid>
      <w:tr w:rsidR="00A9340E" w:rsidRPr="006C4B95" w14:paraId="55EB6E0D" w14:textId="77777777" w:rsidTr="00BC693B">
        <w:tc>
          <w:tcPr>
            <w:tcW w:w="8010" w:type="dxa"/>
          </w:tcPr>
          <w:p w14:paraId="2EE8E048" w14:textId="3BCBB4A1" w:rsidR="00A9340E" w:rsidRPr="006C4B95" w:rsidRDefault="00184FC2" w:rsidP="00D1095E">
            <w:pPr>
              <w:spacing w:line="480" w:lineRule="auto"/>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Stab</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SC×</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Total</m:t>
                        </m:r>
                      </m:sub>
                    </m:sSub>
                  </m:num>
                  <m:den>
                    <m:r>
                      <w:rPr>
                        <w:rFonts w:ascii="Cambria Math" w:hAnsi="Cambria Math"/>
                        <w:sz w:val="20"/>
                        <w:szCs w:val="20"/>
                      </w:rPr>
                      <m:t>100%</m:t>
                    </m:r>
                  </m:den>
                </m:f>
              </m:oMath>
            </m:oMathPara>
          </w:p>
        </w:tc>
        <w:tc>
          <w:tcPr>
            <w:tcW w:w="450" w:type="dxa"/>
            <w:vAlign w:val="center"/>
          </w:tcPr>
          <w:p w14:paraId="36F0FB74" w14:textId="7BC540C0" w:rsidR="00A9340E" w:rsidRPr="006C4B95" w:rsidRDefault="00A9340E" w:rsidP="00BC693B">
            <w:pPr>
              <w:pStyle w:val="Caption"/>
              <w:keepNext/>
              <w:jc w:val="center"/>
              <w:rPr>
                <w:sz w:val="20"/>
                <w:szCs w:val="20"/>
              </w:rPr>
            </w:pPr>
            <w:bookmarkStart w:id="22" w:name="_Ref437868184"/>
            <w:r w:rsidRPr="006C4B95">
              <w:rPr>
                <w:sz w:val="20"/>
                <w:szCs w:val="20"/>
              </w:rPr>
              <w:t>(</w:t>
            </w:r>
            <w:r w:rsidR="006C4B95" w:rsidRPr="006C4B95">
              <w:rPr>
                <w:sz w:val="20"/>
                <w:szCs w:val="20"/>
              </w:rPr>
              <w:fldChar w:fldCharType="begin"/>
            </w:r>
            <w:r w:rsidR="006C4B95" w:rsidRPr="006C4B95">
              <w:rPr>
                <w:sz w:val="20"/>
                <w:szCs w:val="20"/>
              </w:rPr>
              <w:instrText xml:space="preserve"> SEQ Equation \* ARABIC </w:instrText>
            </w:r>
            <w:r w:rsidR="006C4B95" w:rsidRPr="006C4B95">
              <w:rPr>
                <w:sz w:val="20"/>
                <w:szCs w:val="20"/>
              </w:rPr>
              <w:fldChar w:fldCharType="separate"/>
            </w:r>
            <w:r w:rsidR="00E90148">
              <w:rPr>
                <w:noProof/>
                <w:sz w:val="20"/>
                <w:szCs w:val="20"/>
              </w:rPr>
              <w:t>2</w:t>
            </w:r>
            <w:r w:rsidR="006C4B95" w:rsidRPr="006C4B95">
              <w:rPr>
                <w:sz w:val="20"/>
                <w:szCs w:val="20"/>
              </w:rPr>
              <w:fldChar w:fldCharType="end"/>
            </w:r>
            <w:r w:rsidRPr="006C4B95">
              <w:rPr>
                <w:sz w:val="20"/>
                <w:szCs w:val="20"/>
              </w:rPr>
              <w:t>)</w:t>
            </w:r>
            <w:bookmarkEnd w:id="22"/>
          </w:p>
        </w:tc>
      </w:tr>
    </w:tbl>
    <w:p w14:paraId="43E9CB8E" w14:textId="77777777" w:rsidR="00A9340E" w:rsidRDefault="00A9340E" w:rsidP="007F0BEF">
      <w:pPr>
        <w:jc w:val="left"/>
        <w:rPr>
          <w:sz w:val="20"/>
          <w:szCs w:val="20"/>
        </w:rPr>
      </w:pPr>
    </w:p>
    <w:p w14:paraId="1403541E" w14:textId="78A28991" w:rsidR="00FA5453" w:rsidRPr="00196BFD" w:rsidRDefault="00FA5453" w:rsidP="00BC693B">
      <w:pPr>
        <w:jc w:val="left"/>
        <w:rPr>
          <w:rFonts w:eastAsiaTheme="minorEastAsia"/>
          <w:sz w:val="20"/>
          <w:szCs w:val="20"/>
        </w:rPr>
      </w:pPr>
      <w:r>
        <w:rPr>
          <w:sz w:val="20"/>
          <w:szCs w:val="20"/>
        </w:rPr>
        <w:t>Where:</w:t>
      </w:r>
      <w:r>
        <w:rPr>
          <w:sz w:val="20"/>
          <w:szCs w:val="20"/>
        </w:rPr>
        <w:tab/>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Stab</m:t>
            </m:r>
          </m:sub>
        </m:sSub>
        <m:r>
          <w:rPr>
            <w:rFonts w:ascii="Cambria Math" w:hAnsi="Cambria Math"/>
            <w:sz w:val="20"/>
            <w:szCs w:val="20"/>
          </w:rPr>
          <m:t>=total mass of chemical stabilzer in sample (Note: moisture≈0%)</m:t>
        </m:r>
        <m:r>
          <w:rPr>
            <w:rFonts w:ascii="Cambria Math" w:eastAsiaTheme="minorEastAsia" w:hAnsi="Cambria Math"/>
            <w:sz w:val="20"/>
            <w:szCs w:val="20"/>
          </w:rPr>
          <m:t xml:space="preserve"> (kg)</m:t>
        </m:r>
      </m:oMath>
    </w:p>
    <w:p w14:paraId="557B71A4" w14:textId="761E2CAD" w:rsidR="00FA5453" w:rsidRPr="00196BFD" w:rsidRDefault="00FA5453" w:rsidP="00BC693B">
      <w:pPr>
        <w:jc w:val="left"/>
        <w:rPr>
          <w:rFonts w:eastAsiaTheme="minorEastAsia"/>
          <w:sz w:val="20"/>
          <w:szCs w:val="20"/>
        </w:rPr>
      </w:pPr>
      <w:r>
        <w:rPr>
          <w:rFonts w:eastAsiaTheme="minorEastAsia"/>
          <w:sz w:val="20"/>
          <w:szCs w:val="20"/>
        </w:rPr>
        <w:tab/>
      </w:r>
      <m:oMath>
        <m:sSub>
          <m:sSubPr>
            <m:ctrlPr>
              <w:rPr>
                <w:rFonts w:ascii="Cambria Math" w:eastAsiaTheme="minorEastAsia" w:hAnsi="Cambria Math"/>
                <w:i/>
                <w:sz w:val="20"/>
                <w:szCs w:val="20"/>
              </w:rPr>
            </m:ctrlPr>
          </m:sSubPr>
          <m:e>
            <m:r>
              <w:rPr>
                <w:rFonts w:ascii="Cambria Math" w:eastAsiaTheme="minorEastAsia" w:hAnsi="Cambria Math"/>
                <w:sz w:val="20"/>
                <w:szCs w:val="20"/>
              </w:rPr>
              <m:t>M</m:t>
            </m:r>
          </m:e>
          <m:sub>
            <m:r>
              <w:rPr>
                <w:rFonts w:ascii="Cambria Math" w:eastAsiaTheme="minorEastAsia" w:hAnsi="Cambria Math"/>
                <w:sz w:val="20"/>
                <w:szCs w:val="20"/>
              </w:rPr>
              <m:t>Total</m:t>
            </m:r>
          </m:sub>
        </m:sSub>
        <m:r>
          <w:rPr>
            <w:rFonts w:ascii="Cambria Math" w:eastAsiaTheme="minorEastAsia" w:hAnsi="Cambria Math"/>
            <w:sz w:val="20"/>
            <w:szCs w:val="20"/>
          </w:rPr>
          <m:t>=total dry mass of sample (kg)</m:t>
        </m:r>
      </m:oMath>
    </w:p>
    <w:p w14:paraId="7BC3837B" w14:textId="13E50320" w:rsidR="00FA5453" w:rsidRPr="00AD1711" w:rsidRDefault="00FA5453" w:rsidP="00BC693B">
      <w:pPr>
        <w:jc w:val="left"/>
        <w:rPr>
          <w:rFonts w:eastAsiaTheme="minorEastAsia"/>
          <w:sz w:val="20"/>
          <w:szCs w:val="20"/>
        </w:rPr>
      </w:pPr>
      <w:r>
        <w:rPr>
          <w:rFonts w:eastAsiaTheme="minorEastAsia"/>
          <w:sz w:val="20"/>
          <w:szCs w:val="20"/>
        </w:rPr>
        <w:tab/>
      </w:r>
      <m:oMath>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c</m:t>
            </m:r>
          </m:sub>
        </m:sSub>
        <m:r>
          <w:rPr>
            <w:rFonts w:ascii="Cambria Math" w:eastAsiaTheme="minorEastAsia" w:hAnsi="Cambria Math"/>
            <w:sz w:val="20"/>
            <w:szCs w:val="20"/>
          </w:rPr>
          <m:t xml:space="preserve">=percentage of sample that is chemical stabilzer (i.e. </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c</m:t>
            </m:r>
          </m:sub>
        </m:sSub>
        <m:r>
          <w:rPr>
            <w:rFonts w:ascii="Cambria Math" w:eastAsiaTheme="minorEastAsia" w:hAnsi="Cambria Math"/>
            <w:sz w:val="20"/>
            <w:szCs w:val="20"/>
          </w:rPr>
          <m:t>=</m:t>
        </m:r>
        <m:f>
          <m:fPr>
            <m:ctrlPr>
              <w:rPr>
                <w:rFonts w:ascii="Cambria Math" w:eastAsiaTheme="minorEastAsia" w:hAnsi="Cambria Math"/>
                <w:i/>
                <w:sz w:val="20"/>
                <w:szCs w:val="20"/>
              </w:rPr>
            </m:ctrlPr>
          </m:fPr>
          <m:num>
            <m:sSub>
              <m:sSubPr>
                <m:ctrlPr>
                  <w:rPr>
                    <w:rFonts w:ascii="Cambria Math" w:eastAsiaTheme="minorEastAsia" w:hAnsi="Cambria Math"/>
                    <w:i/>
                    <w:sz w:val="20"/>
                    <w:szCs w:val="20"/>
                  </w:rPr>
                </m:ctrlPr>
              </m:sSubPr>
              <m:e>
                <m:r>
                  <w:rPr>
                    <w:rFonts w:ascii="Cambria Math" w:eastAsiaTheme="minorEastAsia" w:hAnsi="Cambria Math"/>
                    <w:sz w:val="20"/>
                    <w:szCs w:val="20"/>
                  </w:rPr>
                  <m:t>W</m:t>
                </m:r>
              </m:e>
              <m:sub>
                <m:r>
                  <w:rPr>
                    <w:rFonts w:ascii="Cambria Math" w:eastAsiaTheme="minorEastAsia" w:hAnsi="Cambria Math"/>
                    <w:sz w:val="20"/>
                    <w:szCs w:val="20"/>
                  </w:rPr>
                  <m:t>Stab</m:t>
                </m:r>
              </m:sub>
            </m:sSub>
          </m:num>
          <m:den>
            <m:sSub>
              <m:sSubPr>
                <m:ctrlPr>
                  <w:rPr>
                    <w:rFonts w:ascii="Cambria Math" w:eastAsiaTheme="minorEastAsia" w:hAnsi="Cambria Math"/>
                    <w:i/>
                    <w:sz w:val="20"/>
                    <w:szCs w:val="20"/>
                  </w:rPr>
                </m:ctrlPr>
              </m:sSubPr>
              <m:e>
                <m:r>
                  <w:rPr>
                    <w:rFonts w:ascii="Cambria Math" w:eastAsiaTheme="minorEastAsia" w:hAnsi="Cambria Math"/>
                    <w:sz w:val="20"/>
                    <w:szCs w:val="20"/>
                  </w:rPr>
                  <m:t>W</m:t>
                </m:r>
              </m:e>
              <m:sub>
                <m:r>
                  <w:rPr>
                    <w:rFonts w:ascii="Cambria Math" w:eastAsiaTheme="minorEastAsia" w:hAnsi="Cambria Math"/>
                    <w:sz w:val="20"/>
                    <w:szCs w:val="20"/>
                  </w:rPr>
                  <m:t>Total</m:t>
                </m:r>
              </m:sub>
            </m:sSub>
          </m:den>
        </m:f>
        <m:r>
          <w:rPr>
            <w:rFonts w:ascii="Cambria Math" w:eastAsiaTheme="minorEastAsia" w:hAnsi="Cambria Math"/>
            <w:sz w:val="20"/>
            <w:szCs w:val="20"/>
          </w:rPr>
          <m:t>×100%) (%)</m:t>
        </m:r>
      </m:oMath>
    </w:p>
    <w:p w14:paraId="2F328C17" w14:textId="77777777" w:rsidR="00E25DE2" w:rsidRDefault="00E25DE2" w:rsidP="00FA5453">
      <w:pPr>
        <w:jc w:val="left"/>
        <w:rPr>
          <w:rFonts w:eastAsiaTheme="minorEastAsia"/>
          <w:sz w:val="20"/>
          <w:szCs w:val="20"/>
        </w:rPr>
      </w:pP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450"/>
      </w:tblGrid>
      <w:tr w:rsidR="00E25DE2" w:rsidRPr="006C4B95" w14:paraId="6B5B6188" w14:textId="77777777" w:rsidTr="00BC693B">
        <w:tc>
          <w:tcPr>
            <w:tcW w:w="8010" w:type="dxa"/>
          </w:tcPr>
          <w:p w14:paraId="2F28B9C7" w14:textId="77777777" w:rsidR="00E25DE2" w:rsidRPr="006C4B95" w:rsidRDefault="00184FC2" w:rsidP="00C07CC2">
            <w:pPr>
              <w:jc w:val="center"/>
              <w:rPr>
                <w:rFonts w:eastAsia="Calibri" w:cs="Arial"/>
                <w:sz w:val="20"/>
                <w:szCs w:val="20"/>
              </w:rPr>
            </w:pPr>
            <m:oMathPara>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Soil</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Total</m:t>
                        </m:r>
                      </m:sub>
                    </m:sSub>
                    <m:d>
                      <m:dPr>
                        <m:ctrlPr>
                          <w:rPr>
                            <w:rFonts w:ascii="Cambria Math" w:hAnsi="Cambria Math"/>
                            <w:i/>
                            <w:sz w:val="20"/>
                            <w:szCs w:val="20"/>
                          </w:rPr>
                        </m:ctrlPr>
                      </m:dPr>
                      <m:e>
                        <m:r>
                          <w:rPr>
                            <w:rFonts w:ascii="Cambria Math" w:hAnsi="Cambria Math"/>
                            <w:sz w:val="20"/>
                            <w:szCs w:val="20"/>
                          </w:rPr>
                          <m:t>1-</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c</m:t>
                                </m:r>
                              </m:sub>
                            </m:sSub>
                          </m:num>
                          <m:den>
                            <m:r>
                              <w:rPr>
                                <w:rFonts w:ascii="Cambria Math" w:hAnsi="Cambria Math"/>
                                <w:sz w:val="20"/>
                                <w:szCs w:val="20"/>
                              </w:rPr>
                              <m:t>100%</m:t>
                            </m:r>
                          </m:den>
                        </m:f>
                      </m:e>
                    </m:d>
                  </m:num>
                  <m:den>
                    <m:d>
                      <m:dPr>
                        <m:ctrlPr>
                          <w:rPr>
                            <w:rFonts w:ascii="Cambria Math" w:hAnsi="Cambria Math"/>
                            <w:i/>
                            <w:sz w:val="20"/>
                            <w:szCs w:val="20"/>
                          </w:rPr>
                        </m:ctrlPr>
                      </m:dPr>
                      <m:e>
                        <m:r>
                          <w:rPr>
                            <w:rFonts w:ascii="Cambria Math" w:hAnsi="Cambria Math"/>
                            <w:sz w:val="20"/>
                            <w:szCs w:val="20"/>
                          </w:rPr>
                          <m:t>1-</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c</m:t>
                                </m:r>
                              </m:sub>
                            </m:sSub>
                          </m:num>
                          <m:den>
                            <m:r>
                              <w:rPr>
                                <w:rFonts w:ascii="Cambria Math" w:hAnsi="Cambria Math"/>
                                <w:sz w:val="20"/>
                                <w:szCs w:val="20"/>
                              </w:rPr>
                              <m:t>100%</m:t>
                            </m:r>
                          </m:den>
                        </m:f>
                      </m:e>
                    </m:d>
                  </m:den>
                </m:f>
              </m:oMath>
            </m:oMathPara>
          </w:p>
        </w:tc>
        <w:tc>
          <w:tcPr>
            <w:tcW w:w="450" w:type="dxa"/>
            <w:vAlign w:val="center"/>
          </w:tcPr>
          <w:p w14:paraId="486BD1C6" w14:textId="77777777" w:rsidR="00E25DE2" w:rsidRPr="006C4B95" w:rsidRDefault="00E25DE2" w:rsidP="00BC693B">
            <w:pPr>
              <w:pStyle w:val="Caption"/>
              <w:keepNext/>
              <w:jc w:val="center"/>
              <w:rPr>
                <w:sz w:val="20"/>
                <w:szCs w:val="20"/>
              </w:rPr>
            </w:pPr>
            <w:bookmarkStart w:id="23" w:name="_Ref437868190"/>
            <w:r w:rsidRPr="006C4B95">
              <w:rPr>
                <w:sz w:val="20"/>
                <w:szCs w:val="20"/>
              </w:rPr>
              <w:t>(</w:t>
            </w:r>
            <w:r w:rsidRPr="006C4B95">
              <w:rPr>
                <w:sz w:val="20"/>
                <w:szCs w:val="20"/>
              </w:rPr>
              <w:fldChar w:fldCharType="begin"/>
            </w:r>
            <w:r w:rsidRPr="006C4B95">
              <w:rPr>
                <w:sz w:val="20"/>
                <w:szCs w:val="20"/>
              </w:rPr>
              <w:instrText xml:space="preserve"> SEQ Equation \* ARABIC </w:instrText>
            </w:r>
            <w:r w:rsidRPr="006C4B95">
              <w:rPr>
                <w:sz w:val="20"/>
                <w:szCs w:val="20"/>
              </w:rPr>
              <w:fldChar w:fldCharType="separate"/>
            </w:r>
            <w:r w:rsidR="00E90148">
              <w:rPr>
                <w:noProof/>
                <w:sz w:val="20"/>
                <w:szCs w:val="20"/>
              </w:rPr>
              <w:t>3</w:t>
            </w:r>
            <w:r w:rsidRPr="006C4B95">
              <w:rPr>
                <w:sz w:val="20"/>
                <w:szCs w:val="20"/>
              </w:rPr>
              <w:fldChar w:fldCharType="end"/>
            </w:r>
            <w:r w:rsidRPr="006C4B95">
              <w:rPr>
                <w:sz w:val="20"/>
                <w:szCs w:val="20"/>
              </w:rPr>
              <w:t>)</w:t>
            </w:r>
            <w:bookmarkEnd w:id="23"/>
          </w:p>
        </w:tc>
      </w:tr>
    </w:tbl>
    <w:p w14:paraId="41352712" w14:textId="77777777" w:rsidR="00E25DE2" w:rsidRDefault="00E25DE2" w:rsidP="00FA5453">
      <w:pPr>
        <w:jc w:val="left"/>
        <w:rPr>
          <w:rFonts w:eastAsiaTheme="minorEastAsia"/>
          <w:sz w:val="20"/>
          <w:szCs w:val="20"/>
        </w:rPr>
      </w:pPr>
    </w:p>
    <w:p w14:paraId="796AB4F7" w14:textId="41664608" w:rsidR="00E25DE2" w:rsidRPr="00196BFD" w:rsidRDefault="00E25DE2" w:rsidP="00E25DE2">
      <w:pPr>
        <w:jc w:val="left"/>
        <w:rPr>
          <w:rFonts w:eastAsiaTheme="minorEastAsia"/>
          <w:sz w:val="20"/>
          <w:szCs w:val="20"/>
        </w:rPr>
      </w:pPr>
      <w:r>
        <w:rPr>
          <w:sz w:val="20"/>
          <w:szCs w:val="20"/>
        </w:rPr>
        <w:t>Where:</w:t>
      </w:r>
      <w:r>
        <w:rPr>
          <w:sz w:val="20"/>
          <w:szCs w:val="20"/>
        </w:rPr>
        <w:tab/>
      </w:r>
      <m:oMath>
        <m:sSub>
          <m:sSubPr>
            <m:ctrlPr>
              <w:rPr>
                <w:rFonts w:ascii="Cambria Math" w:eastAsiaTheme="minorEastAsia" w:hAnsi="Cambria Math"/>
                <w:i/>
                <w:sz w:val="20"/>
                <w:szCs w:val="20"/>
              </w:rPr>
            </m:ctrlPr>
          </m:sSubPr>
          <m:e>
            <m:r>
              <w:rPr>
                <w:rFonts w:ascii="Cambria Math" w:eastAsiaTheme="minorEastAsia" w:hAnsi="Cambria Math"/>
                <w:sz w:val="20"/>
                <w:szCs w:val="20"/>
              </w:rPr>
              <m:t>M</m:t>
            </m:r>
          </m:e>
          <m:sub>
            <m:r>
              <w:rPr>
                <w:rFonts w:ascii="Cambria Math" w:eastAsiaTheme="minorEastAsia" w:hAnsi="Cambria Math"/>
                <w:sz w:val="20"/>
                <w:szCs w:val="20"/>
              </w:rPr>
              <m:t>Soil</m:t>
            </m:r>
          </m:sub>
        </m:sSub>
        <m:r>
          <w:rPr>
            <w:rFonts w:ascii="Cambria Math" w:eastAsiaTheme="minorEastAsia" w:hAnsi="Cambria Math"/>
            <w:sz w:val="20"/>
            <w:szCs w:val="20"/>
          </w:rPr>
          <m:t>=total mass of soil in sample (Note:including moisture) (kg)</m:t>
        </m:r>
      </m:oMath>
    </w:p>
    <w:p w14:paraId="0DAD6144" w14:textId="3BF5D357" w:rsidR="00E25DE2" w:rsidRDefault="00E25DE2" w:rsidP="00E25DE2">
      <w:pPr>
        <w:jc w:val="left"/>
        <w:rPr>
          <w:rFonts w:eastAsiaTheme="minorEastAsia"/>
          <w:sz w:val="20"/>
          <w:szCs w:val="20"/>
        </w:rPr>
      </w:pPr>
      <w:r>
        <w:rPr>
          <w:rFonts w:eastAsiaTheme="minorEastAsia"/>
          <w:sz w:val="20"/>
          <w:szCs w:val="20"/>
        </w:rPr>
        <w:tab/>
      </w:r>
      <m:oMath>
        <m:sSub>
          <m:sSubPr>
            <m:ctrlPr>
              <w:rPr>
                <w:rFonts w:ascii="Cambria Math" w:eastAsiaTheme="minorEastAsia" w:hAnsi="Cambria Math"/>
                <w:i/>
                <w:sz w:val="20"/>
                <w:szCs w:val="20"/>
              </w:rPr>
            </m:ctrlPr>
          </m:sSubPr>
          <m:e>
            <m:r>
              <w:rPr>
                <w:rFonts w:ascii="Cambria Math" w:eastAsiaTheme="minorEastAsia" w:hAnsi="Cambria Math"/>
                <w:sz w:val="20"/>
                <w:szCs w:val="20"/>
              </w:rPr>
              <m:t>M</m:t>
            </m:r>
          </m:e>
          <m:sub>
            <m:r>
              <w:rPr>
                <w:rFonts w:ascii="Cambria Math" w:eastAsiaTheme="minorEastAsia" w:hAnsi="Cambria Math"/>
                <w:sz w:val="20"/>
                <w:szCs w:val="20"/>
              </w:rPr>
              <m:t>Total</m:t>
            </m:r>
          </m:sub>
        </m:sSub>
        <m:r>
          <w:rPr>
            <w:rFonts w:ascii="Cambria Math" w:eastAsiaTheme="minorEastAsia" w:hAnsi="Cambria Math"/>
            <w:sz w:val="20"/>
            <w:szCs w:val="20"/>
          </w:rPr>
          <m:t>=total dry mass of sample (kg)</m:t>
        </m:r>
      </m:oMath>
    </w:p>
    <w:p w14:paraId="2BF1C311" w14:textId="6FA32F4E" w:rsidR="00BC693B" w:rsidRPr="00AD1711" w:rsidRDefault="00BC693B" w:rsidP="00BC693B">
      <w:pPr>
        <w:jc w:val="left"/>
        <w:rPr>
          <w:rFonts w:eastAsiaTheme="minorEastAsia"/>
          <w:sz w:val="20"/>
          <w:szCs w:val="20"/>
        </w:rPr>
      </w:pPr>
      <w:r>
        <w:rPr>
          <w:rFonts w:eastAsiaTheme="minorEastAsia"/>
          <w:sz w:val="20"/>
          <w:szCs w:val="20"/>
        </w:rPr>
        <w:tab/>
      </w:r>
      <m:oMath>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c</m:t>
            </m:r>
          </m:sub>
        </m:sSub>
        <m:r>
          <w:rPr>
            <w:rFonts w:ascii="Cambria Math" w:eastAsiaTheme="minorEastAsia" w:hAnsi="Cambria Math"/>
            <w:sz w:val="20"/>
            <w:szCs w:val="20"/>
          </w:rPr>
          <m:t xml:space="preserve">=percentage of sample that is chemical stabilzer (i.e. </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c</m:t>
            </m:r>
          </m:sub>
        </m:sSub>
        <m:r>
          <w:rPr>
            <w:rFonts w:ascii="Cambria Math" w:eastAsiaTheme="minorEastAsia" w:hAnsi="Cambria Math"/>
            <w:sz w:val="20"/>
            <w:szCs w:val="20"/>
          </w:rPr>
          <m:t>=</m:t>
        </m:r>
        <m:f>
          <m:fPr>
            <m:ctrlPr>
              <w:rPr>
                <w:rFonts w:ascii="Cambria Math" w:eastAsiaTheme="minorEastAsia" w:hAnsi="Cambria Math"/>
                <w:i/>
                <w:sz w:val="20"/>
                <w:szCs w:val="20"/>
              </w:rPr>
            </m:ctrlPr>
          </m:fPr>
          <m:num>
            <m:sSub>
              <m:sSubPr>
                <m:ctrlPr>
                  <w:rPr>
                    <w:rFonts w:ascii="Cambria Math" w:eastAsiaTheme="minorEastAsia" w:hAnsi="Cambria Math"/>
                    <w:i/>
                    <w:sz w:val="20"/>
                    <w:szCs w:val="20"/>
                  </w:rPr>
                </m:ctrlPr>
              </m:sSubPr>
              <m:e>
                <m:r>
                  <w:rPr>
                    <w:rFonts w:ascii="Cambria Math" w:eastAsiaTheme="minorEastAsia" w:hAnsi="Cambria Math"/>
                    <w:sz w:val="20"/>
                    <w:szCs w:val="20"/>
                  </w:rPr>
                  <m:t>W</m:t>
                </m:r>
              </m:e>
              <m:sub>
                <m:r>
                  <w:rPr>
                    <w:rFonts w:ascii="Cambria Math" w:eastAsiaTheme="minorEastAsia" w:hAnsi="Cambria Math"/>
                    <w:sz w:val="20"/>
                    <w:szCs w:val="20"/>
                  </w:rPr>
                  <m:t>Stab</m:t>
                </m:r>
              </m:sub>
            </m:sSub>
          </m:num>
          <m:den>
            <m:sSub>
              <m:sSubPr>
                <m:ctrlPr>
                  <w:rPr>
                    <w:rFonts w:ascii="Cambria Math" w:eastAsiaTheme="minorEastAsia" w:hAnsi="Cambria Math"/>
                    <w:i/>
                    <w:sz w:val="20"/>
                    <w:szCs w:val="20"/>
                  </w:rPr>
                </m:ctrlPr>
              </m:sSubPr>
              <m:e>
                <m:r>
                  <w:rPr>
                    <w:rFonts w:ascii="Cambria Math" w:eastAsiaTheme="minorEastAsia" w:hAnsi="Cambria Math"/>
                    <w:sz w:val="20"/>
                    <w:szCs w:val="20"/>
                  </w:rPr>
                  <m:t>W</m:t>
                </m:r>
              </m:e>
              <m:sub>
                <m:r>
                  <w:rPr>
                    <w:rFonts w:ascii="Cambria Math" w:eastAsiaTheme="minorEastAsia" w:hAnsi="Cambria Math"/>
                    <w:sz w:val="20"/>
                    <w:szCs w:val="20"/>
                  </w:rPr>
                  <m:t>Total</m:t>
                </m:r>
              </m:sub>
            </m:sSub>
          </m:den>
        </m:f>
        <m:r>
          <w:rPr>
            <w:rFonts w:ascii="Cambria Math" w:eastAsiaTheme="minorEastAsia" w:hAnsi="Cambria Math"/>
            <w:sz w:val="20"/>
            <w:szCs w:val="20"/>
          </w:rPr>
          <m:t>×100%) (%)</m:t>
        </m:r>
      </m:oMath>
    </w:p>
    <w:p w14:paraId="28C4ED01" w14:textId="50D78F55" w:rsidR="00E25DE2" w:rsidRDefault="00E25DE2" w:rsidP="00E25DE2">
      <w:pPr>
        <w:jc w:val="left"/>
        <w:rPr>
          <w:rFonts w:eastAsiaTheme="minorEastAsia"/>
          <w:sz w:val="20"/>
          <w:szCs w:val="20"/>
        </w:rPr>
      </w:pPr>
      <w:r>
        <w:rPr>
          <w:rFonts w:eastAsiaTheme="minorEastAsia"/>
          <w:sz w:val="20"/>
          <w:szCs w:val="20"/>
        </w:rPr>
        <w:tab/>
      </w:r>
      <m:oMath>
        <m:sSub>
          <m:sSubPr>
            <m:ctrlPr>
              <w:rPr>
                <w:rFonts w:ascii="Cambria Math" w:eastAsiaTheme="minorEastAsia" w:hAnsi="Cambria Math"/>
                <w:i/>
                <w:sz w:val="20"/>
                <w:szCs w:val="20"/>
              </w:rPr>
            </m:ctrlPr>
          </m:sSubPr>
          <m:e>
            <m:r>
              <w:rPr>
                <w:rFonts w:ascii="Cambria Math" w:eastAsiaTheme="minorEastAsia" w:hAnsi="Cambria Math"/>
                <w:sz w:val="20"/>
                <w:szCs w:val="20"/>
              </w:rPr>
              <m:t>w</m:t>
            </m:r>
          </m:e>
          <m:sub>
            <m:r>
              <w:rPr>
                <w:rFonts w:ascii="Cambria Math" w:eastAsiaTheme="minorEastAsia" w:hAnsi="Cambria Math"/>
                <w:sz w:val="20"/>
                <w:szCs w:val="20"/>
              </w:rPr>
              <m:t>c</m:t>
            </m:r>
          </m:sub>
        </m:sSub>
        <m:r>
          <w:rPr>
            <w:rFonts w:ascii="Cambria Math" w:eastAsiaTheme="minorEastAsia" w:hAnsi="Cambria Math"/>
            <w:sz w:val="20"/>
            <w:szCs w:val="20"/>
          </w:rPr>
          <m:t>=water content of soil (%)</m:t>
        </m:r>
      </m:oMath>
    </w:p>
    <w:p w14:paraId="54DBEA69" w14:textId="77777777" w:rsidR="00A9340E" w:rsidRDefault="00A9340E" w:rsidP="00E25DE2">
      <w:pPr>
        <w:jc w:val="left"/>
        <w:rPr>
          <w:rFonts w:eastAsiaTheme="minorEastAsia"/>
          <w:sz w:val="20"/>
          <w:szCs w:val="20"/>
        </w:rPr>
      </w:pPr>
    </w:p>
    <w:p w14:paraId="16C26182" w14:textId="6FE5BD91" w:rsidR="00B515BB" w:rsidRDefault="00B515BB" w:rsidP="00B515BB">
      <w:pPr>
        <w:pStyle w:val="Caption"/>
      </w:pPr>
      <w:bookmarkStart w:id="24" w:name="_Ref437867921"/>
      <w:bookmarkStart w:id="25" w:name="_Toc447755325"/>
      <w:r>
        <w:t xml:space="preserve">Table </w:t>
      </w:r>
      <w:r w:rsidR="00184FC2">
        <w:fldChar w:fldCharType="begin"/>
      </w:r>
      <w:r w:rsidR="00184FC2">
        <w:instrText xml:space="preserve"> SEQ Table \* ARABIC </w:instrText>
      </w:r>
      <w:r w:rsidR="00184FC2">
        <w:fldChar w:fldCharType="separate"/>
      </w:r>
      <w:r w:rsidR="00E90148">
        <w:rPr>
          <w:noProof/>
        </w:rPr>
        <w:t>5</w:t>
      </w:r>
      <w:r w:rsidR="00184FC2">
        <w:rPr>
          <w:noProof/>
        </w:rPr>
        <w:fldChar w:fldCharType="end"/>
      </w:r>
      <w:bookmarkEnd w:id="24"/>
      <w:r>
        <w:t>: Proportions of Soil and Stabilizer to Achieve a Range of Stabilizer Contents</w:t>
      </w:r>
      <w:bookmarkEnd w:id="25"/>
    </w:p>
    <w:tbl>
      <w:tblPr>
        <w:tblW w:w="7531"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5"/>
        <w:gridCol w:w="1357"/>
        <w:gridCol w:w="1152"/>
        <w:gridCol w:w="1065"/>
        <w:gridCol w:w="1152"/>
        <w:gridCol w:w="1178"/>
        <w:gridCol w:w="1152"/>
      </w:tblGrid>
      <w:tr w:rsidR="0003077D" w:rsidRPr="002A4C64" w14:paraId="54E3754C" w14:textId="77777777" w:rsidTr="0003077D">
        <w:trPr>
          <w:trHeight w:val="20"/>
          <w:jc w:val="center"/>
        </w:trPr>
        <w:tc>
          <w:tcPr>
            <w:tcW w:w="475" w:type="dxa"/>
            <w:vMerge w:val="restart"/>
            <w:tcBorders>
              <w:top w:val="nil"/>
              <w:left w:val="nil"/>
              <w:bottom w:val="single" w:sz="4" w:space="0" w:color="auto"/>
              <w:right w:val="single" w:sz="4" w:space="0" w:color="auto"/>
            </w:tcBorders>
            <w:shd w:val="clear" w:color="auto" w:fill="auto"/>
            <w:vAlign w:val="center"/>
          </w:tcPr>
          <w:p w14:paraId="4B50EB73" w14:textId="74B4D356" w:rsidR="0003077D" w:rsidRPr="002A4C64" w:rsidRDefault="0003077D" w:rsidP="002A4C64">
            <w:pPr>
              <w:spacing w:line="240" w:lineRule="auto"/>
              <w:rPr>
                <w:rFonts w:asciiTheme="majorBidi" w:eastAsia="Calibri" w:hAnsiTheme="majorBidi" w:cstheme="majorBidi"/>
                <w:i/>
                <w:color w:val="000000"/>
                <w:sz w:val="22"/>
                <w:szCs w:val="22"/>
              </w:rPr>
            </w:pPr>
          </w:p>
        </w:tc>
        <w:tc>
          <w:tcPr>
            <w:tcW w:w="1357" w:type="dxa"/>
            <w:vMerge w:val="restart"/>
            <w:tcBorders>
              <w:top w:val="single" w:sz="4" w:space="0" w:color="auto"/>
              <w:bottom w:val="single" w:sz="4" w:space="0" w:color="auto"/>
              <w:right w:val="nil"/>
            </w:tcBorders>
            <w:shd w:val="clear" w:color="000000" w:fill="BFBFBF"/>
            <w:vAlign w:val="center"/>
          </w:tcPr>
          <w:p w14:paraId="79D29787" w14:textId="581C7FA7" w:rsidR="0003077D" w:rsidRDefault="0003077D" w:rsidP="0003077D">
            <w:pPr>
              <w:spacing w:line="240" w:lineRule="auto"/>
              <w:rPr>
                <w:rFonts w:eastAsia="Calibri" w:cs="Arial"/>
                <w:color w:val="000000"/>
                <w:sz w:val="22"/>
                <w:szCs w:val="22"/>
              </w:rPr>
            </w:pPr>
            <w:r w:rsidRPr="002A4C64">
              <w:rPr>
                <w:rFonts w:asciiTheme="majorBidi" w:eastAsia="Calibri" w:hAnsiTheme="majorBidi" w:cstheme="majorBidi"/>
                <w:i/>
                <w:color w:val="000000"/>
                <w:sz w:val="22"/>
                <w:szCs w:val="22"/>
              </w:rPr>
              <w:t>Sample Name</w:t>
            </w:r>
          </w:p>
        </w:tc>
        <w:tc>
          <w:tcPr>
            <w:tcW w:w="1152" w:type="dxa"/>
            <w:tcBorders>
              <w:top w:val="single" w:sz="4" w:space="0" w:color="auto"/>
              <w:left w:val="nil"/>
              <w:bottom w:val="nil"/>
            </w:tcBorders>
            <w:shd w:val="clear" w:color="000000" w:fill="BFBFBF"/>
            <w:vAlign w:val="center"/>
          </w:tcPr>
          <w:p w14:paraId="7A656A59" w14:textId="595A5743" w:rsidR="0003077D" w:rsidRPr="002A4C64" w:rsidRDefault="0003077D" w:rsidP="002A4C64">
            <w:pPr>
              <w:spacing w:line="240" w:lineRule="auto"/>
              <w:rPr>
                <w:rFonts w:asciiTheme="majorBidi" w:eastAsia="Times New Roman" w:hAnsiTheme="majorBidi" w:cstheme="majorBidi"/>
                <w:iCs/>
                <w:color w:val="000000"/>
                <w:sz w:val="22"/>
                <w:szCs w:val="22"/>
              </w:rPr>
            </w:pPr>
            <m:oMathPara>
              <m:oMath>
                <m:r>
                  <w:rPr>
                    <w:rFonts w:ascii="Cambria Math" w:eastAsia="Times New Roman" w:hAnsi="Cambria Math" w:cstheme="majorBidi"/>
                    <w:color w:val="000000"/>
                    <w:sz w:val="22"/>
                    <w:szCs w:val="22"/>
                  </w:rPr>
                  <m:t>SC</m:t>
                </m:r>
              </m:oMath>
            </m:oMathPara>
          </w:p>
        </w:tc>
        <w:tc>
          <w:tcPr>
            <w:tcW w:w="1065" w:type="dxa"/>
            <w:tcBorders>
              <w:top w:val="single" w:sz="4" w:space="0" w:color="auto"/>
              <w:bottom w:val="nil"/>
            </w:tcBorders>
            <w:shd w:val="clear" w:color="000000" w:fill="BFBFBF"/>
            <w:vAlign w:val="center"/>
          </w:tcPr>
          <w:p w14:paraId="1FADD4CA" w14:textId="77777777" w:rsidR="0003077D" w:rsidRPr="002A4C64" w:rsidRDefault="00184FC2" w:rsidP="002A4C64">
            <w:pPr>
              <w:spacing w:line="240" w:lineRule="auto"/>
              <w:rPr>
                <w:rFonts w:asciiTheme="majorBidi" w:eastAsia="Calibri" w:hAnsiTheme="majorBidi" w:cstheme="majorBidi"/>
                <w:sz w:val="22"/>
                <w:szCs w:val="22"/>
              </w:rPr>
            </w:pPr>
            <m:oMathPara>
              <m:oMath>
                <m:sSub>
                  <m:sSubPr>
                    <m:ctrlPr>
                      <w:rPr>
                        <w:rFonts w:ascii="Cambria Math" w:eastAsiaTheme="minorEastAsia" w:hAnsi="Cambria Math" w:cstheme="majorBidi"/>
                        <w:i/>
                        <w:sz w:val="22"/>
                        <w:szCs w:val="22"/>
                      </w:rPr>
                    </m:ctrlPr>
                  </m:sSubPr>
                  <m:e>
                    <m:r>
                      <w:rPr>
                        <w:rFonts w:ascii="Cambria Math" w:eastAsiaTheme="minorEastAsia" w:hAnsi="Cambria Math" w:cstheme="majorBidi"/>
                        <w:sz w:val="22"/>
                        <w:szCs w:val="22"/>
                      </w:rPr>
                      <m:t>w</m:t>
                    </m:r>
                  </m:e>
                  <m:sub>
                    <m:r>
                      <w:rPr>
                        <w:rFonts w:ascii="Cambria Math" w:eastAsiaTheme="minorEastAsia" w:hAnsi="Cambria Math" w:cstheme="majorBidi"/>
                        <w:sz w:val="22"/>
                        <w:szCs w:val="22"/>
                      </w:rPr>
                      <m:t>c</m:t>
                    </m:r>
                  </m:sub>
                </m:sSub>
              </m:oMath>
            </m:oMathPara>
          </w:p>
        </w:tc>
        <w:tc>
          <w:tcPr>
            <w:tcW w:w="1152" w:type="dxa"/>
            <w:tcBorders>
              <w:top w:val="single" w:sz="4" w:space="0" w:color="auto"/>
              <w:bottom w:val="nil"/>
            </w:tcBorders>
            <w:shd w:val="clear" w:color="000000" w:fill="BFBFBF"/>
            <w:vAlign w:val="center"/>
          </w:tcPr>
          <w:p w14:paraId="6AC917FB" w14:textId="77777777" w:rsidR="0003077D" w:rsidRPr="002A4C64" w:rsidRDefault="00184FC2" w:rsidP="002A4C64">
            <w:pPr>
              <w:spacing w:line="240" w:lineRule="auto"/>
              <w:rPr>
                <w:rFonts w:asciiTheme="majorBidi" w:eastAsia="Times New Roman" w:hAnsiTheme="majorBidi" w:cstheme="majorBidi"/>
                <w:i/>
                <w:sz w:val="22"/>
                <w:szCs w:val="22"/>
              </w:rPr>
            </w:pPr>
            <m:oMathPara>
              <m:oMath>
                <m:sSub>
                  <m:sSubPr>
                    <m:ctrlPr>
                      <w:rPr>
                        <w:rFonts w:ascii="Cambria Math" w:eastAsiaTheme="minorEastAsia" w:hAnsi="Cambria Math" w:cstheme="majorBidi"/>
                        <w:i/>
                        <w:sz w:val="22"/>
                        <w:szCs w:val="22"/>
                      </w:rPr>
                    </m:ctrlPr>
                  </m:sSubPr>
                  <m:e>
                    <m:r>
                      <w:rPr>
                        <w:rFonts w:ascii="Cambria Math" w:eastAsiaTheme="minorEastAsia" w:hAnsi="Cambria Math" w:cstheme="majorBidi"/>
                        <w:sz w:val="22"/>
                        <w:szCs w:val="22"/>
                      </w:rPr>
                      <m:t>M</m:t>
                    </m:r>
                  </m:e>
                  <m:sub>
                    <m:r>
                      <w:rPr>
                        <w:rFonts w:ascii="Cambria Math" w:eastAsiaTheme="minorEastAsia" w:hAnsi="Cambria Math" w:cstheme="majorBidi"/>
                        <w:sz w:val="22"/>
                        <w:szCs w:val="22"/>
                      </w:rPr>
                      <m:t>Total</m:t>
                    </m:r>
                  </m:sub>
                </m:sSub>
              </m:oMath>
            </m:oMathPara>
          </w:p>
        </w:tc>
        <w:tc>
          <w:tcPr>
            <w:tcW w:w="1178" w:type="dxa"/>
            <w:tcBorders>
              <w:top w:val="single" w:sz="4" w:space="0" w:color="auto"/>
              <w:bottom w:val="nil"/>
            </w:tcBorders>
            <w:shd w:val="clear" w:color="000000" w:fill="BFBFBF"/>
            <w:vAlign w:val="center"/>
          </w:tcPr>
          <w:p w14:paraId="3FA9E6C7" w14:textId="77777777" w:rsidR="0003077D" w:rsidRPr="002A4C64" w:rsidRDefault="00184FC2" w:rsidP="002A4C64">
            <w:pPr>
              <w:spacing w:line="240" w:lineRule="auto"/>
              <w:rPr>
                <w:rFonts w:asciiTheme="majorBidi" w:eastAsia="Times New Roman" w:hAnsiTheme="majorBidi" w:cstheme="majorBidi"/>
                <w:i/>
                <w:iCs/>
                <w:color w:val="000000"/>
                <w:sz w:val="22"/>
                <w:szCs w:val="22"/>
              </w:rPr>
            </w:pPr>
            <m:oMathPara>
              <m:oMath>
                <m:sSub>
                  <m:sSubPr>
                    <m:ctrlPr>
                      <w:rPr>
                        <w:rFonts w:ascii="Cambria Math" w:eastAsiaTheme="minorEastAsia" w:hAnsi="Cambria Math" w:cstheme="majorBidi"/>
                        <w:i/>
                        <w:sz w:val="22"/>
                        <w:szCs w:val="22"/>
                      </w:rPr>
                    </m:ctrlPr>
                  </m:sSubPr>
                  <m:e>
                    <m:r>
                      <w:rPr>
                        <w:rFonts w:ascii="Cambria Math" w:eastAsiaTheme="minorEastAsia" w:hAnsi="Cambria Math" w:cstheme="majorBidi"/>
                        <w:sz w:val="22"/>
                        <w:szCs w:val="22"/>
                      </w:rPr>
                      <m:t>M</m:t>
                    </m:r>
                  </m:e>
                  <m:sub>
                    <m:r>
                      <w:rPr>
                        <w:rFonts w:ascii="Cambria Math" w:eastAsiaTheme="minorEastAsia" w:hAnsi="Cambria Math" w:cstheme="majorBidi"/>
                        <w:sz w:val="22"/>
                        <w:szCs w:val="22"/>
                      </w:rPr>
                      <m:t>Stabilizer</m:t>
                    </m:r>
                  </m:sub>
                </m:sSub>
              </m:oMath>
            </m:oMathPara>
          </w:p>
        </w:tc>
        <w:tc>
          <w:tcPr>
            <w:tcW w:w="1152" w:type="dxa"/>
            <w:tcBorders>
              <w:top w:val="single" w:sz="4" w:space="0" w:color="auto"/>
              <w:bottom w:val="nil"/>
            </w:tcBorders>
            <w:shd w:val="clear" w:color="000000" w:fill="BFBFBF"/>
            <w:vAlign w:val="center"/>
          </w:tcPr>
          <w:p w14:paraId="74073E07" w14:textId="77777777" w:rsidR="0003077D" w:rsidRPr="002A4C64" w:rsidRDefault="00184FC2" w:rsidP="002A4C64">
            <w:pPr>
              <w:spacing w:line="240" w:lineRule="auto"/>
              <w:rPr>
                <w:rFonts w:asciiTheme="majorBidi" w:eastAsia="Times New Roman" w:hAnsiTheme="majorBidi" w:cstheme="majorBidi"/>
                <w:i/>
                <w:iCs/>
                <w:color w:val="000000"/>
                <w:sz w:val="22"/>
                <w:szCs w:val="22"/>
              </w:rPr>
            </w:pPr>
            <m:oMathPara>
              <m:oMath>
                <m:sSub>
                  <m:sSubPr>
                    <m:ctrlPr>
                      <w:rPr>
                        <w:rFonts w:ascii="Cambria Math" w:eastAsiaTheme="minorEastAsia" w:hAnsi="Cambria Math" w:cstheme="majorBidi"/>
                        <w:i/>
                        <w:sz w:val="22"/>
                        <w:szCs w:val="22"/>
                      </w:rPr>
                    </m:ctrlPr>
                  </m:sSubPr>
                  <m:e>
                    <m:r>
                      <w:rPr>
                        <w:rFonts w:ascii="Cambria Math" w:eastAsiaTheme="minorEastAsia" w:hAnsi="Cambria Math" w:cstheme="majorBidi"/>
                        <w:sz w:val="22"/>
                        <w:szCs w:val="22"/>
                      </w:rPr>
                      <m:t>M</m:t>
                    </m:r>
                  </m:e>
                  <m:sub>
                    <m:r>
                      <w:rPr>
                        <w:rFonts w:ascii="Cambria Math" w:eastAsiaTheme="minorEastAsia" w:hAnsi="Cambria Math" w:cstheme="majorBidi"/>
                        <w:sz w:val="22"/>
                        <w:szCs w:val="22"/>
                      </w:rPr>
                      <m:t>Soil</m:t>
                    </m:r>
                  </m:sub>
                </m:sSub>
              </m:oMath>
            </m:oMathPara>
          </w:p>
        </w:tc>
      </w:tr>
      <w:tr w:rsidR="0003077D" w:rsidRPr="002A4C64" w14:paraId="2E12CB92" w14:textId="77777777" w:rsidTr="0003077D">
        <w:trPr>
          <w:trHeight w:val="20"/>
          <w:jc w:val="center"/>
        </w:trPr>
        <w:tc>
          <w:tcPr>
            <w:tcW w:w="475" w:type="dxa"/>
            <w:vMerge/>
            <w:tcBorders>
              <w:top w:val="nil"/>
              <w:left w:val="nil"/>
              <w:bottom w:val="single" w:sz="4" w:space="0" w:color="auto"/>
              <w:right w:val="single" w:sz="4" w:space="0" w:color="auto"/>
            </w:tcBorders>
            <w:shd w:val="clear" w:color="auto" w:fill="auto"/>
            <w:vAlign w:val="center"/>
          </w:tcPr>
          <w:p w14:paraId="3517CE09" w14:textId="77777777" w:rsidR="0003077D" w:rsidRPr="002A4C64" w:rsidRDefault="0003077D" w:rsidP="002A4C64">
            <w:pPr>
              <w:spacing w:line="240" w:lineRule="auto"/>
              <w:rPr>
                <w:rFonts w:asciiTheme="majorBidi" w:eastAsia="Times New Roman" w:hAnsiTheme="majorBidi" w:cstheme="majorBidi"/>
                <w:i/>
                <w:iCs/>
                <w:color w:val="000000"/>
                <w:sz w:val="22"/>
                <w:szCs w:val="22"/>
              </w:rPr>
            </w:pPr>
          </w:p>
        </w:tc>
        <w:tc>
          <w:tcPr>
            <w:tcW w:w="1357" w:type="dxa"/>
            <w:vMerge/>
            <w:tcBorders>
              <w:top w:val="nil"/>
              <w:bottom w:val="single" w:sz="4" w:space="0" w:color="auto"/>
              <w:right w:val="nil"/>
            </w:tcBorders>
            <w:shd w:val="clear" w:color="000000" w:fill="BFBFBF"/>
          </w:tcPr>
          <w:p w14:paraId="2CB5CC88" w14:textId="77777777" w:rsidR="0003077D" w:rsidRPr="002A4C64" w:rsidRDefault="0003077D" w:rsidP="002A4C64">
            <w:pPr>
              <w:spacing w:line="240" w:lineRule="auto"/>
              <w:rPr>
                <w:rFonts w:asciiTheme="majorBidi" w:eastAsia="Times New Roman" w:hAnsiTheme="majorBidi" w:cstheme="majorBidi"/>
                <w:i/>
                <w:iCs/>
                <w:color w:val="000000"/>
                <w:sz w:val="22"/>
                <w:szCs w:val="22"/>
              </w:rPr>
            </w:pPr>
          </w:p>
        </w:tc>
        <w:tc>
          <w:tcPr>
            <w:tcW w:w="1152" w:type="dxa"/>
            <w:tcBorders>
              <w:top w:val="nil"/>
              <w:left w:val="nil"/>
              <w:bottom w:val="single" w:sz="4" w:space="0" w:color="auto"/>
            </w:tcBorders>
            <w:shd w:val="clear" w:color="000000" w:fill="BFBFBF"/>
            <w:vAlign w:val="center"/>
          </w:tcPr>
          <w:p w14:paraId="6D47F88C" w14:textId="1F0C0F5B" w:rsidR="0003077D" w:rsidRPr="002A4C64" w:rsidRDefault="0003077D" w:rsidP="002A4C64">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w:t>
            </w:r>
          </w:p>
        </w:tc>
        <w:tc>
          <w:tcPr>
            <w:tcW w:w="1065" w:type="dxa"/>
            <w:tcBorders>
              <w:top w:val="nil"/>
              <w:bottom w:val="single" w:sz="4" w:space="0" w:color="auto"/>
            </w:tcBorders>
            <w:shd w:val="clear" w:color="000000" w:fill="BFBFBF"/>
            <w:vAlign w:val="center"/>
          </w:tcPr>
          <w:p w14:paraId="7D17056C" w14:textId="77777777" w:rsidR="0003077D" w:rsidRPr="002A4C64" w:rsidRDefault="0003077D" w:rsidP="002A4C64">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w:t>
            </w:r>
          </w:p>
        </w:tc>
        <w:tc>
          <w:tcPr>
            <w:tcW w:w="1152" w:type="dxa"/>
            <w:tcBorders>
              <w:top w:val="nil"/>
              <w:bottom w:val="single" w:sz="4" w:space="0" w:color="auto"/>
            </w:tcBorders>
            <w:shd w:val="clear" w:color="000000" w:fill="BFBFBF"/>
            <w:vAlign w:val="center"/>
          </w:tcPr>
          <w:p w14:paraId="7737F618" w14:textId="77777777" w:rsidR="0003077D" w:rsidRPr="002A4C64" w:rsidRDefault="0003077D" w:rsidP="002A4C64">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(kg)</w:t>
            </w:r>
          </w:p>
        </w:tc>
        <w:tc>
          <w:tcPr>
            <w:tcW w:w="1178" w:type="dxa"/>
            <w:tcBorders>
              <w:top w:val="nil"/>
              <w:bottom w:val="single" w:sz="4" w:space="0" w:color="auto"/>
            </w:tcBorders>
            <w:shd w:val="clear" w:color="000000" w:fill="BFBFBF"/>
            <w:vAlign w:val="center"/>
          </w:tcPr>
          <w:p w14:paraId="38E8EC48" w14:textId="77777777" w:rsidR="0003077D" w:rsidRPr="002A4C64" w:rsidRDefault="0003077D" w:rsidP="002A4C64">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(kg)</w:t>
            </w:r>
          </w:p>
        </w:tc>
        <w:tc>
          <w:tcPr>
            <w:tcW w:w="1152" w:type="dxa"/>
            <w:tcBorders>
              <w:top w:val="nil"/>
              <w:bottom w:val="single" w:sz="4" w:space="0" w:color="auto"/>
            </w:tcBorders>
            <w:shd w:val="clear" w:color="000000" w:fill="BFBFBF"/>
            <w:vAlign w:val="center"/>
          </w:tcPr>
          <w:p w14:paraId="5ABD5FD8" w14:textId="77777777" w:rsidR="0003077D" w:rsidRPr="002A4C64" w:rsidRDefault="0003077D" w:rsidP="002A4C64">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(kg)</w:t>
            </w:r>
          </w:p>
        </w:tc>
      </w:tr>
      <w:tr w:rsidR="0003077D" w:rsidRPr="002A4C64" w14:paraId="58108033" w14:textId="77777777" w:rsidTr="00C4173F">
        <w:trPr>
          <w:trHeight w:val="300"/>
          <w:jc w:val="center"/>
        </w:trPr>
        <w:tc>
          <w:tcPr>
            <w:tcW w:w="475" w:type="dxa"/>
            <w:vMerge w:val="restart"/>
            <w:tcBorders>
              <w:top w:val="single" w:sz="4" w:space="0" w:color="auto"/>
              <w:right w:val="single" w:sz="4" w:space="0" w:color="auto"/>
            </w:tcBorders>
            <w:shd w:val="clear" w:color="auto" w:fill="BFBFBF" w:themeFill="background1" w:themeFillShade="BF"/>
            <w:textDirection w:val="btLr"/>
            <w:vAlign w:val="center"/>
          </w:tcPr>
          <w:p w14:paraId="22185B4F" w14:textId="3AF045C9" w:rsidR="0003077D" w:rsidRPr="002A4C64" w:rsidRDefault="0003077D" w:rsidP="0003077D">
            <w:pPr>
              <w:spacing w:line="240" w:lineRule="auto"/>
              <w:ind w:left="113" w:right="113"/>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OHC</w:t>
            </w:r>
          </w:p>
        </w:tc>
        <w:tc>
          <w:tcPr>
            <w:tcW w:w="1357" w:type="dxa"/>
            <w:tcBorders>
              <w:top w:val="single" w:sz="4" w:space="0" w:color="auto"/>
              <w:right w:val="dashed" w:sz="4" w:space="0" w:color="auto"/>
            </w:tcBorders>
            <w:shd w:val="clear" w:color="000000" w:fill="FFFFFF"/>
            <w:vAlign w:val="center"/>
          </w:tcPr>
          <w:p w14:paraId="6B917A10" w14:textId="5A801346"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Raw</w:t>
            </w:r>
          </w:p>
        </w:tc>
        <w:tc>
          <w:tcPr>
            <w:tcW w:w="1152" w:type="dxa"/>
            <w:tcBorders>
              <w:top w:val="single" w:sz="4" w:space="0" w:color="auto"/>
              <w:left w:val="dashed" w:sz="4" w:space="0" w:color="auto"/>
              <w:right w:val="dashed" w:sz="4" w:space="0" w:color="auto"/>
            </w:tcBorders>
            <w:shd w:val="clear" w:color="000000" w:fill="FFFFFF"/>
            <w:noWrap/>
            <w:vAlign w:val="center"/>
            <w:hideMark/>
          </w:tcPr>
          <w:p w14:paraId="1B73B32D" w14:textId="55745944"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0.00</w:t>
            </w:r>
          </w:p>
        </w:tc>
        <w:tc>
          <w:tcPr>
            <w:tcW w:w="1065" w:type="dxa"/>
            <w:tcBorders>
              <w:top w:val="single" w:sz="4" w:space="0" w:color="auto"/>
              <w:left w:val="dashed" w:sz="4" w:space="0" w:color="auto"/>
            </w:tcBorders>
            <w:shd w:val="clear" w:color="000000" w:fill="FFFFFF"/>
            <w:vAlign w:val="center"/>
          </w:tcPr>
          <w:p w14:paraId="40AD9825"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w:t>
            </w:r>
          </w:p>
        </w:tc>
        <w:tc>
          <w:tcPr>
            <w:tcW w:w="1152" w:type="dxa"/>
            <w:tcBorders>
              <w:top w:val="single" w:sz="4" w:space="0" w:color="auto"/>
            </w:tcBorders>
            <w:shd w:val="clear" w:color="000000" w:fill="FFFFFF"/>
            <w:noWrap/>
            <w:vAlign w:val="center"/>
            <w:hideMark/>
          </w:tcPr>
          <w:p w14:paraId="5EB29244"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single" w:sz="4" w:space="0" w:color="auto"/>
            </w:tcBorders>
            <w:shd w:val="clear" w:color="000000" w:fill="FFFFFF"/>
            <w:noWrap/>
            <w:vAlign w:val="center"/>
          </w:tcPr>
          <w:p w14:paraId="03A217D8" w14:textId="600995BF"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0.000</w:t>
            </w:r>
          </w:p>
        </w:tc>
        <w:tc>
          <w:tcPr>
            <w:tcW w:w="1152" w:type="dxa"/>
            <w:tcBorders>
              <w:top w:val="single" w:sz="4" w:space="0" w:color="auto"/>
            </w:tcBorders>
            <w:shd w:val="clear" w:color="000000" w:fill="FFFFFF"/>
            <w:noWrap/>
            <w:vAlign w:val="center"/>
          </w:tcPr>
          <w:p w14:paraId="7C796479" w14:textId="01A2DD1F"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2.024</w:t>
            </w:r>
          </w:p>
        </w:tc>
      </w:tr>
      <w:tr w:rsidR="0003077D" w:rsidRPr="002A4C64" w14:paraId="1289C99F"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0C130351" w14:textId="73127ECA" w:rsidR="0003077D" w:rsidRPr="002A4C64" w:rsidRDefault="0003077D" w:rsidP="0003077D">
            <w:pPr>
              <w:spacing w:line="240" w:lineRule="auto"/>
              <w:rPr>
                <w:rFonts w:asciiTheme="majorBidi" w:eastAsia="Times New Roman" w:hAnsiTheme="majorBidi" w:cstheme="majorBidi"/>
                <w:i/>
                <w:iCs/>
                <w:color w:val="000000"/>
                <w:sz w:val="22"/>
                <w:szCs w:val="22"/>
              </w:rPr>
            </w:pPr>
          </w:p>
        </w:tc>
        <w:tc>
          <w:tcPr>
            <w:tcW w:w="1357" w:type="dxa"/>
            <w:tcBorders>
              <w:right w:val="dashed" w:sz="4" w:space="0" w:color="auto"/>
            </w:tcBorders>
            <w:shd w:val="clear" w:color="auto" w:fill="F2F2F2" w:themeFill="background1" w:themeFillShade="F2"/>
            <w:vAlign w:val="center"/>
          </w:tcPr>
          <w:p w14:paraId="1B959D4F" w14:textId="6F4B4CEA"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 Lime</w:t>
            </w:r>
          </w:p>
        </w:tc>
        <w:tc>
          <w:tcPr>
            <w:tcW w:w="1152" w:type="dxa"/>
            <w:tcBorders>
              <w:left w:val="dashed" w:sz="4" w:space="0" w:color="auto"/>
              <w:right w:val="dashed" w:sz="4" w:space="0" w:color="auto"/>
            </w:tcBorders>
            <w:shd w:val="clear" w:color="auto" w:fill="F2F2F2" w:themeFill="background1" w:themeFillShade="F2"/>
            <w:noWrap/>
            <w:vAlign w:val="center"/>
            <w:hideMark/>
          </w:tcPr>
          <w:p w14:paraId="5072E549" w14:textId="4704BB63"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w:t>
            </w:r>
            <w:r>
              <w:rPr>
                <w:rFonts w:asciiTheme="majorBidi" w:eastAsia="Times New Roman" w:hAnsiTheme="majorBidi" w:cstheme="majorBidi"/>
                <w:i/>
                <w:iCs/>
                <w:color w:val="000000"/>
                <w:sz w:val="22"/>
                <w:szCs w:val="22"/>
              </w:rPr>
              <w:t>.21</w:t>
            </w:r>
          </w:p>
        </w:tc>
        <w:tc>
          <w:tcPr>
            <w:tcW w:w="1065" w:type="dxa"/>
            <w:tcBorders>
              <w:left w:val="dashed" w:sz="4" w:space="0" w:color="auto"/>
            </w:tcBorders>
            <w:shd w:val="clear" w:color="auto" w:fill="F2F2F2" w:themeFill="background1" w:themeFillShade="F2"/>
            <w:vAlign w:val="center"/>
          </w:tcPr>
          <w:p w14:paraId="62D2F776"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w:t>
            </w:r>
          </w:p>
        </w:tc>
        <w:tc>
          <w:tcPr>
            <w:tcW w:w="1152" w:type="dxa"/>
            <w:shd w:val="clear" w:color="auto" w:fill="F2F2F2" w:themeFill="background1" w:themeFillShade="F2"/>
            <w:noWrap/>
            <w:vAlign w:val="center"/>
            <w:hideMark/>
          </w:tcPr>
          <w:p w14:paraId="526C50D1"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shd w:val="clear" w:color="auto" w:fill="F2F2F2" w:themeFill="background1" w:themeFillShade="F2"/>
            <w:noWrap/>
            <w:vAlign w:val="center"/>
          </w:tcPr>
          <w:p w14:paraId="206551CC" w14:textId="1A29C4FD"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0.08</w:t>
            </w:r>
            <w:r>
              <w:rPr>
                <w:rFonts w:asciiTheme="majorBidi" w:eastAsia="Times New Roman" w:hAnsiTheme="majorBidi" w:cstheme="majorBidi"/>
                <w:i/>
                <w:iCs/>
                <w:color w:val="000000"/>
                <w:sz w:val="22"/>
                <w:szCs w:val="22"/>
              </w:rPr>
              <w:t>4</w:t>
            </w:r>
          </w:p>
        </w:tc>
        <w:tc>
          <w:tcPr>
            <w:tcW w:w="1152" w:type="dxa"/>
            <w:shd w:val="clear" w:color="auto" w:fill="F2F2F2" w:themeFill="background1" w:themeFillShade="F2"/>
            <w:noWrap/>
            <w:vAlign w:val="center"/>
          </w:tcPr>
          <w:p w14:paraId="69FFB9DA" w14:textId="5F8AFF92"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1.9</w:t>
            </w:r>
            <w:r>
              <w:rPr>
                <w:rFonts w:asciiTheme="majorBidi" w:eastAsia="Times New Roman" w:hAnsiTheme="majorBidi" w:cstheme="majorBidi"/>
                <w:i/>
                <w:iCs/>
                <w:color w:val="000000"/>
                <w:sz w:val="22"/>
                <w:szCs w:val="22"/>
              </w:rPr>
              <w:t>39</w:t>
            </w:r>
          </w:p>
        </w:tc>
      </w:tr>
      <w:tr w:rsidR="0003077D" w:rsidRPr="002A4C64" w14:paraId="51E1B726"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4B08A20B" w14:textId="7A27BDBB" w:rsidR="0003077D" w:rsidRPr="002A4C64" w:rsidRDefault="0003077D" w:rsidP="0003077D">
            <w:pPr>
              <w:spacing w:line="240" w:lineRule="auto"/>
              <w:rPr>
                <w:rFonts w:asciiTheme="majorBidi" w:eastAsia="Times New Roman" w:hAnsiTheme="majorBidi" w:cstheme="majorBidi"/>
                <w:i/>
                <w:iCs/>
                <w:color w:val="000000"/>
                <w:sz w:val="22"/>
                <w:szCs w:val="22"/>
              </w:rPr>
            </w:pPr>
          </w:p>
        </w:tc>
        <w:tc>
          <w:tcPr>
            <w:tcW w:w="1357" w:type="dxa"/>
            <w:tcBorders>
              <w:right w:val="dashed" w:sz="4" w:space="0" w:color="auto"/>
            </w:tcBorders>
            <w:shd w:val="clear" w:color="auto" w:fill="FFFFFF" w:themeFill="background1"/>
            <w:vAlign w:val="center"/>
          </w:tcPr>
          <w:p w14:paraId="58BE0CCD" w14:textId="76F687E0"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7 Lime</w:t>
            </w:r>
          </w:p>
        </w:tc>
        <w:tc>
          <w:tcPr>
            <w:tcW w:w="1152" w:type="dxa"/>
            <w:tcBorders>
              <w:left w:val="dashed" w:sz="4" w:space="0" w:color="auto"/>
              <w:right w:val="dashed" w:sz="4" w:space="0" w:color="auto"/>
            </w:tcBorders>
            <w:shd w:val="clear" w:color="auto" w:fill="FFFFFF" w:themeFill="background1"/>
            <w:noWrap/>
            <w:vAlign w:val="center"/>
            <w:hideMark/>
          </w:tcPr>
          <w:p w14:paraId="253D4C33" w14:textId="55C09918"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7</w:t>
            </w:r>
            <w:r>
              <w:rPr>
                <w:rFonts w:asciiTheme="majorBidi" w:eastAsia="Times New Roman" w:hAnsiTheme="majorBidi" w:cstheme="majorBidi"/>
                <w:i/>
                <w:iCs/>
                <w:color w:val="000000"/>
                <w:sz w:val="22"/>
                <w:szCs w:val="22"/>
              </w:rPr>
              <w:t>.10</w:t>
            </w:r>
          </w:p>
        </w:tc>
        <w:tc>
          <w:tcPr>
            <w:tcW w:w="1065" w:type="dxa"/>
            <w:tcBorders>
              <w:left w:val="dashed" w:sz="4" w:space="0" w:color="auto"/>
            </w:tcBorders>
            <w:shd w:val="clear" w:color="auto" w:fill="FFFFFF" w:themeFill="background1"/>
            <w:vAlign w:val="center"/>
          </w:tcPr>
          <w:p w14:paraId="3BA10FF4"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w:t>
            </w:r>
          </w:p>
        </w:tc>
        <w:tc>
          <w:tcPr>
            <w:tcW w:w="1152" w:type="dxa"/>
            <w:shd w:val="clear" w:color="auto" w:fill="FFFFFF" w:themeFill="background1"/>
            <w:noWrap/>
            <w:vAlign w:val="center"/>
            <w:hideMark/>
          </w:tcPr>
          <w:p w14:paraId="2CEDCBCC"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shd w:val="clear" w:color="auto" w:fill="FFFFFF" w:themeFill="background1"/>
            <w:noWrap/>
            <w:vAlign w:val="center"/>
          </w:tcPr>
          <w:p w14:paraId="39B027E1" w14:textId="1FF4AA7B"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0.14</w:t>
            </w:r>
            <w:r>
              <w:rPr>
                <w:rFonts w:asciiTheme="majorBidi" w:eastAsia="Times New Roman" w:hAnsiTheme="majorBidi" w:cstheme="majorBidi"/>
                <w:i/>
                <w:iCs/>
                <w:color w:val="000000"/>
                <w:sz w:val="22"/>
                <w:szCs w:val="22"/>
              </w:rPr>
              <w:t>2</w:t>
            </w:r>
          </w:p>
        </w:tc>
        <w:tc>
          <w:tcPr>
            <w:tcW w:w="1152" w:type="dxa"/>
            <w:shd w:val="clear" w:color="auto" w:fill="FFFFFF" w:themeFill="background1"/>
            <w:noWrap/>
            <w:vAlign w:val="center"/>
          </w:tcPr>
          <w:p w14:paraId="35F6A341" w14:textId="0639DF76"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1.88</w:t>
            </w:r>
            <w:r>
              <w:rPr>
                <w:rFonts w:asciiTheme="majorBidi" w:eastAsia="Times New Roman" w:hAnsiTheme="majorBidi" w:cstheme="majorBidi"/>
                <w:i/>
                <w:iCs/>
                <w:color w:val="000000"/>
                <w:sz w:val="22"/>
                <w:szCs w:val="22"/>
              </w:rPr>
              <w:t>1</w:t>
            </w:r>
          </w:p>
        </w:tc>
      </w:tr>
      <w:tr w:rsidR="0003077D" w:rsidRPr="002A4C64" w14:paraId="5E20D5D6"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5B3C1208" w14:textId="2B35B270" w:rsidR="0003077D" w:rsidRPr="002A4C64" w:rsidRDefault="0003077D" w:rsidP="0003077D">
            <w:pPr>
              <w:spacing w:line="240" w:lineRule="auto"/>
              <w:rPr>
                <w:rFonts w:asciiTheme="majorBidi" w:eastAsia="Times New Roman" w:hAnsiTheme="majorBidi" w:cstheme="majorBidi"/>
                <w:i/>
                <w:iCs/>
                <w:color w:val="000000"/>
                <w:sz w:val="22"/>
                <w:szCs w:val="22"/>
              </w:rPr>
            </w:pPr>
          </w:p>
        </w:tc>
        <w:tc>
          <w:tcPr>
            <w:tcW w:w="1357" w:type="dxa"/>
            <w:tcBorders>
              <w:right w:val="dashed" w:sz="4" w:space="0" w:color="auto"/>
            </w:tcBorders>
            <w:shd w:val="clear" w:color="auto" w:fill="F2F2F2" w:themeFill="background1" w:themeFillShade="F2"/>
            <w:vAlign w:val="center"/>
          </w:tcPr>
          <w:p w14:paraId="648F037F" w14:textId="31685645" w:rsidR="0003077D"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15</w:t>
            </w:r>
            <w:r w:rsidRPr="002A4C64">
              <w:rPr>
                <w:rFonts w:asciiTheme="majorBidi" w:eastAsia="Times New Roman" w:hAnsiTheme="majorBidi" w:cstheme="majorBidi"/>
                <w:i/>
                <w:iCs/>
                <w:color w:val="000000"/>
                <w:sz w:val="22"/>
                <w:szCs w:val="22"/>
              </w:rPr>
              <w:t xml:space="preserve"> CKD</w:t>
            </w:r>
          </w:p>
        </w:tc>
        <w:tc>
          <w:tcPr>
            <w:tcW w:w="1152" w:type="dxa"/>
            <w:tcBorders>
              <w:left w:val="dashed" w:sz="4" w:space="0" w:color="auto"/>
              <w:right w:val="dashed" w:sz="4" w:space="0" w:color="auto"/>
            </w:tcBorders>
            <w:shd w:val="clear" w:color="auto" w:fill="F2F2F2" w:themeFill="background1" w:themeFillShade="F2"/>
            <w:noWrap/>
            <w:vAlign w:val="center"/>
            <w:hideMark/>
          </w:tcPr>
          <w:p w14:paraId="2A8CA5F5" w14:textId="0DFE0192"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15.1</w:t>
            </w:r>
          </w:p>
        </w:tc>
        <w:tc>
          <w:tcPr>
            <w:tcW w:w="1065" w:type="dxa"/>
            <w:tcBorders>
              <w:left w:val="dashed" w:sz="4" w:space="0" w:color="auto"/>
            </w:tcBorders>
            <w:shd w:val="clear" w:color="auto" w:fill="F2F2F2" w:themeFill="background1" w:themeFillShade="F2"/>
            <w:vAlign w:val="center"/>
          </w:tcPr>
          <w:p w14:paraId="70C774CE"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w:t>
            </w:r>
          </w:p>
        </w:tc>
        <w:tc>
          <w:tcPr>
            <w:tcW w:w="1152" w:type="dxa"/>
            <w:shd w:val="clear" w:color="auto" w:fill="F2F2F2" w:themeFill="background1" w:themeFillShade="F2"/>
            <w:noWrap/>
            <w:vAlign w:val="center"/>
            <w:hideMark/>
          </w:tcPr>
          <w:p w14:paraId="2ED8E3A5"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shd w:val="clear" w:color="auto" w:fill="F2F2F2" w:themeFill="background1" w:themeFillShade="F2"/>
            <w:noWrap/>
            <w:vAlign w:val="center"/>
          </w:tcPr>
          <w:p w14:paraId="51A1FE7E" w14:textId="2B184D17"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0.302</w:t>
            </w:r>
          </w:p>
        </w:tc>
        <w:tc>
          <w:tcPr>
            <w:tcW w:w="1152" w:type="dxa"/>
            <w:shd w:val="clear" w:color="auto" w:fill="F2F2F2" w:themeFill="background1" w:themeFillShade="F2"/>
            <w:noWrap/>
            <w:vAlign w:val="center"/>
          </w:tcPr>
          <w:p w14:paraId="4EAD0189" w14:textId="44867DDD"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1.719</w:t>
            </w:r>
          </w:p>
        </w:tc>
      </w:tr>
      <w:tr w:rsidR="0003077D" w:rsidRPr="002A4C64" w14:paraId="5C6D5A5D"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2CB85041" w14:textId="71E182A9" w:rsidR="0003077D" w:rsidRPr="002A4C64" w:rsidRDefault="0003077D" w:rsidP="0003077D">
            <w:pPr>
              <w:spacing w:line="240" w:lineRule="auto"/>
              <w:rPr>
                <w:rFonts w:asciiTheme="majorBidi" w:eastAsia="Times New Roman" w:hAnsiTheme="majorBidi" w:cstheme="majorBidi"/>
                <w:i/>
                <w:iCs/>
                <w:color w:val="000000"/>
                <w:sz w:val="22"/>
                <w:szCs w:val="22"/>
              </w:rPr>
            </w:pPr>
          </w:p>
        </w:tc>
        <w:tc>
          <w:tcPr>
            <w:tcW w:w="1357" w:type="dxa"/>
            <w:tcBorders>
              <w:right w:val="dashed" w:sz="4" w:space="0" w:color="auto"/>
            </w:tcBorders>
            <w:shd w:val="clear" w:color="auto" w:fill="FFFFFF" w:themeFill="background1"/>
            <w:vAlign w:val="center"/>
          </w:tcPr>
          <w:p w14:paraId="79DDE745" w14:textId="0C8093D7" w:rsidR="0003077D"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23</w:t>
            </w:r>
            <w:r w:rsidRPr="002A4C64">
              <w:rPr>
                <w:rFonts w:asciiTheme="majorBidi" w:eastAsia="Times New Roman" w:hAnsiTheme="majorBidi" w:cstheme="majorBidi"/>
                <w:i/>
                <w:iCs/>
                <w:color w:val="000000"/>
                <w:sz w:val="22"/>
                <w:szCs w:val="22"/>
              </w:rPr>
              <w:t xml:space="preserve"> CKD</w:t>
            </w:r>
          </w:p>
        </w:tc>
        <w:tc>
          <w:tcPr>
            <w:tcW w:w="1152" w:type="dxa"/>
            <w:tcBorders>
              <w:left w:val="dashed" w:sz="4" w:space="0" w:color="auto"/>
              <w:right w:val="dashed" w:sz="4" w:space="0" w:color="auto"/>
            </w:tcBorders>
            <w:shd w:val="clear" w:color="auto" w:fill="FFFFFF" w:themeFill="background1"/>
            <w:noWrap/>
            <w:vAlign w:val="center"/>
          </w:tcPr>
          <w:p w14:paraId="35EB9B77" w14:textId="5D860796"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22.7</w:t>
            </w:r>
          </w:p>
        </w:tc>
        <w:tc>
          <w:tcPr>
            <w:tcW w:w="1065" w:type="dxa"/>
            <w:tcBorders>
              <w:left w:val="dashed" w:sz="4" w:space="0" w:color="auto"/>
            </w:tcBorders>
            <w:shd w:val="clear" w:color="auto" w:fill="FFFFFF" w:themeFill="background1"/>
            <w:vAlign w:val="center"/>
          </w:tcPr>
          <w:p w14:paraId="2AB7F382"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w:t>
            </w:r>
          </w:p>
        </w:tc>
        <w:tc>
          <w:tcPr>
            <w:tcW w:w="1152" w:type="dxa"/>
            <w:shd w:val="clear" w:color="auto" w:fill="FFFFFF" w:themeFill="background1"/>
            <w:noWrap/>
            <w:vAlign w:val="center"/>
          </w:tcPr>
          <w:p w14:paraId="6E057C72"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shd w:val="clear" w:color="auto" w:fill="FFFFFF" w:themeFill="background1"/>
            <w:noWrap/>
            <w:vAlign w:val="center"/>
          </w:tcPr>
          <w:p w14:paraId="6384006C" w14:textId="2B999FA8"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0.454</w:t>
            </w:r>
          </w:p>
        </w:tc>
        <w:tc>
          <w:tcPr>
            <w:tcW w:w="1152" w:type="dxa"/>
            <w:shd w:val="clear" w:color="auto" w:fill="FFFFFF" w:themeFill="background1"/>
            <w:noWrap/>
            <w:vAlign w:val="center"/>
          </w:tcPr>
          <w:p w14:paraId="5A11155C" w14:textId="777CB728"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1.565</w:t>
            </w:r>
          </w:p>
        </w:tc>
      </w:tr>
      <w:tr w:rsidR="0003077D" w:rsidRPr="002A4C64" w14:paraId="0287B839" w14:textId="77777777" w:rsidTr="00C4173F">
        <w:trPr>
          <w:trHeight w:val="300"/>
          <w:jc w:val="center"/>
        </w:trPr>
        <w:tc>
          <w:tcPr>
            <w:tcW w:w="475" w:type="dxa"/>
            <w:vMerge/>
            <w:tcBorders>
              <w:right w:val="single" w:sz="4" w:space="0" w:color="auto"/>
            </w:tcBorders>
            <w:shd w:val="clear" w:color="auto" w:fill="BFBFBF" w:themeFill="background1" w:themeFillShade="BF"/>
            <w:vAlign w:val="center"/>
          </w:tcPr>
          <w:p w14:paraId="6A3089DC" w14:textId="22DCEC23" w:rsidR="0003077D" w:rsidRPr="002A4C64" w:rsidRDefault="0003077D" w:rsidP="0003077D">
            <w:pPr>
              <w:spacing w:line="240" w:lineRule="auto"/>
              <w:rPr>
                <w:rFonts w:asciiTheme="majorBidi" w:eastAsia="Times New Roman" w:hAnsiTheme="majorBidi" w:cstheme="majorBidi"/>
                <w:i/>
                <w:iCs/>
                <w:color w:val="000000"/>
                <w:sz w:val="22"/>
                <w:szCs w:val="22"/>
              </w:rPr>
            </w:pPr>
          </w:p>
        </w:tc>
        <w:tc>
          <w:tcPr>
            <w:tcW w:w="1357" w:type="dxa"/>
            <w:tcBorders>
              <w:bottom w:val="nil"/>
              <w:right w:val="dashed" w:sz="4" w:space="0" w:color="auto"/>
            </w:tcBorders>
            <w:shd w:val="clear" w:color="auto" w:fill="F2F2F2" w:themeFill="background1" w:themeFillShade="F2"/>
            <w:vAlign w:val="center"/>
          </w:tcPr>
          <w:p w14:paraId="457D8006" w14:textId="5A56F386" w:rsidR="0003077D"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w:t>
            </w:r>
            <w:r>
              <w:rPr>
                <w:rFonts w:asciiTheme="majorBidi" w:eastAsia="Times New Roman" w:hAnsiTheme="majorBidi" w:cstheme="majorBidi"/>
                <w:i/>
                <w:iCs/>
                <w:color w:val="000000"/>
                <w:sz w:val="22"/>
                <w:szCs w:val="22"/>
              </w:rPr>
              <w:t>4</w:t>
            </w:r>
            <w:r w:rsidRPr="002A4C64">
              <w:rPr>
                <w:rFonts w:asciiTheme="majorBidi" w:eastAsia="Times New Roman" w:hAnsiTheme="majorBidi" w:cstheme="majorBidi"/>
                <w:i/>
                <w:iCs/>
                <w:color w:val="000000"/>
                <w:sz w:val="22"/>
                <w:szCs w:val="22"/>
              </w:rPr>
              <w:t xml:space="preserve"> Fly Ash</w:t>
            </w:r>
          </w:p>
        </w:tc>
        <w:tc>
          <w:tcPr>
            <w:tcW w:w="1152" w:type="dxa"/>
            <w:tcBorders>
              <w:left w:val="dashed" w:sz="4" w:space="0" w:color="auto"/>
              <w:bottom w:val="nil"/>
              <w:right w:val="dashed" w:sz="4" w:space="0" w:color="auto"/>
            </w:tcBorders>
            <w:shd w:val="clear" w:color="auto" w:fill="F2F2F2" w:themeFill="background1" w:themeFillShade="F2"/>
            <w:noWrap/>
            <w:vAlign w:val="center"/>
          </w:tcPr>
          <w:p w14:paraId="6325A239" w14:textId="50FE43D7"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43.8</w:t>
            </w:r>
          </w:p>
        </w:tc>
        <w:tc>
          <w:tcPr>
            <w:tcW w:w="1065" w:type="dxa"/>
            <w:tcBorders>
              <w:left w:val="dashed" w:sz="4" w:space="0" w:color="auto"/>
              <w:bottom w:val="nil"/>
            </w:tcBorders>
            <w:shd w:val="clear" w:color="auto" w:fill="F2F2F2" w:themeFill="background1" w:themeFillShade="F2"/>
            <w:vAlign w:val="center"/>
          </w:tcPr>
          <w:p w14:paraId="35CD54BA"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w:t>
            </w:r>
          </w:p>
        </w:tc>
        <w:tc>
          <w:tcPr>
            <w:tcW w:w="1152" w:type="dxa"/>
            <w:tcBorders>
              <w:bottom w:val="nil"/>
            </w:tcBorders>
            <w:shd w:val="clear" w:color="auto" w:fill="F2F2F2" w:themeFill="background1" w:themeFillShade="F2"/>
            <w:noWrap/>
            <w:vAlign w:val="center"/>
          </w:tcPr>
          <w:p w14:paraId="21382C41"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bottom w:val="nil"/>
            </w:tcBorders>
            <w:shd w:val="clear" w:color="auto" w:fill="F2F2F2" w:themeFill="background1" w:themeFillShade="F2"/>
            <w:noWrap/>
            <w:vAlign w:val="center"/>
          </w:tcPr>
          <w:p w14:paraId="03067470" w14:textId="3C078A27"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0.876</w:t>
            </w:r>
          </w:p>
        </w:tc>
        <w:tc>
          <w:tcPr>
            <w:tcW w:w="1152" w:type="dxa"/>
            <w:tcBorders>
              <w:bottom w:val="nil"/>
            </w:tcBorders>
            <w:shd w:val="clear" w:color="auto" w:fill="F2F2F2" w:themeFill="background1" w:themeFillShade="F2"/>
            <w:noWrap/>
            <w:vAlign w:val="center"/>
          </w:tcPr>
          <w:p w14:paraId="29AD905B" w14:textId="47C40DAB"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1.138</w:t>
            </w:r>
          </w:p>
        </w:tc>
      </w:tr>
      <w:tr w:rsidR="0003077D" w:rsidRPr="002A4C64" w14:paraId="602D3D32" w14:textId="77777777" w:rsidTr="00C4173F">
        <w:trPr>
          <w:trHeight w:val="315"/>
          <w:jc w:val="center"/>
        </w:trPr>
        <w:tc>
          <w:tcPr>
            <w:tcW w:w="475" w:type="dxa"/>
            <w:vMerge/>
            <w:tcBorders>
              <w:bottom w:val="single" w:sz="4" w:space="0" w:color="auto"/>
              <w:right w:val="single" w:sz="4" w:space="0" w:color="auto"/>
            </w:tcBorders>
            <w:shd w:val="clear" w:color="auto" w:fill="BFBFBF" w:themeFill="background1" w:themeFillShade="BF"/>
            <w:vAlign w:val="center"/>
          </w:tcPr>
          <w:p w14:paraId="2BB31FED" w14:textId="6547EA61" w:rsidR="0003077D" w:rsidRPr="002A4C64" w:rsidRDefault="0003077D" w:rsidP="0003077D">
            <w:pPr>
              <w:spacing w:line="240" w:lineRule="auto"/>
              <w:rPr>
                <w:rFonts w:asciiTheme="majorBidi" w:eastAsia="Times New Roman" w:hAnsiTheme="majorBidi" w:cstheme="majorBidi"/>
                <w:i/>
                <w:iCs/>
                <w:color w:val="000000"/>
                <w:sz w:val="22"/>
                <w:szCs w:val="22"/>
              </w:rPr>
            </w:pPr>
          </w:p>
        </w:tc>
        <w:tc>
          <w:tcPr>
            <w:tcW w:w="1357" w:type="dxa"/>
            <w:tcBorders>
              <w:top w:val="nil"/>
              <w:bottom w:val="dashed" w:sz="4" w:space="0" w:color="auto"/>
              <w:right w:val="dashed" w:sz="4" w:space="0" w:color="auto"/>
            </w:tcBorders>
            <w:shd w:val="clear" w:color="auto" w:fill="FFFFFF" w:themeFill="background1"/>
            <w:vAlign w:val="center"/>
          </w:tcPr>
          <w:p w14:paraId="2F0C0335" w14:textId="0AE5A11A" w:rsidR="0003077D"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64</w:t>
            </w:r>
            <w:r w:rsidRPr="002A4C64">
              <w:rPr>
                <w:rFonts w:asciiTheme="majorBidi" w:eastAsia="Times New Roman" w:hAnsiTheme="majorBidi" w:cstheme="majorBidi"/>
                <w:i/>
                <w:iCs/>
                <w:color w:val="000000"/>
                <w:sz w:val="22"/>
                <w:szCs w:val="22"/>
              </w:rPr>
              <w:t xml:space="preserve"> Fly Ash</w:t>
            </w:r>
          </w:p>
        </w:tc>
        <w:tc>
          <w:tcPr>
            <w:tcW w:w="1152" w:type="dxa"/>
            <w:tcBorders>
              <w:top w:val="nil"/>
              <w:left w:val="dashed" w:sz="4" w:space="0" w:color="auto"/>
              <w:bottom w:val="dashed" w:sz="4" w:space="0" w:color="auto"/>
              <w:right w:val="dashed" w:sz="4" w:space="0" w:color="auto"/>
            </w:tcBorders>
            <w:shd w:val="clear" w:color="auto" w:fill="FFFFFF" w:themeFill="background1"/>
            <w:noWrap/>
            <w:vAlign w:val="center"/>
            <w:hideMark/>
          </w:tcPr>
          <w:p w14:paraId="11DC89F0" w14:textId="7AA535C0"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64.3</w:t>
            </w:r>
          </w:p>
        </w:tc>
        <w:tc>
          <w:tcPr>
            <w:tcW w:w="1065" w:type="dxa"/>
            <w:tcBorders>
              <w:top w:val="nil"/>
              <w:left w:val="dashed" w:sz="4" w:space="0" w:color="auto"/>
              <w:bottom w:val="dashed" w:sz="4" w:space="0" w:color="auto"/>
            </w:tcBorders>
            <w:shd w:val="clear" w:color="auto" w:fill="FFFFFF" w:themeFill="background1"/>
            <w:vAlign w:val="center"/>
          </w:tcPr>
          <w:p w14:paraId="54A48790"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w:t>
            </w:r>
          </w:p>
        </w:tc>
        <w:tc>
          <w:tcPr>
            <w:tcW w:w="1152" w:type="dxa"/>
            <w:tcBorders>
              <w:top w:val="nil"/>
              <w:bottom w:val="dashed" w:sz="4" w:space="0" w:color="auto"/>
            </w:tcBorders>
            <w:shd w:val="clear" w:color="auto" w:fill="FFFFFF" w:themeFill="background1"/>
            <w:noWrap/>
            <w:vAlign w:val="center"/>
            <w:hideMark/>
          </w:tcPr>
          <w:p w14:paraId="46F1952D" w14:textId="7777777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nil"/>
              <w:bottom w:val="dashed" w:sz="4" w:space="0" w:color="auto"/>
            </w:tcBorders>
            <w:shd w:val="clear" w:color="auto" w:fill="FFFFFF" w:themeFill="background1"/>
            <w:noWrap/>
            <w:vAlign w:val="center"/>
          </w:tcPr>
          <w:p w14:paraId="3CF4AE79" w14:textId="3FB0AA00"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1.286</w:t>
            </w:r>
          </w:p>
        </w:tc>
        <w:tc>
          <w:tcPr>
            <w:tcW w:w="1152" w:type="dxa"/>
            <w:tcBorders>
              <w:top w:val="nil"/>
              <w:bottom w:val="dashed" w:sz="4" w:space="0" w:color="auto"/>
            </w:tcBorders>
            <w:shd w:val="clear" w:color="auto" w:fill="FFFFFF" w:themeFill="background1"/>
            <w:noWrap/>
            <w:vAlign w:val="center"/>
          </w:tcPr>
          <w:p w14:paraId="11D62A9B" w14:textId="357D32E0"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0.7</w:t>
            </w:r>
            <w:r>
              <w:rPr>
                <w:rFonts w:asciiTheme="majorBidi" w:eastAsia="Times New Roman" w:hAnsiTheme="majorBidi" w:cstheme="majorBidi"/>
                <w:i/>
                <w:iCs/>
                <w:color w:val="000000"/>
                <w:sz w:val="22"/>
                <w:szCs w:val="22"/>
              </w:rPr>
              <w:t>23</w:t>
            </w:r>
          </w:p>
        </w:tc>
      </w:tr>
      <w:tr w:rsidR="0003077D" w:rsidRPr="002A4C64" w14:paraId="602CB6D7" w14:textId="77777777" w:rsidTr="00C4173F">
        <w:trPr>
          <w:trHeight w:val="315"/>
          <w:jc w:val="center"/>
        </w:trPr>
        <w:tc>
          <w:tcPr>
            <w:tcW w:w="475" w:type="dxa"/>
            <w:vMerge w:val="restart"/>
            <w:tcBorders>
              <w:top w:val="single" w:sz="4" w:space="0" w:color="auto"/>
              <w:left w:val="single" w:sz="4" w:space="0" w:color="auto"/>
              <w:right w:val="single" w:sz="4" w:space="0" w:color="auto"/>
            </w:tcBorders>
            <w:shd w:val="clear" w:color="auto" w:fill="BFBFBF" w:themeFill="background1" w:themeFillShade="BF"/>
            <w:textDirection w:val="btLr"/>
            <w:vAlign w:val="center"/>
          </w:tcPr>
          <w:p w14:paraId="0EEE2723" w14:textId="2EB20C68" w:rsidR="0003077D" w:rsidRPr="002A4C64" w:rsidRDefault="0003077D" w:rsidP="0003077D">
            <w:pPr>
              <w:spacing w:line="240" w:lineRule="auto"/>
              <w:ind w:left="113" w:right="113"/>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SGB</w:t>
            </w:r>
          </w:p>
        </w:tc>
        <w:tc>
          <w:tcPr>
            <w:tcW w:w="1357" w:type="dxa"/>
            <w:tcBorders>
              <w:top w:val="dashed" w:sz="4" w:space="0" w:color="auto"/>
              <w:left w:val="single" w:sz="4" w:space="0" w:color="auto"/>
              <w:bottom w:val="nil"/>
              <w:right w:val="dashed" w:sz="4" w:space="0" w:color="auto"/>
            </w:tcBorders>
            <w:shd w:val="clear" w:color="auto" w:fill="F2F2F2" w:themeFill="background1" w:themeFillShade="F2"/>
            <w:vAlign w:val="center"/>
          </w:tcPr>
          <w:p w14:paraId="11B657CB" w14:textId="6FB09B29"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Raw</w:t>
            </w:r>
          </w:p>
        </w:tc>
        <w:tc>
          <w:tcPr>
            <w:tcW w:w="1152" w:type="dxa"/>
            <w:tcBorders>
              <w:top w:val="dashed" w:sz="4" w:space="0" w:color="auto"/>
              <w:left w:val="dashed" w:sz="4" w:space="0" w:color="auto"/>
              <w:bottom w:val="nil"/>
              <w:right w:val="dashed" w:sz="4" w:space="0" w:color="auto"/>
            </w:tcBorders>
            <w:shd w:val="clear" w:color="auto" w:fill="F2F2F2" w:themeFill="background1" w:themeFillShade="F2"/>
            <w:noWrap/>
            <w:vAlign w:val="center"/>
          </w:tcPr>
          <w:p w14:paraId="61602C06" w14:textId="7AE3D6DA"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0.00</w:t>
            </w:r>
          </w:p>
        </w:tc>
        <w:tc>
          <w:tcPr>
            <w:tcW w:w="1065" w:type="dxa"/>
            <w:tcBorders>
              <w:top w:val="dashed" w:sz="4" w:space="0" w:color="auto"/>
              <w:left w:val="dashed" w:sz="4" w:space="0" w:color="auto"/>
              <w:bottom w:val="nil"/>
            </w:tcBorders>
            <w:shd w:val="clear" w:color="auto" w:fill="F2F2F2" w:themeFill="background1" w:themeFillShade="F2"/>
            <w:vAlign w:val="center"/>
          </w:tcPr>
          <w:p w14:paraId="4185D8DE" w14:textId="7120270B"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6.4</w:t>
            </w:r>
          </w:p>
        </w:tc>
        <w:tc>
          <w:tcPr>
            <w:tcW w:w="1152" w:type="dxa"/>
            <w:tcBorders>
              <w:top w:val="dashed" w:sz="4" w:space="0" w:color="auto"/>
              <w:bottom w:val="nil"/>
            </w:tcBorders>
            <w:shd w:val="clear" w:color="auto" w:fill="F2F2F2" w:themeFill="background1" w:themeFillShade="F2"/>
            <w:noWrap/>
            <w:vAlign w:val="center"/>
          </w:tcPr>
          <w:p w14:paraId="46DD8BB3" w14:textId="4409E42E"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dashed" w:sz="4" w:space="0" w:color="auto"/>
              <w:bottom w:val="nil"/>
            </w:tcBorders>
            <w:shd w:val="clear" w:color="auto" w:fill="F2F2F2" w:themeFill="background1" w:themeFillShade="F2"/>
            <w:noWrap/>
            <w:vAlign w:val="center"/>
          </w:tcPr>
          <w:p w14:paraId="3C451DB5" w14:textId="0C3701E2"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0.000</w:t>
            </w:r>
          </w:p>
        </w:tc>
        <w:tc>
          <w:tcPr>
            <w:tcW w:w="1152" w:type="dxa"/>
            <w:tcBorders>
              <w:top w:val="dashed" w:sz="4" w:space="0" w:color="auto"/>
              <w:bottom w:val="nil"/>
            </w:tcBorders>
            <w:shd w:val="clear" w:color="auto" w:fill="F2F2F2" w:themeFill="background1" w:themeFillShade="F2"/>
            <w:noWrap/>
            <w:vAlign w:val="center"/>
          </w:tcPr>
          <w:p w14:paraId="42916DC3" w14:textId="559A033F"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2.137</w:t>
            </w:r>
          </w:p>
        </w:tc>
      </w:tr>
      <w:tr w:rsidR="0003077D" w:rsidRPr="002A4C64" w14:paraId="6DE18CFE"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09185050" w14:textId="32250EF7" w:rsidR="0003077D" w:rsidRPr="002A4C64" w:rsidRDefault="0003077D" w:rsidP="0003077D">
            <w:pPr>
              <w:spacing w:line="240" w:lineRule="auto"/>
              <w:jc w:val="left"/>
              <w:rPr>
                <w:rFonts w:asciiTheme="majorBidi" w:eastAsia="Times New Roman" w:hAnsiTheme="majorBidi" w:cstheme="majorBidi"/>
                <w:i/>
                <w:iCs/>
                <w:color w:val="000000"/>
                <w:sz w:val="22"/>
                <w:szCs w:val="22"/>
              </w:rPr>
            </w:pPr>
          </w:p>
        </w:tc>
        <w:tc>
          <w:tcPr>
            <w:tcW w:w="1357" w:type="dxa"/>
            <w:tcBorders>
              <w:top w:val="nil"/>
              <w:left w:val="single" w:sz="4" w:space="0" w:color="auto"/>
              <w:bottom w:val="nil"/>
              <w:right w:val="dashed" w:sz="4" w:space="0" w:color="auto"/>
            </w:tcBorders>
            <w:shd w:val="clear" w:color="auto" w:fill="FFFFFF" w:themeFill="background1"/>
            <w:vAlign w:val="center"/>
          </w:tcPr>
          <w:p w14:paraId="505467A7" w14:textId="6E40CE31"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 Lime</w:t>
            </w:r>
          </w:p>
        </w:tc>
        <w:tc>
          <w:tcPr>
            <w:tcW w:w="1152" w:type="dxa"/>
            <w:tcBorders>
              <w:top w:val="nil"/>
              <w:left w:val="dashed" w:sz="4" w:space="0" w:color="auto"/>
              <w:bottom w:val="nil"/>
              <w:right w:val="dashed" w:sz="4" w:space="0" w:color="auto"/>
            </w:tcBorders>
            <w:shd w:val="clear" w:color="auto" w:fill="FFFFFF" w:themeFill="background1"/>
            <w:noWrap/>
            <w:vAlign w:val="center"/>
          </w:tcPr>
          <w:p w14:paraId="04CDB9F3" w14:textId="1B52BE1F"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3.72</w:t>
            </w:r>
          </w:p>
        </w:tc>
        <w:tc>
          <w:tcPr>
            <w:tcW w:w="1065" w:type="dxa"/>
            <w:tcBorders>
              <w:top w:val="nil"/>
              <w:left w:val="dashed" w:sz="4" w:space="0" w:color="auto"/>
              <w:bottom w:val="nil"/>
            </w:tcBorders>
            <w:shd w:val="clear" w:color="auto" w:fill="FFFFFF" w:themeFill="background1"/>
            <w:vAlign w:val="center"/>
          </w:tcPr>
          <w:p w14:paraId="63634B2F" w14:textId="06B90626"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6.4</w:t>
            </w:r>
          </w:p>
        </w:tc>
        <w:tc>
          <w:tcPr>
            <w:tcW w:w="1152" w:type="dxa"/>
            <w:tcBorders>
              <w:top w:val="nil"/>
              <w:bottom w:val="nil"/>
            </w:tcBorders>
            <w:shd w:val="clear" w:color="auto" w:fill="FFFFFF" w:themeFill="background1"/>
            <w:noWrap/>
            <w:vAlign w:val="center"/>
          </w:tcPr>
          <w:p w14:paraId="734834D8" w14:textId="330D7394"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nil"/>
              <w:bottom w:val="nil"/>
            </w:tcBorders>
            <w:shd w:val="clear" w:color="auto" w:fill="FFFFFF" w:themeFill="background1"/>
            <w:noWrap/>
            <w:vAlign w:val="center"/>
          </w:tcPr>
          <w:p w14:paraId="34203C74" w14:textId="21543509"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0.074</w:t>
            </w:r>
          </w:p>
        </w:tc>
        <w:tc>
          <w:tcPr>
            <w:tcW w:w="1152" w:type="dxa"/>
            <w:tcBorders>
              <w:top w:val="nil"/>
              <w:bottom w:val="nil"/>
            </w:tcBorders>
            <w:shd w:val="clear" w:color="auto" w:fill="FFFFFF" w:themeFill="background1"/>
            <w:noWrap/>
            <w:vAlign w:val="center"/>
          </w:tcPr>
          <w:p w14:paraId="53BBFCE4" w14:textId="62ED1828"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2.057</w:t>
            </w:r>
          </w:p>
        </w:tc>
      </w:tr>
      <w:tr w:rsidR="0003077D" w:rsidRPr="002A4C64" w14:paraId="25CD4777"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0DA06FF5" w14:textId="560CECB7" w:rsidR="0003077D" w:rsidRPr="002A4C64" w:rsidRDefault="0003077D" w:rsidP="0003077D">
            <w:pPr>
              <w:spacing w:line="240" w:lineRule="auto"/>
              <w:jc w:val="left"/>
              <w:rPr>
                <w:rFonts w:asciiTheme="majorBidi" w:eastAsia="Times New Roman" w:hAnsiTheme="majorBidi" w:cstheme="majorBidi"/>
                <w:i/>
                <w:iCs/>
                <w:color w:val="000000"/>
                <w:sz w:val="22"/>
                <w:szCs w:val="22"/>
              </w:rPr>
            </w:pPr>
          </w:p>
        </w:tc>
        <w:tc>
          <w:tcPr>
            <w:tcW w:w="1357" w:type="dxa"/>
            <w:tcBorders>
              <w:top w:val="nil"/>
              <w:left w:val="single" w:sz="4" w:space="0" w:color="auto"/>
              <w:bottom w:val="nil"/>
              <w:right w:val="dashed" w:sz="4" w:space="0" w:color="auto"/>
            </w:tcBorders>
            <w:shd w:val="clear" w:color="auto" w:fill="F2F2F2" w:themeFill="background1" w:themeFillShade="F2"/>
            <w:vAlign w:val="center"/>
          </w:tcPr>
          <w:p w14:paraId="54C2B142" w14:textId="4175F3D0"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6</w:t>
            </w:r>
            <w:r w:rsidRPr="002A4C64">
              <w:rPr>
                <w:rFonts w:asciiTheme="majorBidi" w:eastAsia="Times New Roman" w:hAnsiTheme="majorBidi" w:cstheme="majorBidi"/>
                <w:i/>
                <w:iCs/>
                <w:color w:val="000000"/>
                <w:sz w:val="22"/>
                <w:szCs w:val="22"/>
              </w:rPr>
              <w:t xml:space="preserve"> Lime</w:t>
            </w:r>
          </w:p>
        </w:tc>
        <w:tc>
          <w:tcPr>
            <w:tcW w:w="1152" w:type="dxa"/>
            <w:tcBorders>
              <w:top w:val="nil"/>
              <w:left w:val="dashed" w:sz="4" w:space="0" w:color="auto"/>
              <w:bottom w:val="nil"/>
              <w:right w:val="dashed" w:sz="4" w:space="0" w:color="auto"/>
            </w:tcBorders>
            <w:shd w:val="clear" w:color="auto" w:fill="F2F2F2" w:themeFill="background1" w:themeFillShade="F2"/>
            <w:noWrap/>
            <w:vAlign w:val="center"/>
          </w:tcPr>
          <w:p w14:paraId="5EF3D36F" w14:textId="51195AF1"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6.28</w:t>
            </w:r>
          </w:p>
        </w:tc>
        <w:tc>
          <w:tcPr>
            <w:tcW w:w="1065" w:type="dxa"/>
            <w:tcBorders>
              <w:top w:val="nil"/>
              <w:left w:val="dashed" w:sz="4" w:space="0" w:color="auto"/>
              <w:bottom w:val="nil"/>
            </w:tcBorders>
            <w:shd w:val="clear" w:color="auto" w:fill="F2F2F2" w:themeFill="background1" w:themeFillShade="F2"/>
            <w:vAlign w:val="center"/>
          </w:tcPr>
          <w:p w14:paraId="4B032376" w14:textId="29FFFBEB"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6.4</w:t>
            </w:r>
          </w:p>
        </w:tc>
        <w:tc>
          <w:tcPr>
            <w:tcW w:w="1152" w:type="dxa"/>
            <w:tcBorders>
              <w:top w:val="nil"/>
              <w:bottom w:val="nil"/>
            </w:tcBorders>
            <w:shd w:val="clear" w:color="auto" w:fill="F2F2F2" w:themeFill="background1" w:themeFillShade="F2"/>
            <w:noWrap/>
            <w:vAlign w:val="center"/>
          </w:tcPr>
          <w:p w14:paraId="52745369" w14:textId="71BCE90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nil"/>
              <w:bottom w:val="nil"/>
            </w:tcBorders>
            <w:shd w:val="clear" w:color="auto" w:fill="F2F2F2" w:themeFill="background1" w:themeFillShade="F2"/>
            <w:noWrap/>
            <w:vAlign w:val="center"/>
          </w:tcPr>
          <w:p w14:paraId="53B0D26A" w14:textId="264E77B4"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0.126</w:t>
            </w:r>
          </w:p>
        </w:tc>
        <w:tc>
          <w:tcPr>
            <w:tcW w:w="1152" w:type="dxa"/>
            <w:tcBorders>
              <w:top w:val="nil"/>
              <w:bottom w:val="nil"/>
            </w:tcBorders>
            <w:shd w:val="clear" w:color="auto" w:fill="F2F2F2" w:themeFill="background1" w:themeFillShade="F2"/>
            <w:noWrap/>
            <w:vAlign w:val="center"/>
          </w:tcPr>
          <w:p w14:paraId="4184FC3B" w14:textId="1BE6A9C8"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2.003</w:t>
            </w:r>
          </w:p>
        </w:tc>
      </w:tr>
      <w:tr w:rsidR="0003077D" w:rsidRPr="002A4C64" w14:paraId="0FCD2609"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5A8A1B69" w14:textId="25A4920D" w:rsidR="0003077D" w:rsidRPr="002A4C64" w:rsidRDefault="0003077D" w:rsidP="0003077D">
            <w:pPr>
              <w:spacing w:line="240" w:lineRule="auto"/>
              <w:jc w:val="left"/>
              <w:rPr>
                <w:rFonts w:asciiTheme="majorBidi" w:eastAsia="Times New Roman" w:hAnsiTheme="majorBidi" w:cstheme="majorBidi"/>
                <w:i/>
                <w:iCs/>
                <w:color w:val="000000"/>
                <w:sz w:val="22"/>
                <w:szCs w:val="22"/>
              </w:rPr>
            </w:pPr>
          </w:p>
        </w:tc>
        <w:tc>
          <w:tcPr>
            <w:tcW w:w="1357" w:type="dxa"/>
            <w:tcBorders>
              <w:top w:val="nil"/>
              <w:left w:val="single" w:sz="4" w:space="0" w:color="auto"/>
              <w:bottom w:val="nil"/>
              <w:right w:val="dashed" w:sz="4" w:space="0" w:color="auto"/>
            </w:tcBorders>
            <w:shd w:val="clear" w:color="auto" w:fill="FFFFFF" w:themeFill="background1"/>
            <w:vAlign w:val="center"/>
          </w:tcPr>
          <w:p w14:paraId="2A37CEE9" w14:textId="4491AC53"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12</w:t>
            </w:r>
            <w:r w:rsidRPr="002A4C64">
              <w:rPr>
                <w:rFonts w:asciiTheme="majorBidi" w:eastAsia="Times New Roman" w:hAnsiTheme="majorBidi" w:cstheme="majorBidi"/>
                <w:i/>
                <w:iCs/>
                <w:color w:val="000000"/>
                <w:sz w:val="22"/>
                <w:szCs w:val="22"/>
              </w:rPr>
              <w:t xml:space="preserve"> CKD</w:t>
            </w:r>
          </w:p>
        </w:tc>
        <w:tc>
          <w:tcPr>
            <w:tcW w:w="1152" w:type="dxa"/>
            <w:tcBorders>
              <w:top w:val="nil"/>
              <w:left w:val="dashed" w:sz="4" w:space="0" w:color="auto"/>
              <w:bottom w:val="nil"/>
              <w:right w:val="dashed" w:sz="4" w:space="0" w:color="auto"/>
            </w:tcBorders>
            <w:shd w:val="clear" w:color="auto" w:fill="FFFFFF" w:themeFill="background1"/>
            <w:noWrap/>
            <w:vAlign w:val="center"/>
          </w:tcPr>
          <w:p w14:paraId="7F4A7C95" w14:textId="4C17056C"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12.5</w:t>
            </w:r>
          </w:p>
        </w:tc>
        <w:tc>
          <w:tcPr>
            <w:tcW w:w="1065" w:type="dxa"/>
            <w:tcBorders>
              <w:top w:val="nil"/>
              <w:left w:val="dashed" w:sz="4" w:space="0" w:color="auto"/>
              <w:bottom w:val="nil"/>
            </w:tcBorders>
            <w:shd w:val="clear" w:color="auto" w:fill="FFFFFF" w:themeFill="background1"/>
            <w:vAlign w:val="center"/>
          </w:tcPr>
          <w:p w14:paraId="679A607B" w14:textId="107E0CDA"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6.4</w:t>
            </w:r>
          </w:p>
        </w:tc>
        <w:tc>
          <w:tcPr>
            <w:tcW w:w="1152" w:type="dxa"/>
            <w:tcBorders>
              <w:top w:val="nil"/>
              <w:bottom w:val="nil"/>
            </w:tcBorders>
            <w:shd w:val="clear" w:color="auto" w:fill="FFFFFF" w:themeFill="background1"/>
            <w:noWrap/>
            <w:vAlign w:val="center"/>
          </w:tcPr>
          <w:p w14:paraId="28742E5E" w14:textId="1BBF8A6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nil"/>
              <w:bottom w:val="nil"/>
            </w:tcBorders>
            <w:shd w:val="clear" w:color="auto" w:fill="FFFFFF" w:themeFill="background1"/>
            <w:noWrap/>
            <w:vAlign w:val="center"/>
          </w:tcPr>
          <w:p w14:paraId="0C23A445" w14:textId="3FC83B7F"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0.250</w:t>
            </w:r>
          </w:p>
        </w:tc>
        <w:tc>
          <w:tcPr>
            <w:tcW w:w="1152" w:type="dxa"/>
            <w:tcBorders>
              <w:top w:val="nil"/>
              <w:bottom w:val="nil"/>
            </w:tcBorders>
            <w:shd w:val="clear" w:color="auto" w:fill="FFFFFF" w:themeFill="background1"/>
            <w:noWrap/>
            <w:vAlign w:val="center"/>
          </w:tcPr>
          <w:p w14:paraId="4E618F8E" w14:textId="35D8ADC9"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1.870</w:t>
            </w:r>
          </w:p>
        </w:tc>
      </w:tr>
      <w:tr w:rsidR="0003077D" w:rsidRPr="002A4C64" w14:paraId="2ABDD223"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1B6D976E" w14:textId="1FB0E0EB" w:rsidR="0003077D" w:rsidRPr="002A4C64" w:rsidRDefault="0003077D" w:rsidP="0003077D">
            <w:pPr>
              <w:spacing w:line="240" w:lineRule="auto"/>
              <w:jc w:val="left"/>
              <w:rPr>
                <w:rFonts w:asciiTheme="majorBidi" w:eastAsia="Times New Roman" w:hAnsiTheme="majorBidi" w:cstheme="majorBidi"/>
                <w:i/>
                <w:iCs/>
                <w:color w:val="000000"/>
                <w:sz w:val="22"/>
                <w:szCs w:val="22"/>
              </w:rPr>
            </w:pPr>
          </w:p>
        </w:tc>
        <w:tc>
          <w:tcPr>
            <w:tcW w:w="1357" w:type="dxa"/>
            <w:tcBorders>
              <w:top w:val="nil"/>
              <w:left w:val="single" w:sz="4" w:space="0" w:color="auto"/>
              <w:bottom w:val="nil"/>
              <w:right w:val="dashed" w:sz="4" w:space="0" w:color="auto"/>
            </w:tcBorders>
            <w:shd w:val="clear" w:color="auto" w:fill="F2F2F2" w:themeFill="background1" w:themeFillShade="F2"/>
            <w:vAlign w:val="center"/>
          </w:tcPr>
          <w:p w14:paraId="1BE02B16" w14:textId="020A1316"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21</w:t>
            </w:r>
            <w:r w:rsidRPr="002A4C64">
              <w:rPr>
                <w:rFonts w:asciiTheme="majorBidi" w:eastAsia="Times New Roman" w:hAnsiTheme="majorBidi" w:cstheme="majorBidi"/>
                <w:i/>
                <w:iCs/>
                <w:color w:val="000000"/>
                <w:sz w:val="22"/>
                <w:szCs w:val="22"/>
              </w:rPr>
              <w:t xml:space="preserve"> CKD</w:t>
            </w:r>
          </w:p>
        </w:tc>
        <w:tc>
          <w:tcPr>
            <w:tcW w:w="1152" w:type="dxa"/>
            <w:tcBorders>
              <w:top w:val="nil"/>
              <w:left w:val="dashed" w:sz="4" w:space="0" w:color="auto"/>
              <w:bottom w:val="nil"/>
              <w:right w:val="dashed" w:sz="4" w:space="0" w:color="auto"/>
            </w:tcBorders>
            <w:shd w:val="clear" w:color="auto" w:fill="F2F2F2" w:themeFill="background1" w:themeFillShade="F2"/>
            <w:noWrap/>
            <w:vAlign w:val="center"/>
          </w:tcPr>
          <w:p w14:paraId="56572483" w14:textId="3A098FD8"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20.6</w:t>
            </w:r>
          </w:p>
        </w:tc>
        <w:tc>
          <w:tcPr>
            <w:tcW w:w="1065" w:type="dxa"/>
            <w:tcBorders>
              <w:top w:val="nil"/>
              <w:left w:val="dashed" w:sz="4" w:space="0" w:color="auto"/>
              <w:bottom w:val="nil"/>
            </w:tcBorders>
            <w:shd w:val="clear" w:color="auto" w:fill="F2F2F2" w:themeFill="background1" w:themeFillShade="F2"/>
            <w:vAlign w:val="center"/>
          </w:tcPr>
          <w:p w14:paraId="68208F5A" w14:textId="399AD31A"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6.4</w:t>
            </w:r>
          </w:p>
        </w:tc>
        <w:tc>
          <w:tcPr>
            <w:tcW w:w="1152" w:type="dxa"/>
            <w:tcBorders>
              <w:top w:val="nil"/>
              <w:bottom w:val="nil"/>
            </w:tcBorders>
            <w:shd w:val="clear" w:color="auto" w:fill="F2F2F2" w:themeFill="background1" w:themeFillShade="F2"/>
            <w:noWrap/>
            <w:vAlign w:val="center"/>
          </w:tcPr>
          <w:p w14:paraId="442860C3" w14:textId="7A6AE2E1"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nil"/>
              <w:bottom w:val="nil"/>
            </w:tcBorders>
            <w:shd w:val="clear" w:color="auto" w:fill="F2F2F2" w:themeFill="background1" w:themeFillShade="F2"/>
            <w:noWrap/>
            <w:vAlign w:val="center"/>
          </w:tcPr>
          <w:p w14:paraId="5C14F659" w14:textId="5549108C"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0.412</w:t>
            </w:r>
          </w:p>
        </w:tc>
        <w:tc>
          <w:tcPr>
            <w:tcW w:w="1152" w:type="dxa"/>
            <w:tcBorders>
              <w:top w:val="nil"/>
              <w:bottom w:val="nil"/>
            </w:tcBorders>
            <w:shd w:val="clear" w:color="auto" w:fill="F2F2F2" w:themeFill="background1" w:themeFillShade="F2"/>
            <w:noWrap/>
            <w:vAlign w:val="center"/>
          </w:tcPr>
          <w:p w14:paraId="2B3BA88C" w14:textId="40A98849"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1.697</w:t>
            </w:r>
          </w:p>
        </w:tc>
      </w:tr>
      <w:tr w:rsidR="0003077D" w:rsidRPr="002A4C64" w14:paraId="6BE83DE2" w14:textId="77777777" w:rsidTr="00C4173F">
        <w:trPr>
          <w:trHeight w:val="315"/>
          <w:jc w:val="center"/>
        </w:trPr>
        <w:tc>
          <w:tcPr>
            <w:tcW w:w="475" w:type="dxa"/>
            <w:vMerge/>
            <w:tcBorders>
              <w:left w:val="single" w:sz="4" w:space="0" w:color="auto"/>
              <w:right w:val="single" w:sz="4" w:space="0" w:color="auto"/>
            </w:tcBorders>
            <w:shd w:val="clear" w:color="auto" w:fill="BFBFBF" w:themeFill="background1" w:themeFillShade="BF"/>
            <w:vAlign w:val="center"/>
          </w:tcPr>
          <w:p w14:paraId="1C7D385E" w14:textId="1AA7DAD1" w:rsidR="0003077D" w:rsidRPr="002A4C64" w:rsidRDefault="0003077D" w:rsidP="0003077D">
            <w:pPr>
              <w:spacing w:line="240" w:lineRule="auto"/>
              <w:jc w:val="left"/>
              <w:rPr>
                <w:rFonts w:asciiTheme="majorBidi" w:eastAsia="Times New Roman" w:hAnsiTheme="majorBidi" w:cstheme="majorBidi"/>
                <w:i/>
                <w:iCs/>
                <w:color w:val="000000"/>
                <w:sz w:val="22"/>
                <w:szCs w:val="22"/>
              </w:rPr>
            </w:pPr>
          </w:p>
        </w:tc>
        <w:tc>
          <w:tcPr>
            <w:tcW w:w="1357" w:type="dxa"/>
            <w:tcBorders>
              <w:top w:val="nil"/>
              <w:left w:val="single" w:sz="4" w:space="0" w:color="auto"/>
              <w:bottom w:val="nil"/>
              <w:right w:val="dashed" w:sz="4" w:space="0" w:color="auto"/>
            </w:tcBorders>
            <w:shd w:val="clear" w:color="auto" w:fill="FFFFFF" w:themeFill="background1"/>
            <w:vAlign w:val="center"/>
          </w:tcPr>
          <w:p w14:paraId="48EDA33B" w14:textId="5A3FB2EC"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41 Fly Ash</w:t>
            </w:r>
          </w:p>
        </w:tc>
        <w:tc>
          <w:tcPr>
            <w:tcW w:w="1152" w:type="dxa"/>
            <w:tcBorders>
              <w:top w:val="nil"/>
              <w:left w:val="dashed" w:sz="4" w:space="0" w:color="auto"/>
              <w:bottom w:val="nil"/>
              <w:right w:val="dashed" w:sz="4" w:space="0" w:color="auto"/>
            </w:tcBorders>
            <w:shd w:val="clear" w:color="auto" w:fill="FFFFFF" w:themeFill="background1"/>
            <w:noWrap/>
            <w:vAlign w:val="center"/>
          </w:tcPr>
          <w:p w14:paraId="0AE83D0D" w14:textId="01E1A7C3"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40.9</w:t>
            </w:r>
          </w:p>
        </w:tc>
        <w:tc>
          <w:tcPr>
            <w:tcW w:w="1065" w:type="dxa"/>
            <w:tcBorders>
              <w:top w:val="nil"/>
              <w:left w:val="dashed" w:sz="4" w:space="0" w:color="auto"/>
              <w:bottom w:val="nil"/>
            </w:tcBorders>
            <w:shd w:val="clear" w:color="auto" w:fill="FFFFFF" w:themeFill="background1"/>
            <w:vAlign w:val="center"/>
          </w:tcPr>
          <w:p w14:paraId="0A7AD978" w14:textId="034534D1"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6.4</w:t>
            </w:r>
          </w:p>
        </w:tc>
        <w:tc>
          <w:tcPr>
            <w:tcW w:w="1152" w:type="dxa"/>
            <w:tcBorders>
              <w:top w:val="nil"/>
              <w:bottom w:val="nil"/>
            </w:tcBorders>
            <w:shd w:val="clear" w:color="auto" w:fill="FFFFFF" w:themeFill="background1"/>
            <w:noWrap/>
            <w:vAlign w:val="center"/>
          </w:tcPr>
          <w:p w14:paraId="25F5777C" w14:textId="51D27FB1"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nil"/>
              <w:bottom w:val="nil"/>
            </w:tcBorders>
            <w:shd w:val="clear" w:color="auto" w:fill="FFFFFF" w:themeFill="background1"/>
            <w:noWrap/>
            <w:vAlign w:val="center"/>
          </w:tcPr>
          <w:p w14:paraId="54F58DF0" w14:textId="23007036"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0.818</w:t>
            </w:r>
          </w:p>
        </w:tc>
        <w:tc>
          <w:tcPr>
            <w:tcW w:w="1152" w:type="dxa"/>
            <w:tcBorders>
              <w:top w:val="nil"/>
              <w:bottom w:val="nil"/>
            </w:tcBorders>
            <w:shd w:val="clear" w:color="auto" w:fill="FFFFFF" w:themeFill="background1"/>
            <w:noWrap/>
            <w:vAlign w:val="center"/>
          </w:tcPr>
          <w:p w14:paraId="6B530B5F" w14:textId="1381E6D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1.263</w:t>
            </w:r>
          </w:p>
        </w:tc>
      </w:tr>
      <w:tr w:rsidR="0003077D" w:rsidRPr="002A4C64" w14:paraId="22BE866E" w14:textId="77777777" w:rsidTr="00C4173F">
        <w:trPr>
          <w:trHeight w:val="315"/>
          <w:jc w:val="center"/>
        </w:trPr>
        <w:tc>
          <w:tcPr>
            <w:tcW w:w="47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D0DD496" w14:textId="6BD7AFBD" w:rsidR="0003077D" w:rsidRPr="002A4C64" w:rsidRDefault="0003077D" w:rsidP="0003077D">
            <w:pPr>
              <w:spacing w:line="240" w:lineRule="auto"/>
              <w:jc w:val="left"/>
              <w:rPr>
                <w:rFonts w:asciiTheme="majorBidi" w:eastAsia="Times New Roman" w:hAnsiTheme="majorBidi" w:cstheme="majorBidi"/>
                <w:i/>
                <w:iCs/>
                <w:color w:val="000000"/>
                <w:sz w:val="22"/>
                <w:szCs w:val="22"/>
              </w:rPr>
            </w:pPr>
          </w:p>
        </w:tc>
        <w:tc>
          <w:tcPr>
            <w:tcW w:w="1357" w:type="dxa"/>
            <w:tcBorders>
              <w:top w:val="nil"/>
              <w:left w:val="single" w:sz="4" w:space="0" w:color="auto"/>
              <w:bottom w:val="single" w:sz="4" w:space="0" w:color="auto"/>
              <w:right w:val="dashed" w:sz="4" w:space="0" w:color="auto"/>
            </w:tcBorders>
            <w:shd w:val="clear" w:color="auto" w:fill="F2F2F2" w:themeFill="background1" w:themeFillShade="F2"/>
            <w:vAlign w:val="center"/>
          </w:tcPr>
          <w:p w14:paraId="79420416" w14:textId="3AD26880" w:rsidR="0003077D" w:rsidRPr="002A4C64" w:rsidRDefault="0003077D" w:rsidP="00C4173F">
            <w:pPr>
              <w:spacing w:line="240" w:lineRule="auto"/>
              <w:rPr>
                <w:rFonts w:asciiTheme="majorBidi" w:eastAsia="Times New Roman" w:hAnsiTheme="majorBidi" w:cstheme="majorBidi"/>
                <w:i/>
                <w:iCs/>
                <w:color w:val="000000"/>
                <w:sz w:val="22"/>
                <w:szCs w:val="22"/>
              </w:rPr>
            </w:pPr>
            <w:r>
              <w:rPr>
                <w:rFonts w:asciiTheme="majorBidi" w:eastAsia="Times New Roman" w:hAnsiTheme="majorBidi" w:cstheme="majorBidi"/>
                <w:i/>
                <w:iCs/>
                <w:color w:val="000000"/>
                <w:sz w:val="22"/>
                <w:szCs w:val="22"/>
              </w:rPr>
              <w:t>63</w:t>
            </w:r>
            <w:r w:rsidRPr="002A4C64">
              <w:rPr>
                <w:rFonts w:asciiTheme="majorBidi" w:eastAsia="Times New Roman" w:hAnsiTheme="majorBidi" w:cstheme="majorBidi"/>
                <w:i/>
                <w:iCs/>
                <w:color w:val="000000"/>
                <w:sz w:val="22"/>
                <w:szCs w:val="22"/>
              </w:rPr>
              <w:t xml:space="preserve"> Fly Ash</w:t>
            </w:r>
          </w:p>
        </w:tc>
        <w:tc>
          <w:tcPr>
            <w:tcW w:w="1152" w:type="dxa"/>
            <w:tcBorders>
              <w:top w:val="nil"/>
              <w:left w:val="dashed" w:sz="4" w:space="0" w:color="auto"/>
              <w:bottom w:val="single" w:sz="4" w:space="0" w:color="auto"/>
              <w:right w:val="dashed" w:sz="4" w:space="0" w:color="auto"/>
            </w:tcBorders>
            <w:shd w:val="clear" w:color="auto" w:fill="F2F2F2" w:themeFill="background1" w:themeFillShade="F2"/>
            <w:noWrap/>
            <w:vAlign w:val="center"/>
          </w:tcPr>
          <w:p w14:paraId="06A14AD9" w14:textId="5F9BDB89"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63.1</w:t>
            </w:r>
          </w:p>
        </w:tc>
        <w:tc>
          <w:tcPr>
            <w:tcW w:w="1065" w:type="dxa"/>
            <w:tcBorders>
              <w:top w:val="nil"/>
              <w:left w:val="dashed" w:sz="4" w:space="0" w:color="auto"/>
              <w:bottom w:val="single" w:sz="4" w:space="0" w:color="auto"/>
            </w:tcBorders>
            <w:shd w:val="clear" w:color="auto" w:fill="F2F2F2" w:themeFill="background1" w:themeFillShade="F2"/>
            <w:vAlign w:val="center"/>
          </w:tcPr>
          <w:p w14:paraId="74C11DD4" w14:textId="71B1DFB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6.4</w:t>
            </w:r>
          </w:p>
        </w:tc>
        <w:tc>
          <w:tcPr>
            <w:tcW w:w="1152" w:type="dxa"/>
            <w:tcBorders>
              <w:top w:val="nil"/>
              <w:bottom w:val="single" w:sz="4" w:space="0" w:color="auto"/>
            </w:tcBorders>
            <w:shd w:val="clear" w:color="auto" w:fill="F2F2F2" w:themeFill="background1" w:themeFillShade="F2"/>
            <w:noWrap/>
            <w:vAlign w:val="center"/>
          </w:tcPr>
          <w:p w14:paraId="2FA2344B" w14:textId="77954FF7"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2</w:t>
            </w:r>
          </w:p>
        </w:tc>
        <w:tc>
          <w:tcPr>
            <w:tcW w:w="1178" w:type="dxa"/>
            <w:tcBorders>
              <w:top w:val="nil"/>
              <w:bottom w:val="single" w:sz="4" w:space="0" w:color="auto"/>
            </w:tcBorders>
            <w:shd w:val="clear" w:color="auto" w:fill="F2F2F2" w:themeFill="background1" w:themeFillShade="F2"/>
            <w:noWrap/>
            <w:vAlign w:val="center"/>
          </w:tcPr>
          <w:p w14:paraId="7CBCF8D5" w14:textId="62139AFA"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1.262</w:t>
            </w:r>
          </w:p>
        </w:tc>
        <w:tc>
          <w:tcPr>
            <w:tcW w:w="1152" w:type="dxa"/>
            <w:tcBorders>
              <w:top w:val="nil"/>
              <w:bottom w:val="single" w:sz="4" w:space="0" w:color="auto"/>
            </w:tcBorders>
            <w:shd w:val="clear" w:color="auto" w:fill="F2F2F2" w:themeFill="background1" w:themeFillShade="F2"/>
            <w:noWrap/>
            <w:vAlign w:val="center"/>
          </w:tcPr>
          <w:p w14:paraId="78A3108A" w14:textId="5031E1BB" w:rsidR="0003077D" w:rsidRPr="002A4C64" w:rsidRDefault="0003077D" w:rsidP="00C4173F">
            <w:pPr>
              <w:spacing w:line="240" w:lineRule="auto"/>
              <w:rPr>
                <w:rFonts w:asciiTheme="majorBidi" w:eastAsia="Times New Roman" w:hAnsiTheme="majorBidi" w:cstheme="majorBidi"/>
                <w:i/>
                <w:iCs/>
                <w:color w:val="000000"/>
                <w:sz w:val="22"/>
                <w:szCs w:val="22"/>
              </w:rPr>
            </w:pPr>
            <w:r w:rsidRPr="002A4C64">
              <w:rPr>
                <w:rFonts w:asciiTheme="majorBidi" w:eastAsia="Times New Roman" w:hAnsiTheme="majorBidi" w:cstheme="majorBidi"/>
                <w:i/>
                <w:iCs/>
                <w:color w:val="000000"/>
                <w:sz w:val="22"/>
                <w:szCs w:val="22"/>
              </w:rPr>
              <w:t>0.788</w:t>
            </w:r>
          </w:p>
        </w:tc>
      </w:tr>
    </w:tbl>
    <w:p w14:paraId="26867055" w14:textId="542CFB9D" w:rsidR="007F0BEF" w:rsidRDefault="00A9340E" w:rsidP="002F4C46">
      <w:pPr>
        <w:jc w:val="both"/>
        <w:rPr>
          <w:rFonts w:eastAsiaTheme="minorEastAsia"/>
        </w:rPr>
      </w:pPr>
      <w:r w:rsidRPr="00A9340E">
        <w:tab/>
      </w:r>
      <w:r w:rsidR="007F0BEF" w:rsidRPr="007F0BEF">
        <w:rPr>
          <w:rFonts w:eastAsiaTheme="minorEastAsia"/>
        </w:rPr>
        <w:tab/>
      </w:r>
    </w:p>
    <w:p w14:paraId="14752195" w14:textId="77777777" w:rsidR="0003077D" w:rsidRDefault="0003077D" w:rsidP="00241249">
      <w:pPr>
        <w:ind w:firstLine="720"/>
        <w:jc w:val="both"/>
        <w:rPr>
          <w:rFonts w:eastAsiaTheme="minorEastAsia"/>
        </w:rPr>
      </w:pPr>
    </w:p>
    <w:p w14:paraId="0E9025E7" w14:textId="127884D6" w:rsidR="007F0BEF" w:rsidRDefault="00241249" w:rsidP="00463893">
      <w:pPr>
        <w:ind w:firstLine="720"/>
        <w:jc w:val="both"/>
        <w:rPr>
          <w:rFonts w:eastAsiaTheme="minorEastAsia"/>
        </w:rPr>
      </w:pPr>
      <w:r>
        <w:rPr>
          <w:rFonts w:eastAsiaTheme="minorEastAsia"/>
        </w:rPr>
        <w:t>The samples were</w:t>
      </w:r>
      <w:r w:rsidR="00C01839">
        <w:rPr>
          <w:rFonts w:eastAsiaTheme="minorEastAsia"/>
        </w:rPr>
        <w:t xml:space="preserve"> dry mixed in the quantities presented in </w:t>
      </w:r>
      <w:r w:rsidR="006C4B95">
        <w:rPr>
          <w:rFonts w:eastAsiaTheme="minorEastAsia"/>
        </w:rPr>
        <w:fldChar w:fldCharType="begin"/>
      </w:r>
      <w:r w:rsidR="006C4B95">
        <w:rPr>
          <w:rFonts w:eastAsiaTheme="minorEastAsia"/>
        </w:rPr>
        <w:instrText xml:space="preserve"> REF _Ref437867921 \h </w:instrText>
      </w:r>
      <w:r w:rsidR="006C4B95">
        <w:rPr>
          <w:rFonts w:eastAsiaTheme="minorEastAsia"/>
        </w:rPr>
      </w:r>
      <w:r w:rsidR="006C4B95">
        <w:rPr>
          <w:rFonts w:eastAsiaTheme="minorEastAsia"/>
        </w:rPr>
        <w:fldChar w:fldCharType="separate"/>
      </w:r>
      <w:r w:rsidR="00E90148">
        <w:t xml:space="preserve">Table </w:t>
      </w:r>
      <w:r w:rsidR="00E90148">
        <w:rPr>
          <w:noProof/>
        </w:rPr>
        <w:t>5</w:t>
      </w:r>
      <w:r w:rsidR="006C4B95">
        <w:rPr>
          <w:rFonts w:eastAsiaTheme="minorEastAsia"/>
        </w:rPr>
        <w:fldChar w:fldCharType="end"/>
      </w:r>
      <w:r w:rsidR="00C01839">
        <w:rPr>
          <w:rFonts w:eastAsiaTheme="minorEastAsia"/>
        </w:rPr>
        <w:t xml:space="preserve"> to reduce the amount of sta</w:t>
      </w:r>
      <w:r>
        <w:rPr>
          <w:rFonts w:eastAsiaTheme="minorEastAsia"/>
        </w:rPr>
        <w:t>bilizer agglomerations that would</w:t>
      </w:r>
      <w:r w:rsidR="00C01839">
        <w:rPr>
          <w:rFonts w:eastAsiaTheme="minorEastAsia"/>
        </w:rPr>
        <w:t xml:space="preserve"> form after water </w:t>
      </w:r>
      <w:r w:rsidR="00463893">
        <w:rPr>
          <w:rFonts w:eastAsiaTheme="minorEastAsia"/>
        </w:rPr>
        <w:t>wa</w:t>
      </w:r>
      <w:r w:rsidR="00C01839">
        <w:rPr>
          <w:rFonts w:eastAsiaTheme="minorEastAsia"/>
        </w:rPr>
        <w:t>s added. For OHC samp</w:t>
      </w:r>
      <w:r>
        <w:rPr>
          <w:rFonts w:eastAsiaTheme="minorEastAsia"/>
        </w:rPr>
        <w:t>les, 3000mL of tap water was</w:t>
      </w:r>
      <w:r w:rsidR="00C01839">
        <w:rPr>
          <w:rFonts w:eastAsiaTheme="minorEastAsia"/>
        </w:rPr>
        <w:t xml:space="preserve"> added to induce pozzolanic reactions and to produce a highly workable mix.  For SGB sam</w:t>
      </w:r>
      <w:r>
        <w:rPr>
          <w:rFonts w:eastAsiaTheme="minorEastAsia"/>
        </w:rPr>
        <w:t>ple, 8000mL of tap water was</w:t>
      </w:r>
      <w:r w:rsidR="00C01839">
        <w:rPr>
          <w:rFonts w:eastAsiaTheme="minorEastAsia"/>
        </w:rPr>
        <w:t xml:space="preserve"> added fo</w:t>
      </w:r>
      <w:r>
        <w:rPr>
          <w:rFonts w:eastAsiaTheme="minorEastAsia"/>
        </w:rPr>
        <w:t>r the same reasons. SGB required</w:t>
      </w:r>
      <w:r w:rsidR="00C01839">
        <w:rPr>
          <w:rFonts w:eastAsiaTheme="minorEastAsia"/>
        </w:rPr>
        <w:t xml:space="preserve"> significantly more water because it is a highly expansive </w:t>
      </w:r>
      <w:r>
        <w:rPr>
          <w:rFonts w:eastAsiaTheme="minorEastAsia"/>
        </w:rPr>
        <w:t xml:space="preserve">montmorillonite </w:t>
      </w:r>
      <w:r w:rsidR="00C01839">
        <w:rPr>
          <w:rFonts w:eastAsiaTheme="minorEastAsia"/>
        </w:rPr>
        <w:t xml:space="preserve">clay with </w:t>
      </w:r>
      <w:r w:rsidR="005E1295">
        <w:rPr>
          <w:rFonts w:eastAsiaTheme="minorEastAsia"/>
        </w:rPr>
        <w:t>more absorptive properties. All</w:t>
      </w:r>
      <w:r>
        <w:rPr>
          <w:rFonts w:eastAsiaTheme="minorEastAsia"/>
        </w:rPr>
        <w:t xml:space="preserve"> samples were</w:t>
      </w:r>
      <w:r w:rsidR="00C01839">
        <w:rPr>
          <w:rFonts w:eastAsiaTheme="minorEastAsia"/>
        </w:rPr>
        <w:t xml:space="preserve"> mixed </w:t>
      </w:r>
      <w:r w:rsidR="005E1295">
        <w:rPr>
          <w:rFonts w:eastAsiaTheme="minorEastAsia"/>
        </w:rPr>
        <w:t xml:space="preserve">for five minutes </w:t>
      </w:r>
      <w:r w:rsidR="00510B1C">
        <w:rPr>
          <w:rFonts w:eastAsiaTheme="minorEastAsia"/>
        </w:rPr>
        <w:t>using a mechanical blender</w:t>
      </w:r>
      <w:r w:rsidR="005E1295">
        <w:rPr>
          <w:rFonts w:eastAsiaTheme="minorEastAsia"/>
        </w:rPr>
        <w:t xml:space="preserve"> with a wire whisk attachment as seen in</w:t>
      </w:r>
      <w:r w:rsidR="00876D8D">
        <w:rPr>
          <w:rFonts w:eastAsiaTheme="minorEastAsia"/>
        </w:rPr>
        <w:t xml:space="preserve"> </w:t>
      </w:r>
      <w:r w:rsidR="00876D8D">
        <w:rPr>
          <w:rFonts w:eastAsiaTheme="minorEastAsia"/>
        </w:rPr>
        <w:fldChar w:fldCharType="begin"/>
      </w:r>
      <w:r w:rsidR="00876D8D">
        <w:rPr>
          <w:rFonts w:eastAsiaTheme="minorEastAsia"/>
        </w:rPr>
        <w:instrText xml:space="preserve"> REF _Ref437863328 \h </w:instrText>
      </w:r>
      <w:r w:rsidR="00876D8D">
        <w:rPr>
          <w:rFonts w:eastAsiaTheme="minorEastAsia"/>
        </w:rPr>
      </w:r>
      <w:r w:rsidR="00876D8D">
        <w:rPr>
          <w:rFonts w:eastAsiaTheme="minorEastAsia"/>
        </w:rPr>
        <w:fldChar w:fldCharType="separate"/>
      </w:r>
      <w:r w:rsidR="00E90148">
        <w:t xml:space="preserve">Figure </w:t>
      </w:r>
      <w:r w:rsidR="00E90148">
        <w:rPr>
          <w:noProof/>
        </w:rPr>
        <w:t>5</w:t>
      </w:r>
      <w:r w:rsidR="00876D8D">
        <w:rPr>
          <w:rFonts w:eastAsiaTheme="minorEastAsia"/>
        </w:rPr>
        <w:fldChar w:fldCharType="end"/>
      </w:r>
      <w:r w:rsidR="005E1295">
        <w:rPr>
          <w:rFonts w:eastAsiaTheme="minorEastAsia"/>
        </w:rPr>
        <w:t xml:space="preserve">. </w:t>
      </w:r>
      <w:r w:rsidR="008D0FC1">
        <w:rPr>
          <w:rFonts w:eastAsiaTheme="minorEastAsia"/>
        </w:rPr>
        <w:t xml:space="preserve"> </w:t>
      </w:r>
    </w:p>
    <w:p w14:paraId="7EF1517B" w14:textId="77777777" w:rsidR="005E1295" w:rsidRPr="007F0BEF" w:rsidRDefault="005E1295" w:rsidP="005E1295">
      <w:pPr>
        <w:ind w:firstLine="720"/>
        <w:jc w:val="both"/>
        <w:rPr>
          <w:rFonts w:eastAsiaTheme="minorEastAsia"/>
        </w:rPr>
      </w:pPr>
    </w:p>
    <w:p w14:paraId="3EA64F55" w14:textId="77777777" w:rsidR="005E1295" w:rsidRPr="007F0BEF" w:rsidRDefault="005E1295" w:rsidP="005E1295">
      <w:pPr>
        <w:rPr>
          <w:rFonts w:eastAsiaTheme="minorEastAsia"/>
        </w:rPr>
      </w:pPr>
      <w:r w:rsidRPr="007F0BEF">
        <w:rPr>
          <w:rFonts w:eastAsiaTheme="minorEastAsia"/>
          <w:noProof/>
        </w:rPr>
        <w:drawing>
          <wp:inline distT="0" distB="0" distL="0" distR="0" wp14:anchorId="2ACCBBF0" wp14:editId="19061F9D">
            <wp:extent cx="3414783" cy="2743200"/>
            <wp:effectExtent l="0" t="7302" r="7302" b="7303"/>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026.JPG"/>
                    <pic:cNvPicPr/>
                  </pic:nvPicPr>
                  <pic:blipFill rotWithShape="1">
                    <a:blip r:embed="rId19" cstate="print">
                      <a:extLst>
                        <a:ext uri="{28A0092B-C50C-407E-A947-70E740481C1C}">
                          <a14:useLocalDpi xmlns:a14="http://schemas.microsoft.com/office/drawing/2010/main" val="0"/>
                        </a:ext>
                      </a:extLst>
                    </a:blip>
                    <a:srcRect l="5633" t="15545" r="30047" b="15277"/>
                    <a:stretch/>
                  </pic:blipFill>
                  <pic:spPr bwMode="auto">
                    <a:xfrm rot="5400000">
                      <a:off x="0" y="0"/>
                      <a:ext cx="3414783" cy="2743200"/>
                    </a:xfrm>
                    <a:prstGeom prst="roundRect">
                      <a:avLst/>
                    </a:prstGeom>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820BF3B" w14:textId="0F870C7F" w:rsidR="007F0BEF" w:rsidRDefault="00F726A5" w:rsidP="00F726A5">
      <w:pPr>
        <w:pStyle w:val="Caption"/>
      </w:pPr>
      <w:bookmarkStart w:id="26" w:name="_Ref437863328"/>
      <w:bookmarkStart w:id="27" w:name="_Toc437863881"/>
      <w:bookmarkStart w:id="28" w:name="_Toc447755343"/>
      <w:r>
        <w:t xml:space="preserve">Figure </w:t>
      </w:r>
      <w:r w:rsidR="00184FC2">
        <w:fldChar w:fldCharType="begin"/>
      </w:r>
      <w:r w:rsidR="00184FC2">
        <w:instrText xml:space="preserve"> SEQ Figure \* ARABIC </w:instrText>
      </w:r>
      <w:r w:rsidR="00184FC2">
        <w:fldChar w:fldCharType="separate"/>
      </w:r>
      <w:r w:rsidR="00E90148">
        <w:rPr>
          <w:noProof/>
        </w:rPr>
        <w:t>5</w:t>
      </w:r>
      <w:r w:rsidR="00184FC2">
        <w:rPr>
          <w:noProof/>
        </w:rPr>
        <w:fldChar w:fldCharType="end"/>
      </w:r>
      <w:bookmarkEnd w:id="26"/>
      <w:r>
        <w:t xml:space="preserve">: </w:t>
      </w:r>
      <w:r w:rsidRPr="00AB50A1">
        <w:t xml:space="preserve">Mixing Samples </w:t>
      </w:r>
      <w:r>
        <w:t>with a Mechanical Blender</w:t>
      </w:r>
      <w:bookmarkEnd w:id="27"/>
      <w:bookmarkEnd w:id="28"/>
    </w:p>
    <w:p w14:paraId="4AF71FEE" w14:textId="77777777" w:rsidR="00F726A5" w:rsidRPr="00F726A5" w:rsidRDefault="00F726A5" w:rsidP="00F726A5"/>
    <w:p w14:paraId="31F10184" w14:textId="714980A8" w:rsidR="0038076C" w:rsidRPr="007F0BEF" w:rsidRDefault="00782EE5" w:rsidP="00027915">
      <w:pPr>
        <w:jc w:val="both"/>
        <w:rPr>
          <w:rFonts w:eastAsiaTheme="minorEastAsia"/>
        </w:rPr>
      </w:pPr>
      <w:r>
        <w:rPr>
          <w:rFonts w:eastAsiaTheme="minorEastAsia"/>
        </w:rPr>
        <w:tab/>
      </w:r>
      <w:r w:rsidR="004A75EB">
        <w:rPr>
          <w:rFonts w:eastAsiaTheme="minorEastAsia"/>
        </w:rPr>
        <w:t>After blending</w:t>
      </w:r>
      <w:r w:rsidR="00241249">
        <w:rPr>
          <w:rFonts w:eastAsiaTheme="minorEastAsia"/>
        </w:rPr>
        <w:t>, the mixes were</w:t>
      </w:r>
      <w:r w:rsidR="005E1295">
        <w:rPr>
          <w:rFonts w:eastAsiaTheme="minorEastAsia"/>
        </w:rPr>
        <w:t xml:space="preserve"> air drie</w:t>
      </w:r>
      <w:r w:rsidR="00463893">
        <w:rPr>
          <w:rFonts w:eastAsiaTheme="minorEastAsia"/>
        </w:rPr>
        <w:t xml:space="preserve">d for two to four weeks. </w:t>
      </w:r>
      <w:r w:rsidR="00027915">
        <w:rPr>
          <w:rFonts w:eastAsiaTheme="minorEastAsia"/>
        </w:rPr>
        <w:t>It wa</w:t>
      </w:r>
      <w:r w:rsidR="0057214B">
        <w:rPr>
          <w:rFonts w:eastAsiaTheme="minorEastAsia"/>
        </w:rPr>
        <w:t xml:space="preserve">s important that </w:t>
      </w:r>
      <w:r w:rsidR="00027915">
        <w:rPr>
          <w:rFonts w:eastAsiaTheme="minorEastAsia"/>
        </w:rPr>
        <w:t>the samples were</w:t>
      </w:r>
      <w:r w:rsidR="0057214B">
        <w:rPr>
          <w:rFonts w:eastAsiaTheme="minorEastAsia"/>
        </w:rPr>
        <w:t xml:space="preserve"> not oven dried. This </w:t>
      </w:r>
      <w:r w:rsidR="00027915">
        <w:rPr>
          <w:rFonts w:eastAsiaTheme="minorEastAsia"/>
        </w:rPr>
        <w:t>wa</w:t>
      </w:r>
      <w:r w:rsidR="0057214B">
        <w:rPr>
          <w:rFonts w:eastAsiaTheme="minorEastAsia"/>
        </w:rPr>
        <w:t>s because</w:t>
      </w:r>
      <w:r w:rsidR="005E1295">
        <w:rPr>
          <w:rFonts w:eastAsiaTheme="minorEastAsia"/>
        </w:rPr>
        <w:t xml:space="preserve"> kaolinite </w:t>
      </w:r>
      <w:r w:rsidR="00DF60A7">
        <w:rPr>
          <w:rFonts w:eastAsiaTheme="minorEastAsia"/>
        </w:rPr>
        <w:t xml:space="preserve">disintegrates at </w:t>
      </w:r>
      <w:r w:rsidR="00DF60A7">
        <w:rPr>
          <w:rFonts w:eastAsiaTheme="minorEastAsia"/>
        </w:rPr>
        <w:lastRenderedPageBreak/>
        <w:t>temperatures near 550</w:t>
      </w:r>
      <w:r w:rsidR="00DF60A7">
        <w:rPr>
          <w:rFonts w:eastAsiaTheme="minorEastAsia" w:cs="Times New Roman"/>
        </w:rPr>
        <w:t>°</w:t>
      </w:r>
      <w:r w:rsidR="00DF60A7">
        <w:rPr>
          <w:rFonts w:eastAsiaTheme="minorEastAsia"/>
        </w:rPr>
        <w:t>C (Insley and Ewell 1935).</w:t>
      </w:r>
      <w:r w:rsidR="005E1295">
        <w:rPr>
          <w:rFonts w:eastAsiaTheme="minorEastAsia"/>
        </w:rPr>
        <w:t xml:space="preserve"> </w:t>
      </w:r>
      <w:r w:rsidR="008E09E2">
        <w:rPr>
          <w:rFonts w:eastAsiaTheme="minorEastAsia"/>
        </w:rPr>
        <w:t>Once dry, a</w:t>
      </w:r>
      <w:r w:rsidR="00994BEA">
        <w:rPr>
          <w:rFonts w:eastAsiaTheme="minorEastAsia"/>
        </w:rPr>
        <w:t xml:space="preserve"> sample of each of these mixes w</w:t>
      </w:r>
      <w:r w:rsidR="00241249">
        <w:rPr>
          <w:rFonts w:eastAsiaTheme="minorEastAsia"/>
        </w:rPr>
        <w:t>as</w:t>
      </w:r>
      <w:r w:rsidR="00994BEA">
        <w:rPr>
          <w:rFonts w:eastAsiaTheme="minorEastAsia"/>
        </w:rPr>
        <w:t xml:space="preserve"> mailed to ALSglobal where it w</w:t>
      </w:r>
      <w:r w:rsidR="00241249">
        <w:rPr>
          <w:rFonts w:eastAsiaTheme="minorEastAsia"/>
        </w:rPr>
        <w:t>as</w:t>
      </w:r>
      <w:r w:rsidR="00994BEA">
        <w:rPr>
          <w:rFonts w:eastAsiaTheme="minorEastAsia"/>
        </w:rPr>
        <w:t xml:space="preserve"> subjected to a whole rock analysis</w:t>
      </w:r>
      <w:r w:rsidR="00607A42">
        <w:rPr>
          <w:rFonts w:eastAsiaTheme="minorEastAsia"/>
        </w:rPr>
        <w:t xml:space="preserve"> to determine </w:t>
      </w:r>
      <w:r w:rsidR="00241249">
        <w:rPr>
          <w:rFonts w:eastAsiaTheme="minorEastAsia"/>
        </w:rPr>
        <w:t xml:space="preserve">the </w:t>
      </w:r>
      <w:r w:rsidR="00607A42">
        <w:rPr>
          <w:rFonts w:eastAsiaTheme="minorEastAsia"/>
        </w:rPr>
        <w:t xml:space="preserve">CaO content in </w:t>
      </w:r>
      <w:r w:rsidR="00241249">
        <w:rPr>
          <w:rFonts w:eastAsiaTheme="minorEastAsia"/>
        </w:rPr>
        <w:t>each sample</w:t>
      </w:r>
      <w:r w:rsidR="00994BEA">
        <w:rPr>
          <w:rFonts w:eastAsiaTheme="minorEastAsia"/>
        </w:rPr>
        <w:t xml:space="preserve">. </w:t>
      </w:r>
      <w:r w:rsidR="008E09E2">
        <w:rPr>
          <w:rFonts w:eastAsiaTheme="minorEastAsia"/>
        </w:rPr>
        <w:t>T</w:t>
      </w:r>
      <w:r w:rsidR="00994BEA">
        <w:rPr>
          <w:rFonts w:eastAsiaTheme="minorEastAsia"/>
        </w:rPr>
        <w:t xml:space="preserve">heir </w:t>
      </w:r>
      <w:r w:rsidR="00241249">
        <w:rPr>
          <w:rFonts w:eastAsiaTheme="minorEastAsia"/>
        </w:rPr>
        <w:t xml:space="preserve">CaO </w:t>
      </w:r>
      <w:r w:rsidR="00994BEA">
        <w:rPr>
          <w:rFonts w:eastAsiaTheme="minorEastAsia"/>
        </w:rPr>
        <w:t xml:space="preserve">determinations </w:t>
      </w:r>
      <w:r w:rsidR="00241249">
        <w:rPr>
          <w:rFonts w:eastAsiaTheme="minorEastAsia"/>
        </w:rPr>
        <w:t xml:space="preserve">were </w:t>
      </w:r>
      <w:r w:rsidR="0057214B">
        <w:rPr>
          <w:rFonts w:eastAsiaTheme="minorEastAsia"/>
        </w:rPr>
        <w:t xml:space="preserve">converted into </w:t>
      </w:r>
      <m:oMath>
        <m:r>
          <w:rPr>
            <w:rFonts w:ascii="Cambria Math" w:hAnsi="Cambria Math"/>
          </w:rPr>
          <m:t>SC</m:t>
        </m:r>
      </m:oMath>
      <w:r w:rsidR="0057214B">
        <w:rPr>
          <w:rFonts w:eastAsiaTheme="minorEastAsia"/>
        </w:rPr>
        <w:t xml:space="preserve">s using Equation </w:t>
      </w:r>
      <w:r w:rsidR="0057214B">
        <w:rPr>
          <w:rFonts w:eastAsiaTheme="minorEastAsia"/>
        </w:rPr>
        <w:fldChar w:fldCharType="begin"/>
      </w:r>
      <w:r w:rsidR="0057214B">
        <w:rPr>
          <w:rFonts w:eastAsiaTheme="minorEastAsia"/>
        </w:rPr>
        <w:instrText xml:space="preserve"> REF _Ref442279324 \h </w:instrText>
      </w:r>
      <w:r w:rsidR="0057214B">
        <w:rPr>
          <w:rFonts w:eastAsiaTheme="minorEastAsia"/>
        </w:rPr>
      </w:r>
      <w:r w:rsidR="0057214B">
        <w:rPr>
          <w:rFonts w:eastAsiaTheme="minorEastAsia"/>
        </w:rPr>
        <w:fldChar w:fldCharType="separate"/>
      </w:r>
      <w:r w:rsidR="00E90148" w:rsidRPr="006C4B95">
        <w:rPr>
          <w:sz w:val="20"/>
          <w:szCs w:val="20"/>
        </w:rPr>
        <w:t>(</w:t>
      </w:r>
      <w:r w:rsidR="00E90148">
        <w:rPr>
          <w:noProof/>
          <w:sz w:val="20"/>
          <w:szCs w:val="20"/>
        </w:rPr>
        <w:t>1</w:t>
      </w:r>
      <w:r w:rsidR="0057214B">
        <w:rPr>
          <w:rFonts w:eastAsiaTheme="minorEastAsia"/>
        </w:rPr>
        <w:fldChar w:fldCharType="end"/>
      </w:r>
      <w:r w:rsidR="0057214B">
        <w:rPr>
          <w:rFonts w:eastAsiaTheme="minorEastAsia"/>
        </w:rPr>
        <w:t xml:space="preserve">) and were used as true </w:t>
      </w:r>
      <m:oMath>
        <m:r>
          <w:rPr>
            <w:rFonts w:ascii="Cambria Math" w:hAnsi="Cambria Math"/>
          </w:rPr>
          <m:t>SC</m:t>
        </m:r>
      </m:oMath>
      <w:r w:rsidR="0057214B">
        <w:rPr>
          <w:rFonts w:eastAsiaTheme="minorEastAsia"/>
        </w:rPr>
        <w:t xml:space="preserve"> values for the purposes of this research</w:t>
      </w:r>
      <w:r w:rsidR="00241249">
        <w:rPr>
          <w:rFonts w:eastAsiaTheme="minorEastAsia"/>
        </w:rPr>
        <w:t>.</w:t>
      </w:r>
      <w:r w:rsidR="00994BEA">
        <w:rPr>
          <w:rFonts w:eastAsiaTheme="minorEastAsia"/>
        </w:rPr>
        <w:t xml:space="preserve"> </w:t>
      </w:r>
    </w:p>
    <w:p w14:paraId="1EE62A22" w14:textId="77777777" w:rsidR="007F0BEF" w:rsidRDefault="007F0BEF" w:rsidP="007F0BEF">
      <w:pPr>
        <w:jc w:val="both"/>
        <w:rPr>
          <w:rFonts w:eastAsiaTheme="minorEastAsia"/>
        </w:rPr>
      </w:pPr>
    </w:p>
    <w:p w14:paraId="7EEB2966" w14:textId="6166499C" w:rsidR="007F0BEF" w:rsidRPr="007F0BEF" w:rsidRDefault="001B40D5" w:rsidP="007F0BEF">
      <w:pPr>
        <w:jc w:val="both"/>
        <w:rPr>
          <w:rFonts w:eastAsiaTheme="minorEastAsia"/>
          <w:b/>
        </w:rPr>
      </w:pPr>
      <w:r>
        <w:rPr>
          <w:rFonts w:eastAsiaTheme="minorEastAsia"/>
          <w:b/>
        </w:rPr>
        <w:t>3.4</w:t>
      </w:r>
      <w:r w:rsidR="00A2049D">
        <w:rPr>
          <w:rFonts w:eastAsiaTheme="minorEastAsia"/>
          <w:b/>
        </w:rPr>
        <w:t xml:space="preserve"> Milling</w:t>
      </w:r>
      <w:r w:rsidR="007F0BEF" w:rsidRPr="007F0BEF">
        <w:rPr>
          <w:rFonts w:eastAsiaTheme="minorEastAsia"/>
          <w:b/>
        </w:rPr>
        <w:t xml:space="preserve"> Procedures</w:t>
      </w:r>
    </w:p>
    <w:p w14:paraId="430D4860" w14:textId="1EF1822E" w:rsidR="00170A72" w:rsidRDefault="004A75EB" w:rsidP="0057214B">
      <w:pPr>
        <w:ind w:firstLine="720"/>
        <w:jc w:val="both"/>
        <w:rPr>
          <w:rFonts w:eastAsiaTheme="minorEastAsia"/>
        </w:rPr>
      </w:pPr>
      <w:r>
        <w:rPr>
          <w:rFonts w:eastAsiaTheme="minorEastAsia"/>
        </w:rPr>
        <w:t xml:space="preserve">The </w:t>
      </w:r>
      <w:r w:rsidR="007F0BEF" w:rsidRPr="007F0BEF">
        <w:rPr>
          <w:rFonts w:eastAsiaTheme="minorEastAsia"/>
        </w:rPr>
        <w:t>six OHC mixes</w:t>
      </w:r>
      <w:r w:rsidR="000A4908">
        <w:rPr>
          <w:rFonts w:eastAsiaTheme="minorEastAsia"/>
        </w:rPr>
        <w:t xml:space="preserve">, </w:t>
      </w:r>
      <w:r w:rsidR="007F0BEF" w:rsidRPr="007F0BEF">
        <w:rPr>
          <w:rFonts w:eastAsiaTheme="minorEastAsia"/>
        </w:rPr>
        <w:t>six SGB mixes</w:t>
      </w:r>
      <w:r w:rsidR="000A4908">
        <w:rPr>
          <w:rFonts w:eastAsiaTheme="minorEastAsia"/>
        </w:rPr>
        <w:t>, and</w:t>
      </w:r>
      <w:r w:rsidR="00782EE5">
        <w:rPr>
          <w:rFonts w:eastAsiaTheme="minorEastAsia"/>
        </w:rPr>
        <w:t xml:space="preserve"> two “</w:t>
      </w:r>
      <w:r w:rsidR="009D6CD2">
        <w:rPr>
          <w:rFonts w:eastAsiaTheme="minorEastAsia"/>
        </w:rPr>
        <w:t>raw</w:t>
      </w:r>
      <w:r w:rsidR="00782EE5">
        <w:rPr>
          <w:rFonts w:eastAsiaTheme="minorEastAsia"/>
        </w:rPr>
        <w:t>” samples</w:t>
      </w:r>
      <w:r w:rsidR="0057214B">
        <w:rPr>
          <w:rFonts w:eastAsiaTheme="minorEastAsia"/>
        </w:rPr>
        <w:t xml:space="preserve"> (i.e. samples with not stabilizer additives)</w:t>
      </w:r>
      <w:r w:rsidR="00782EE5">
        <w:rPr>
          <w:rFonts w:eastAsiaTheme="minorEastAsia"/>
        </w:rPr>
        <w:t xml:space="preserve"> </w:t>
      </w:r>
      <w:r w:rsidR="00BB1DF9">
        <w:rPr>
          <w:rFonts w:eastAsiaTheme="minorEastAsia"/>
        </w:rPr>
        <w:t>were</w:t>
      </w:r>
      <w:r>
        <w:rPr>
          <w:rFonts w:eastAsiaTheme="minorEastAsia"/>
        </w:rPr>
        <w:t xml:space="preserve"> </w:t>
      </w:r>
      <w:r w:rsidR="00BB1DF9">
        <w:rPr>
          <w:rFonts w:eastAsiaTheme="minorEastAsia"/>
        </w:rPr>
        <w:t xml:space="preserve">all </w:t>
      </w:r>
      <w:r>
        <w:rPr>
          <w:rFonts w:eastAsiaTheme="minorEastAsia"/>
        </w:rPr>
        <w:t xml:space="preserve">subjected to </w:t>
      </w:r>
      <w:r w:rsidR="00BB1DF9">
        <w:rPr>
          <w:rFonts w:eastAsiaTheme="minorEastAsia"/>
        </w:rPr>
        <w:t xml:space="preserve">different </w:t>
      </w:r>
      <w:r>
        <w:rPr>
          <w:rFonts w:eastAsiaTheme="minorEastAsia"/>
        </w:rPr>
        <w:t xml:space="preserve">sample preparation </w:t>
      </w:r>
      <w:r w:rsidR="00BB1DF9">
        <w:rPr>
          <w:rFonts w:eastAsiaTheme="minorEastAsia"/>
        </w:rPr>
        <w:t>regiments in order to assess the effects of several variables on the precision and accuracy of the PHXRF devices. Milling rigor was the first of t</w:t>
      </w:r>
      <w:r w:rsidR="008E09E2">
        <w:rPr>
          <w:rFonts w:eastAsiaTheme="minorEastAsia"/>
        </w:rPr>
        <w:t>hese variables to be introduced</w:t>
      </w:r>
      <w:r w:rsidR="003047D3">
        <w:rPr>
          <w:rFonts w:eastAsiaTheme="minorEastAsia"/>
        </w:rPr>
        <w:t>.</w:t>
      </w:r>
    </w:p>
    <w:p w14:paraId="390D5080" w14:textId="08F61188" w:rsidR="007F0BEF" w:rsidRPr="007F0BEF" w:rsidRDefault="0012238F" w:rsidP="00BA59B7">
      <w:pPr>
        <w:ind w:firstLine="720"/>
        <w:jc w:val="both"/>
        <w:rPr>
          <w:rFonts w:eastAsiaTheme="minorEastAsia"/>
        </w:rPr>
      </w:pPr>
      <w:r>
        <w:rPr>
          <w:rFonts w:eastAsiaTheme="minorEastAsia"/>
        </w:rPr>
        <w:t xml:space="preserve">It is important to note that </w:t>
      </w:r>
      <w:r w:rsidR="001F4B3C">
        <w:rPr>
          <w:rFonts w:eastAsiaTheme="minorEastAsia"/>
        </w:rPr>
        <w:t>creating a matrix of samples with differen</w:t>
      </w:r>
      <w:r w:rsidR="004239C8">
        <w:rPr>
          <w:rFonts w:eastAsiaTheme="minorEastAsia"/>
        </w:rPr>
        <w:t>t particle sizes is not as straightforward as performing</w:t>
      </w:r>
      <w:r w:rsidR="001F4B3C">
        <w:rPr>
          <w:rFonts w:eastAsiaTheme="minorEastAsia"/>
        </w:rPr>
        <w:t xml:space="preserve"> a standard sieve analysis and creating samples from the material retained in each sieve. </w:t>
      </w:r>
      <w:r w:rsidR="004239C8">
        <w:rPr>
          <w:rFonts w:eastAsiaTheme="minorEastAsia"/>
        </w:rPr>
        <w:t xml:space="preserve">Doing so would </w:t>
      </w:r>
      <w:r w:rsidR="001F4B3C">
        <w:rPr>
          <w:rFonts w:eastAsiaTheme="minorEastAsia"/>
        </w:rPr>
        <w:t xml:space="preserve">producing samples </w:t>
      </w:r>
      <w:r w:rsidR="004239C8">
        <w:rPr>
          <w:rFonts w:eastAsiaTheme="minorEastAsia"/>
        </w:rPr>
        <w:t>that consists of different proportions of coarse and fine fractions (e.g. passing No. 4 sample would primarily consist of coarse material</w:t>
      </w:r>
      <w:r w:rsidR="003047D3">
        <w:rPr>
          <w:rFonts w:eastAsiaTheme="minorEastAsia"/>
        </w:rPr>
        <w:t>,</w:t>
      </w:r>
      <w:r w:rsidR="004239C8">
        <w:rPr>
          <w:rFonts w:eastAsiaTheme="minorEastAsia"/>
        </w:rPr>
        <w:t xml:space="preserve"> passing No. 200 sample would primarily consist of fine material). These samples would therefore contain different </w:t>
      </w:r>
      <w:r w:rsidR="00BB1DF9">
        <w:rPr>
          <w:rFonts w:eastAsiaTheme="minorEastAsia"/>
        </w:rPr>
        <w:t>minerals</w:t>
      </w:r>
      <w:r w:rsidR="00443FEF">
        <w:rPr>
          <w:rFonts w:eastAsiaTheme="minorEastAsia"/>
        </w:rPr>
        <w:t xml:space="preserve"> and elements, making</w:t>
      </w:r>
      <w:r w:rsidR="004239C8">
        <w:rPr>
          <w:rFonts w:eastAsiaTheme="minorEastAsia"/>
        </w:rPr>
        <w:t xml:space="preserve"> it impossible to assess the effects of milling efforts on accuracy. </w:t>
      </w:r>
      <w:r w:rsidR="004D74A7">
        <w:rPr>
          <w:rFonts w:eastAsiaTheme="minorEastAsia"/>
        </w:rPr>
        <w:t xml:space="preserve">Instead, the mixes in this experiment </w:t>
      </w:r>
      <w:r w:rsidR="00BB1DF9">
        <w:rPr>
          <w:rFonts w:eastAsiaTheme="minorEastAsia"/>
        </w:rPr>
        <w:t>underwent</w:t>
      </w:r>
      <w:r w:rsidR="00BA59B7">
        <w:rPr>
          <w:rFonts w:eastAsiaTheme="minorEastAsia"/>
        </w:rPr>
        <w:t xml:space="preserve"> the following treatment.</w:t>
      </w:r>
      <w:r w:rsidR="004D74A7">
        <w:rPr>
          <w:rFonts w:eastAsiaTheme="minorEastAsia"/>
        </w:rPr>
        <w:t xml:space="preserve"> </w:t>
      </w:r>
      <w:r w:rsidR="00BA59B7">
        <w:rPr>
          <w:rFonts w:eastAsiaTheme="minorEastAsia"/>
        </w:rPr>
        <w:t>T</w:t>
      </w:r>
      <w:r w:rsidR="004D74A7">
        <w:rPr>
          <w:rFonts w:eastAsiaTheme="minorEastAsia"/>
        </w:rPr>
        <w:t xml:space="preserve">he mixes </w:t>
      </w:r>
      <w:r w:rsidR="00BB1DF9">
        <w:rPr>
          <w:rFonts w:eastAsiaTheme="minorEastAsia"/>
        </w:rPr>
        <w:t>were</w:t>
      </w:r>
      <w:r w:rsidR="004D74A7">
        <w:rPr>
          <w:rFonts w:eastAsiaTheme="minorEastAsia"/>
        </w:rPr>
        <w:t xml:space="preserve"> ground using a SPEX Shatterbox 8515, as seen in </w:t>
      </w:r>
      <w:r w:rsidR="00470E7B">
        <w:rPr>
          <w:rFonts w:eastAsiaTheme="minorEastAsia"/>
        </w:rPr>
        <w:fldChar w:fldCharType="begin"/>
      </w:r>
      <w:r w:rsidR="00470E7B">
        <w:rPr>
          <w:rFonts w:eastAsiaTheme="minorEastAsia"/>
        </w:rPr>
        <w:instrText xml:space="preserve"> REF _Ref437863439 \h </w:instrText>
      </w:r>
      <w:r w:rsidR="00470E7B">
        <w:rPr>
          <w:rFonts w:eastAsiaTheme="minorEastAsia"/>
        </w:rPr>
      </w:r>
      <w:r w:rsidR="00470E7B">
        <w:rPr>
          <w:rFonts w:eastAsiaTheme="minorEastAsia"/>
        </w:rPr>
        <w:fldChar w:fldCharType="separate"/>
      </w:r>
      <w:r w:rsidR="00E90148">
        <w:t xml:space="preserve">Figure </w:t>
      </w:r>
      <w:r w:rsidR="00E90148">
        <w:rPr>
          <w:noProof/>
        </w:rPr>
        <w:t>6</w:t>
      </w:r>
      <w:r w:rsidR="00470E7B">
        <w:rPr>
          <w:rFonts w:eastAsiaTheme="minorEastAsia"/>
        </w:rPr>
        <w:fldChar w:fldCharType="end"/>
      </w:r>
      <w:r w:rsidR="00BB1DF9">
        <w:rPr>
          <w:rFonts w:eastAsiaTheme="minorEastAsia"/>
        </w:rPr>
        <w:t>, until all material passed</w:t>
      </w:r>
      <w:r w:rsidR="004D74A7">
        <w:rPr>
          <w:rFonts w:eastAsiaTheme="minorEastAsia"/>
        </w:rPr>
        <w:t xml:space="preserve"> the largest siev</w:t>
      </w:r>
      <w:r w:rsidR="00BA59B7">
        <w:rPr>
          <w:rFonts w:eastAsiaTheme="minorEastAsia"/>
        </w:rPr>
        <w:t>e (i.e. passing the No.4 sieve).</w:t>
      </w:r>
      <w:r w:rsidR="004D74A7">
        <w:rPr>
          <w:rFonts w:eastAsiaTheme="minorEastAsia"/>
        </w:rPr>
        <w:t xml:space="preserve"> </w:t>
      </w:r>
      <w:r w:rsidR="00BA59B7">
        <w:rPr>
          <w:rFonts w:eastAsiaTheme="minorEastAsia"/>
        </w:rPr>
        <w:t>A</w:t>
      </w:r>
      <w:r w:rsidR="00BB1DF9">
        <w:rPr>
          <w:rFonts w:eastAsiaTheme="minorEastAsia"/>
        </w:rPr>
        <w:t xml:space="preserve"> portion of this result was</w:t>
      </w:r>
      <w:r w:rsidR="004D74A7">
        <w:rPr>
          <w:rFonts w:eastAsiaTheme="minorEastAsia"/>
        </w:rPr>
        <w:t xml:space="preserve"> retrieved</w:t>
      </w:r>
      <w:r w:rsidR="00BA59B7">
        <w:rPr>
          <w:rFonts w:eastAsiaTheme="minorEastAsia"/>
        </w:rPr>
        <w:t xml:space="preserve"> for the Passing No. 4 samples</w:t>
      </w:r>
      <w:r w:rsidR="00BB1DF9">
        <w:rPr>
          <w:rFonts w:eastAsiaTheme="minorEastAsia"/>
        </w:rPr>
        <w:t xml:space="preserve"> and the remainder underwent</w:t>
      </w:r>
      <w:r w:rsidR="00BA59B7">
        <w:rPr>
          <w:rFonts w:eastAsiaTheme="minorEastAsia"/>
        </w:rPr>
        <w:t xml:space="preserve"> further mill</w:t>
      </w:r>
      <w:r w:rsidR="004D74A7">
        <w:rPr>
          <w:rFonts w:eastAsiaTheme="minorEastAsia"/>
        </w:rPr>
        <w:t>ing until all material passes the next largest si</w:t>
      </w:r>
      <w:r w:rsidR="00BA59B7">
        <w:rPr>
          <w:rFonts w:eastAsiaTheme="minorEastAsia"/>
        </w:rPr>
        <w:t>eve (i.e. passing No. 40 sieve).</w:t>
      </w:r>
      <w:r w:rsidR="004D74A7">
        <w:rPr>
          <w:rFonts w:eastAsiaTheme="minorEastAsia"/>
        </w:rPr>
        <w:t xml:space="preserve"> </w:t>
      </w:r>
      <w:r w:rsidR="00BA59B7">
        <w:rPr>
          <w:rFonts w:eastAsiaTheme="minorEastAsia"/>
        </w:rPr>
        <w:t>A</w:t>
      </w:r>
      <w:r w:rsidR="00BB1DF9">
        <w:rPr>
          <w:rFonts w:eastAsiaTheme="minorEastAsia"/>
        </w:rPr>
        <w:t xml:space="preserve"> portion of this result was</w:t>
      </w:r>
      <w:r w:rsidR="004D74A7">
        <w:rPr>
          <w:rFonts w:eastAsiaTheme="minorEastAsia"/>
        </w:rPr>
        <w:t xml:space="preserve"> retrieve</w:t>
      </w:r>
      <w:r w:rsidR="00BA59B7">
        <w:rPr>
          <w:rFonts w:eastAsiaTheme="minorEastAsia"/>
        </w:rPr>
        <w:t xml:space="preserve"> for the </w:t>
      </w:r>
      <w:r w:rsidR="00BA59B7">
        <w:rPr>
          <w:rFonts w:eastAsiaTheme="minorEastAsia"/>
        </w:rPr>
        <w:lastRenderedPageBreak/>
        <w:t>passing No. 40 samples,</w:t>
      </w:r>
      <w:r w:rsidR="004D74A7">
        <w:rPr>
          <w:rFonts w:eastAsiaTheme="minorEastAsia"/>
        </w:rPr>
        <w:t xml:space="preserve"> etc.</w:t>
      </w:r>
      <w:r w:rsidR="00F10785">
        <w:rPr>
          <w:rFonts w:eastAsiaTheme="minorEastAsia"/>
        </w:rPr>
        <w:t xml:space="preserve"> </w:t>
      </w:r>
      <w:r w:rsidR="00443FEF">
        <w:rPr>
          <w:rFonts w:eastAsiaTheme="minorEastAsia"/>
        </w:rPr>
        <w:t xml:space="preserve">This </w:t>
      </w:r>
      <w:r w:rsidR="008E09E2">
        <w:rPr>
          <w:rFonts w:eastAsiaTheme="minorEastAsia"/>
        </w:rPr>
        <w:t>was</w:t>
      </w:r>
      <w:r w:rsidR="00443FEF">
        <w:rPr>
          <w:rFonts w:eastAsiaTheme="minorEastAsia"/>
        </w:rPr>
        <w:t xml:space="preserve"> completed</w:t>
      </w:r>
      <w:r w:rsidR="00583977">
        <w:rPr>
          <w:rFonts w:eastAsiaTheme="minorEastAsia"/>
        </w:rPr>
        <w:t xml:space="preserve"> for sieve sizes of </w:t>
      </w:r>
      <w:r w:rsidR="007F0BEF" w:rsidRPr="007F0BEF">
        <w:rPr>
          <w:rFonts w:eastAsiaTheme="minorEastAsia"/>
        </w:rPr>
        <w:t>No. 4, No. 40, No. 100, and No. 200</w:t>
      </w:r>
      <w:r w:rsidR="00443FEF">
        <w:rPr>
          <w:rFonts w:eastAsiaTheme="minorEastAsia"/>
        </w:rPr>
        <w:t>, thus making samples of identical</w:t>
      </w:r>
      <w:r w:rsidR="00BB1DF9">
        <w:rPr>
          <w:rFonts w:eastAsiaTheme="minorEastAsia"/>
        </w:rPr>
        <w:t xml:space="preserve"> minerals and elements</w:t>
      </w:r>
      <w:r w:rsidR="00443FEF">
        <w:rPr>
          <w:rFonts w:eastAsiaTheme="minorEastAsia"/>
        </w:rPr>
        <w:t xml:space="preserve"> but different particle diameters</w:t>
      </w:r>
      <w:r w:rsidR="00782EE5">
        <w:rPr>
          <w:rFonts w:eastAsiaTheme="minorEastAsia"/>
        </w:rPr>
        <w:t xml:space="preserve">. </w:t>
      </w:r>
      <w:r w:rsidR="004D74A7">
        <w:rPr>
          <w:rFonts w:eastAsiaTheme="minorEastAsia"/>
        </w:rPr>
        <w:t>Sieve agitatio</w:t>
      </w:r>
      <w:r w:rsidR="00BB1DF9">
        <w:rPr>
          <w:rFonts w:eastAsiaTheme="minorEastAsia"/>
        </w:rPr>
        <w:t>n was</w:t>
      </w:r>
      <w:r w:rsidR="004D74A7">
        <w:rPr>
          <w:rFonts w:eastAsiaTheme="minorEastAsia"/>
        </w:rPr>
        <w:t xml:space="preserve"> achieved via a Humboldt Sieve Shaker for 10 minute periods</w:t>
      </w:r>
      <w:r w:rsidR="007F0BEF" w:rsidRPr="007F0BEF">
        <w:rPr>
          <w:rFonts w:eastAsiaTheme="minorEastAsia"/>
        </w:rPr>
        <w:t>.</w:t>
      </w:r>
      <w:r w:rsidR="004D74A7">
        <w:rPr>
          <w:rFonts w:eastAsiaTheme="minorEastAsia"/>
        </w:rPr>
        <w:t xml:space="preserve"> The r</w:t>
      </w:r>
      <w:r w:rsidR="00443FEF">
        <w:rPr>
          <w:rFonts w:eastAsiaTheme="minorEastAsia"/>
        </w:rPr>
        <w:t xml:space="preserve">etrieved </w:t>
      </w:r>
      <w:r w:rsidR="008E09E2">
        <w:rPr>
          <w:rFonts w:eastAsiaTheme="minorEastAsia"/>
        </w:rPr>
        <w:t>sample</w:t>
      </w:r>
      <w:r w:rsidR="00443FEF">
        <w:rPr>
          <w:rFonts w:eastAsiaTheme="minorEastAsia"/>
        </w:rPr>
        <w:t>s of various</w:t>
      </w:r>
      <w:r w:rsidR="004D74A7">
        <w:rPr>
          <w:rFonts w:eastAsiaTheme="minorEastAsia"/>
        </w:rPr>
        <w:t xml:space="preserve"> particle diameter</w:t>
      </w:r>
      <w:r w:rsidR="00443FEF">
        <w:rPr>
          <w:rFonts w:eastAsiaTheme="minorEastAsia"/>
        </w:rPr>
        <w:t>s</w:t>
      </w:r>
      <w:r w:rsidR="004D74A7">
        <w:rPr>
          <w:rFonts w:eastAsiaTheme="minorEastAsia"/>
        </w:rPr>
        <w:t xml:space="preserve"> w</w:t>
      </w:r>
      <w:r w:rsidR="008E09E2">
        <w:rPr>
          <w:rFonts w:eastAsiaTheme="minorEastAsia"/>
        </w:rPr>
        <w:t>ere</w:t>
      </w:r>
      <w:r w:rsidR="004D74A7">
        <w:rPr>
          <w:rFonts w:eastAsiaTheme="minorEastAsia"/>
        </w:rPr>
        <w:t xml:space="preserve"> </w:t>
      </w:r>
      <w:r w:rsidR="00443FEF">
        <w:rPr>
          <w:rFonts w:eastAsiaTheme="minorEastAsia"/>
        </w:rPr>
        <w:t xml:space="preserve">bagged and </w:t>
      </w:r>
      <w:r w:rsidR="003047D3">
        <w:rPr>
          <w:rFonts w:eastAsiaTheme="minorEastAsia"/>
        </w:rPr>
        <w:t>marked according the material contained within.</w:t>
      </w:r>
    </w:p>
    <w:p w14:paraId="4ED5FFFD" w14:textId="77777777" w:rsidR="007F0BEF" w:rsidRPr="007F0BEF" w:rsidRDefault="007F0BEF" w:rsidP="007F0BEF">
      <w:pPr>
        <w:jc w:val="both"/>
        <w:rPr>
          <w:rFonts w:eastAsiaTheme="minorEastAsia"/>
        </w:rPr>
      </w:pPr>
    </w:p>
    <w:p w14:paraId="02CA5D50" w14:textId="77777777" w:rsidR="007F0BEF" w:rsidRPr="007F0BEF" w:rsidRDefault="007F0BEF" w:rsidP="007F0BEF">
      <w:pPr>
        <w:rPr>
          <w:rFonts w:eastAsiaTheme="minorEastAsia"/>
        </w:rPr>
      </w:pPr>
      <w:r w:rsidRPr="007F0BEF">
        <w:rPr>
          <w:rFonts w:eastAsiaTheme="minorEastAsia"/>
          <w:noProof/>
        </w:rPr>
        <w:drawing>
          <wp:inline distT="0" distB="0" distL="0" distR="0" wp14:anchorId="6542261C" wp14:editId="59679D99">
            <wp:extent cx="2470654" cy="1936881"/>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201.JPG"/>
                    <pic:cNvPicPr/>
                  </pic:nvPicPr>
                  <pic:blipFill rotWithShape="1">
                    <a:blip r:embed="rId20" cstate="print">
                      <a:extLst>
                        <a:ext uri="{28A0092B-C50C-407E-A947-70E740481C1C}">
                          <a14:useLocalDpi xmlns:a14="http://schemas.microsoft.com/office/drawing/2010/main" val="0"/>
                        </a:ext>
                      </a:extLst>
                    </a:blip>
                    <a:srcRect l="-351" t="1779" r="9686" b="3060"/>
                    <a:stretch/>
                  </pic:blipFill>
                  <pic:spPr bwMode="auto">
                    <a:xfrm rot="5400000">
                      <a:off x="0" y="0"/>
                      <a:ext cx="2471158" cy="1937276"/>
                    </a:xfrm>
                    <a:prstGeom prst="roundRect">
                      <a:avLst/>
                    </a:prstGeom>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86A75B8" w14:textId="2361FDFB" w:rsidR="007F0BEF" w:rsidRDefault="00470E7B" w:rsidP="00470E7B">
      <w:pPr>
        <w:pStyle w:val="Caption"/>
        <w:rPr>
          <w:rFonts w:eastAsiaTheme="minorEastAsia"/>
        </w:rPr>
      </w:pPr>
      <w:bookmarkStart w:id="29" w:name="_Ref437863439"/>
      <w:bookmarkStart w:id="30" w:name="_Toc437863882"/>
      <w:bookmarkStart w:id="31" w:name="_Toc447755344"/>
      <w:r>
        <w:t xml:space="preserve">Figure </w:t>
      </w:r>
      <w:r w:rsidR="00184FC2">
        <w:fldChar w:fldCharType="begin"/>
      </w:r>
      <w:r w:rsidR="00184FC2">
        <w:instrText xml:space="preserve"> SEQ Figure \* ARABIC </w:instrText>
      </w:r>
      <w:r w:rsidR="00184FC2">
        <w:fldChar w:fldCharType="separate"/>
      </w:r>
      <w:r w:rsidR="00E90148">
        <w:rPr>
          <w:noProof/>
        </w:rPr>
        <w:t>6</w:t>
      </w:r>
      <w:r w:rsidR="00184FC2">
        <w:rPr>
          <w:noProof/>
        </w:rPr>
        <w:fldChar w:fldCharType="end"/>
      </w:r>
      <w:bookmarkEnd w:id="29"/>
      <w:r>
        <w:t xml:space="preserve">: </w:t>
      </w:r>
      <w:r w:rsidRPr="00F761DF">
        <w:t>SPEX Shatterbox 8515 Used to Mill Samples</w:t>
      </w:r>
      <w:bookmarkEnd w:id="30"/>
      <w:bookmarkEnd w:id="31"/>
    </w:p>
    <w:p w14:paraId="21EB95CD" w14:textId="77777777" w:rsidR="00443FEF" w:rsidRPr="007F0BEF" w:rsidRDefault="00443FEF" w:rsidP="00625A14">
      <w:pPr>
        <w:rPr>
          <w:rFonts w:eastAsiaTheme="minorEastAsia"/>
        </w:rPr>
      </w:pPr>
    </w:p>
    <w:p w14:paraId="2720ABC9" w14:textId="27B8FDA0" w:rsidR="007F0BEF" w:rsidRPr="007F0BEF" w:rsidRDefault="001B40D5" w:rsidP="007F0BEF">
      <w:pPr>
        <w:jc w:val="both"/>
        <w:rPr>
          <w:rFonts w:eastAsiaTheme="minorEastAsia"/>
          <w:b/>
        </w:rPr>
      </w:pPr>
      <w:r>
        <w:rPr>
          <w:rFonts w:eastAsiaTheme="minorEastAsia"/>
          <w:b/>
        </w:rPr>
        <w:t>3.5</w:t>
      </w:r>
      <w:r w:rsidR="001102DF">
        <w:rPr>
          <w:rFonts w:eastAsiaTheme="minorEastAsia"/>
          <w:b/>
        </w:rPr>
        <w:t xml:space="preserve"> Pressed</w:t>
      </w:r>
      <w:r w:rsidR="007F0BEF" w:rsidRPr="007F0BEF">
        <w:rPr>
          <w:rFonts w:eastAsiaTheme="minorEastAsia"/>
          <w:b/>
        </w:rPr>
        <w:t xml:space="preserve"> Pellet</w:t>
      </w:r>
      <w:r w:rsidR="001102DF">
        <w:rPr>
          <w:rFonts w:eastAsiaTheme="minorEastAsia"/>
          <w:b/>
        </w:rPr>
        <w:t xml:space="preserve"> Procedures</w:t>
      </w:r>
    </w:p>
    <w:p w14:paraId="086918F8" w14:textId="536180B9" w:rsidR="00BC5739" w:rsidRDefault="007F0BEF" w:rsidP="00BA59B7">
      <w:pPr>
        <w:jc w:val="both"/>
        <w:rPr>
          <w:rFonts w:eastAsiaTheme="minorEastAsia"/>
        </w:rPr>
      </w:pPr>
      <w:r w:rsidRPr="007F0BEF">
        <w:rPr>
          <w:rFonts w:eastAsiaTheme="minorEastAsia"/>
        </w:rPr>
        <w:tab/>
      </w:r>
      <w:r w:rsidR="00BA59B7">
        <w:rPr>
          <w:rFonts w:eastAsiaTheme="minorEastAsia"/>
        </w:rPr>
        <w:t>Each</w:t>
      </w:r>
      <w:r w:rsidR="003047D3">
        <w:rPr>
          <w:rFonts w:eastAsiaTheme="minorEastAsia"/>
        </w:rPr>
        <w:t xml:space="preserve"> of the 56 unique </w:t>
      </w:r>
      <w:r w:rsidR="002A4128">
        <w:rPr>
          <w:rFonts w:eastAsiaTheme="minorEastAsia"/>
        </w:rPr>
        <w:t xml:space="preserve">bagged </w:t>
      </w:r>
      <w:r w:rsidR="003047D3">
        <w:rPr>
          <w:rFonts w:eastAsiaTheme="minorEastAsia"/>
        </w:rPr>
        <w:t>sample materials w</w:t>
      </w:r>
      <w:r w:rsidR="00BA59B7">
        <w:rPr>
          <w:rFonts w:eastAsiaTheme="minorEastAsia"/>
        </w:rPr>
        <w:t>as</w:t>
      </w:r>
      <w:r w:rsidR="003047D3">
        <w:rPr>
          <w:rFonts w:eastAsiaTheme="minorEastAsia"/>
        </w:rPr>
        <w:t xml:space="preserve"> processed into pressed pellets</w:t>
      </w:r>
      <w:r w:rsidR="009D5F47">
        <w:rPr>
          <w:rFonts w:eastAsiaTheme="minorEastAsia"/>
        </w:rPr>
        <w:t xml:space="preserve"> for XRF analysis</w:t>
      </w:r>
      <w:r w:rsidR="003047D3">
        <w:rPr>
          <w:rFonts w:eastAsiaTheme="minorEastAsia"/>
        </w:rPr>
        <w:t>.</w:t>
      </w:r>
      <w:r w:rsidR="00E423A5">
        <w:rPr>
          <w:rFonts w:eastAsiaTheme="minorEastAsia"/>
        </w:rPr>
        <w:t xml:space="preserve"> For OHC samples, e</w:t>
      </w:r>
      <w:r w:rsidR="00443FEF">
        <w:rPr>
          <w:rFonts w:eastAsiaTheme="minorEastAsia"/>
        </w:rPr>
        <w:t xml:space="preserve">ight grams of the </w:t>
      </w:r>
      <w:r w:rsidR="00BC5739">
        <w:rPr>
          <w:rFonts w:eastAsiaTheme="minorEastAsia"/>
        </w:rPr>
        <w:t xml:space="preserve">sample </w:t>
      </w:r>
      <w:r w:rsidR="00443FEF">
        <w:rPr>
          <w:rFonts w:eastAsiaTheme="minorEastAsia"/>
        </w:rPr>
        <w:t>material and two grams of Premier Lab Supply PB-100 Binding Agent w</w:t>
      </w:r>
      <w:r w:rsidR="00E423A5">
        <w:rPr>
          <w:rFonts w:eastAsiaTheme="minorEastAsia"/>
        </w:rPr>
        <w:t>ere</w:t>
      </w:r>
      <w:r w:rsidR="00443FEF">
        <w:rPr>
          <w:rFonts w:eastAsiaTheme="minorEastAsia"/>
        </w:rPr>
        <w:t xml:space="preserve"> dry mixed together</w:t>
      </w:r>
      <w:r w:rsidR="00E423A5">
        <w:rPr>
          <w:rFonts w:eastAsiaTheme="minorEastAsia"/>
        </w:rPr>
        <w:t xml:space="preserve">. </w:t>
      </w:r>
      <w:r w:rsidR="00B12D51">
        <w:rPr>
          <w:rFonts w:eastAsiaTheme="minorEastAsia"/>
        </w:rPr>
        <w:t>The</w:t>
      </w:r>
      <w:r w:rsidR="009D5F47">
        <w:rPr>
          <w:rFonts w:eastAsiaTheme="minorEastAsia"/>
        </w:rPr>
        <w:t xml:space="preserve"> binding agent is an organic compound </w:t>
      </w:r>
      <w:r w:rsidR="00E423A5">
        <w:rPr>
          <w:rFonts w:eastAsiaTheme="minorEastAsia"/>
        </w:rPr>
        <w:t xml:space="preserve">added to </w:t>
      </w:r>
      <w:r w:rsidR="00B12D51">
        <w:rPr>
          <w:rFonts w:eastAsiaTheme="minorEastAsia"/>
        </w:rPr>
        <w:t xml:space="preserve">increase cohesion in the soil. It </w:t>
      </w:r>
      <w:r w:rsidR="00E423A5">
        <w:rPr>
          <w:rFonts w:eastAsiaTheme="minorEastAsia"/>
        </w:rPr>
        <w:t xml:space="preserve">is comprised of elements that are </w:t>
      </w:r>
      <w:r w:rsidR="009D5F47">
        <w:rPr>
          <w:rFonts w:eastAsiaTheme="minorEastAsia"/>
        </w:rPr>
        <w:t xml:space="preserve">too light to be detected by </w:t>
      </w:r>
      <w:r w:rsidR="00E423A5">
        <w:rPr>
          <w:rFonts w:eastAsiaTheme="minorEastAsia"/>
        </w:rPr>
        <w:t xml:space="preserve">XRF spectrometry; therefore, its effect on the </w:t>
      </w:r>
      <w:r w:rsidR="009D5F47">
        <w:rPr>
          <w:rFonts w:eastAsiaTheme="minorEastAsia"/>
        </w:rPr>
        <w:t>measurements in this experiment</w:t>
      </w:r>
      <w:r w:rsidR="00E423A5">
        <w:rPr>
          <w:rFonts w:eastAsiaTheme="minorEastAsia"/>
        </w:rPr>
        <w:t xml:space="preserve"> are </w:t>
      </w:r>
      <w:r w:rsidR="00B12D51">
        <w:rPr>
          <w:rFonts w:eastAsiaTheme="minorEastAsia"/>
        </w:rPr>
        <w:t xml:space="preserve">assumed to be </w:t>
      </w:r>
      <w:r w:rsidR="00E423A5">
        <w:rPr>
          <w:rFonts w:eastAsiaTheme="minorEastAsia"/>
        </w:rPr>
        <w:t>negligible</w:t>
      </w:r>
      <w:r w:rsidR="009D5F47">
        <w:rPr>
          <w:rFonts w:eastAsiaTheme="minorEastAsia"/>
        </w:rPr>
        <w:t xml:space="preserve">. </w:t>
      </w:r>
      <w:r w:rsidR="00443FEF">
        <w:rPr>
          <w:rFonts w:eastAsiaTheme="minorEastAsia"/>
        </w:rPr>
        <w:t xml:space="preserve">The dry mix </w:t>
      </w:r>
      <w:r w:rsidR="00B12D51">
        <w:rPr>
          <w:rFonts w:eastAsiaTheme="minorEastAsia"/>
        </w:rPr>
        <w:t xml:space="preserve">of sample material and binder </w:t>
      </w:r>
      <w:r w:rsidR="008B1975">
        <w:rPr>
          <w:rFonts w:eastAsiaTheme="minorEastAsia"/>
        </w:rPr>
        <w:t xml:space="preserve">was </w:t>
      </w:r>
      <w:r w:rsidR="00BC5739">
        <w:rPr>
          <w:rFonts w:eastAsiaTheme="minorEastAsia"/>
        </w:rPr>
        <w:t>transferred to</w:t>
      </w:r>
      <w:r w:rsidR="00443FEF">
        <w:rPr>
          <w:rFonts w:eastAsiaTheme="minorEastAsia"/>
        </w:rPr>
        <w:t xml:space="preserve"> a SPEX Evacuable Die Set, as seen </w:t>
      </w:r>
      <w:r w:rsidR="00470E7B">
        <w:rPr>
          <w:rFonts w:eastAsiaTheme="minorEastAsia"/>
        </w:rPr>
        <w:t>i</w:t>
      </w:r>
      <w:r w:rsidR="00443FEF">
        <w:rPr>
          <w:rFonts w:eastAsiaTheme="minorEastAsia"/>
        </w:rPr>
        <w:t xml:space="preserve">n </w:t>
      </w:r>
      <w:r w:rsidR="00470E7B">
        <w:rPr>
          <w:rFonts w:eastAsiaTheme="minorEastAsia"/>
        </w:rPr>
        <w:fldChar w:fldCharType="begin"/>
      </w:r>
      <w:r w:rsidR="00470E7B">
        <w:rPr>
          <w:rFonts w:eastAsiaTheme="minorEastAsia"/>
        </w:rPr>
        <w:instrText xml:space="preserve"> REF _Ref437863511 \h </w:instrText>
      </w:r>
      <w:r w:rsidR="00470E7B">
        <w:rPr>
          <w:rFonts w:eastAsiaTheme="minorEastAsia"/>
        </w:rPr>
      </w:r>
      <w:r w:rsidR="00470E7B">
        <w:rPr>
          <w:rFonts w:eastAsiaTheme="minorEastAsia"/>
        </w:rPr>
        <w:fldChar w:fldCharType="separate"/>
      </w:r>
      <w:r w:rsidR="00E90148">
        <w:t xml:space="preserve">Figure </w:t>
      </w:r>
      <w:r w:rsidR="00E90148">
        <w:rPr>
          <w:noProof/>
        </w:rPr>
        <w:t>7</w:t>
      </w:r>
      <w:r w:rsidR="00470E7B">
        <w:rPr>
          <w:rFonts w:eastAsiaTheme="minorEastAsia"/>
        </w:rPr>
        <w:fldChar w:fldCharType="end"/>
      </w:r>
      <w:r w:rsidR="00E1133F">
        <w:rPr>
          <w:rFonts w:eastAsiaTheme="minorEastAsia"/>
        </w:rPr>
        <w:t xml:space="preserve">. </w:t>
      </w:r>
      <w:r w:rsidR="009D5F47">
        <w:rPr>
          <w:rFonts w:eastAsiaTheme="minorEastAsia"/>
        </w:rPr>
        <w:lastRenderedPageBreak/>
        <w:t>The die set w</w:t>
      </w:r>
      <w:r w:rsidR="008B1975">
        <w:rPr>
          <w:rFonts w:eastAsiaTheme="minorEastAsia"/>
        </w:rPr>
        <w:t>as</w:t>
      </w:r>
      <w:r w:rsidR="009D5F47">
        <w:rPr>
          <w:rFonts w:eastAsiaTheme="minorEastAsia"/>
        </w:rPr>
        <w:t xml:space="preserve"> subjected to 25,000 </w:t>
      </w:r>
      <w:r w:rsidR="007F1D48">
        <w:rPr>
          <w:rFonts w:eastAsiaTheme="minorEastAsia"/>
        </w:rPr>
        <w:t>lbs.</w:t>
      </w:r>
      <w:r w:rsidR="009D5F47">
        <w:rPr>
          <w:rFonts w:eastAsiaTheme="minorEastAsia"/>
        </w:rPr>
        <w:t xml:space="preserve"> of pressure for 60 second</w:t>
      </w:r>
      <w:r w:rsidR="00BC5739">
        <w:rPr>
          <w:rFonts w:eastAsiaTheme="minorEastAsia"/>
        </w:rPr>
        <w:t>s to</w:t>
      </w:r>
      <w:r w:rsidR="008B1975">
        <w:rPr>
          <w:rFonts w:eastAsiaTheme="minorEastAsia"/>
        </w:rPr>
        <w:t xml:space="preserve"> produce</w:t>
      </w:r>
      <w:r w:rsidR="009D5F47">
        <w:rPr>
          <w:rFonts w:eastAsiaTheme="minorEastAsia"/>
        </w:rPr>
        <w:t xml:space="preserve"> a compacted pellet of </w:t>
      </w:r>
      <w:r w:rsidR="00BC5739">
        <w:rPr>
          <w:rFonts w:eastAsiaTheme="minorEastAsia"/>
        </w:rPr>
        <w:t>material</w:t>
      </w:r>
      <w:r w:rsidRPr="007F0BEF">
        <w:rPr>
          <w:rFonts w:eastAsiaTheme="minorEastAsia"/>
        </w:rPr>
        <w:t>.</w:t>
      </w:r>
      <w:r w:rsidR="008B1975">
        <w:rPr>
          <w:rFonts w:eastAsiaTheme="minorEastAsia"/>
        </w:rPr>
        <w:t xml:space="preserve"> The SGB samples underwent</w:t>
      </w:r>
      <w:r w:rsidR="00BC5739">
        <w:rPr>
          <w:rFonts w:eastAsiaTheme="minorEastAsia"/>
        </w:rPr>
        <w:t xml:space="preserve"> a similar process w</w:t>
      </w:r>
      <w:r w:rsidR="00BC5739" w:rsidRPr="007F0BEF">
        <w:rPr>
          <w:rFonts w:eastAsiaTheme="minorEastAsia"/>
        </w:rPr>
        <w:t xml:space="preserve">ith the only </w:t>
      </w:r>
      <w:r w:rsidR="00BA59B7">
        <w:rPr>
          <w:rFonts w:eastAsiaTheme="minorEastAsia"/>
        </w:rPr>
        <w:t>difference</w:t>
      </w:r>
      <w:r w:rsidR="00BC5739" w:rsidRPr="007F0BEF">
        <w:rPr>
          <w:rFonts w:eastAsiaTheme="minorEastAsia"/>
        </w:rPr>
        <w:t xml:space="preserve"> being the </w:t>
      </w:r>
      <w:r w:rsidR="00BC5739">
        <w:rPr>
          <w:rFonts w:eastAsiaTheme="minorEastAsia"/>
        </w:rPr>
        <w:t>proportions of mixed material</w:t>
      </w:r>
      <w:r w:rsidR="008B1975">
        <w:rPr>
          <w:rFonts w:eastAsiaTheme="minorEastAsia"/>
        </w:rPr>
        <w:t xml:space="preserve"> and binder</w:t>
      </w:r>
      <w:r w:rsidR="00BC5739" w:rsidRPr="007F0BEF">
        <w:rPr>
          <w:rFonts w:eastAsiaTheme="minorEastAsia"/>
        </w:rPr>
        <w:t xml:space="preserve">. For the SGB samples, 14 g </w:t>
      </w:r>
      <w:r w:rsidR="00BC5739">
        <w:rPr>
          <w:rFonts w:eastAsiaTheme="minorEastAsia"/>
        </w:rPr>
        <w:t xml:space="preserve">of </w:t>
      </w:r>
      <w:r w:rsidR="008B1975">
        <w:rPr>
          <w:rFonts w:eastAsiaTheme="minorEastAsia"/>
        </w:rPr>
        <w:t>soil and 1.4 g of binder were</w:t>
      </w:r>
      <w:r w:rsidR="00BC5739" w:rsidRPr="007F0BEF">
        <w:rPr>
          <w:rFonts w:eastAsiaTheme="minorEastAsia"/>
        </w:rPr>
        <w:t xml:space="preserve"> mixed. </w:t>
      </w:r>
      <w:r w:rsidR="00BC5739">
        <w:rPr>
          <w:rFonts w:eastAsiaTheme="minorEastAsia"/>
        </w:rPr>
        <w:t>The bottom of e</w:t>
      </w:r>
      <w:r w:rsidR="008B1975">
        <w:rPr>
          <w:rFonts w:eastAsiaTheme="minorEastAsia"/>
        </w:rPr>
        <w:t>ach pellet was</w:t>
      </w:r>
      <w:r w:rsidR="00BC5739">
        <w:rPr>
          <w:rFonts w:eastAsiaTheme="minorEastAsia"/>
        </w:rPr>
        <w:t xml:space="preserve"> ma</w:t>
      </w:r>
      <w:r w:rsidR="008B1975">
        <w:rPr>
          <w:rFonts w:eastAsiaTheme="minorEastAsia"/>
        </w:rPr>
        <w:t xml:space="preserve">rked according the material </w:t>
      </w:r>
      <w:r w:rsidR="00D83CA3">
        <w:rPr>
          <w:rFonts w:eastAsiaTheme="minorEastAsia"/>
        </w:rPr>
        <w:t xml:space="preserve">that </w:t>
      </w:r>
      <w:r w:rsidR="008B1975">
        <w:rPr>
          <w:rFonts w:eastAsiaTheme="minorEastAsia"/>
        </w:rPr>
        <w:t>it wa</w:t>
      </w:r>
      <w:r w:rsidR="00BC5739">
        <w:rPr>
          <w:rFonts w:eastAsiaTheme="minorEastAsia"/>
        </w:rPr>
        <w:t>s comprised of.</w:t>
      </w:r>
    </w:p>
    <w:p w14:paraId="43B084ED" w14:textId="77777777" w:rsidR="007F0BEF" w:rsidRPr="007F0BEF" w:rsidRDefault="007F0BEF" w:rsidP="007F0BEF">
      <w:pPr>
        <w:jc w:val="both"/>
        <w:rPr>
          <w:rFonts w:eastAsiaTheme="minorEastAsia"/>
        </w:rPr>
      </w:pPr>
    </w:p>
    <w:p w14:paraId="65E84BF1" w14:textId="77777777" w:rsidR="007F0BEF" w:rsidRPr="007F0BEF" w:rsidRDefault="007F0BEF" w:rsidP="007F0BEF">
      <w:pPr>
        <w:rPr>
          <w:rFonts w:eastAsiaTheme="minorEastAsia"/>
        </w:rPr>
      </w:pPr>
      <w:r w:rsidRPr="007F0BEF">
        <w:rPr>
          <w:rFonts w:eastAsiaTheme="minorEastAsia"/>
          <w:noProof/>
        </w:rPr>
        <w:drawing>
          <wp:inline distT="0" distB="0" distL="0" distR="0" wp14:anchorId="2E095CF4" wp14:editId="200F74B6">
            <wp:extent cx="3088281" cy="2834640"/>
            <wp:effectExtent l="0" t="6667"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139.JPG"/>
                    <pic:cNvPicPr/>
                  </pic:nvPicPr>
                  <pic:blipFill rotWithShape="1">
                    <a:blip r:embed="rId21" cstate="print">
                      <a:extLst>
                        <a:ext uri="{28A0092B-C50C-407E-A947-70E740481C1C}">
                          <a14:useLocalDpi xmlns:a14="http://schemas.microsoft.com/office/drawing/2010/main" val="0"/>
                        </a:ext>
                      </a:extLst>
                    </a:blip>
                    <a:srcRect l="18211" t="12259" r="18195" b="9592"/>
                    <a:stretch/>
                  </pic:blipFill>
                  <pic:spPr bwMode="auto">
                    <a:xfrm rot="5400000">
                      <a:off x="0" y="0"/>
                      <a:ext cx="3088281" cy="2834640"/>
                    </a:xfrm>
                    <a:prstGeom prst="round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63DD051" w14:textId="43CA73B9" w:rsidR="007F0BEF" w:rsidRDefault="00470E7B" w:rsidP="00470E7B">
      <w:pPr>
        <w:pStyle w:val="Caption"/>
        <w:rPr>
          <w:rFonts w:eastAsiaTheme="minorEastAsia"/>
        </w:rPr>
      </w:pPr>
      <w:bookmarkStart w:id="32" w:name="_Ref437863511"/>
      <w:bookmarkStart w:id="33" w:name="_Toc437863883"/>
      <w:bookmarkStart w:id="34" w:name="_Toc447755345"/>
      <w:r>
        <w:t xml:space="preserve">Figure </w:t>
      </w:r>
      <w:r w:rsidR="00184FC2">
        <w:fldChar w:fldCharType="begin"/>
      </w:r>
      <w:r w:rsidR="00184FC2">
        <w:instrText xml:space="preserve"> SEQ Figure \* ARABIC </w:instrText>
      </w:r>
      <w:r w:rsidR="00184FC2">
        <w:fldChar w:fldCharType="separate"/>
      </w:r>
      <w:r w:rsidR="00E90148">
        <w:rPr>
          <w:noProof/>
        </w:rPr>
        <w:t>7</w:t>
      </w:r>
      <w:r w:rsidR="00184FC2">
        <w:rPr>
          <w:noProof/>
        </w:rPr>
        <w:fldChar w:fldCharType="end"/>
      </w:r>
      <w:bookmarkEnd w:id="32"/>
      <w:r>
        <w:t xml:space="preserve">: </w:t>
      </w:r>
      <w:r w:rsidRPr="00B479E9">
        <w:t>Removing Plunger from SPEX Evacuable Die Set</w:t>
      </w:r>
      <w:bookmarkEnd w:id="33"/>
      <w:bookmarkEnd w:id="34"/>
    </w:p>
    <w:p w14:paraId="1C6D913D" w14:textId="77777777" w:rsidR="00D3308C" w:rsidRDefault="00D3308C" w:rsidP="007F0BEF">
      <w:pPr>
        <w:jc w:val="both"/>
        <w:rPr>
          <w:rFonts w:eastAsiaTheme="minorEastAsia"/>
        </w:rPr>
      </w:pPr>
    </w:p>
    <w:p w14:paraId="32699486" w14:textId="27BD2C37" w:rsidR="00D3308C" w:rsidRPr="00D3308C" w:rsidRDefault="001B40D5" w:rsidP="007F0BEF">
      <w:pPr>
        <w:jc w:val="both"/>
        <w:rPr>
          <w:rFonts w:eastAsiaTheme="minorEastAsia"/>
          <w:b/>
        </w:rPr>
      </w:pPr>
      <w:r>
        <w:rPr>
          <w:rFonts w:eastAsiaTheme="minorEastAsia"/>
          <w:b/>
        </w:rPr>
        <w:t>3.6</w:t>
      </w:r>
      <w:r w:rsidR="001102DF">
        <w:rPr>
          <w:rFonts w:eastAsiaTheme="minorEastAsia"/>
          <w:b/>
        </w:rPr>
        <w:t xml:space="preserve"> Powder Sample Procedures</w:t>
      </w:r>
    </w:p>
    <w:p w14:paraId="6F70D913" w14:textId="633ED8B1" w:rsidR="00A604C3" w:rsidRDefault="0052482E" w:rsidP="00693728">
      <w:pPr>
        <w:ind w:firstLine="720"/>
        <w:jc w:val="both"/>
      </w:pPr>
      <w:r>
        <w:t>Of the passing No. 200 sieve materials, 14</w:t>
      </w:r>
      <w:r w:rsidR="008B1975">
        <w:t xml:space="preserve"> total powder samples were</w:t>
      </w:r>
      <w:r>
        <w:t xml:space="preserve"> created:</w:t>
      </w:r>
      <w:r w:rsidR="00A604C3">
        <w:t xml:space="preserve"> </w:t>
      </w:r>
      <w:r>
        <w:t>7</w:t>
      </w:r>
      <w:r w:rsidR="00A604C3">
        <w:t xml:space="preserve"> OHC samples of varying </w:t>
      </w:r>
      <m:oMath>
        <m:r>
          <w:rPr>
            <w:rFonts w:ascii="Cambria Math" w:hAnsi="Cambria Math"/>
          </w:rPr>
          <m:t>SC</m:t>
        </m:r>
      </m:oMath>
      <w:r w:rsidR="00A604C3">
        <w:t xml:space="preserve"> and </w:t>
      </w:r>
      <w:r>
        <w:t>7</w:t>
      </w:r>
      <w:r w:rsidR="00A604C3">
        <w:t xml:space="preserve"> SGB samples of </w:t>
      </w:r>
      <w:r w:rsidR="00BA59B7">
        <w:t>varying</w:t>
      </w:r>
      <w:r w:rsidR="00BA59B7">
        <w:rPr>
          <w:rFonts w:eastAsiaTheme="minorEastAsia"/>
        </w:rPr>
        <w:t xml:space="preserve"> </w:t>
      </w:r>
      <m:oMath>
        <m:r>
          <w:rPr>
            <w:rFonts w:ascii="Cambria Math" w:hAnsi="Cambria Math"/>
          </w:rPr>
          <m:t>SC</m:t>
        </m:r>
      </m:oMath>
      <w:r w:rsidR="00A604C3">
        <w:t xml:space="preserve">. </w:t>
      </w:r>
      <w:r w:rsidR="008B1975">
        <w:t>This brought</w:t>
      </w:r>
      <w:r w:rsidR="006052E7">
        <w:t xml:space="preserve"> the t</w:t>
      </w:r>
      <w:r w:rsidR="00886CF2">
        <w:t>otal matrix of samples to 70:</w:t>
      </w:r>
      <w:r w:rsidR="006052E7">
        <w:t xml:space="preserve"> 56 pressed pellets and 14 powder samples.</w:t>
      </w:r>
      <w:r>
        <w:t xml:space="preserve"> </w:t>
      </w:r>
    </w:p>
    <w:p w14:paraId="4886B8AD" w14:textId="2A4B86AB" w:rsidR="00D3308C" w:rsidRDefault="00A604C3" w:rsidP="00D83CA3">
      <w:pPr>
        <w:ind w:firstLine="720"/>
        <w:jc w:val="both"/>
      </w:pPr>
      <w:r>
        <w:t xml:space="preserve">Creating a powder sample </w:t>
      </w:r>
      <w:r w:rsidR="008B1975">
        <w:t>required</w:t>
      </w:r>
      <w:r w:rsidR="006052E7">
        <w:t xml:space="preserve"> very little effort</w:t>
      </w:r>
      <w:r>
        <w:t xml:space="preserve">. A </w:t>
      </w:r>
      <w:r w:rsidR="006052E7">
        <w:t>Premier Lab Supply sample cup</w:t>
      </w:r>
      <w:r w:rsidR="00D3308C" w:rsidRPr="00D3308C">
        <w:t xml:space="preserve"> </w:t>
      </w:r>
      <w:r>
        <w:t>w</w:t>
      </w:r>
      <w:r w:rsidR="008B1975">
        <w:t>as</w:t>
      </w:r>
      <w:r w:rsidR="006052E7">
        <w:t xml:space="preserve"> filled to the top with the aforementioned</w:t>
      </w:r>
      <w:r>
        <w:t xml:space="preserve"> </w:t>
      </w:r>
      <w:r w:rsidR="00D83CA3">
        <w:t>milled</w:t>
      </w:r>
      <w:r>
        <w:t xml:space="preserve"> material. A piece of </w:t>
      </w:r>
      <w:r>
        <w:lastRenderedPageBreak/>
        <w:t>Premier Lab Supply Mylar</w:t>
      </w:r>
      <w:r w:rsidR="00D3308C" w:rsidRPr="00D3308C">
        <w:t xml:space="preserve"> film </w:t>
      </w:r>
      <w:r>
        <w:t>w</w:t>
      </w:r>
      <w:r w:rsidR="008B1975">
        <w:t>as</w:t>
      </w:r>
      <w:r w:rsidR="006052E7">
        <w:t xml:space="preserve"> secured over the opening of the cup</w:t>
      </w:r>
      <w:r>
        <w:t xml:space="preserve"> with a sample ring</w:t>
      </w:r>
      <w:r w:rsidR="006052E7">
        <w:t xml:space="preserve">, as seen in </w:t>
      </w:r>
      <w:r w:rsidR="00470E7B">
        <w:fldChar w:fldCharType="begin"/>
      </w:r>
      <w:r w:rsidR="00470E7B">
        <w:instrText xml:space="preserve"> REF _Ref437863551 \h </w:instrText>
      </w:r>
      <w:r w:rsidR="00470E7B">
        <w:fldChar w:fldCharType="separate"/>
      </w:r>
      <w:r w:rsidR="00E90148">
        <w:t xml:space="preserve">Figure </w:t>
      </w:r>
      <w:r w:rsidR="00E90148">
        <w:rPr>
          <w:noProof/>
        </w:rPr>
        <w:t>8</w:t>
      </w:r>
      <w:r w:rsidR="00470E7B">
        <w:fldChar w:fldCharType="end"/>
      </w:r>
      <w:r w:rsidR="006052E7">
        <w:t>.</w:t>
      </w:r>
    </w:p>
    <w:p w14:paraId="1833F82B" w14:textId="77777777" w:rsidR="006052E7" w:rsidRDefault="006052E7" w:rsidP="006052E7">
      <w:pPr>
        <w:jc w:val="both"/>
        <w:rPr>
          <w:rFonts w:eastAsiaTheme="minorEastAsia"/>
        </w:rPr>
      </w:pPr>
    </w:p>
    <w:p w14:paraId="5C9C10A3" w14:textId="2799C868" w:rsidR="006052E7" w:rsidRDefault="004D0296" w:rsidP="006052E7">
      <w:pPr>
        <w:rPr>
          <w:rFonts w:eastAsiaTheme="minorEastAsia"/>
        </w:rPr>
      </w:pPr>
      <w:r>
        <w:rPr>
          <w:rFonts w:eastAsiaTheme="minorEastAsia"/>
          <w:noProof/>
        </w:rPr>
        <w:drawing>
          <wp:inline distT="0" distB="0" distL="0" distR="0" wp14:anchorId="51AA0231" wp14:editId="04DB6358">
            <wp:extent cx="3091126" cy="3291840"/>
            <wp:effectExtent l="0" t="5397" r="9207" b="920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867.JPG"/>
                    <pic:cNvPicPr/>
                  </pic:nvPicPr>
                  <pic:blipFill rotWithShape="1">
                    <a:blip r:embed="rId22">
                      <a:extLst>
                        <a:ext uri="{28A0092B-C50C-407E-A947-70E740481C1C}">
                          <a14:useLocalDpi xmlns:a14="http://schemas.microsoft.com/office/drawing/2010/main" val="0"/>
                        </a:ext>
                      </a:extLst>
                    </a:blip>
                    <a:srcRect l="27651" t="11021" r="21448" b="16704"/>
                    <a:stretch/>
                  </pic:blipFill>
                  <pic:spPr bwMode="auto">
                    <a:xfrm rot="5400000">
                      <a:off x="0" y="0"/>
                      <a:ext cx="3091126" cy="3291840"/>
                    </a:xfrm>
                    <a:prstGeom prst="roundRect">
                      <a:avLst/>
                    </a:prstGeom>
                    <a:ln>
                      <a:noFill/>
                    </a:ln>
                    <a:extLst>
                      <a:ext uri="{53640926-AAD7-44D8-BBD7-CCE9431645EC}">
                        <a14:shadowObscured xmlns:a14="http://schemas.microsoft.com/office/drawing/2010/main"/>
                      </a:ext>
                    </a:extLst>
                  </pic:spPr>
                </pic:pic>
              </a:graphicData>
            </a:graphic>
          </wp:inline>
        </w:drawing>
      </w:r>
    </w:p>
    <w:p w14:paraId="5E990477" w14:textId="23A59BE7" w:rsidR="006052E7" w:rsidRDefault="00470E7B" w:rsidP="00470E7B">
      <w:pPr>
        <w:pStyle w:val="Caption"/>
        <w:rPr>
          <w:rFonts w:eastAsiaTheme="minorEastAsia"/>
        </w:rPr>
      </w:pPr>
      <w:bookmarkStart w:id="35" w:name="_Ref437863551"/>
      <w:bookmarkStart w:id="36" w:name="_Toc437863884"/>
      <w:bookmarkStart w:id="37" w:name="_Toc447755346"/>
      <w:r>
        <w:t xml:space="preserve">Figure </w:t>
      </w:r>
      <w:r w:rsidR="00184FC2">
        <w:fldChar w:fldCharType="begin"/>
      </w:r>
      <w:r w:rsidR="00184FC2">
        <w:instrText xml:space="preserve"> SEQ Figure \* ARABIC </w:instrText>
      </w:r>
      <w:r w:rsidR="00184FC2">
        <w:fldChar w:fldCharType="separate"/>
      </w:r>
      <w:r w:rsidR="00E90148">
        <w:rPr>
          <w:noProof/>
        </w:rPr>
        <w:t>8</w:t>
      </w:r>
      <w:r w:rsidR="00184FC2">
        <w:rPr>
          <w:noProof/>
        </w:rPr>
        <w:fldChar w:fldCharType="end"/>
      </w:r>
      <w:bookmarkEnd w:id="35"/>
      <w:r>
        <w:t xml:space="preserve">: </w:t>
      </w:r>
      <w:r w:rsidRPr="00CB45F1">
        <w:t>XRF Powder Sample</w:t>
      </w:r>
      <w:bookmarkEnd w:id="36"/>
      <w:bookmarkEnd w:id="37"/>
    </w:p>
    <w:p w14:paraId="6A3717CD" w14:textId="77777777" w:rsidR="006052E7" w:rsidRDefault="006052E7" w:rsidP="006052E7">
      <w:pPr>
        <w:jc w:val="both"/>
        <w:rPr>
          <w:rFonts w:eastAsiaTheme="minorEastAsia"/>
        </w:rPr>
      </w:pPr>
    </w:p>
    <w:p w14:paraId="01DB21BB" w14:textId="76B1E994" w:rsidR="00C07CC2" w:rsidRDefault="00C07CC2" w:rsidP="00B67A66">
      <w:pPr>
        <w:jc w:val="both"/>
        <w:rPr>
          <w:rFonts w:eastAsiaTheme="minorEastAsia"/>
        </w:rPr>
      </w:pPr>
      <w:r>
        <w:rPr>
          <w:rFonts w:eastAsiaTheme="minorEastAsia"/>
        </w:rPr>
        <w:tab/>
      </w:r>
      <w:r w:rsidR="00B67A66">
        <w:rPr>
          <w:rFonts w:eastAsiaTheme="minorEastAsia"/>
        </w:rPr>
        <w:t>It</w:t>
      </w:r>
      <w:r>
        <w:rPr>
          <w:rFonts w:eastAsiaTheme="minorEastAsia"/>
        </w:rPr>
        <w:t xml:space="preserve"> is very important to fill the sample cups </w:t>
      </w:r>
      <w:r w:rsidR="00797DF0">
        <w:rPr>
          <w:rFonts w:eastAsiaTheme="minorEastAsia"/>
        </w:rPr>
        <w:t>completely</w:t>
      </w:r>
      <w:r w:rsidR="008B1975">
        <w:rPr>
          <w:rFonts w:eastAsiaTheme="minorEastAsia"/>
        </w:rPr>
        <w:t xml:space="preserve"> to the top</w:t>
      </w:r>
      <w:r w:rsidR="00797DF0">
        <w:rPr>
          <w:rFonts w:eastAsiaTheme="minorEastAsia"/>
        </w:rPr>
        <w:t xml:space="preserve"> </w:t>
      </w:r>
      <w:r w:rsidR="008B1975">
        <w:rPr>
          <w:rFonts w:eastAsiaTheme="minorEastAsia"/>
        </w:rPr>
        <w:t>with</w:t>
      </w:r>
      <w:r>
        <w:rPr>
          <w:rFonts w:eastAsiaTheme="minorEastAsia"/>
        </w:rPr>
        <w:t xml:space="preserve"> sample material. If too little m</w:t>
      </w:r>
      <w:r w:rsidR="00797DF0">
        <w:rPr>
          <w:rFonts w:eastAsiaTheme="minorEastAsia"/>
        </w:rPr>
        <w:t>aterial is placed inside</w:t>
      </w:r>
      <w:r w:rsidR="00D83CA3">
        <w:rPr>
          <w:rFonts w:eastAsiaTheme="minorEastAsia"/>
        </w:rPr>
        <w:t>,</w:t>
      </w:r>
      <w:r>
        <w:rPr>
          <w:rFonts w:eastAsiaTheme="minorEastAsia"/>
        </w:rPr>
        <w:t xml:space="preserve"> then a gap </w:t>
      </w:r>
      <w:r w:rsidR="00E423A5">
        <w:rPr>
          <w:rFonts w:eastAsiaTheme="minorEastAsia"/>
        </w:rPr>
        <w:t>will develop</w:t>
      </w:r>
      <w:r>
        <w:rPr>
          <w:rFonts w:eastAsiaTheme="minorEastAsia"/>
        </w:rPr>
        <w:t xml:space="preserve"> between the </w:t>
      </w:r>
      <w:r w:rsidR="00797DF0">
        <w:rPr>
          <w:rFonts w:eastAsiaTheme="minorEastAsia"/>
        </w:rPr>
        <w:t xml:space="preserve">surface of the material </w:t>
      </w:r>
      <w:r>
        <w:rPr>
          <w:rFonts w:eastAsiaTheme="minorEastAsia"/>
        </w:rPr>
        <w:t xml:space="preserve">and the film. </w:t>
      </w:r>
      <w:r w:rsidR="00797DF0">
        <w:rPr>
          <w:rFonts w:eastAsiaTheme="minorEastAsia"/>
        </w:rPr>
        <w:t xml:space="preserve">This gap adversely affects the accuracy of the PHXRF measurements, especially in lighter elements like calcium, by elongating the XRF path between the material and the detector of the device. </w:t>
      </w:r>
      <w:r>
        <w:rPr>
          <w:rFonts w:eastAsiaTheme="minorEastAsia"/>
        </w:rPr>
        <w:t>Observe the difference between a poorly prepared powder sample and a</w:t>
      </w:r>
      <w:r w:rsidR="00797DF0">
        <w:rPr>
          <w:rFonts w:eastAsiaTheme="minorEastAsia"/>
        </w:rPr>
        <w:t>n adequately prepared powder sample in</w:t>
      </w:r>
      <w:r>
        <w:rPr>
          <w:rFonts w:eastAsiaTheme="minorEastAsia"/>
        </w:rPr>
        <w:t xml:space="preserve"> </w:t>
      </w:r>
      <w:r w:rsidR="00797DF0">
        <w:rPr>
          <w:rFonts w:eastAsiaTheme="minorEastAsia"/>
        </w:rPr>
        <w:fldChar w:fldCharType="begin"/>
      </w:r>
      <w:r w:rsidR="00797DF0">
        <w:rPr>
          <w:rFonts w:eastAsiaTheme="minorEastAsia"/>
        </w:rPr>
        <w:instrText xml:space="preserve"> REF _Ref441762975 \h </w:instrText>
      </w:r>
      <w:r w:rsidR="00797DF0">
        <w:rPr>
          <w:rFonts w:eastAsiaTheme="minorEastAsia"/>
        </w:rPr>
      </w:r>
      <w:r w:rsidR="00797DF0">
        <w:rPr>
          <w:rFonts w:eastAsiaTheme="minorEastAsia"/>
        </w:rPr>
        <w:fldChar w:fldCharType="separate"/>
      </w:r>
      <w:r w:rsidR="00E90148">
        <w:t xml:space="preserve">Figure </w:t>
      </w:r>
      <w:r w:rsidR="00E90148">
        <w:rPr>
          <w:noProof/>
        </w:rPr>
        <w:t>9</w:t>
      </w:r>
      <w:r w:rsidR="00797DF0">
        <w:rPr>
          <w:rFonts w:eastAsiaTheme="minorEastAsia"/>
        </w:rPr>
        <w:fldChar w:fldCharType="end"/>
      </w:r>
      <w:r>
        <w:rPr>
          <w:rFonts w:eastAsiaTheme="minorEastAsia"/>
        </w:rPr>
        <w:t xml:space="preserve">. </w:t>
      </w:r>
    </w:p>
    <w:p w14:paraId="4240B46E" w14:textId="77777777" w:rsidR="00C07CC2" w:rsidRDefault="00C07CC2" w:rsidP="006052E7">
      <w:pPr>
        <w:jc w:val="both"/>
        <w:rPr>
          <w:rFonts w:eastAsiaTheme="minorEastAsia"/>
        </w:rPr>
      </w:pPr>
    </w:p>
    <w:p w14:paraId="4756C4BD" w14:textId="501D8D13" w:rsidR="00C07CC2" w:rsidRDefault="00C07CC2" w:rsidP="006052E7">
      <w:pPr>
        <w:jc w:val="both"/>
        <w:rPr>
          <w:rFonts w:eastAsiaTheme="minorEastAsia"/>
        </w:rPr>
      </w:pPr>
      <w:r>
        <w:rPr>
          <w:rFonts w:eastAsiaTheme="minorEastAsia"/>
          <w:noProof/>
        </w:rPr>
        <w:lastRenderedPageBreak/>
        <w:drawing>
          <wp:inline distT="0" distB="0" distL="0" distR="0" wp14:anchorId="18B9F5A2" wp14:editId="2A6299D6">
            <wp:extent cx="5394960" cy="32670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953.JPG"/>
                    <pic:cNvPicPr/>
                  </pic:nvPicPr>
                  <pic:blipFill rotWithShape="1">
                    <a:blip r:embed="rId23">
                      <a:extLst>
                        <a:ext uri="{28A0092B-C50C-407E-A947-70E740481C1C}">
                          <a14:useLocalDpi xmlns:a14="http://schemas.microsoft.com/office/drawing/2010/main" val="0"/>
                        </a:ext>
                      </a:extLst>
                    </a:blip>
                    <a:srcRect t="11535" b="7721"/>
                    <a:stretch/>
                  </pic:blipFill>
                  <pic:spPr bwMode="auto">
                    <a:xfrm>
                      <a:off x="0" y="0"/>
                      <a:ext cx="5394960" cy="3267075"/>
                    </a:xfrm>
                    <a:prstGeom prst="roundRect">
                      <a:avLst/>
                    </a:prstGeom>
                    <a:ln>
                      <a:noFill/>
                    </a:ln>
                    <a:extLst>
                      <a:ext uri="{53640926-AAD7-44D8-BBD7-CCE9431645EC}">
                        <a14:shadowObscured xmlns:a14="http://schemas.microsoft.com/office/drawing/2010/main"/>
                      </a:ext>
                    </a:extLst>
                  </pic:spPr>
                </pic:pic>
              </a:graphicData>
            </a:graphic>
          </wp:inline>
        </w:drawing>
      </w:r>
    </w:p>
    <w:p w14:paraId="1A627CDF" w14:textId="77777777" w:rsidR="00797DF0" w:rsidRDefault="00797DF0" w:rsidP="00797DF0">
      <w:pPr>
        <w:pStyle w:val="Caption"/>
      </w:pPr>
      <w:bookmarkStart w:id="38" w:name="_Ref441762975"/>
      <w:bookmarkStart w:id="39" w:name="_Toc447755347"/>
      <w:r>
        <w:t xml:space="preserve">Figure </w:t>
      </w:r>
      <w:r w:rsidR="00184FC2">
        <w:fldChar w:fldCharType="begin"/>
      </w:r>
      <w:r w:rsidR="00184FC2">
        <w:instrText xml:space="preserve"> SEQ Figure \* ARABIC </w:instrText>
      </w:r>
      <w:r w:rsidR="00184FC2">
        <w:fldChar w:fldCharType="separate"/>
      </w:r>
      <w:r w:rsidR="00E90148">
        <w:rPr>
          <w:noProof/>
        </w:rPr>
        <w:t>9</w:t>
      </w:r>
      <w:r w:rsidR="00184FC2">
        <w:rPr>
          <w:noProof/>
        </w:rPr>
        <w:fldChar w:fldCharType="end"/>
      </w:r>
      <w:bookmarkEnd w:id="38"/>
      <w:r>
        <w:t>: Poorly Prepared Powder Sample (Left) and</w:t>
      </w:r>
      <w:bookmarkEnd w:id="39"/>
      <w:r>
        <w:t xml:space="preserve"> </w:t>
      </w:r>
    </w:p>
    <w:p w14:paraId="23B47AAA" w14:textId="47054E9F" w:rsidR="00797DF0" w:rsidRDefault="00797DF0" w:rsidP="00797DF0">
      <w:pPr>
        <w:pStyle w:val="Caption"/>
        <w:rPr>
          <w:rFonts w:eastAsiaTheme="minorEastAsia"/>
        </w:rPr>
      </w:pPr>
      <w:r>
        <w:t>Adequately Prepared Powder Sample (Right)</w:t>
      </w:r>
    </w:p>
    <w:p w14:paraId="66C66C43" w14:textId="77777777" w:rsidR="00C07CC2" w:rsidRDefault="00C07CC2" w:rsidP="006052E7">
      <w:pPr>
        <w:jc w:val="both"/>
        <w:rPr>
          <w:rFonts w:eastAsiaTheme="minorEastAsia"/>
        </w:rPr>
      </w:pPr>
    </w:p>
    <w:p w14:paraId="736795C4" w14:textId="281CF3A0" w:rsidR="00D3308C" w:rsidRPr="00D3308C" w:rsidRDefault="001B40D5" w:rsidP="00825F9D">
      <w:pPr>
        <w:jc w:val="both"/>
        <w:rPr>
          <w:rFonts w:eastAsiaTheme="minorEastAsia"/>
          <w:b/>
        </w:rPr>
      </w:pPr>
      <w:r>
        <w:rPr>
          <w:rFonts w:eastAsiaTheme="minorEastAsia"/>
          <w:b/>
        </w:rPr>
        <w:t>3.7</w:t>
      </w:r>
      <w:r w:rsidR="00D3308C" w:rsidRPr="00D3308C">
        <w:rPr>
          <w:rFonts w:eastAsiaTheme="minorEastAsia"/>
          <w:b/>
        </w:rPr>
        <w:t xml:space="preserve"> </w:t>
      </w:r>
      <w:r w:rsidR="00E375C4">
        <w:rPr>
          <w:rFonts w:eastAsiaTheme="minorEastAsia"/>
          <w:b/>
        </w:rPr>
        <w:t xml:space="preserve">Laboratory </w:t>
      </w:r>
      <w:r w:rsidR="00D3308C" w:rsidRPr="00D3308C">
        <w:rPr>
          <w:rFonts w:eastAsiaTheme="minorEastAsia"/>
          <w:b/>
        </w:rPr>
        <w:t xml:space="preserve">Testing </w:t>
      </w:r>
      <w:r w:rsidR="00E375C4">
        <w:rPr>
          <w:rFonts w:eastAsiaTheme="minorEastAsia"/>
          <w:b/>
        </w:rPr>
        <w:t xml:space="preserve">of </w:t>
      </w:r>
      <w:r w:rsidR="00825F9D">
        <w:rPr>
          <w:rFonts w:eastAsiaTheme="minorEastAsia"/>
          <w:b/>
        </w:rPr>
        <w:t>PH</w:t>
      </w:r>
      <w:r w:rsidR="00D3308C" w:rsidRPr="00D3308C">
        <w:rPr>
          <w:rFonts w:eastAsiaTheme="minorEastAsia"/>
          <w:b/>
        </w:rPr>
        <w:t>XRF</w:t>
      </w:r>
    </w:p>
    <w:p w14:paraId="67E986FF" w14:textId="74A6BB22" w:rsidR="00D3308C" w:rsidRDefault="00886CF2" w:rsidP="00BD665D">
      <w:pPr>
        <w:ind w:firstLine="720"/>
        <w:jc w:val="both"/>
      </w:pPr>
      <w:r>
        <w:t>A</w:t>
      </w:r>
      <w:r w:rsidR="00D3308C" w:rsidRPr="00D3308C">
        <w:t xml:space="preserve"> Bru</w:t>
      </w:r>
      <w:r w:rsidR="00E1133F">
        <w:t xml:space="preserve">ker S1 Titan </w:t>
      </w:r>
      <w:r>
        <w:t xml:space="preserve">and a </w:t>
      </w:r>
      <w:r w:rsidR="002759D9">
        <w:t>Thermo Scientific Niton XL3t GOLDD+</w:t>
      </w:r>
      <w:r>
        <w:t xml:space="preserve"> w</w:t>
      </w:r>
      <w:r w:rsidR="008B1975">
        <w:t xml:space="preserve">ere </w:t>
      </w:r>
      <w:r>
        <w:t>used to analyze the 70</w:t>
      </w:r>
      <w:r w:rsidR="008B1975">
        <w:t xml:space="preserve"> sample matrix</w:t>
      </w:r>
      <w:r w:rsidR="00E1133F">
        <w:t xml:space="preserve">. </w:t>
      </w:r>
      <w:r w:rsidR="002759D9">
        <w:t>Both the S1 Titan and Niton XL3t w</w:t>
      </w:r>
      <w:r w:rsidR="008B1975">
        <w:t>ere</w:t>
      </w:r>
      <w:r w:rsidR="002759D9">
        <w:t xml:space="preserve"> set to their respective factory-installed soil calibrations for the analyses.</w:t>
      </w:r>
      <w:r w:rsidR="009A7571">
        <w:t xml:space="preserve"> </w:t>
      </w:r>
      <w:r w:rsidR="00D83B8E">
        <w:t xml:space="preserve">These devices can be seen in </w:t>
      </w:r>
      <w:r w:rsidR="00470E7B">
        <w:fldChar w:fldCharType="begin"/>
      </w:r>
      <w:r w:rsidR="00470E7B">
        <w:instrText xml:space="preserve"> REF _Ref437863673 \h </w:instrText>
      </w:r>
      <w:r w:rsidR="00470E7B">
        <w:fldChar w:fldCharType="separate"/>
      </w:r>
      <w:r w:rsidR="00E90148">
        <w:t xml:space="preserve">Figure </w:t>
      </w:r>
      <w:r w:rsidR="00E90148">
        <w:rPr>
          <w:noProof/>
        </w:rPr>
        <w:t>10</w:t>
      </w:r>
      <w:r w:rsidR="00470E7B">
        <w:fldChar w:fldCharType="end"/>
      </w:r>
      <w:r w:rsidR="00D83B8E">
        <w:t xml:space="preserve">. </w:t>
      </w:r>
      <w:r w:rsidR="00B67A66">
        <w:t xml:space="preserve">It should be noted </w:t>
      </w:r>
      <w:r w:rsidR="00D83CA3">
        <w:t>that</w:t>
      </w:r>
      <w:r w:rsidR="00D83B8E">
        <w:t xml:space="preserve"> </w:t>
      </w:r>
      <w:r w:rsidR="00771F08">
        <w:t>X-ray</w:t>
      </w:r>
      <w:r w:rsidR="00D83B8E">
        <w:t xml:space="preserve"> radiation is emitted from the nose of these devices</w:t>
      </w:r>
      <w:r w:rsidR="00D83CA3">
        <w:t>,</w:t>
      </w:r>
      <w:r w:rsidR="00D83B8E">
        <w:t xml:space="preserve"> which can cause serious injur</w:t>
      </w:r>
      <w:r w:rsidR="007C1C11">
        <w:t xml:space="preserve">y if </w:t>
      </w:r>
      <w:r w:rsidR="008B1975">
        <w:t xml:space="preserve">improperly </w:t>
      </w:r>
      <w:r w:rsidR="007C1C11">
        <w:t>used. S</w:t>
      </w:r>
      <w:r w:rsidR="009A7571">
        <w:t xml:space="preserve">afety training and instrument familiarization is </w:t>
      </w:r>
      <w:r w:rsidR="00D83B8E">
        <w:t>imperative before handling.</w:t>
      </w:r>
    </w:p>
    <w:p w14:paraId="1288320C" w14:textId="77777777" w:rsidR="00D83B8E" w:rsidRDefault="00D83B8E" w:rsidP="00D83B8E">
      <w:pPr>
        <w:ind w:firstLine="720"/>
        <w:jc w:val="both"/>
      </w:pPr>
    </w:p>
    <w:p w14:paraId="7DBCCD11" w14:textId="062B4A5F" w:rsidR="00D83B8E" w:rsidRPr="00D3308C" w:rsidRDefault="00BD665D" w:rsidP="00BD665D">
      <w:r w:rsidRPr="00BD665D">
        <w:rPr>
          <w:noProof/>
        </w:rPr>
        <w:lastRenderedPageBreak/>
        <w:drawing>
          <wp:inline distT="0" distB="0" distL="0" distR="0" wp14:anchorId="45D0D9B4" wp14:editId="783CBB42">
            <wp:extent cx="5066215" cy="3383573"/>
            <wp:effectExtent l="0" t="0" r="1270" b="762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066215" cy="3383573"/>
                    </a:xfrm>
                    <a:prstGeom prst="roundRect">
                      <a:avLst/>
                    </a:prstGeom>
                  </pic:spPr>
                </pic:pic>
              </a:graphicData>
            </a:graphic>
          </wp:inline>
        </w:drawing>
      </w:r>
    </w:p>
    <w:p w14:paraId="18881BB1" w14:textId="3743F4EE" w:rsidR="00D83B8E" w:rsidRDefault="00470E7B" w:rsidP="00BD665D">
      <w:pPr>
        <w:pStyle w:val="Caption"/>
        <w:spacing w:line="480" w:lineRule="auto"/>
        <w:ind w:left="720" w:right="576"/>
      </w:pPr>
      <w:bookmarkStart w:id="40" w:name="_Ref437863673"/>
      <w:bookmarkStart w:id="41" w:name="_Toc437863885"/>
      <w:bookmarkStart w:id="42" w:name="_Toc447755348"/>
      <w:r>
        <w:t xml:space="preserve">Figure </w:t>
      </w:r>
      <w:r w:rsidR="00184FC2">
        <w:fldChar w:fldCharType="begin"/>
      </w:r>
      <w:r w:rsidR="00184FC2">
        <w:instrText xml:space="preserve"> SEQ Figure \* ARABIC </w:instrText>
      </w:r>
      <w:r w:rsidR="00184FC2">
        <w:fldChar w:fldCharType="separate"/>
      </w:r>
      <w:r w:rsidR="00E90148">
        <w:rPr>
          <w:noProof/>
        </w:rPr>
        <w:t>10</w:t>
      </w:r>
      <w:r w:rsidR="00184FC2">
        <w:rPr>
          <w:noProof/>
        </w:rPr>
        <w:fldChar w:fldCharType="end"/>
      </w:r>
      <w:bookmarkEnd w:id="40"/>
      <w:r>
        <w:t xml:space="preserve">: </w:t>
      </w:r>
      <w:r w:rsidR="00BD665D">
        <w:t xml:space="preserve">(Left) </w:t>
      </w:r>
      <w:r w:rsidRPr="00E03E10">
        <w:t>Bruker S1 Titan in Desktop Stand</w:t>
      </w:r>
      <w:bookmarkEnd w:id="41"/>
      <w:r w:rsidR="00BD665D">
        <w:t xml:space="preserve"> and (Right)</w:t>
      </w:r>
      <w:bookmarkStart w:id="43" w:name="_Toc437863886"/>
      <w:r w:rsidR="00BD665D">
        <w:t xml:space="preserve"> </w:t>
      </w:r>
      <w:r w:rsidRPr="00EE0191">
        <w:t>Thermo Scientific Niton XL3t GOLDD+ in Field Stand</w:t>
      </w:r>
      <w:bookmarkEnd w:id="42"/>
      <w:bookmarkEnd w:id="43"/>
    </w:p>
    <w:p w14:paraId="378562E7" w14:textId="753975A2" w:rsidR="00D3308C" w:rsidRDefault="002759D9" w:rsidP="003B42ED">
      <w:pPr>
        <w:ind w:firstLine="720"/>
        <w:jc w:val="both"/>
      </w:pPr>
      <w:r w:rsidRPr="00D83B8E">
        <w:t>Effects of scan duration</w:t>
      </w:r>
      <w:r w:rsidR="00FA4E4A">
        <w:t>s</w:t>
      </w:r>
      <w:r w:rsidRPr="00D83B8E">
        <w:t xml:space="preserve"> </w:t>
      </w:r>
      <w:r w:rsidR="00FA4E4A">
        <w:t xml:space="preserve">and scan techniques </w:t>
      </w:r>
      <w:r w:rsidRPr="00D83B8E">
        <w:t>w</w:t>
      </w:r>
      <w:r w:rsidR="008B1975">
        <w:t>ere</w:t>
      </w:r>
      <w:r w:rsidRPr="00D83B8E">
        <w:t xml:space="preserve"> assessed on the S1 Titan. </w:t>
      </w:r>
      <w:r w:rsidR="00066948">
        <w:t>The S1 Titan is equipped to perform dual phase measurements. Phase I detects the light elements of Mg, Al, and Si</w:t>
      </w:r>
      <w:r w:rsidR="00B2792D">
        <w:t>, and Phase II detects non-light elements</w:t>
      </w:r>
      <w:r w:rsidR="00066948">
        <w:t xml:space="preserve">. </w:t>
      </w:r>
      <w:r w:rsidR="00B2792D">
        <w:t>Since calcium is the element central to this research, Phase II scan durations were varied</w:t>
      </w:r>
      <w:r w:rsidR="00027915">
        <w:t xml:space="preserve"> to longer lengths</w:t>
      </w:r>
      <w:r w:rsidR="00B2792D">
        <w:t xml:space="preserve">. </w:t>
      </w:r>
      <w:r w:rsidR="006B094D">
        <w:t xml:space="preserve">The following scan durations were assessed: 30 - 30, 15 - 45, 15 - 60, and 15 - 120, where </w:t>
      </w:r>
      <w:r w:rsidR="00027915">
        <w:t xml:space="preserve">the first number represents the length of </w:t>
      </w:r>
      <w:r w:rsidR="006B094D">
        <w:t>Phase I</w:t>
      </w:r>
      <w:r w:rsidR="003B42ED">
        <w:t xml:space="preserve"> scan</w:t>
      </w:r>
      <w:r w:rsidR="00027915">
        <w:t xml:space="preserve"> in seconds and the</w:t>
      </w:r>
      <w:r w:rsidR="006B094D">
        <w:t xml:space="preserve"> </w:t>
      </w:r>
      <w:r w:rsidR="00027915">
        <w:t xml:space="preserve">second number represents </w:t>
      </w:r>
      <w:r w:rsidR="006B094D">
        <w:t>Phase II. The</w:t>
      </w:r>
      <w:r w:rsidR="00FA4E4A">
        <w:t xml:space="preserve"> effects </w:t>
      </w:r>
      <w:r w:rsidR="006B094D">
        <w:t xml:space="preserve">of scan durations </w:t>
      </w:r>
      <w:r w:rsidR="00FA4E4A">
        <w:t xml:space="preserve">on </w:t>
      </w:r>
      <m:oMath>
        <m:r>
          <w:rPr>
            <w:rFonts w:ascii="Cambria Math" w:hAnsi="Cambria Math"/>
          </w:rPr>
          <m:t>SC</m:t>
        </m:r>
      </m:oMath>
      <w:r w:rsidR="00FA4E4A">
        <w:t xml:space="preserve"> precision and accuracy</w:t>
      </w:r>
      <w:r w:rsidR="006B094D">
        <w:t xml:space="preserve"> were monitored</w:t>
      </w:r>
      <w:r w:rsidR="008F5E86">
        <w:t xml:space="preserve">. </w:t>
      </w:r>
      <w:r w:rsidR="00FA4E4A">
        <w:t>All measurements</w:t>
      </w:r>
      <w:r w:rsidR="008B1975">
        <w:t xml:space="preserve"> with the Niton XL3t were limited to 60 seconds</w:t>
      </w:r>
      <w:r w:rsidR="006B094D">
        <w:t xml:space="preserve"> because longer scan durations produced no meaningful benefits for the S1 Titan measurements</w:t>
      </w:r>
      <w:r w:rsidR="008B1975">
        <w:t>.</w:t>
      </w:r>
      <w:r w:rsidR="00FA4E4A">
        <w:t xml:space="preserve"> Scan technique was assessed by conducting standard scans (i.e. scanning a sample three times in the </w:t>
      </w:r>
      <w:r w:rsidR="003B42ED">
        <w:t>same place</w:t>
      </w:r>
      <w:r w:rsidR="00FA4E4A">
        <w:t xml:space="preserve">) and quartering scans (i.e. scanning </w:t>
      </w:r>
      <w:r w:rsidR="003B42ED">
        <w:t>the first quadrant</w:t>
      </w:r>
      <w:r w:rsidR="00FA4E4A">
        <w:t xml:space="preserve"> three times</w:t>
      </w:r>
      <w:r w:rsidR="00027915">
        <w:t xml:space="preserve">, </w:t>
      </w:r>
      <w:r w:rsidR="00FA4E4A">
        <w:lastRenderedPageBreak/>
        <w:t>rotating it 90</w:t>
      </w:r>
      <w:r w:rsidR="00FA4E4A">
        <w:rPr>
          <w:rFonts w:cs="Times New Roman"/>
        </w:rPr>
        <w:t>°</w:t>
      </w:r>
      <w:r w:rsidR="00FA4E4A">
        <w:t xml:space="preserve">, </w:t>
      </w:r>
      <w:r w:rsidR="00027915">
        <w:t>scanning</w:t>
      </w:r>
      <w:r w:rsidR="003B42ED">
        <w:t xml:space="preserve"> the second quadrant three time</w:t>
      </w:r>
      <w:r w:rsidR="00027915">
        <w:t>, rotating it 90</w:t>
      </w:r>
      <w:r w:rsidR="00027915">
        <w:rPr>
          <w:rFonts w:cs="Times New Roman"/>
        </w:rPr>
        <w:t>°</w:t>
      </w:r>
      <w:r w:rsidR="00027915">
        <w:t>, etc.</w:t>
      </w:r>
      <w:r w:rsidR="00FA4E4A">
        <w:t xml:space="preserve">) on all powder samples with both the S1 Titan and the Niton XL3t. Quartering of samples is illustrated in </w:t>
      </w:r>
      <w:r w:rsidR="00470E7B">
        <w:fldChar w:fldCharType="begin"/>
      </w:r>
      <w:r w:rsidR="00470E7B">
        <w:instrText xml:space="preserve"> REF _Ref437863722 \h </w:instrText>
      </w:r>
      <w:r w:rsidR="00470E7B">
        <w:fldChar w:fldCharType="separate"/>
      </w:r>
      <w:r w:rsidR="00E90148">
        <w:t xml:space="preserve">Figure </w:t>
      </w:r>
      <w:r w:rsidR="00E90148">
        <w:rPr>
          <w:noProof/>
        </w:rPr>
        <w:t>11</w:t>
      </w:r>
      <w:r w:rsidR="00470E7B">
        <w:fldChar w:fldCharType="end"/>
      </w:r>
      <w:r w:rsidR="00902658">
        <w:t xml:space="preserve">. </w:t>
      </w:r>
      <w:r w:rsidR="00BF308F">
        <w:t xml:space="preserve">This technique was used to assess sample homogeneity. </w:t>
      </w:r>
    </w:p>
    <w:p w14:paraId="3862CA74" w14:textId="77777777" w:rsidR="003B42ED" w:rsidRDefault="003B42ED" w:rsidP="003B42ED">
      <w:pPr>
        <w:ind w:firstLine="720"/>
        <w:jc w:val="both"/>
      </w:pPr>
    </w:p>
    <w:p w14:paraId="132FFF54" w14:textId="77777777" w:rsidR="00D3308C" w:rsidRPr="00D3308C" w:rsidRDefault="00D3308C" w:rsidP="00D3308C">
      <w:pPr>
        <w:jc w:val="both"/>
      </w:pPr>
      <w:r w:rsidRPr="00D3308C">
        <w:rPr>
          <w:noProof/>
        </w:rPr>
        <mc:AlternateContent>
          <mc:Choice Requires="wpg">
            <w:drawing>
              <wp:anchor distT="0" distB="0" distL="114300" distR="114300" simplePos="0" relativeHeight="251659264" behindDoc="0" locked="0" layoutInCell="1" allowOverlap="1" wp14:anchorId="1693ED48" wp14:editId="2544E85F">
                <wp:simplePos x="0" y="0"/>
                <wp:positionH relativeFrom="margin">
                  <wp:posOffset>1767840</wp:posOffset>
                </wp:positionH>
                <wp:positionV relativeFrom="paragraph">
                  <wp:posOffset>143891</wp:posOffset>
                </wp:positionV>
                <wp:extent cx="1828800" cy="1828800"/>
                <wp:effectExtent l="0" t="0" r="19050" b="19050"/>
                <wp:wrapNone/>
                <wp:docPr id="16" name="Group 16"/>
                <wp:cNvGraphicFramePr/>
                <a:graphic xmlns:a="http://schemas.openxmlformats.org/drawingml/2006/main">
                  <a:graphicData uri="http://schemas.microsoft.com/office/word/2010/wordprocessingGroup">
                    <wpg:wgp>
                      <wpg:cNvGrpSpPr/>
                      <wpg:grpSpPr>
                        <a:xfrm>
                          <a:off x="0" y="0"/>
                          <a:ext cx="1828800" cy="1828800"/>
                          <a:chOff x="0" y="0"/>
                          <a:chExt cx="914400" cy="914400"/>
                        </a:xfrm>
                      </wpg:grpSpPr>
                      <wps:wsp>
                        <wps:cNvPr id="2" name="Oval 2"/>
                        <wps:cNvSpPr/>
                        <wps:spPr>
                          <a:xfrm>
                            <a:off x="0" y="0"/>
                            <a:ext cx="914400" cy="914400"/>
                          </a:xfrm>
                          <a:prstGeom prst="ellipse">
                            <a:avLst/>
                          </a:prstGeom>
                          <a:solidFill>
                            <a:schemeClr val="accent4">
                              <a:lumMod val="40000"/>
                              <a:lumOff val="6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Connector 5"/>
                        <wps:cNvCnPr>
                          <a:stCxn id="2" idx="1"/>
                          <a:endCxn id="2" idx="5"/>
                        </wps:cNvCnPr>
                        <wps:spPr>
                          <a:xfrm>
                            <a:off x="133911" y="133911"/>
                            <a:ext cx="646578" cy="646578"/>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a:stCxn id="2" idx="3"/>
                          <a:endCxn id="2" idx="7"/>
                        </wps:cNvCnPr>
                        <wps:spPr>
                          <a:xfrm flipV="1">
                            <a:off x="133911" y="133911"/>
                            <a:ext cx="646578" cy="646578"/>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2" name="Text Box 12"/>
                        <wps:cNvSpPr txBox="1"/>
                        <wps:spPr>
                          <a:xfrm>
                            <a:off x="336430" y="133911"/>
                            <a:ext cx="24765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BB4DB" w14:textId="77777777" w:rsidR="00D0002C" w:rsidRPr="009702E2" w:rsidRDefault="00D0002C" w:rsidP="00D3308C">
                              <w:pPr>
                                <w:rPr>
                                  <w:sz w:val="20"/>
                                  <w:szCs w:val="20"/>
                                </w:rPr>
                              </w:pPr>
                              <w:r w:rsidRPr="009702E2">
                                <w:rPr>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345057" y="650087"/>
                            <a:ext cx="24765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70920" w14:textId="77777777" w:rsidR="00D0002C" w:rsidRPr="009702E2" w:rsidRDefault="00D0002C" w:rsidP="00D3308C">
                              <w:pPr>
                                <w:rPr>
                                  <w:sz w:val="20"/>
                                  <w:szCs w:val="20"/>
                                </w:rPr>
                              </w:pPr>
                              <w:r>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621102" y="382668"/>
                            <a:ext cx="24765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1E1F9" w14:textId="77777777" w:rsidR="00D0002C" w:rsidRPr="009702E2" w:rsidRDefault="00D0002C" w:rsidP="00D3308C">
                              <w:pPr>
                                <w:rPr>
                                  <w:sz w:val="20"/>
                                  <w:szCs w:val="20"/>
                                </w:rPr>
                              </w:pPr>
                              <w:r>
                                <w:rPr>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51759" y="381288"/>
                            <a:ext cx="24765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A714F6" w14:textId="77777777" w:rsidR="00D0002C" w:rsidRPr="009702E2" w:rsidRDefault="00D0002C" w:rsidP="00D3308C">
                              <w:pPr>
                                <w:rPr>
                                  <w:sz w:val="20"/>
                                  <w:szCs w:val="20"/>
                                </w:rPr>
                              </w:pPr>
                              <w:r>
                                <w:rPr>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93ED48" id="Group 16" o:spid="_x0000_s1028" style="position:absolute;left:0;text-align:left;margin-left:139.2pt;margin-top:11.35pt;width:2in;height:2in;z-index:251659264;mso-position-horizontal-relative:margin;mso-width-relative:margin;mso-height-relative:margin"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">
                <v:oval id="Oval 2" o:spid="_x0000_s1029"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7EsIA&#10;AADaAAAADwAAAGRycy9kb3ducmV2LnhtbESP0YrCMBRE3wX/IVxhX0RTRUSqUWRXF0EUqn7Apbm2&#10;xeamNFGz+/VmYcHHYWbOMItVMLV4UOsqywpGwwQEcW51xYWCy3k7mIFwHlljbZkU/JCD1bLbWWCq&#10;7ZMzepx8ISKEXYoKSu+bVEqXl2TQDW1DHL2rbQ36KNtC6hafEW5qOU6SqTRYcVwosaHPkvLb6W4U&#10;fP9+HWf5PmxCf99MJtuDN9lGK/XRC+s5CE/Bv8P/7Z1WMIa/K/EG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DsSwgAAANoAAAAPAAAAAAAAAAAAAAAAAJgCAABkcnMvZG93&#10;bnJldi54bWxQSwUGAAAAAAQABAD1AAAAhwMAAAAA&#10;" fillcolor="#ffe599 [1303]" strokecolor="#7f7f7f [1612]" strokeweight="1pt">
                  <v:stroke joinstyle="miter"/>
                </v:oval>
                <v:line id="Straight Connector 5" o:spid="_x0000_s1030" style="position:absolute;visibility:visible;mso-wrap-style:square" from="1339,1339" to="7804,7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ovacQAAADaAAAADwAAAGRycy9kb3ducmV2LnhtbESPW2vCQBSE3wv+h+UIvtWNSotE16CW&#10;Qkuf4g19O2ZPLpg9G7NbTf99Vyj0cZiZb5h50pla3Kh1lWUFo2EEgjizuuJCwW77/jwF4Tyyxtoy&#10;KfghB8mi9zTHWNs7p3Tb+EIECLsYFZTeN7GULivJoBvahjh4uW0N+iDbQuoW7wFuajmOoldpsOKw&#10;UGJD65Kyy+bbKMiuk316OF4/0/PoayzXq/zt5KVSg363nIHw1Pn/8F/7Qyt4gceVc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i9pxAAAANoAAAAPAAAAAAAAAAAA&#10;AAAAAKECAABkcnMvZG93bnJldi54bWxQSwUGAAAAAAQABAD5AAAAkgMAAAAA&#10;" strokecolor="#7f7f7f [1612]" strokeweight=".5pt">
                  <v:stroke joinstyle="miter"/>
                </v:line>
                <v:line id="Straight Connector 11" o:spid="_x0000_s1031" style="position:absolute;flip:y;visibility:visible;mso-wrap-style:square" from="1339,1339" to="7804,7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IIbsAAAADbAAAADwAAAGRycy9kb3ducmV2LnhtbERPTWvCQBC9C/6HZQRvurEHiamraNNQ&#10;wZNpeh+yYxKanQ3ZbZL+e7dQ8DaP9zn742RaMVDvGssKNusIBHFpdcOVguIzW8UgnEfW2FomBb/k&#10;4HiYz/aYaDvyjYbcVyKEsEtQQe19l0jpypoMurXtiAN3t71BH2BfSd3jGMJNK1+iaCsNNhwaauzo&#10;rabyO/8xCu5m4LR4P8cxZtfUWPf1oXeZUsvFdHoF4WnyT/G/+6LD/A38/RIOkIc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iCG7AAAAA2wAAAA8AAAAAAAAAAAAAAAAA&#10;oQIAAGRycy9kb3ducmV2LnhtbFBLBQYAAAAABAAEAPkAAACOAwAAAAA=&#10;" strokecolor="#7f7f7f [1612]" strokeweight=".5pt">
                  <v:stroke joinstyle="miter"/>
                </v:line>
                <v:shape id="Text Box 12" o:spid="_x0000_s1032" type="#_x0000_t202" style="position:absolute;left:3364;top:1339;width:2476;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14:paraId="526BB4DB" w14:textId="77777777" w:rsidR="00D0002C" w:rsidRPr="009702E2" w:rsidRDefault="00D0002C" w:rsidP="00D3308C">
                        <w:pPr>
                          <w:rPr>
                            <w:sz w:val="20"/>
                            <w:szCs w:val="20"/>
                          </w:rPr>
                        </w:pPr>
                        <w:r w:rsidRPr="009702E2">
                          <w:rPr>
                            <w:sz w:val="20"/>
                            <w:szCs w:val="20"/>
                          </w:rPr>
                          <w:t>1</w:t>
                        </w:r>
                      </w:p>
                    </w:txbxContent>
                  </v:textbox>
                </v:shape>
                <v:shape id="Text Box 13" o:spid="_x0000_s1033" type="#_x0000_t202" style="position:absolute;left:3450;top:6500;width:2477;height:2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14:paraId="4BB70920" w14:textId="77777777" w:rsidR="00D0002C" w:rsidRPr="009702E2" w:rsidRDefault="00D0002C" w:rsidP="00D3308C">
                        <w:pPr>
                          <w:rPr>
                            <w:sz w:val="20"/>
                            <w:szCs w:val="20"/>
                          </w:rPr>
                        </w:pPr>
                        <w:r>
                          <w:rPr>
                            <w:sz w:val="20"/>
                            <w:szCs w:val="20"/>
                          </w:rPr>
                          <w:t>3</w:t>
                        </w:r>
                      </w:p>
                    </w:txbxContent>
                  </v:textbox>
                </v:shape>
                <v:shape id="Text Box 14" o:spid="_x0000_s1034" type="#_x0000_t202" style="position:absolute;left:6211;top:3826;width:2476;height:2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14:paraId="5DC1E1F9" w14:textId="77777777" w:rsidR="00D0002C" w:rsidRPr="009702E2" w:rsidRDefault="00D0002C" w:rsidP="00D3308C">
                        <w:pPr>
                          <w:rPr>
                            <w:sz w:val="20"/>
                            <w:szCs w:val="20"/>
                          </w:rPr>
                        </w:pPr>
                        <w:r>
                          <w:rPr>
                            <w:sz w:val="20"/>
                            <w:szCs w:val="20"/>
                          </w:rPr>
                          <w:t>2</w:t>
                        </w:r>
                      </w:p>
                    </w:txbxContent>
                  </v:textbox>
                </v:shape>
                <v:shape id="Text Box 15" o:spid="_x0000_s1035" type="#_x0000_t202" style="position:absolute;left:517;top:3812;width:2477;height:2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11A714F6" w14:textId="77777777" w:rsidR="00D0002C" w:rsidRPr="009702E2" w:rsidRDefault="00D0002C" w:rsidP="00D3308C">
                        <w:pPr>
                          <w:rPr>
                            <w:sz w:val="20"/>
                            <w:szCs w:val="20"/>
                          </w:rPr>
                        </w:pPr>
                        <w:r>
                          <w:rPr>
                            <w:sz w:val="20"/>
                            <w:szCs w:val="20"/>
                          </w:rPr>
                          <w:t>4</w:t>
                        </w:r>
                      </w:p>
                    </w:txbxContent>
                  </v:textbox>
                </v:shape>
                <w10:wrap anchorx="margin"/>
              </v:group>
            </w:pict>
          </mc:Fallback>
        </mc:AlternateContent>
      </w:r>
    </w:p>
    <w:p w14:paraId="3362F0F7" w14:textId="77777777" w:rsidR="00D3308C" w:rsidRPr="00D3308C" w:rsidRDefault="00D3308C" w:rsidP="00D3308C"/>
    <w:p w14:paraId="75C2F717" w14:textId="77777777" w:rsidR="00D3308C" w:rsidRPr="00D3308C" w:rsidRDefault="00D3308C" w:rsidP="00D3308C"/>
    <w:p w14:paraId="538E1282" w14:textId="77777777" w:rsidR="00D3308C" w:rsidRDefault="00D3308C" w:rsidP="00D3308C"/>
    <w:p w14:paraId="6AF23D60" w14:textId="77777777" w:rsidR="005C0288" w:rsidRDefault="005C0288" w:rsidP="00D3308C"/>
    <w:p w14:paraId="479AC82F" w14:textId="77777777" w:rsidR="00C35E27" w:rsidRDefault="00C35E27" w:rsidP="00D3308C"/>
    <w:p w14:paraId="5BA82FCA" w14:textId="1BE66FEB" w:rsidR="0038076C" w:rsidRDefault="00470E7B" w:rsidP="00BD665D">
      <w:pPr>
        <w:pStyle w:val="Caption"/>
        <w:spacing w:before="120" w:after="120"/>
      </w:pPr>
      <w:bookmarkStart w:id="44" w:name="_Ref437863722"/>
      <w:bookmarkStart w:id="45" w:name="_Toc437863887"/>
      <w:bookmarkStart w:id="46" w:name="_Toc447755349"/>
      <w:r>
        <w:t xml:space="preserve">Figure </w:t>
      </w:r>
      <w:r w:rsidR="00184FC2">
        <w:fldChar w:fldCharType="begin"/>
      </w:r>
      <w:r w:rsidR="00184FC2">
        <w:instrText xml:space="preserve"> SEQ Figure \* ARABIC </w:instrText>
      </w:r>
      <w:r w:rsidR="00184FC2">
        <w:fldChar w:fldCharType="separate"/>
      </w:r>
      <w:r w:rsidR="00E90148">
        <w:rPr>
          <w:noProof/>
        </w:rPr>
        <w:t>11</w:t>
      </w:r>
      <w:r w:rsidR="00184FC2">
        <w:rPr>
          <w:noProof/>
        </w:rPr>
        <w:fldChar w:fldCharType="end"/>
      </w:r>
      <w:bookmarkEnd w:id="44"/>
      <w:r>
        <w:t xml:space="preserve">: </w:t>
      </w:r>
      <w:r w:rsidRPr="00115CFF">
        <w:t>Dividing Powder Samples into Four Quadrants</w:t>
      </w:r>
      <w:bookmarkEnd w:id="45"/>
      <w:bookmarkEnd w:id="46"/>
    </w:p>
    <w:p w14:paraId="5D96323C" w14:textId="77777777" w:rsidR="00470E7B" w:rsidRDefault="00470E7B" w:rsidP="00451791">
      <w:pPr>
        <w:jc w:val="left"/>
      </w:pPr>
    </w:p>
    <w:p w14:paraId="332638B6" w14:textId="37E18732" w:rsidR="00D0382F" w:rsidRDefault="001B40D5" w:rsidP="00D0382F">
      <w:pPr>
        <w:jc w:val="both"/>
        <w:rPr>
          <w:rFonts w:eastAsiaTheme="minorEastAsia"/>
          <w:b/>
        </w:rPr>
      </w:pPr>
      <w:r>
        <w:rPr>
          <w:rFonts w:eastAsiaTheme="minorEastAsia"/>
          <w:b/>
        </w:rPr>
        <w:t>3.8</w:t>
      </w:r>
      <w:r w:rsidR="00D0382F" w:rsidRPr="00D3308C">
        <w:rPr>
          <w:rFonts w:eastAsiaTheme="minorEastAsia"/>
          <w:b/>
        </w:rPr>
        <w:t xml:space="preserve"> </w:t>
      </w:r>
      <w:r w:rsidR="00D0382F">
        <w:rPr>
          <w:rFonts w:eastAsiaTheme="minorEastAsia"/>
          <w:b/>
        </w:rPr>
        <w:t>Laboratory Testing Data Analysis</w:t>
      </w:r>
    </w:p>
    <w:p w14:paraId="236E21EC" w14:textId="152399FF" w:rsidR="00270450" w:rsidRDefault="00517324" w:rsidP="00457152">
      <w:pPr>
        <w:jc w:val="both"/>
        <w:rPr>
          <w:rFonts w:eastAsiaTheme="minorEastAsia"/>
          <w:bCs/>
        </w:rPr>
      </w:pPr>
      <w:r>
        <w:rPr>
          <w:rFonts w:eastAsiaTheme="minorEastAsia"/>
          <w:b/>
        </w:rPr>
        <w:tab/>
      </w:r>
      <w:r>
        <w:rPr>
          <w:rFonts w:eastAsiaTheme="minorEastAsia"/>
          <w:bCs/>
        </w:rPr>
        <w:t xml:space="preserve">The effects of four variables (i.e. scan duration, particle size, sample type, and scan technique) on the precision and accuracy of the PHXRF devices were analyzed. Precision </w:t>
      </w:r>
      <w:r w:rsidR="00EB60E9">
        <w:rPr>
          <w:rFonts w:eastAsiaTheme="minorEastAsia"/>
          <w:bCs/>
        </w:rPr>
        <w:t xml:space="preserve">of the devices </w:t>
      </w:r>
      <w:r>
        <w:rPr>
          <w:rFonts w:eastAsiaTheme="minorEastAsia"/>
          <w:bCs/>
        </w:rPr>
        <w:t xml:space="preserve">was assessed using </w:t>
      </w:r>
      <w:r w:rsidR="00E25DE2">
        <w:rPr>
          <w:rFonts w:eastAsiaTheme="minorEastAsia"/>
          <w:bCs/>
        </w:rPr>
        <w:t xml:space="preserve">standard </w:t>
      </w:r>
      <w:r w:rsidR="00E25DE2" w:rsidRPr="00270450">
        <w:rPr>
          <w:rFonts w:asciiTheme="majorBidi" w:eastAsiaTheme="minorEastAsia" w:hAnsiTheme="majorBidi" w:cstheme="majorBidi"/>
          <w:bCs/>
        </w:rPr>
        <w:t>deviation (</w:t>
      </w:r>
      <w:r w:rsidR="00270450" w:rsidRPr="00270450">
        <w:rPr>
          <w:rFonts w:asciiTheme="majorBidi" w:eastAsiaTheme="minorEastAsia" w:hAnsiTheme="majorBidi" w:cstheme="majorBidi"/>
          <w:bCs/>
        </w:rPr>
        <w:t>STDEV</w:t>
      </w:r>
      <w:r w:rsidR="00E25DE2" w:rsidRPr="00270450">
        <w:rPr>
          <w:rFonts w:asciiTheme="majorBidi" w:eastAsiaTheme="minorEastAsia" w:hAnsiTheme="majorBidi" w:cstheme="majorBidi"/>
          <w:bCs/>
        </w:rPr>
        <w:t>)</w:t>
      </w:r>
      <w:r w:rsidR="00270450">
        <w:rPr>
          <w:rFonts w:asciiTheme="majorBidi" w:eastAsiaTheme="minorEastAsia" w:hAnsiTheme="majorBidi" w:cstheme="majorBidi"/>
          <w:bCs/>
        </w:rPr>
        <w:t xml:space="preserve">, coefficient of variation </w:t>
      </w:r>
      <w:r w:rsidR="00BB114D">
        <w:rPr>
          <w:rFonts w:asciiTheme="majorBidi" w:eastAsiaTheme="minorEastAsia" w:hAnsiTheme="majorBidi" w:cstheme="majorBidi"/>
          <w:bCs/>
        </w:rPr>
        <w:t>of the standard deviation (COV</w:t>
      </w:r>
      <w:r w:rsidR="00BB114D">
        <w:rPr>
          <w:rFonts w:asciiTheme="majorBidi" w:eastAsiaTheme="minorEastAsia" w:hAnsiTheme="majorBidi" w:cstheme="majorBidi"/>
          <w:bCs/>
          <w:vertAlign w:val="subscript"/>
        </w:rPr>
        <w:t>STDEV</w:t>
      </w:r>
      <w:r w:rsidR="00BB114D">
        <w:rPr>
          <w:rFonts w:asciiTheme="majorBidi" w:eastAsiaTheme="minorEastAsia" w:hAnsiTheme="majorBidi" w:cstheme="majorBidi"/>
          <w:bCs/>
        </w:rPr>
        <w:t>),</w:t>
      </w:r>
      <w:r w:rsidRPr="00270450">
        <w:rPr>
          <w:rFonts w:asciiTheme="majorBidi" w:eastAsiaTheme="minorEastAsia" w:hAnsiTheme="majorBidi" w:cstheme="majorBidi"/>
          <w:bCs/>
        </w:rPr>
        <w:t xml:space="preserve"> </w:t>
      </w:r>
      <w:r w:rsidR="00BF308F" w:rsidRPr="00270450">
        <w:rPr>
          <w:rFonts w:asciiTheme="majorBidi" w:eastAsiaTheme="minorEastAsia" w:hAnsiTheme="majorBidi" w:cstheme="majorBidi"/>
          <w:bCs/>
        </w:rPr>
        <w:t>and</w:t>
      </w:r>
      <w:r w:rsidR="00BF308F">
        <w:rPr>
          <w:rFonts w:eastAsiaTheme="minorEastAsia"/>
          <w:bCs/>
        </w:rPr>
        <w:t xml:space="preserve"> linear regression. </w:t>
      </w:r>
      <w:r w:rsidR="00BB114D">
        <w:rPr>
          <w:rFonts w:eastAsiaTheme="minorEastAsia"/>
          <w:bCs/>
        </w:rPr>
        <w:t>STDEV</w:t>
      </w:r>
      <w:r>
        <w:rPr>
          <w:rFonts w:eastAsiaTheme="minorEastAsia"/>
          <w:bCs/>
        </w:rPr>
        <w:t xml:space="preserve"> is a statistics method used to quantify the variation between each </w:t>
      </w:r>
      <w:r w:rsidR="00EB60E9">
        <w:rPr>
          <w:rFonts w:eastAsiaTheme="minorEastAsia"/>
          <w:bCs/>
        </w:rPr>
        <w:t xml:space="preserve">discrete </w:t>
      </w:r>
      <m:oMath>
        <m:r>
          <w:rPr>
            <w:rFonts w:ascii="Cambria Math" w:hAnsi="Cambria Math"/>
          </w:rPr>
          <m:t>SC</m:t>
        </m:r>
      </m:oMath>
      <w:r w:rsidR="00EB60E9">
        <w:rPr>
          <w:rFonts w:eastAsiaTheme="minorEastAsia"/>
          <w:bCs/>
        </w:rPr>
        <w:t xml:space="preserve"> </w:t>
      </w:r>
      <w:r>
        <w:rPr>
          <w:rFonts w:eastAsiaTheme="minorEastAsia"/>
          <w:bCs/>
        </w:rPr>
        <w:t>measurement</w:t>
      </w:r>
      <w:r w:rsidR="00BF2118">
        <w:rPr>
          <w:rFonts w:eastAsiaTheme="minorEastAsia"/>
          <w:bCs/>
        </w:rPr>
        <w:t xml:space="preserve"> and the mean </w:t>
      </w:r>
      <m:oMath>
        <m:r>
          <w:rPr>
            <w:rFonts w:ascii="Cambria Math" w:hAnsi="Cambria Math"/>
          </w:rPr>
          <m:t>SC</m:t>
        </m:r>
      </m:oMath>
      <w:r w:rsidR="00EB60E9">
        <w:rPr>
          <w:rFonts w:eastAsiaTheme="minorEastAsia"/>
          <w:bCs/>
        </w:rPr>
        <w:t xml:space="preserve"> </w:t>
      </w:r>
      <w:r w:rsidR="00BF2118">
        <w:rPr>
          <w:rFonts w:eastAsiaTheme="minorEastAsia"/>
          <w:bCs/>
        </w:rPr>
        <w:t>value of the group</w:t>
      </w:r>
      <w:r w:rsidR="00142DCA">
        <w:rPr>
          <w:rFonts w:eastAsiaTheme="minorEastAsia"/>
          <w:bCs/>
        </w:rPr>
        <w:t xml:space="preserve"> of measurements</w:t>
      </w:r>
      <w:r>
        <w:rPr>
          <w:rFonts w:eastAsiaTheme="minorEastAsia"/>
          <w:bCs/>
        </w:rPr>
        <w:t>.</w:t>
      </w:r>
      <w:r w:rsidR="00BF2118">
        <w:rPr>
          <w:rFonts w:eastAsiaTheme="minorEastAsia"/>
          <w:bCs/>
        </w:rPr>
        <w:t xml:space="preserve"> </w:t>
      </w:r>
      <w:r w:rsidR="00EB60E9">
        <w:rPr>
          <w:rFonts w:eastAsiaTheme="minorEastAsia"/>
          <w:bCs/>
        </w:rPr>
        <w:t xml:space="preserve">High precision is indicated by a </w:t>
      </w:r>
      <w:r w:rsidR="00BB114D">
        <w:rPr>
          <w:rFonts w:eastAsiaTheme="minorEastAsia"/>
          <w:bCs/>
        </w:rPr>
        <w:t>STDEV</w:t>
      </w:r>
      <w:r w:rsidR="00EB60E9">
        <w:rPr>
          <w:rFonts w:eastAsiaTheme="minorEastAsia"/>
          <w:bCs/>
        </w:rPr>
        <w:t xml:space="preserve"> that is close to zero. </w:t>
      </w:r>
      <w:r w:rsidR="00BB114D">
        <w:rPr>
          <w:rFonts w:eastAsiaTheme="minorEastAsia"/>
          <w:bCs/>
        </w:rPr>
        <w:t>COV</w:t>
      </w:r>
      <w:r w:rsidR="00BB114D">
        <w:rPr>
          <w:rFonts w:eastAsiaTheme="minorEastAsia"/>
          <w:bCs/>
          <w:vertAlign w:val="subscript"/>
        </w:rPr>
        <w:t>STDEV</w:t>
      </w:r>
      <w:r w:rsidR="00BB114D">
        <w:rPr>
          <w:rFonts w:eastAsiaTheme="minorEastAsia"/>
          <w:bCs/>
        </w:rPr>
        <w:t xml:space="preserve"> is used to assess the dispersion of the discrete </w:t>
      </w:r>
      <m:oMath>
        <m:r>
          <w:rPr>
            <w:rFonts w:ascii="Cambria Math" w:hAnsi="Cambria Math"/>
          </w:rPr>
          <m:t>SC</m:t>
        </m:r>
      </m:oMath>
      <w:r w:rsidR="00BB114D">
        <w:rPr>
          <w:rFonts w:eastAsiaTheme="minorEastAsia"/>
          <w:bCs/>
        </w:rPr>
        <w:t xml:space="preserve"> measurements to the mean </w:t>
      </w:r>
      <m:oMath>
        <m:r>
          <w:rPr>
            <w:rFonts w:ascii="Cambria Math" w:hAnsi="Cambria Math"/>
          </w:rPr>
          <m:t>SC</m:t>
        </m:r>
      </m:oMath>
      <w:r w:rsidR="00BB114D">
        <w:rPr>
          <w:rFonts w:eastAsiaTheme="minorEastAsia"/>
          <w:bCs/>
        </w:rPr>
        <w:t xml:space="preserve"> value. It is defined as the ratio between the STDEV and the mean. High precision is indicated by a COV</w:t>
      </w:r>
      <w:r w:rsidR="00BB114D">
        <w:rPr>
          <w:rFonts w:eastAsiaTheme="minorEastAsia"/>
          <w:bCs/>
          <w:vertAlign w:val="subscript"/>
        </w:rPr>
        <w:t xml:space="preserve">STDEV </w:t>
      </w:r>
      <w:r w:rsidR="00BB114D">
        <w:rPr>
          <w:rFonts w:eastAsiaTheme="minorEastAsia"/>
          <w:bCs/>
        </w:rPr>
        <w:t xml:space="preserve">close to zero.  </w:t>
      </w:r>
      <w:r w:rsidR="00BF308F">
        <w:rPr>
          <w:rFonts w:eastAsiaTheme="minorEastAsia"/>
          <w:bCs/>
        </w:rPr>
        <w:t xml:space="preserve">Linear regression is a statistics method used to quantify the strength of the relationship between the discrete </w:t>
      </w:r>
      <m:oMath>
        <m:r>
          <w:rPr>
            <w:rFonts w:ascii="Cambria Math" w:hAnsi="Cambria Math"/>
          </w:rPr>
          <w:lastRenderedPageBreak/>
          <m:t>SC</m:t>
        </m:r>
      </m:oMath>
      <w:r w:rsidR="00BF308F">
        <w:rPr>
          <w:rFonts w:eastAsiaTheme="minorEastAsia"/>
          <w:bCs/>
        </w:rPr>
        <w:t xml:space="preserve"> measurements and the combined trendline of the sample. High precision is indicated by an R</w:t>
      </w:r>
      <w:r w:rsidR="00BF308F">
        <w:rPr>
          <w:rFonts w:eastAsiaTheme="minorEastAsia"/>
          <w:bCs/>
          <w:vertAlign w:val="superscript"/>
        </w:rPr>
        <w:t>2</w:t>
      </w:r>
      <w:r w:rsidR="00BF308F">
        <w:rPr>
          <w:rFonts w:eastAsiaTheme="minorEastAsia"/>
          <w:bCs/>
        </w:rPr>
        <w:t xml:space="preserve"> value close to one.</w:t>
      </w:r>
    </w:p>
    <w:p w14:paraId="2A5618BB" w14:textId="43037969" w:rsidR="000459F8" w:rsidRDefault="00EB60E9" w:rsidP="00693728">
      <w:pPr>
        <w:ind w:firstLine="720"/>
        <w:jc w:val="both"/>
        <w:rPr>
          <w:rFonts w:eastAsiaTheme="minorEastAsia"/>
          <w:bCs/>
        </w:rPr>
      </w:pPr>
      <w:r>
        <w:rPr>
          <w:rFonts w:eastAsiaTheme="minorEastAsia"/>
          <w:bCs/>
        </w:rPr>
        <w:t>The a</w:t>
      </w:r>
      <w:r w:rsidR="00BF2118">
        <w:rPr>
          <w:rFonts w:eastAsiaTheme="minorEastAsia"/>
          <w:bCs/>
        </w:rPr>
        <w:t xml:space="preserve">ccuracy </w:t>
      </w:r>
      <w:r>
        <w:rPr>
          <w:rFonts w:eastAsiaTheme="minorEastAsia"/>
          <w:bCs/>
        </w:rPr>
        <w:t xml:space="preserve">of the PHXRF devices </w:t>
      </w:r>
      <w:r w:rsidR="00BF2118">
        <w:rPr>
          <w:rFonts w:eastAsiaTheme="minorEastAsia"/>
          <w:bCs/>
        </w:rPr>
        <w:t>was assessed using root-mean-square deviation</w:t>
      </w:r>
      <w:r>
        <w:rPr>
          <w:rFonts w:eastAsiaTheme="minorEastAsia"/>
          <w:bCs/>
        </w:rPr>
        <w:t xml:space="preserve"> </w:t>
      </w:r>
      <w:r w:rsidR="00E25DE2">
        <w:rPr>
          <w:rFonts w:eastAsiaTheme="minorEastAsia"/>
          <w:bCs/>
        </w:rPr>
        <w:t>(</w:t>
      </w:r>
      <w:r w:rsidR="00BF2118">
        <w:rPr>
          <w:rFonts w:eastAsiaTheme="minorEastAsia"/>
          <w:bCs/>
        </w:rPr>
        <w:t>RMSD</w:t>
      </w:r>
      <w:r w:rsidR="00E25DE2">
        <w:rPr>
          <w:rFonts w:eastAsiaTheme="minorEastAsia"/>
          <w:bCs/>
        </w:rPr>
        <w:t>)</w:t>
      </w:r>
      <w:r w:rsidR="00BB114D">
        <w:rPr>
          <w:rFonts w:eastAsiaTheme="minorEastAsia"/>
          <w:bCs/>
        </w:rPr>
        <w:t>,</w:t>
      </w:r>
      <w:r w:rsidR="00BB114D" w:rsidRPr="00BB114D">
        <w:rPr>
          <w:rFonts w:asciiTheme="majorBidi" w:eastAsiaTheme="minorEastAsia" w:hAnsiTheme="majorBidi" w:cstheme="majorBidi"/>
          <w:bCs/>
        </w:rPr>
        <w:t xml:space="preserve"> </w:t>
      </w:r>
      <w:r w:rsidR="00BB114D">
        <w:rPr>
          <w:rFonts w:asciiTheme="majorBidi" w:eastAsiaTheme="minorEastAsia" w:hAnsiTheme="majorBidi" w:cstheme="majorBidi"/>
          <w:bCs/>
        </w:rPr>
        <w:t>coefficient of variation of the root-mean-squared deviation (COV</w:t>
      </w:r>
      <w:r w:rsidR="00BB114D">
        <w:rPr>
          <w:rFonts w:asciiTheme="majorBidi" w:eastAsiaTheme="minorEastAsia" w:hAnsiTheme="majorBidi" w:cstheme="majorBidi"/>
          <w:bCs/>
          <w:vertAlign w:val="subscript"/>
        </w:rPr>
        <w:t>RMSD</w:t>
      </w:r>
      <w:r w:rsidR="00BB114D">
        <w:rPr>
          <w:rFonts w:asciiTheme="majorBidi" w:eastAsiaTheme="minorEastAsia" w:hAnsiTheme="majorBidi" w:cstheme="majorBidi"/>
          <w:bCs/>
        </w:rPr>
        <w:t>),</w:t>
      </w:r>
      <w:r w:rsidR="0064529B">
        <w:rPr>
          <w:rFonts w:eastAsiaTheme="minorEastAsia"/>
          <w:bCs/>
        </w:rPr>
        <w:t xml:space="preserve"> and linear regression. </w:t>
      </w:r>
      <w:r w:rsidR="00BB114D">
        <w:rPr>
          <w:rFonts w:eastAsiaTheme="minorEastAsia"/>
          <w:bCs/>
        </w:rPr>
        <w:t>RMSD</w:t>
      </w:r>
      <w:r w:rsidR="00BF2118">
        <w:rPr>
          <w:rFonts w:eastAsiaTheme="minorEastAsia"/>
          <w:bCs/>
        </w:rPr>
        <w:t xml:space="preserve"> is a statistics method used to quantify the variation between each </w:t>
      </w:r>
      <w:r>
        <w:rPr>
          <w:rFonts w:eastAsiaTheme="minorEastAsia"/>
          <w:bCs/>
        </w:rPr>
        <w:t xml:space="preserve">discrete </w:t>
      </w:r>
      <m:oMath>
        <m:r>
          <w:rPr>
            <w:rFonts w:ascii="Cambria Math" w:hAnsi="Cambria Math"/>
          </w:rPr>
          <m:t>SC</m:t>
        </m:r>
      </m:oMath>
      <w:r>
        <w:rPr>
          <w:rFonts w:eastAsiaTheme="minorEastAsia"/>
          <w:bCs/>
        </w:rPr>
        <w:t xml:space="preserve"> </w:t>
      </w:r>
      <w:r w:rsidR="00BF2118">
        <w:rPr>
          <w:rFonts w:eastAsiaTheme="minorEastAsia"/>
          <w:bCs/>
        </w:rPr>
        <w:t xml:space="preserve">measurement and a true </w:t>
      </w:r>
      <m:oMath>
        <m:r>
          <w:rPr>
            <w:rFonts w:ascii="Cambria Math" w:hAnsi="Cambria Math"/>
          </w:rPr>
          <m:t>SC</m:t>
        </m:r>
      </m:oMath>
      <w:r>
        <w:rPr>
          <w:rFonts w:eastAsiaTheme="minorEastAsia"/>
          <w:bCs/>
        </w:rPr>
        <w:t xml:space="preserve"> </w:t>
      </w:r>
      <w:r w:rsidR="00BF2118">
        <w:rPr>
          <w:rFonts w:eastAsiaTheme="minorEastAsia"/>
          <w:bCs/>
        </w:rPr>
        <w:t>value</w:t>
      </w:r>
      <w:r>
        <w:rPr>
          <w:rFonts w:eastAsiaTheme="minorEastAsia"/>
          <w:bCs/>
        </w:rPr>
        <w:t xml:space="preserve"> of a sample</w:t>
      </w:r>
      <w:r w:rsidR="00BF2118">
        <w:rPr>
          <w:rFonts w:eastAsiaTheme="minorEastAsia"/>
          <w:bCs/>
        </w:rPr>
        <w:t xml:space="preserve">. </w:t>
      </w:r>
      <w:r w:rsidR="00BC693B">
        <w:rPr>
          <w:rFonts w:eastAsiaTheme="minorEastAsia"/>
          <w:bCs/>
        </w:rPr>
        <w:t xml:space="preserve">High </w:t>
      </w:r>
      <w:r w:rsidR="0025526B">
        <w:rPr>
          <w:rFonts w:eastAsiaTheme="minorEastAsia"/>
          <w:bCs/>
        </w:rPr>
        <w:t>accuracy</w:t>
      </w:r>
      <w:r w:rsidR="00BC693B">
        <w:rPr>
          <w:rFonts w:eastAsiaTheme="minorEastAsia"/>
          <w:bCs/>
        </w:rPr>
        <w:t xml:space="preserve"> is indicated by a </w:t>
      </w:r>
      <w:r w:rsidR="00E9404E">
        <w:rPr>
          <w:rFonts w:eastAsiaTheme="minorEastAsia"/>
          <w:bCs/>
        </w:rPr>
        <w:t>RMSD</w:t>
      </w:r>
      <w:r w:rsidR="00BC693B">
        <w:rPr>
          <w:rFonts w:eastAsiaTheme="minorEastAsia"/>
          <w:bCs/>
        </w:rPr>
        <w:t xml:space="preserve"> that is close to zero. </w:t>
      </w:r>
      <w:r w:rsidR="00BB114D">
        <w:rPr>
          <w:rFonts w:eastAsiaTheme="minorEastAsia"/>
          <w:bCs/>
        </w:rPr>
        <w:t>COV</w:t>
      </w:r>
      <w:r w:rsidR="0025526B">
        <w:rPr>
          <w:rFonts w:eastAsiaTheme="minorEastAsia"/>
          <w:bCs/>
          <w:vertAlign w:val="subscript"/>
        </w:rPr>
        <w:t>RMSD</w:t>
      </w:r>
      <w:r w:rsidR="00BB114D">
        <w:rPr>
          <w:rFonts w:eastAsiaTheme="minorEastAsia"/>
          <w:bCs/>
        </w:rPr>
        <w:t xml:space="preserve"> is used to assess the dispersion of the discrete </w:t>
      </w:r>
      <m:oMath>
        <m:r>
          <w:rPr>
            <w:rFonts w:ascii="Cambria Math" w:hAnsi="Cambria Math"/>
          </w:rPr>
          <m:t>SC</m:t>
        </m:r>
      </m:oMath>
      <w:r w:rsidR="00BB114D">
        <w:rPr>
          <w:rFonts w:eastAsiaTheme="minorEastAsia"/>
          <w:bCs/>
        </w:rPr>
        <w:t xml:space="preserve"> measurements to</w:t>
      </w:r>
      <w:r w:rsidR="0025526B">
        <w:rPr>
          <w:rFonts w:eastAsiaTheme="minorEastAsia"/>
          <w:bCs/>
        </w:rPr>
        <w:t xml:space="preserve"> the true</w:t>
      </w:r>
      <w:r w:rsidR="00BB114D">
        <w:rPr>
          <w:rFonts w:eastAsiaTheme="minorEastAsia"/>
          <w:bCs/>
        </w:rPr>
        <w:t xml:space="preserve"> </w:t>
      </w:r>
      <m:oMath>
        <m:r>
          <w:rPr>
            <w:rFonts w:ascii="Cambria Math" w:hAnsi="Cambria Math"/>
          </w:rPr>
          <m:t>SC</m:t>
        </m:r>
      </m:oMath>
      <w:r w:rsidR="00BB114D">
        <w:rPr>
          <w:rFonts w:eastAsiaTheme="minorEastAsia"/>
          <w:bCs/>
        </w:rPr>
        <w:t xml:space="preserve"> value.</w:t>
      </w:r>
      <w:r w:rsidR="0025526B">
        <w:rPr>
          <w:rFonts w:eastAsiaTheme="minorEastAsia"/>
          <w:bCs/>
        </w:rPr>
        <w:t xml:space="preserve"> </w:t>
      </w:r>
      <w:r w:rsidR="00E9404E">
        <w:rPr>
          <w:rFonts w:eastAsiaTheme="minorEastAsia"/>
          <w:bCs/>
        </w:rPr>
        <w:t>High accuracy is indicated by a COV</w:t>
      </w:r>
      <w:r w:rsidR="00E9404E">
        <w:rPr>
          <w:rFonts w:eastAsiaTheme="minorEastAsia"/>
          <w:bCs/>
          <w:vertAlign w:val="subscript"/>
        </w:rPr>
        <w:t>RMSD</w:t>
      </w:r>
      <w:r w:rsidR="00E9404E">
        <w:rPr>
          <w:rFonts w:eastAsiaTheme="minorEastAsia"/>
          <w:bCs/>
        </w:rPr>
        <w:t xml:space="preserve"> that is close to zero. </w:t>
      </w:r>
      <w:r w:rsidR="0064529B">
        <w:rPr>
          <w:rFonts w:eastAsiaTheme="minorEastAsia"/>
          <w:bCs/>
        </w:rPr>
        <w:t xml:space="preserve">Linear regression </w:t>
      </w:r>
      <w:r w:rsidR="00270450">
        <w:rPr>
          <w:rFonts w:eastAsiaTheme="minorEastAsia"/>
          <w:bCs/>
        </w:rPr>
        <w:t xml:space="preserve">can be used to assess accuracy in addition to precision. </w:t>
      </w:r>
      <w:r w:rsidR="0064529B">
        <w:rPr>
          <w:rFonts w:eastAsiaTheme="minorEastAsia"/>
          <w:bCs/>
        </w:rPr>
        <w:t>T</w:t>
      </w:r>
      <w:r w:rsidR="00E25DE2">
        <w:rPr>
          <w:rFonts w:eastAsiaTheme="minorEastAsia"/>
          <w:bCs/>
        </w:rPr>
        <w:t>his wa</w:t>
      </w:r>
      <w:r w:rsidR="0064529B">
        <w:rPr>
          <w:rFonts w:eastAsiaTheme="minorEastAsia"/>
          <w:bCs/>
        </w:rPr>
        <w:t xml:space="preserve">s done by </w:t>
      </w:r>
      <w:r w:rsidR="00E9404E">
        <w:rPr>
          <w:rFonts w:eastAsiaTheme="minorEastAsia"/>
          <w:bCs/>
        </w:rPr>
        <w:t xml:space="preserve">comparing the combined trendline of the </w:t>
      </w:r>
      <w:r>
        <w:rPr>
          <w:rFonts w:eastAsiaTheme="minorEastAsia"/>
          <w:bCs/>
        </w:rPr>
        <w:t>measurement data set</w:t>
      </w:r>
      <w:r w:rsidR="00E25DE2">
        <w:rPr>
          <w:rFonts w:eastAsiaTheme="minorEastAsia"/>
          <w:bCs/>
        </w:rPr>
        <w:t xml:space="preserve"> for a unique sample</w:t>
      </w:r>
      <w:r>
        <w:rPr>
          <w:rFonts w:eastAsiaTheme="minorEastAsia"/>
          <w:bCs/>
        </w:rPr>
        <w:t xml:space="preserve"> </w:t>
      </w:r>
      <w:r w:rsidR="00BC693B">
        <w:rPr>
          <w:rFonts w:eastAsiaTheme="minorEastAsia"/>
          <w:bCs/>
        </w:rPr>
        <w:t xml:space="preserve">to a </w:t>
      </w:r>
      <w:r>
        <w:rPr>
          <w:rFonts w:eastAsiaTheme="minorEastAsia"/>
          <w:bCs/>
        </w:rPr>
        <w:t xml:space="preserve">y = x line. </w:t>
      </w:r>
      <w:r w:rsidR="00BC693B">
        <w:rPr>
          <w:rFonts w:eastAsiaTheme="minorEastAsia"/>
          <w:bCs/>
        </w:rPr>
        <w:t>A y = x line would indicate a perfect mat</w:t>
      </w:r>
      <w:r w:rsidR="00693728">
        <w:rPr>
          <w:rFonts w:eastAsiaTheme="minorEastAsia"/>
          <w:bCs/>
        </w:rPr>
        <w:t xml:space="preserve">ch between measured and true </w:t>
      </w:r>
      <m:oMath>
        <m:r>
          <w:rPr>
            <w:rFonts w:ascii="Cambria Math" w:eastAsiaTheme="minorEastAsia" w:hAnsi="Cambria Math"/>
          </w:rPr>
          <m:t>SC</m:t>
        </m:r>
      </m:oMath>
      <w:r w:rsidR="00BC693B">
        <w:rPr>
          <w:rFonts w:eastAsiaTheme="minorEastAsia"/>
          <w:bCs/>
        </w:rPr>
        <w:t xml:space="preserve"> values of the sample; therefore, a trend line close to y = x would indicate high accuracy.</w:t>
      </w:r>
      <w:r w:rsidR="00E25DE2">
        <w:rPr>
          <w:rFonts w:eastAsiaTheme="minorEastAsia"/>
          <w:bCs/>
        </w:rPr>
        <w:t xml:space="preserve"> </w:t>
      </w:r>
    </w:p>
    <w:p w14:paraId="505F7FAB" w14:textId="77777777" w:rsidR="00E25DE2" w:rsidRDefault="00E25DE2" w:rsidP="00451791">
      <w:pPr>
        <w:jc w:val="both"/>
        <w:rPr>
          <w:rFonts w:eastAsiaTheme="minorEastAsia"/>
          <w:b/>
        </w:rPr>
      </w:pPr>
    </w:p>
    <w:p w14:paraId="436BBDE2" w14:textId="7967C111" w:rsidR="009C5B90" w:rsidRDefault="001B40D5" w:rsidP="00451791">
      <w:pPr>
        <w:jc w:val="both"/>
        <w:rPr>
          <w:rFonts w:eastAsiaTheme="minorEastAsia"/>
          <w:b/>
        </w:rPr>
      </w:pPr>
      <w:r>
        <w:rPr>
          <w:rFonts w:eastAsiaTheme="minorEastAsia"/>
          <w:b/>
        </w:rPr>
        <w:t>3.9</w:t>
      </w:r>
      <w:r w:rsidR="00451791" w:rsidRPr="00D3308C">
        <w:rPr>
          <w:rFonts w:eastAsiaTheme="minorEastAsia"/>
          <w:b/>
        </w:rPr>
        <w:t xml:space="preserve"> </w:t>
      </w:r>
      <w:r w:rsidR="00451791">
        <w:rPr>
          <w:rFonts w:eastAsiaTheme="minorEastAsia"/>
          <w:b/>
        </w:rPr>
        <w:t xml:space="preserve">Field </w:t>
      </w:r>
      <w:r w:rsidR="00451791" w:rsidRPr="00D3308C">
        <w:rPr>
          <w:rFonts w:eastAsiaTheme="minorEastAsia"/>
          <w:b/>
        </w:rPr>
        <w:t xml:space="preserve">Testing </w:t>
      </w:r>
      <w:r w:rsidR="00451791">
        <w:rPr>
          <w:rFonts w:eastAsiaTheme="minorEastAsia"/>
          <w:b/>
        </w:rPr>
        <w:t xml:space="preserve">of </w:t>
      </w:r>
      <w:r w:rsidR="00825F9D">
        <w:rPr>
          <w:rFonts w:eastAsiaTheme="minorEastAsia"/>
          <w:b/>
        </w:rPr>
        <w:t>PH</w:t>
      </w:r>
      <w:r w:rsidR="00451791" w:rsidRPr="00D3308C">
        <w:rPr>
          <w:rFonts w:eastAsiaTheme="minorEastAsia"/>
          <w:b/>
        </w:rPr>
        <w:t>XRF</w:t>
      </w:r>
    </w:p>
    <w:p w14:paraId="58F9D72C" w14:textId="7D228774" w:rsidR="0038076C" w:rsidRDefault="007F4B76" w:rsidP="00693728">
      <w:pPr>
        <w:ind w:firstLine="720"/>
        <w:jc w:val="both"/>
        <w:rPr>
          <w:rFonts w:eastAsiaTheme="minorEastAsia"/>
          <w:bCs/>
        </w:rPr>
      </w:pPr>
      <w:r>
        <w:rPr>
          <w:rFonts w:eastAsiaTheme="minorEastAsia"/>
          <w:bCs/>
        </w:rPr>
        <w:t xml:space="preserve">Three </w:t>
      </w:r>
      <w:r w:rsidR="0038076C">
        <w:rPr>
          <w:rFonts w:eastAsiaTheme="minorEastAsia"/>
          <w:bCs/>
        </w:rPr>
        <w:t xml:space="preserve">highway subgrade stabilization projects </w:t>
      </w:r>
      <w:r w:rsidR="00143A80">
        <w:rPr>
          <w:rFonts w:eastAsiaTheme="minorEastAsia"/>
          <w:bCs/>
        </w:rPr>
        <w:t>were</w:t>
      </w:r>
      <w:r w:rsidR="0038076C">
        <w:rPr>
          <w:rFonts w:eastAsiaTheme="minorEastAsia"/>
          <w:bCs/>
        </w:rPr>
        <w:t xml:space="preserve"> located </w:t>
      </w:r>
      <w:r>
        <w:rPr>
          <w:rFonts w:eastAsiaTheme="minorEastAsia"/>
          <w:bCs/>
        </w:rPr>
        <w:t>locally in the</w:t>
      </w:r>
      <w:r w:rsidR="0038076C">
        <w:rPr>
          <w:rFonts w:eastAsiaTheme="minorEastAsia"/>
          <w:bCs/>
        </w:rPr>
        <w:t xml:space="preserve"> state of Oklahoma. </w:t>
      </w:r>
      <w:r w:rsidR="00A02965">
        <w:rPr>
          <w:rFonts w:eastAsiaTheme="minorEastAsia"/>
          <w:bCs/>
        </w:rPr>
        <w:t xml:space="preserve">Locations of the sites are illustrated in </w:t>
      </w:r>
      <w:r w:rsidR="00A02965">
        <w:rPr>
          <w:rFonts w:eastAsiaTheme="minorEastAsia"/>
          <w:bCs/>
        </w:rPr>
        <w:fldChar w:fldCharType="begin"/>
      </w:r>
      <w:r w:rsidR="00A02965">
        <w:rPr>
          <w:rFonts w:eastAsiaTheme="minorEastAsia"/>
          <w:bCs/>
        </w:rPr>
        <w:instrText xml:space="preserve"> REF _Ref446525576 \h </w:instrText>
      </w:r>
      <w:r w:rsidR="00A02965">
        <w:rPr>
          <w:rFonts w:eastAsiaTheme="minorEastAsia"/>
          <w:bCs/>
        </w:rPr>
      </w:r>
      <w:r w:rsidR="00A02965">
        <w:rPr>
          <w:rFonts w:eastAsiaTheme="minorEastAsia"/>
          <w:bCs/>
        </w:rPr>
        <w:fldChar w:fldCharType="separate"/>
      </w:r>
      <w:r w:rsidR="00E90148">
        <w:t xml:space="preserve">Figure </w:t>
      </w:r>
      <w:r w:rsidR="00E90148">
        <w:rPr>
          <w:noProof/>
        </w:rPr>
        <w:t>12</w:t>
      </w:r>
      <w:r w:rsidR="00A02965">
        <w:rPr>
          <w:rFonts w:eastAsiaTheme="minorEastAsia"/>
          <w:bCs/>
        </w:rPr>
        <w:fldChar w:fldCharType="end"/>
      </w:r>
      <w:r w:rsidR="00A02965">
        <w:rPr>
          <w:rFonts w:eastAsiaTheme="minorEastAsia"/>
          <w:bCs/>
        </w:rPr>
        <w:t xml:space="preserve">. </w:t>
      </w:r>
      <w:r w:rsidR="000228B9">
        <w:rPr>
          <w:rFonts w:eastAsiaTheme="minorEastAsia"/>
          <w:bCs/>
        </w:rPr>
        <w:t>Site 1 was a CKD stabilization project on a temporary collector road on I</w:t>
      </w:r>
      <w:r w:rsidR="00CA4573">
        <w:rPr>
          <w:rFonts w:eastAsiaTheme="minorEastAsia"/>
          <w:bCs/>
        </w:rPr>
        <w:t xml:space="preserve">nterstate </w:t>
      </w:r>
      <w:r w:rsidR="000228B9">
        <w:rPr>
          <w:rFonts w:eastAsiaTheme="minorEastAsia"/>
          <w:bCs/>
        </w:rPr>
        <w:t>35 southbound (35</w:t>
      </w:r>
      <w:r w:rsidR="000228B9">
        <w:rPr>
          <w:rFonts w:eastAsiaTheme="minorEastAsia" w:cs="Times New Roman"/>
          <w:bCs/>
        </w:rPr>
        <w:t>°</w:t>
      </w:r>
      <w:r w:rsidR="000228B9">
        <w:rPr>
          <w:rFonts w:eastAsiaTheme="minorEastAsia"/>
          <w:bCs/>
        </w:rPr>
        <w:t>12’10.22”N,</w:t>
      </w:r>
      <w:r w:rsidR="00CA4573">
        <w:rPr>
          <w:rFonts w:eastAsiaTheme="minorEastAsia"/>
          <w:bCs/>
        </w:rPr>
        <w:t xml:space="preserve"> </w:t>
      </w:r>
      <w:r w:rsidR="000228B9">
        <w:rPr>
          <w:rFonts w:eastAsiaTheme="minorEastAsia"/>
          <w:bCs/>
        </w:rPr>
        <w:t>97</w:t>
      </w:r>
      <w:r w:rsidR="000228B9">
        <w:rPr>
          <w:rFonts w:eastAsiaTheme="minorEastAsia" w:cs="Times New Roman"/>
          <w:bCs/>
        </w:rPr>
        <w:t>°</w:t>
      </w:r>
      <w:r w:rsidR="000228B9">
        <w:rPr>
          <w:rFonts w:eastAsiaTheme="minorEastAsia"/>
          <w:bCs/>
        </w:rPr>
        <w:t xml:space="preserve">28’48.11”W). It was stabilized </w:t>
      </w:r>
      <w:r w:rsidR="00693728">
        <w:rPr>
          <w:rFonts w:eastAsiaTheme="minorEastAsia"/>
          <w:bCs/>
        </w:rPr>
        <w:t xml:space="preserve">to a </w:t>
      </w:r>
      <m:oMath>
        <m:r>
          <w:rPr>
            <w:rFonts w:ascii="Cambria Math" w:eastAsiaTheme="minorEastAsia" w:hAnsi="Cambria Math"/>
          </w:rPr>
          <m:t>SC</m:t>
        </m:r>
      </m:oMath>
      <w:r w:rsidR="00693728">
        <w:rPr>
          <w:rFonts w:eastAsiaTheme="minorEastAsia"/>
          <w:bCs/>
        </w:rPr>
        <w:t xml:space="preserve"> of 15% </w:t>
      </w:r>
      <w:r w:rsidR="000228B9">
        <w:rPr>
          <w:rFonts w:eastAsiaTheme="minorEastAsia"/>
          <w:bCs/>
        </w:rPr>
        <w:t xml:space="preserve">on 5 June 2015. </w:t>
      </w:r>
      <w:r>
        <w:rPr>
          <w:rFonts w:eastAsiaTheme="minorEastAsia"/>
          <w:bCs/>
        </w:rPr>
        <w:t>Site 2</w:t>
      </w:r>
      <w:r w:rsidR="000228B9">
        <w:rPr>
          <w:rFonts w:eastAsiaTheme="minorEastAsia"/>
          <w:bCs/>
        </w:rPr>
        <w:t xml:space="preserve"> was a fly ash stabilization project of a four lane section of the Route 9 and I</w:t>
      </w:r>
      <w:r w:rsidR="00CA4573">
        <w:rPr>
          <w:rFonts w:eastAsiaTheme="minorEastAsia"/>
          <w:bCs/>
        </w:rPr>
        <w:t xml:space="preserve">nterstate </w:t>
      </w:r>
      <w:r w:rsidR="000228B9">
        <w:rPr>
          <w:rFonts w:eastAsiaTheme="minorEastAsia"/>
          <w:bCs/>
        </w:rPr>
        <w:t>35 interchange (</w:t>
      </w:r>
      <w:r>
        <w:rPr>
          <w:rFonts w:eastAsiaTheme="minorEastAsia"/>
          <w:bCs/>
        </w:rPr>
        <w:t>35</w:t>
      </w:r>
      <w:r>
        <w:rPr>
          <w:rFonts w:eastAsiaTheme="minorEastAsia" w:cs="Times New Roman"/>
          <w:bCs/>
        </w:rPr>
        <w:t>°</w:t>
      </w:r>
      <w:r>
        <w:rPr>
          <w:rFonts w:eastAsiaTheme="minorEastAsia"/>
          <w:bCs/>
        </w:rPr>
        <w:t>11’56.30”N, 97</w:t>
      </w:r>
      <w:r>
        <w:rPr>
          <w:rFonts w:eastAsiaTheme="minorEastAsia" w:cs="Times New Roman"/>
          <w:bCs/>
        </w:rPr>
        <w:t>°</w:t>
      </w:r>
      <w:r>
        <w:rPr>
          <w:rFonts w:eastAsiaTheme="minorEastAsia"/>
          <w:bCs/>
        </w:rPr>
        <w:t>29’0.42”W</w:t>
      </w:r>
      <w:r w:rsidR="00CA4573">
        <w:rPr>
          <w:rFonts w:eastAsiaTheme="minorEastAsia"/>
          <w:bCs/>
        </w:rPr>
        <w:t>). It</w:t>
      </w:r>
      <w:r w:rsidR="000228B9">
        <w:rPr>
          <w:rFonts w:eastAsiaTheme="minorEastAsia"/>
          <w:bCs/>
        </w:rPr>
        <w:t xml:space="preserve"> </w:t>
      </w:r>
      <w:r w:rsidR="00693728">
        <w:rPr>
          <w:rFonts w:eastAsiaTheme="minorEastAsia"/>
          <w:bCs/>
        </w:rPr>
        <w:t xml:space="preserve">was stabilized to a </w:t>
      </w:r>
      <m:oMath>
        <m:r>
          <w:rPr>
            <w:rFonts w:ascii="Cambria Math" w:eastAsiaTheme="minorEastAsia" w:hAnsi="Cambria Math"/>
          </w:rPr>
          <m:t>SC</m:t>
        </m:r>
      </m:oMath>
      <w:r w:rsidR="00693728">
        <w:rPr>
          <w:rFonts w:eastAsiaTheme="minorEastAsia"/>
          <w:bCs/>
        </w:rPr>
        <w:t xml:space="preserve"> of 16% on </w:t>
      </w:r>
      <w:r>
        <w:rPr>
          <w:rFonts w:eastAsiaTheme="minorEastAsia"/>
          <w:bCs/>
        </w:rPr>
        <w:t xml:space="preserve">11 June 2015. </w:t>
      </w:r>
      <w:r w:rsidR="00CA4573">
        <w:rPr>
          <w:rFonts w:eastAsiaTheme="minorEastAsia"/>
          <w:bCs/>
        </w:rPr>
        <w:t>Site 3 was a Portland cement stabilized project south of Main Street on the southbound lanes of Interstate 35 (35</w:t>
      </w:r>
      <w:r w:rsidR="00CA4573">
        <w:rPr>
          <w:rFonts w:eastAsiaTheme="minorEastAsia" w:cs="Times New Roman"/>
          <w:bCs/>
        </w:rPr>
        <w:t>°</w:t>
      </w:r>
      <w:r w:rsidR="00CA4573">
        <w:rPr>
          <w:rFonts w:eastAsiaTheme="minorEastAsia"/>
          <w:bCs/>
        </w:rPr>
        <w:t>11’53.69”N, 97</w:t>
      </w:r>
      <w:r w:rsidR="00CA4573">
        <w:rPr>
          <w:rFonts w:eastAsiaTheme="minorEastAsia" w:cs="Times New Roman"/>
          <w:bCs/>
        </w:rPr>
        <w:t>°</w:t>
      </w:r>
      <w:r w:rsidR="00CA4573">
        <w:rPr>
          <w:rFonts w:eastAsiaTheme="minorEastAsia"/>
          <w:bCs/>
        </w:rPr>
        <w:t xml:space="preserve">28’53.55”W). It was stabilized </w:t>
      </w:r>
      <w:r w:rsidR="00693728">
        <w:rPr>
          <w:rFonts w:eastAsiaTheme="minorEastAsia"/>
          <w:bCs/>
        </w:rPr>
        <w:t xml:space="preserve">a </w:t>
      </w:r>
      <m:oMath>
        <m:r>
          <w:rPr>
            <w:rFonts w:ascii="Cambria Math" w:eastAsiaTheme="minorEastAsia" w:hAnsi="Cambria Math"/>
          </w:rPr>
          <w:lastRenderedPageBreak/>
          <m:t>SC</m:t>
        </m:r>
      </m:oMath>
      <w:r w:rsidR="00693728">
        <w:rPr>
          <w:rFonts w:eastAsiaTheme="minorEastAsia"/>
          <w:bCs/>
        </w:rPr>
        <w:t xml:space="preserve"> of 10% </w:t>
      </w:r>
      <w:r w:rsidR="00CA4573">
        <w:rPr>
          <w:rFonts w:eastAsiaTheme="minorEastAsia"/>
          <w:bCs/>
        </w:rPr>
        <w:t xml:space="preserve">on 16 September 2015. </w:t>
      </w:r>
      <w:r w:rsidR="0038076C">
        <w:rPr>
          <w:rFonts w:eastAsiaTheme="minorEastAsia"/>
          <w:bCs/>
        </w:rPr>
        <w:t>The</w:t>
      </w:r>
      <w:r w:rsidR="00045438">
        <w:rPr>
          <w:rFonts w:eastAsiaTheme="minorEastAsia"/>
          <w:bCs/>
        </w:rPr>
        <w:t>se</w:t>
      </w:r>
      <w:r w:rsidR="0038076C">
        <w:rPr>
          <w:rFonts w:eastAsiaTheme="minorEastAsia"/>
          <w:bCs/>
        </w:rPr>
        <w:t xml:space="preserve"> sites </w:t>
      </w:r>
      <w:r w:rsidR="00143A80">
        <w:rPr>
          <w:rFonts w:eastAsiaTheme="minorEastAsia"/>
          <w:bCs/>
        </w:rPr>
        <w:t>were</w:t>
      </w:r>
      <w:r w:rsidR="0038076C">
        <w:rPr>
          <w:rFonts w:eastAsiaTheme="minorEastAsia"/>
          <w:bCs/>
        </w:rPr>
        <w:t xml:space="preserve"> subjected to a pre- and post-treatment field </w:t>
      </w:r>
      <w:r w:rsidR="00816885">
        <w:rPr>
          <w:rFonts w:eastAsiaTheme="minorEastAsia"/>
          <w:bCs/>
        </w:rPr>
        <w:t xml:space="preserve">sampling and </w:t>
      </w:r>
      <w:r w:rsidR="0038076C">
        <w:rPr>
          <w:rFonts w:eastAsiaTheme="minorEastAsia"/>
          <w:bCs/>
        </w:rPr>
        <w:t>testing program in order to assess spatial and depth heterogeneity</w:t>
      </w:r>
      <w:r w:rsidR="00045438">
        <w:rPr>
          <w:rFonts w:eastAsiaTheme="minorEastAsia"/>
          <w:bCs/>
        </w:rPr>
        <w:t xml:space="preserve">. Three methods </w:t>
      </w:r>
      <w:r w:rsidR="00143A80">
        <w:rPr>
          <w:rFonts w:eastAsiaTheme="minorEastAsia"/>
          <w:bCs/>
        </w:rPr>
        <w:t>were</w:t>
      </w:r>
      <w:r w:rsidR="00045438">
        <w:rPr>
          <w:rFonts w:eastAsiaTheme="minorEastAsia"/>
          <w:bCs/>
        </w:rPr>
        <w:t xml:space="preserve"> used to analyze the samples from these sites: an in situ analysis, a laboratory analysis with minimal sample preparation, and an external analysis by a verified commercial laboratory (i.e. ALSglobal).</w:t>
      </w:r>
    </w:p>
    <w:p w14:paraId="10AA0322" w14:textId="77777777" w:rsidR="00A02965" w:rsidRDefault="00A02965" w:rsidP="00A02965">
      <w:pPr>
        <w:jc w:val="both"/>
        <w:rPr>
          <w:rFonts w:eastAsiaTheme="minorEastAsia"/>
          <w:bCs/>
        </w:rPr>
      </w:pPr>
    </w:p>
    <w:p w14:paraId="6546F389" w14:textId="1F7566F2" w:rsidR="00A02965" w:rsidRDefault="00A02965" w:rsidP="00A02965">
      <w:pPr>
        <w:rPr>
          <w:rFonts w:eastAsiaTheme="minorEastAsia"/>
          <w:bCs/>
        </w:rPr>
      </w:pPr>
      <w:r>
        <w:rPr>
          <w:rFonts w:eastAsiaTheme="minorEastAsia"/>
          <w:bCs/>
          <w:noProof/>
        </w:rPr>
        <w:drawing>
          <wp:inline distT="0" distB="0" distL="0" distR="0" wp14:anchorId="75FB26F4" wp14:editId="01E53170">
            <wp:extent cx="4946062" cy="3840480"/>
            <wp:effectExtent l="0" t="0" r="6985"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ite Locations.png"/>
                    <pic:cNvPicPr/>
                  </pic:nvPicPr>
                  <pic:blipFill rotWithShape="1">
                    <a:blip r:embed="rId25">
                      <a:extLst>
                        <a:ext uri="{28A0092B-C50C-407E-A947-70E740481C1C}">
                          <a14:useLocalDpi xmlns:a14="http://schemas.microsoft.com/office/drawing/2010/main" val="0"/>
                        </a:ext>
                      </a:extLst>
                    </a:blip>
                    <a:srcRect l="11979" r="14108"/>
                    <a:stretch/>
                  </pic:blipFill>
                  <pic:spPr bwMode="auto">
                    <a:xfrm>
                      <a:off x="0" y="0"/>
                      <a:ext cx="4946062" cy="3840480"/>
                    </a:xfrm>
                    <a:prstGeom prst="roundRect">
                      <a:avLst/>
                    </a:prstGeom>
                    <a:ln>
                      <a:noFill/>
                    </a:ln>
                    <a:extLst>
                      <a:ext uri="{53640926-AAD7-44D8-BBD7-CCE9431645EC}">
                        <a14:shadowObscured xmlns:a14="http://schemas.microsoft.com/office/drawing/2010/main"/>
                      </a:ext>
                    </a:extLst>
                  </pic:spPr>
                </pic:pic>
              </a:graphicData>
            </a:graphic>
          </wp:inline>
        </w:drawing>
      </w:r>
    </w:p>
    <w:p w14:paraId="143DC2F3" w14:textId="1A73F217" w:rsidR="00A02965" w:rsidRDefault="00A02965" w:rsidP="00A02965">
      <w:pPr>
        <w:pStyle w:val="Caption"/>
      </w:pPr>
      <w:bookmarkStart w:id="47" w:name="_Ref446525576"/>
      <w:bookmarkStart w:id="48" w:name="_Toc447755350"/>
      <w:r>
        <w:t xml:space="preserve">Figure </w:t>
      </w:r>
      <w:r w:rsidR="00184FC2">
        <w:fldChar w:fldCharType="begin"/>
      </w:r>
      <w:r w:rsidR="00184FC2">
        <w:instrText xml:space="preserve"> SEQ Figu</w:instrText>
      </w:r>
      <w:r w:rsidR="00184FC2">
        <w:instrText xml:space="preserve">re \* ARABIC </w:instrText>
      </w:r>
      <w:r w:rsidR="00184FC2">
        <w:fldChar w:fldCharType="separate"/>
      </w:r>
      <w:r w:rsidR="00E90148">
        <w:rPr>
          <w:noProof/>
        </w:rPr>
        <w:t>12</w:t>
      </w:r>
      <w:r w:rsidR="00184FC2">
        <w:rPr>
          <w:noProof/>
        </w:rPr>
        <w:fldChar w:fldCharType="end"/>
      </w:r>
      <w:bookmarkEnd w:id="47"/>
      <w:r>
        <w:t>: Locations of Field Test Sites 1, 2, and 3</w:t>
      </w:r>
      <w:bookmarkEnd w:id="48"/>
    </w:p>
    <w:p w14:paraId="04BC07E4" w14:textId="77777777" w:rsidR="00A02965" w:rsidRPr="00A02965" w:rsidRDefault="00A02965" w:rsidP="00A02965"/>
    <w:p w14:paraId="4DFB910E" w14:textId="66FCCCB4" w:rsidR="00D0382F" w:rsidRDefault="00816885" w:rsidP="00AB1D89">
      <w:pPr>
        <w:ind w:firstLine="720"/>
        <w:jc w:val="both"/>
        <w:rPr>
          <w:rFonts w:eastAsiaTheme="minorEastAsia"/>
          <w:bCs/>
        </w:rPr>
      </w:pPr>
      <w:r>
        <w:rPr>
          <w:rFonts w:eastAsiaTheme="minorEastAsia"/>
          <w:bCs/>
        </w:rPr>
        <w:t xml:space="preserve">The </w:t>
      </w:r>
      <w:r w:rsidR="00AB6A1C">
        <w:rPr>
          <w:rFonts w:eastAsiaTheme="minorEastAsia"/>
          <w:bCs/>
        </w:rPr>
        <w:t>in situ measurements were taken in a grid pattern</w:t>
      </w:r>
      <w:r w:rsidR="00AB6A1C" w:rsidRPr="00AB6A1C">
        <w:rPr>
          <w:rFonts w:eastAsiaTheme="minorEastAsia"/>
          <w:bCs/>
        </w:rPr>
        <w:t xml:space="preserve"> </w:t>
      </w:r>
      <w:r w:rsidR="00AB6A1C">
        <w:rPr>
          <w:rFonts w:eastAsiaTheme="minorEastAsia"/>
          <w:bCs/>
        </w:rPr>
        <w:t xml:space="preserve">to assess spatial variability in the site. A 10 foot wide by 50 foot long grid was marked on the sites in 5 foot increments (i.e. 3 locations across the width and 11 locations down the length) for a total of 33 testing locations. A diagram of </w:t>
      </w:r>
      <w:r w:rsidR="00AB1D89">
        <w:rPr>
          <w:rFonts w:eastAsiaTheme="minorEastAsia"/>
          <w:bCs/>
        </w:rPr>
        <w:t xml:space="preserve">the </w:t>
      </w:r>
      <w:r w:rsidR="00AB6A1C">
        <w:rPr>
          <w:rFonts w:eastAsiaTheme="minorEastAsia"/>
          <w:bCs/>
        </w:rPr>
        <w:t xml:space="preserve">measurement grid is illustrated in </w:t>
      </w:r>
      <w:r w:rsidR="00AB6A1C">
        <w:rPr>
          <w:rFonts w:eastAsiaTheme="minorEastAsia"/>
          <w:bCs/>
        </w:rPr>
        <w:fldChar w:fldCharType="begin"/>
      </w:r>
      <w:r w:rsidR="00AB6A1C">
        <w:rPr>
          <w:rFonts w:eastAsiaTheme="minorEastAsia"/>
          <w:bCs/>
        </w:rPr>
        <w:instrText xml:space="preserve"> REF _Ref437863780 \h </w:instrText>
      </w:r>
      <w:r w:rsidR="00AB6A1C">
        <w:rPr>
          <w:rFonts w:eastAsiaTheme="minorEastAsia"/>
          <w:bCs/>
        </w:rPr>
      </w:r>
      <w:r w:rsidR="00AB6A1C">
        <w:rPr>
          <w:rFonts w:eastAsiaTheme="minorEastAsia"/>
          <w:bCs/>
        </w:rPr>
        <w:fldChar w:fldCharType="separate"/>
      </w:r>
      <w:r w:rsidR="00E90148">
        <w:t xml:space="preserve">Figure </w:t>
      </w:r>
      <w:r w:rsidR="00E90148">
        <w:rPr>
          <w:noProof/>
        </w:rPr>
        <w:t>13</w:t>
      </w:r>
      <w:r w:rsidR="00AB6A1C">
        <w:rPr>
          <w:rFonts w:eastAsiaTheme="minorEastAsia"/>
          <w:bCs/>
        </w:rPr>
        <w:fldChar w:fldCharType="end"/>
      </w:r>
      <w:r w:rsidR="00AB6A1C">
        <w:rPr>
          <w:rFonts w:eastAsiaTheme="minorEastAsia"/>
          <w:bCs/>
        </w:rPr>
        <w:t xml:space="preserve">. </w:t>
      </w:r>
      <w:r w:rsidR="00AB6A1C">
        <w:rPr>
          <w:rFonts w:eastAsiaTheme="minorEastAsia"/>
          <w:bCs/>
        </w:rPr>
        <w:lastRenderedPageBreak/>
        <w:t xml:space="preserve">Three 30 second in situ measurements were taken </w:t>
      </w:r>
      <w:r w:rsidR="00AB1D89">
        <w:rPr>
          <w:rFonts w:eastAsiaTheme="minorEastAsia"/>
          <w:bCs/>
        </w:rPr>
        <w:t xml:space="preserve">with the Niton XL3t PHXRF device </w:t>
      </w:r>
      <w:r w:rsidR="00AB6A1C">
        <w:rPr>
          <w:rFonts w:eastAsiaTheme="minorEastAsia"/>
          <w:bCs/>
        </w:rPr>
        <w:t>at each of the locations</w:t>
      </w:r>
      <w:r w:rsidR="00AB1D89">
        <w:rPr>
          <w:rFonts w:eastAsiaTheme="minorEastAsia"/>
          <w:bCs/>
        </w:rPr>
        <w:t>. Prior to scanning, the scan locations were mildly tamped</w:t>
      </w:r>
      <w:r w:rsidR="00AB6A1C">
        <w:rPr>
          <w:rFonts w:eastAsiaTheme="minorEastAsia"/>
          <w:bCs/>
        </w:rPr>
        <w:t xml:space="preserve"> to provide a flat scanning surface. </w:t>
      </w:r>
    </w:p>
    <w:p w14:paraId="51588CB3" w14:textId="3BFDCA80" w:rsidR="008F4C2A" w:rsidRDefault="00D0382F" w:rsidP="00143A80">
      <w:pPr>
        <w:ind w:firstLine="720"/>
        <w:jc w:val="both"/>
        <w:rPr>
          <w:rFonts w:eastAsiaTheme="minorEastAsia"/>
          <w:bCs/>
        </w:rPr>
      </w:pPr>
      <w:r>
        <w:rPr>
          <w:rFonts w:eastAsiaTheme="minorEastAsia"/>
          <w:b/>
        </w:rPr>
        <w:tab/>
      </w:r>
      <w:r w:rsidR="008F4C2A">
        <w:rPr>
          <w:rFonts w:eastAsiaTheme="minorEastAsia"/>
          <w:b/>
        </w:rPr>
        <w:tab/>
      </w:r>
    </w:p>
    <w:p w14:paraId="04BB5365" w14:textId="7342AD93" w:rsidR="00532E0F" w:rsidRDefault="00FF10E2" w:rsidP="00532E0F">
      <w:pPr>
        <w:rPr>
          <w:rFonts w:eastAsiaTheme="minorEastAsia"/>
          <w:bCs/>
        </w:rPr>
      </w:pPr>
      <w:r>
        <w:rPr>
          <w:rFonts w:eastAsiaTheme="minorEastAsia"/>
          <w:bCs/>
          <w:noProof/>
        </w:rPr>
        <w:drawing>
          <wp:inline distT="0" distB="0" distL="0" distR="0" wp14:anchorId="60923D55" wp14:editId="1B36C060">
            <wp:extent cx="1994804" cy="5486400"/>
            <wp:effectExtent l="0" t="0" r="571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4804" cy="5486400"/>
                    </a:xfrm>
                    <a:prstGeom prst="rect">
                      <a:avLst/>
                    </a:prstGeom>
                    <a:noFill/>
                  </pic:spPr>
                </pic:pic>
              </a:graphicData>
            </a:graphic>
          </wp:inline>
        </w:drawing>
      </w:r>
    </w:p>
    <w:p w14:paraId="0DC109ED" w14:textId="27C1328D" w:rsidR="00356438" w:rsidRDefault="00470E7B" w:rsidP="00470E7B">
      <w:pPr>
        <w:pStyle w:val="Caption"/>
        <w:rPr>
          <w:rFonts w:eastAsiaTheme="minorEastAsia"/>
          <w:bCs/>
        </w:rPr>
      </w:pPr>
      <w:bookmarkStart w:id="49" w:name="_Ref437863780"/>
      <w:bookmarkStart w:id="50" w:name="_Toc437863888"/>
      <w:bookmarkStart w:id="51" w:name="_Toc447755351"/>
      <w:r>
        <w:t xml:space="preserve">Figure </w:t>
      </w:r>
      <w:r w:rsidR="00184FC2">
        <w:fldChar w:fldCharType="begin"/>
      </w:r>
      <w:r w:rsidR="00184FC2">
        <w:instrText xml:space="preserve"> SEQ Figure \* ARABIC </w:instrText>
      </w:r>
      <w:r w:rsidR="00184FC2">
        <w:fldChar w:fldCharType="separate"/>
      </w:r>
      <w:r w:rsidR="00E90148">
        <w:rPr>
          <w:noProof/>
        </w:rPr>
        <w:t>13</w:t>
      </w:r>
      <w:r w:rsidR="00184FC2">
        <w:rPr>
          <w:noProof/>
        </w:rPr>
        <w:fldChar w:fldCharType="end"/>
      </w:r>
      <w:bookmarkEnd w:id="49"/>
      <w:r>
        <w:t xml:space="preserve">: </w:t>
      </w:r>
      <w:r w:rsidRPr="00161EEE">
        <w:t>Spatial XRF Testing and Sampling Locations in the Field</w:t>
      </w:r>
      <w:bookmarkEnd w:id="50"/>
      <w:bookmarkEnd w:id="51"/>
    </w:p>
    <w:p w14:paraId="0B17E502" w14:textId="41A675AE" w:rsidR="00532E0F" w:rsidRDefault="00356438" w:rsidP="00532E0F">
      <w:pPr>
        <w:rPr>
          <w:rFonts w:eastAsiaTheme="minorEastAsia"/>
          <w:bCs/>
        </w:rPr>
      </w:pPr>
      <w:r>
        <w:rPr>
          <w:rFonts w:eastAsiaTheme="minorEastAsia"/>
          <w:bCs/>
        </w:rPr>
        <w:t xml:space="preserve"> </w:t>
      </w:r>
    </w:p>
    <w:p w14:paraId="347391EC" w14:textId="55696D82" w:rsidR="00D0382F" w:rsidRDefault="00AB6A1C" w:rsidP="00662193">
      <w:pPr>
        <w:ind w:firstLine="720"/>
        <w:jc w:val="both"/>
        <w:rPr>
          <w:rFonts w:eastAsiaTheme="minorEastAsia"/>
          <w:bCs/>
        </w:rPr>
      </w:pPr>
      <w:r>
        <w:rPr>
          <w:rFonts w:eastAsiaTheme="minorEastAsia"/>
          <w:bCs/>
        </w:rPr>
        <w:lastRenderedPageBreak/>
        <w:t xml:space="preserve">Samples were also retrieved from each of the 33 </w:t>
      </w:r>
      <w:r w:rsidR="002B21CC">
        <w:rPr>
          <w:rFonts w:eastAsiaTheme="minorEastAsia"/>
          <w:bCs/>
        </w:rPr>
        <w:t xml:space="preserve">scanned </w:t>
      </w:r>
      <w:r>
        <w:rPr>
          <w:rFonts w:eastAsiaTheme="minorEastAsia"/>
          <w:bCs/>
        </w:rPr>
        <w:t xml:space="preserve">locations for ex situ testing to further assess spatial homogeneity. </w:t>
      </w:r>
      <w:r w:rsidR="00693728">
        <w:rPr>
          <w:rFonts w:eastAsiaTheme="minorEastAsia"/>
          <w:bCs/>
        </w:rPr>
        <w:t>Ex situ samples were</w:t>
      </w:r>
      <w:r w:rsidR="00D51B8B">
        <w:rPr>
          <w:rFonts w:eastAsiaTheme="minorEastAsia"/>
          <w:bCs/>
        </w:rPr>
        <w:t xml:space="preserve"> br</w:t>
      </w:r>
      <w:r w:rsidR="00693728">
        <w:rPr>
          <w:rFonts w:eastAsiaTheme="minorEastAsia"/>
          <w:bCs/>
        </w:rPr>
        <w:t>ought</w:t>
      </w:r>
      <w:r w:rsidR="00D51B8B">
        <w:rPr>
          <w:rFonts w:eastAsiaTheme="minorEastAsia"/>
          <w:bCs/>
        </w:rPr>
        <w:t xml:space="preserve"> ba</w:t>
      </w:r>
      <w:r w:rsidR="00693728">
        <w:rPr>
          <w:rFonts w:eastAsiaTheme="minorEastAsia"/>
          <w:bCs/>
        </w:rPr>
        <w:t xml:space="preserve">ck to the laboratory, processed </w:t>
      </w:r>
      <w:r w:rsidR="00D51B8B">
        <w:rPr>
          <w:rFonts w:eastAsiaTheme="minorEastAsia"/>
          <w:bCs/>
        </w:rPr>
        <w:t xml:space="preserve">over a #40 sieve, </w:t>
      </w:r>
      <w:r w:rsidR="00693728">
        <w:rPr>
          <w:rFonts w:eastAsiaTheme="minorEastAsia"/>
          <w:bCs/>
        </w:rPr>
        <w:t>placed into</w:t>
      </w:r>
      <w:r w:rsidR="00D51B8B">
        <w:rPr>
          <w:rFonts w:eastAsiaTheme="minorEastAsia"/>
          <w:bCs/>
        </w:rPr>
        <w:t xml:space="preserve"> sample cup</w:t>
      </w:r>
      <w:r w:rsidR="00693728">
        <w:rPr>
          <w:rFonts w:eastAsiaTheme="minorEastAsia"/>
          <w:bCs/>
        </w:rPr>
        <w:t>s,</w:t>
      </w:r>
      <w:r w:rsidR="00D51B8B">
        <w:rPr>
          <w:rFonts w:eastAsiaTheme="minorEastAsia"/>
          <w:bCs/>
        </w:rPr>
        <w:t xml:space="preserve"> and </w:t>
      </w:r>
      <w:r w:rsidR="00662193">
        <w:rPr>
          <w:rFonts w:eastAsiaTheme="minorEastAsia"/>
          <w:bCs/>
        </w:rPr>
        <w:t xml:space="preserve">measured with </w:t>
      </w:r>
      <w:r w:rsidR="00D51B8B">
        <w:rPr>
          <w:rFonts w:eastAsiaTheme="minorEastAsia"/>
          <w:bCs/>
        </w:rPr>
        <w:t xml:space="preserve">PHXRF </w:t>
      </w:r>
      <w:r w:rsidR="00662193">
        <w:rPr>
          <w:rFonts w:eastAsiaTheme="minorEastAsia"/>
          <w:bCs/>
        </w:rPr>
        <w:t>for</w:t>
      </w:r>
      <w:r w:rsidR="00D51B8B">
        <w:rPr>
          <w:rFonts w:eastAsiaTheme="minorEastAsia"/>
          <w:bCs/>
        </w:rPr>
        <w:t xml:space="preserve"> </w:t>
      </w:r>
      <m:oMath>
        <m:r>
          <w:rPr>
            <w:rFonts w:ascii="Cambria Math" w:eastAsiaTheme="minorEastAsia" w:hAnsi="Cambria Math"/>
          </w:rPr>
          <m:t>SC</m:t>
        </m:r>
      </m:oMath>
      <w:r w:rsidR="00D51B8B">
        <w:rPr>
          <w:rFonts w:eastAsiaTheme="minorEastAsia"/>
          <w:bCs/>
        </w:rPr>
        <w:t xml:space="preserve"> content.  </w:t>
      </w:r>
      <w:r>
        <w:rPr>
          <w:rFonts w:eastAsiaTheme="minorEastAsia"/>
          <w:bCs/>
        </w:rPr>
        <w:t xml:space="preserve">These </w:t>
      </w:r>
      <w:r w:rsidR="00D51B8B">
        <w:rPr>
          <w:rFonts w:eastAsiaTheme="minorEastAsia"/>
          <w:bCs/>
        </w:rPr>
        <w:t xml:space="preserve">ex situ </w:t>
      </w:r>
      <w:r w:rsidR="00783497">
        <w:rPr>
          <w:rFonts w:eastAsiaTheme="minorEastAsia"/>
          <w:bCs/>
        </w:rPr>
        <w:t xml:space="preserve">samples </w:t>
      </w:r>
      <w:r w:rsidR="00080D4E">
        <w:rPr>
          <w:rFonts w:eastAsiaTheme="minorEastAsia"/>
          <w:bCs/>
        </w:rPr>
        <w:t>were</w:t>
      </w:r>
      <w:r w:rsidR="00783497">
        <w:rPr>
          <w:rFonts w:eastAsiaTheme="minorEastAsia"/>
          <w:bCs/>
        </w:rPr>
        <w:t xml:space="preserve"> taken to a depth of 12 inches</w:t>
      </w:r>
      <w:r w:rsidR="00080D4E">
        <w:rPr>
          <w:rFonts w:eastAsiaTheme="minorEastAsia"/>
          <w:bCs/>
        </w:rPr>
        <w:t xml:space="preserve"> </w:t>
      </w:r>
      <w:r w:rsidR="002B21CC">
        <w:rPr>
          <w:rFonts w:eastAsiaTheme="minorEastAsia"/>
          <w:bCs/>
        </w:rPr>
        <w:t xml:space="preserve">to assess </w:t>
      </w:r>
      <w:r>
        <w:rPr>
          <w:rFonts w:eastAsiaTheme="minorEastAsia"/>
          <w:bCs/>
        </w:rPr>
        <w:t xml:space="preserve">depth homogeneity. </w:t>
      </w:r>
      <w:r w:rsidR="00AB1D89">
        <w:rPr>
          <w:rFonts w:eastAsiaTheme="minorEastAsia"/>
          <w:bCs/>
        </w:rPr>
        <w:t xml:space="preserve">Since subgrades are typically stabilized to a depth of 8 inches, sampling to a depth of 12 inches </w:t>
      </w:r>
      <w:r w:rsidR="002B21CC">
        <w:rPr>
          <w:rFonts w:eastAsiaTheme="minorEastAsia"/>
          <w:bCs/>
        </w:rPr>
        <w:t xml:space="preserve">allowed </w:t>
      </w:r>
      <w:r w:rsidR="00AB1D89">
        <w:rPr>
          <w:rFonts w:eastAsiaTheme="minorEastAsia"/>
          <w:bCs/>
        </w:rPr>
        <w:t>for verification that th</w:t>
      </w:r>
      <w:r w:rsidR="002B21CC">
        <w:rPr>
          <w:rFonts w:eastAsiaTheme="minorEastAsia"/>
          <w:bCs/>
        </w:rPr>
        <w:t>e target</w:t>
      </w:r>
      <w:r w:rsidR="00AB1D89">
        <w:rPr>
          <w:rFonts w:eastAsiaTheme="minorEastAsia"/>
          <w:bCs/>
        </w:rPr>
        <w:t xml:space="preserve"> depth was achieved and verification that the soil below 8 inches was not treated. </w:t>
      </w:r>
      <w:r w:rsidR="00F81C09">
        <w:rPr>
          <w:rFonts w:eastAsiaTheme="minorEastAsia"/>
          <w:bCs/>
        </w:rPr>
        <w:t xml:space="preserve">These </w:t>
      </w:r>
      <w:r w:rsidR="00AB1D89">
        <w:rPr>
          <w:rFonts w:eastAsiaTheme="minorEastAsia"/>
          <w:bCs/>
        </w:rPr>
        <w:t xml:space="preserve">12 inch deep </w:t>
      </w:r>
      <w:r w:rsidR="00F81C09">
        <w:rPr>
          <w:rFonts w:eastAsiaTheme="minorEastAsia"/>
          <w:bCs/>
        </w:rPr>
        <w:t xml:space="preserve">samples </w:t>
      </w:r>
      <w:r w:rsidR="00080D4E">
        <w:rPr>
          <w:rFonts w:eastAsiaTheme="minorEastAsia"/>
          <w:bCs/>
        </w:rPr>
        <w:t>were</w:t>
      </w:r>
      <w:r w:rsidR="00F81C09">
        <w:rPr>
          <w:rFonts w:eastAsiaTheme="minorEastAsia"/>
          <w:bCs/>
        </w:rPr>
        <w:t xml:space="preserve"> divided into two </w:t>
      </w:r>
      <w:r w:rsidR="00D0382F">
        <w:rPr>
          <w:rFonts w:eastAsiaTheme="minorEastAsia"/>
          <w:bCs/>
        </w:rPr>
        <w:t xml:space="preserve">pre-treatment </w:t>
      </w:r>
      <w:r w:rsidR="00662193">
        <w:rPr>
          <w:rFonts w:eastAsiaTheme="minorEastAsia"/>
          <w:bCs/>
        </w:rPr>
        <w:t>subdepths (i.e. 0 - 9 inches and 9 -</w:t>
      </w:r>
      <w:r w:rsidR="00F81C09">
        <w:rPr>
          <w:rFonts w:eastAsiaTheme="minorEastAsia"/>
          <w:bCs/>
        </w:rPr>
        <w:t xml:space="preserve"> 12 inches) and four </w:t>
      </w:r>
      <w:r w:rsidR="00D0382F">
        <w:rPr>
          <w:rFonts w:eastAsiaTheme="minorEastAsia"/>
          <w:bCs/>
        </w:rPr>
        <w:t xml:space="preserve">post-treatment subdepths </w:t>
      </w:r>
      <w:r w:rsidR="00662193">
        <w:rPr>
          <w:rFonts w:eastAsiaTheme="minorEastAsia"/>
          <w:bCs/>
        </w:rPr>
        <w:t>(i.e. 0 - 3 inches, 3 - 6 inches, 6 -</w:t>
      </w:r>
      <w:r w:rsidR="00F81C09">
        <w:rPr>
          <w:rFonts w:eastAsiaTheme="minorEastAsia"/>
          <w:bCs/>
        </w:rPr>
        <w:t xml:space="preserve"> 9 inches, and 9 </w:t>
      </w:r>
      <w:r w:rsidR="00662193">
        <w:rPr>
          <w:rFonts w:eastAsiaTheme="minorEastAsia"/>
          <w:bCs/>
        </w:rPr>
        <w:t>-</w:t>
      </w:r>
      <w:r w:rsidR="00F81C09">
        <w:rPr>
          <w:rFonts w:eastAsiaTheme="minorEastAsia"/>
          <w:bCs/>
        </w:rPr>
        <w:t xml:space="preserve"> 12 inches).  Samples </w:t>
      </w:r>
      <w:r w:rsidR="00080D4E">
        <w:rPr>
          <w:rFonts w:eastAsiaTheme="minorEastAsia"/>
          <w:bCs/>
        </w:rPr>
        <w:t>were</w:t>
      </w:r>
      <w:r w:rsidR="00F81C09">
        <w:rPr>
          <w:rFonts w:eastAsiaTheme="minorEastAsia"/>
          <w:bCs/>
        </w:rPr>
        <w:t xml:space="preserve"> retrieved using a hammer head soil probe</w:t>
      </w:r>
      <w:r w:rsidR="00A71A1F">
        <w:rPr>
          <w:rFonts w:eastAsiaTheme="minorEastAsia"/>
          <w:bCs/>
        </w:rPr>
        <w:t xml:space="preserve">, as seen in </w:t>
      </w:r>
      <w:r w:rsidR="00A71A1F">
        <w:rPr>
          <w:rFonts w:eastAsiaTheme="minorEastAsia"/>
          <w:bCs/>
        </w:rPr>
        <w:fldChar w:fldCharType="begin"/>
      </w:r>
      <w:r w:rsidR="00A71A1F">
        <w:rPr>
          <w:rFonts w:eastAsiaTheme="minorEastAsia"/>
          <w:bCs/>
        </w:rPr>
        <w:instrText xml:space="preserve"> REF _Ref447044657 \h </w:instrText>
      </w:r>
      <w:r w:rsidR="00A71A1F">
        <w:rPr>
          <w:rFonts w:eastAsiaTheme="minorEastAsia"/>
          <w:bCs/>
        </w:rPr>
      </w:r>
      <w:r w:rsidR="00A71A1F">
        <w:rPr>
          <w:rFonts w:eastAsiaTheme="minorEastAsia"/>
          <w:bCs/>
        </w:rPr>
        <w:fldChar w:fldCharType="separate"/>
      </w:r>
      <w:r w:rsidR="00E90148">
        <w:t xml:space="preserve">Figure </w:t>
      </w:r>
      <w:r w:rsidR="00E90148">
        <w:rPr>
          <w:noProof/>
        </w:rPr>
        <w:t>14</w:t>
      </w:r>
      <w:r w:rsidR="00A71A1F">
        <w:rPr>
          <w:rFonts w:eastAsiaTheme="minorEastAsia"/>
          <w:bCs/>
        </w:rPr>
        <w:fldChar w:fldCharType="end"/>
      </w:r>
      <w:r w:rsidR="00662193">
        <w:rPr>
          <w:rFonts w:eastAsiaTheme="minorEastAsia"/>
          <w:bCs/>
        </w:rPr>
        <w:t>,</w:t>
      </w:r>
      <w:r w:rsidR="00A71A1F">
        <w:rPr>
          <w:rFonts w:eastAsiaTheme="minorEastAsia"/>
          <w:bCs/>
        </w:rPr>
        <w:t xml:space="preserve"> </w:t>
      </w:r>
      <w:r w:rsidR="005663FC">
        <w:rPr>
          <w:rFonts w:eastAsiaTheme="minorEastAsia"/>
          <w:bCs/>
        </w:rPr>
        <w:t>and taken to the laboratory</w:t>
      </w:r>
      <w:r w:rsidR="00F81C09">
        <w:rPr>
          <w:rFonts w:eastAsiaTheme="minorEastAsia"/>
          <w:bCs/>
        </w:rPr>
        <w:t>.</w:t>
      </w:r>
      <w:r w:rsidR="00532E0F">
        <w:rPr>
          <w:rFonts w:eastAsiaTheme="minorEastAsia"/>
          <w:bCs/>
        </w:rPr>
        <w:t xml:space="preserve"> </w:t>
      </w:r>
      <w:r w:rsidR="005663FC">
        <w:rPr>
          <w:rFonts w:eastAsiaTheme="minorEastAsia"/>
          <w:bCs/>
        </w:rPr>
        <w:t>They w</w:t>
      </w:r>
      <w:r w:rsidR="00080D4E">
        <w:rPr>
          <w:rFonts w:eastAsiaTheme="minorEastAsia"/>
          <w:bCs/>
        </w:rPr>
        <w:t>ere then passed through a No. 40 sieve and processed into powder samples. This type of sample preparation was chosen</w:t>
      </w:r>
      <w:r w:rsidR="009D6CD2">
        <w:rPr>
          <w:rFonts w:eastAsiaTheme="minorEastAsia"/>
          <w:bCs/>
        </w:rPr>
        <w:t xml:space="preserve"> based on the particle size study that showed no appreciable increase</w:t>
      </w:r>
      <w:r w:rsidR="00FC164C">
        <w:rPr>
          <w:rFonts w:eastAsiaTheme="minorEastAsia"/>
          <w:bCs/>
        </w:rPr>
        <w:t xml:space="preserve"> in accuracy when soil was mill</w:t>
      </w:r>
      <w:r w:rsidR="009D6CD2">
        <w:rPr>
          <w:rFonts w:eastAsiaTheme="minorEastAsia"/>
          <w:bCs/>
        </w:rPr>
        <w:t>ed beyond the #40</w:t>
      </w:r>
      <w:r w:rsidR="00A71A1F">
        <w:rPr>
          <w:rFonts w:eastAsiaTheme="minorEastAsia"/>
          <w:bCs/>
        </w:rPr>
        <w:t xml:space="preserve"> and the sample type study that showed minimal differences in accuracy between pressed pellet and powder samples.</w:t>
      </w:r>
      <w:r w:rsidR="009D6CD2">
        <w:rPr>
          <w:rFonts w:eastAsiaTheme="minorEastAsia"/>
          <w:bCs/>
        </w:rPr>
        <w:t xml:space="preserve"> </w:t>
      </w:r>
      <w:r w:rsidR="00A71A1F">
        <w:rPr>
          <w:rFonts w:eastAsiaTheme="minorEastAsia"/>
          <w:bCs/>
        </w:rPr>
        <w:t>Additionally, this type of sample preparation is exceedingly</w:t>
      </w:r>
      <w:r w:rsidR="00080D4E">
        <w:rPr>
          <w:rFonts w:eastAsiaTheme="minorEastAsia"/>
          <w:bCs/>
        </w:rPr>
        <w:t xml:space="preserve"> efficient and </w:t>
      </w:r>
      <w:r>
        <w:rPr>
          <w:rFonts w:eastAsiaTheme="minorEastAsia"/>
          <w:bCs/>
        </w:rPr>
        <w:t>easily</w:t>
      </w:r>
      <w:r w:rsidR="00080D4E">
        <w:rPr>
          <w:rFonts w:eastAsiaTheme="minorEastAsia"/>
          <w:bCs/>
        </w:rPr>
        <w:t xml:space="preserve"> implementable in the field</w:t>
      </w:r>
      <w:r w:rsidR="00532E0F">
        <w:rPr>
          <w:rFonts w:eastAsiaTheme="minorEastAsia"/>
          <w:bCs/>
        </w:rPr>
        <w:t xml:space="preserve">. </w:t>
      </w:r>
      <w:r w:rsidR="00AB1D89">
        <w:rPr>
          <w:rFonts w:eastAsiaTheme="minorEastAsia"/>
          <w:bCs/>
        </w:rPr>
        <w:t>Ex situ</w:t>
      </w:r>
      <w:r>
        <w:rPr>
          <w:rFonts w:eastAsiaTheme="minorEastAsia"/>
          <w:bCs/>
        </w:rPr>
        <w:t xml:space="preserve"> samples were scanned for 30 seconds each</w:t>
      </w:r>
      <w:r w:rsidR="00AB1D89">
        <w:rPr>
          <w:rFonts w:eastAsiaTheme="minorEastAsia"/>
          <w:bCs/>
        </w:rPr>
        <w:t xml:space="preserve"> with the Niton XL3t.</w:t>
      </w:r>
    </w:p>
    <w:p w14:paraId="7BDCFF99" w14:textId="77777777" w:rsidR="006D0AA5" w:rsidRDefault="006D0AA5" w:rsidP="00A71A1F">
      <w:pPr>
        <w:jc w:val="both"/>
        <w:rPr>
          <w:rFonts w:eastAsiaTheme="minorEastAsia"/>
          <w:bCs/>
        </w:rPr>
      </w:pPr>
    </w:p>
    <w:p w14:paraId="3C4FE99E" w14:textId="0222011D" w:rsidR="00A71A1F" w:rsidRDefault="00A71A1F" w:rsidP="00A71A1F">
      <w:pPr>
        <w:rPr>
          <w:rFonts w:eastAsiaTheme="minorEastAsia"/>
          <w:bCs/>
        </w:rPr>
      </w:pPr>
      <w:r>
        <w:rPr>
          <w:rFonts w:eastAsiaTheme="minorEastAsia"/>
          <w:bCs/>
          <w:noProof/>
        </w:rPr>
        <w:lastRenderedPageBreak/>
        <w:drawing>
          <wp:inline distT="0" distB="0" distL="0" distR="0" wp14:anchorId="4B5FC9B2" wp14:editId="0AE51E47">
            <wp:extent cx="3535680" cy="2651760"/>
            <wp:effectExtent l="381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3173.JPG"/>
                    <pic:cNvPicPr/>
                  </pic:nvPicPr>
                  <pic:blipFill>
                    <a:blip r:embed="rId27">
                      <a:extLst>
                        <a:ext uri="{28A0092B-C50C-407E-A947-70E740481C1C}">
                          <a14:useLocalDpi xmlns:a14="http://schemas.microsoft.com/office/drawing/2010/main" val="0"/>
                        </a:ext>
                      </a:extLst>
                    </a:blip>
                    <a:stretch>
                      <a:fillRect/>
                    </a:stretch>
                  </pic:blipFill>
                  <pic:spPr>
                    <a:xfrm rot="5400000">
                      <a:off x="0" y="0"/>
                      <a:ext cx="3535680" cy="2651760"/>
                    </a:xfrm>
                    <a:prstGeom prst="roundRect">
                      <a:avLst/>
                    </a:prstGeom>
                  </pic:spPr>
                </pic:pic>
              </a:graphicData>
            </a:graphic>
          </wp:inline>
        </w:drawing>
      </w:r>
    </w:p>
    <w:p w14:paraId="75751A1D" w14:textId="0D26C23C" w:rsidR="00A71A1F" w:rsidRDefault="00A71A1F" w:rsidP="00A71A1F">
      <w:pPr>
        <w:pStyle w:val="Caption"/>
        <w:rPr>
          <w:rFonts w:eastAsiaTheme="minorEastAsia"/>
          <w:bCs/>
        </w:rPr>
      </w:pPr>
      <w:bookmarkStart w:id="52" w:name="_Ref447044657"/>
      <w:bookmarkStart w:id="53" w:name="_Toc447755352"/>
      <w:r>
        <w:t xml:space="preserve">Figure </w:t>
      </w:r>
      <w:r w:rsidR="00184FC2">
        <w:fldChar w:fldCharType="begin"/>
      </w:r>
      <w:r w:rsidR="00184FC2">
        <w:instrText xml:space="preserve"> SEQ Figure \* ARABIC </w:instrText>
      </w:r>
      <w:r w:rsidR="00184FC2">
        <w:fldChar w:fldCharType="separate"/>
      </w:r>
      <w:r w:rsidR="00E90148">
        <w:rPr>
          <w:noProof/>
        </w:rPr>
        <w:t>14</w:t>
      </w:r>
      <w:r w:rsidR="00184FC2">
        <w:rPr>
          <w:noProof/>
        </w:rPr>
        <w:fldChar w:fldCharType="end"/>
      </w:r>
      <w:bookmarkEnd w:id="52"/>
      <w:r>
        <w:t>: Hammer Head Soil Probe Used to Retrieve Samples at Various Depths</w:t>
      </w:r>
      <w:bookmarkEnd w:id="53"/>
    </w:p>
    <w:p w14:paraId="60C2299D" w14:textId="77777777" w:rsidR="00A71A1F" w:rsidRDefault="00A71A1F" w:rsidP="00A71A1F">
      <w:pPr>
        <w:jc w:val="both"/>
        <w:rPr>
          <w:rFonts w:eastAsiaTheme="minorEastAsia"/>
          <w:bCs/>
        </w:rPr>
      </w:pPr>
    </w:p>
    <w:p w14:paraId="757B08C8" w14:textId="33C4EAF8" w:rsidR="006D0AA5" w:rsidRDefault="001B40D5" w:rsidP="006D0AA5">
      <w:pPr>
        <w:jc w:val="both"/>
        <w:rPr>
          <w:rFonts w:eastAsiaTheme="minorEastAsia"/>
          <w:b/>
        </w:rPr>
      </w:pPr>
      <w:r>
        <w:rPr>
          <w:rFonts w:eastAsiaTheme="minorEastAsia"/>
          <w:b/>
        </w:rPr>
        <w:t>3.10</w:t>
      </w:r>
      <w:r w:rsidR="006D0AA5">
        <w:rPr>
          <w:rFonts w:eastAsiaTheme="minorEastAsia"/>
          <w:b/>
        </w:rPr>
        <w:t xml:space="preserve"> Field Testing Data Analysis</w:t>
      </w:r>
    </w:p>
    <w:p w14:paraId="68468C23" w14:textId="3A160EA9" w:rsidR="006D0AA5" w:rsidRPr="00293F78" w:rsidRDefault="00280993" w:rsidP="00FC164C">
      <w:pPr>
        <w:jc w:val="both"/>
        <w:rPr>
          <w:rFonts w:eastAsiaTheme="minorEastAsia"/>
          <w:bCs/>
        </w:rPr>
        <w:sectPr w:rsidR="006D0AA5" w:rsidRPr="00293F78" w:rsidSect="00A45898">
          <w:pgSz w:w="12240" w:h="15840"/>
          <w:pgMar w:top="1440" w:right="1440" w:bottom="1440" w:left="2304" w:header="720" w:footer="144" w:gutter="0"/>
          <w:cols w:space="720"/>
          <w:docGrid w:linePitch="360"/>
        </w:sectPr>
      </w:pPr>
      <w:r>
        <w:rPr>
          <w:rFonts w:eastAsiaTheme="minorEastAsia"/>
          <w:b/>
        </w:rPr>
        <w:tab/>
      </w:r>
      <w:r w:rsidR="00293F78">
        <w:rPr>
          <w:rFonts w:eastAsiaTheme="minorEastAsia"/>
          <w:bCs/>
        </w:rPr>
        <w:t xml:space="preserve">In situ and ex situ </w:t>
      </w:r>
      <m:oMath>
        <m:r>
          <w:rPr>
            <w:rFonts w:ascii="Cambria Math" w:hAnsi="Cambria Math"/>
          </w:rPr>
          <m:t>SC</m:t>
        </m:r>
      </m:oMath>
      <w:r w:rsidR="00293F78">
        <w:rPr>
          <w:rFonts w:eastAsiaTheme="minorEastAsia"/>
          <w:bCs/>
        </w:rPr>
        <w:t xml:space="preserve"> measurements were assessed for precision and accuracy in the same manner as the laboratory samples (</w:t>
      </w:r>
      <w:r w:rsidR="00AE4D8F">
        <w:rPr>
          <w:rFonts w:eastAsiaTheme="minorEastAsia"/>
          <w:bCs/>
        </w:rPr>
        <w:t xml:space="preserve">i.e. </w:t>
      </w:r>
      <w:r w:rsidR="00293F78">
        <w:rPr>
          <w:rFonts w:eastAsiaTheme="minorEastAsia"/>
          <w:bCs/>
        </w:rPr>
        <w:t xml:space="preserve">STADEV, </w:t>
      </w:r>
      <w:r w:rsidR="00293F78">
        <w:rPr>
          <w:rFonts w:asciiTheme="majorBidi" w:eastAsiaTheme="minorEastAsia" w:hAnsiTheme="majorBidi" w:cstheme="majorBidi"/>
          <w:bCs/>
        </w:rPr>
        <w:t>COV</w:t>
      </w:r>
      <w:r w:rsidR="00293F78">
        <w:rPr>
          <w:rFonts w:asciiTheme="majorBidi" w:eastAsiaTheme="minorEastAsia" w:hAnsiTheme="majorBidi" w:cstheme="majorBidi"/>
          <w:bCs/>
          <w:vertAlign w:val="subscript"/>
        </w:rPr>
        <w:t>STADEV</w:t>
      </w:r>
      <w:r w:rsidR="00293F78">
        <w:rPr>
          <w:rFonts w:asciiTheme="majorBidi" w:eastAsiaTheme="minorEastAsia" w:hAnsiTheme="majorBidi" w:cstheme="majorBidi"/>
          <w:bCs/>
        </w:rPr>
        <w:t xml:space="preserve">, RMSD, </w:t>
      </w:r>
      <w:r w:rsidR="00293F78">
        <w:rPr>
          <w:rFonts w:eastAsiaTheme="minorEastAsia"/>
          <w:bCs/>
        </w:rPr>
        <w:t>COV</w:t>
      </w:r>
      <w:r w:rsidR="00293F78">
        <w:rPr>
          <w:rFonts w:eastAsiaTheme="minorEastAsia"/>
          <w:bCs/>
          <w:vertAlign w:val="subscript"/>
        </w:rPr>
        <w:t>RMSD</w:t>
      </w:r>
      <w:r w:rsidR="00293F78">
        <w:rPr>
          <w:rFonts w:eastAsiaTheme="minorEastAsia"/>
          <w:bCs/>
        </w:rPr>
        <w:t xml:space="preserve">, and linear regression). Spatial </w:t>
      </w:r>
      <w:r w:rsidR="00FC164C">
        <w:rPr>
          <w:rFonts w:eastAsiaTheme="minorEastAsia"/>
          <w:bCs/>
        </w:rPr>
        <w:t>stabilizer homogeneity of the three</w:t>
      </w:r>
      <w:r w:rsidR="00AE4D8F">
        <w:rPr>
          <w:rFonts w:eastAsiaTheme="minorEastAsia"/>
          <w:bCs/>
        </w:rPr>
        <w:t xml:space="preserve"> stabilized</w:t>
      </w:r>
      <w:r w:rsidR="00293F78">
        <w:rPr>
          <w:rFonts w:eastAsiaTheme="minorEastAsia"/>
          <w:bCs/>
        </w:rPr>
        <w:t xml:space="preserve"> sites was assessed using 2D contour graphs. These graphs ill</w:t>
      </w:r>
      <w:r w:rsidR="00EA7561">
        <w:rPr>
          <w:rFonts w:eastAsiaTheme="minorEastAsia"/>
          <w:bCs/>
        </w:rPr>
        <w:t xml:space="preserve">ustrate plan views of the sites and variations in </w:t>
      </w:r>
      <m:oMath>
        <m:r>
          <w:rPr>
            <w:rFonts w:ascii="Cambria Math" w:hAnsi="Cambria Math"/>
          </w:rPr>
          <m:t>SC</m:t>
        </m:r>
      </m:oMath>
      <w:r w:rsidR="00EA7561">
        <w:rPr>
          <w:rFonts w:eastAsiaTheme="minorEastAsia"/>
          <w:bCs/>
        </w:rPr>
        <w:t xml:space="preserve"> by color intensities.  Depth </w:t>
      </w:r>
      <w:r w:rsidR="00FC164C">
        <w:rPr>
          <w:rFonts w:eastAsiaTheme="minorEastAsia"/>
          <w:bCs/>
        </w:rPr>
        <w:t>stabilizer homogeneity</w:t>
      </w:r>
      <w:r w:rsidR="00EA7561">
        <w:rPr>
          <w:rFonts w:eastAsiaTheme="minorEastAsia"/>
          <w:bCs/>
        </w:rPr>
        <w:t xml:space="preserve"> was assessed in the same manner except from cross-section views of the sites. Additionally, depth </w:t>
      </w:r>
      <w:r w:rsidR="00FC164C">
        <w:rPr>
          <w:rFonts w:eastAsiaTheme="minorEastAsia"/>
          <w:bCs/>
        </w:rPr>
        <w:t>homogeneity</w:t>
      </w:r>
      <w:r w:rsidR="00EA7561">
        <w:rPr>
          <w:rFonts w:eastAsiaTheme="minorEastAsia"/>
          <w:bCs/>
        </w:rPr>
        <w:t xml:space="preserve"> was studied using average </w:t>
      </w:r>
      <m:oMath>
        <m:r>
          <w:rPr>
            <w:rFonts w:ascii="Cambria Math" w:hAnsi="Cambria Math"/>
          </w:rPr>
          <m:t>SC</m:t>
        </m:r>
      </m:oMath>
      <w:r w:rsidR="00EA7561">
        <w:rPr>
          <w:rFonts w:eastAsiaTheme="minorEastAsia"/>
          <w:bCs/>
        </w:rPr>
        <w:t xml:space="preserve"> versus depth graphs.</w:t>
      </w:r>
    </w:p>
    <w:p w14:paraId="2D82B13C" w14:textId="77777777" w:rsidR="004615B4" w:rsidRDefault="004615B4" w:rsidP="004615B4">
      <w:pPr>
        <w:pStyle w:val="Heading1"/>
      </w:pPr>
      <w:r>
        <w:lastRenderedPageBreak/>
        <w:t>CHAPTER 4</w:t>
      </w:r>
    </w:p>
    <w:p w14:paraId="09D626D0" w14:textId="7460B66C" w:rsidR="004615B4" w:rsidRDefault="004615B4" w:rsidP="004615B4">
      <w:pPr>
        <w:pStyle w:val="Heading1"/>
      </w:pPr>
      <w:r>
        <w:t>RESULTS</w:t>
      </w:r>
      <w:r w:rsidR="0081204F">
        <w:t xml:space="preserve"> AND DISCUSSIONS</w:t>
      </w:r>
    </w:p>
    <w:p w14:paraId="5E26031F" w14:textId="77777777" w:rsidR="004615B4" w:rsidRDefault="004615B4" w:rsidP="004615B4">
      <w:pPr>
        <w:pStyle w:val="NoSpacing"/>
      </w:pPr>
    </w:p>
    <w:p w14:paraId="468844C0" w14:textId="77777777" w:rsidR="004615B4" w:rsidRPr="004615B4" w:rsidRDefault="004615B4" w:rsidP="004615B4">
      <w:pPr>
        <w:pStyle w:val="NoSpacing"/>
        <w:jc w:val="left"/>
      </w:pPr>
    </w:p>
    <w:p w14:paraId="5CF9A5F1" w14:textId="4EA9225C" w:rsidR="004615B4" w:rsidRDefault="00754B11" w:rsidP="004615B4">
      <w:pPr>
        <w:jc w:val="both"/>
        <w:rPr>
          <w:rFonts w:eastAsiaTheme="minorEastAsia"/>
          <w:b/>
        </w:rPr>
      </w:pPr>
      <w:r>
        <w:rPr>
          <w:rFonts w:eastAsiaTheme="minorEastAsia"/>
          <w:b/>
        </w:rPr>
        <w:t>4.1 Introduction</w:t>
      </w:r>
    </w:p>
    <w:p w14:paraId="7ECFFCE1" w14:textId="74CF7EC8" w:rsidR="002630B0" w:rsidRDefault="00754B11" w:rsidP="001E7442">
      <w:pPr>
        <w:jc w:val="both"/>
        <w:rPr>
          <w:rFonts w:eastAsiaTheme="minorEastAsia"/>
          <w:bCs/>
        </w:rPr>
      </w:pPr>
      <w:r>
        <w:rPr>
          <w:rFonts w:eastAsiaTheme="minorEastAsia"/>
          <w:b/>
        </w:rPr>
        <w:tab/>
      </w:r>
      <w:r w:rsidR="00847459">
        <w:rPr>
          <w:rFonts w:eastAsiaTheme="minorEastAsia"/>
          <w:bCs/>
        </w:rPr>
        <w:t>The</w:t>
      </w:r>
      <w:r>
        <w:rPr>
          <w:rFonts w:eastAsiaTheme="minorEastAsia"/>
          <w:bCs/>
        </w:rPr>
        <w:t xml:space="preserve"> results of the </w:t>
      </w:r>
      <w:r w:rsidR="00FC164C">
        <w:rPr>
          <w:rFonts w:eastAsiaTheme="minorEastAsia"/>
          <w:bCs/>
        </w:rPr>
        <w:t>both</w:t>
      </w:r>
      <w:r w:rsidR="00F31621">
        <w:rPr>
          <w:rFonts w:eastAsiaTheme="minorEastAsia"/>
          <w:bCs/>
        </w:rPr>
        <w:t xml:space="preserve"> </w:t>
      </w:r>
      <w:r w:rsidR="000C7DB0">
        <w:rPr>
          <w:rFonts w:eastAsiaTheme="minorEastAsia"/>
          <w:bCs/>
        </w:rPr>
        <w:t>laboratory and</w:t>
      </w:r>
      <w:r w:rsidR="00F31621">
        <w:rPr>
          <w:rFonts w:eastAsiaTheme="minorEastAsia"/>
          <w:bCs/>
        </w:rPr>
        <w:t xml:space="preserve"> </w:t>
      </w:r>
      <w:r>
        <w:rPr>
          <w:rFonts w:eastAsiaTheme="minorEastAsia"/>
          <w:bCs/>
        </w:rPr>
        <w:t>field testing</w:t>
      </w:r>
      <w:r w:rsidR="000C7DB0">
        <w:rPr>
          <w:rFonts w:eastAsiaTheme="minorEastAsia"/>
          <w:bCs/>
        </w:rPr>
        <w:t xml:space="preserve"> </w:t>
      </w:r>
      <w:r w:rsidR="00847459">
        <w:rPr>
          <w:rFonts w:eastAsiaTheme="minorEastAsia"/>
          <w:bCs/>
        </w:rPr>
        <w:t xml:space="preserve">are presented in </w:t>
      </w:r>
      <w:r w:rsidR="00FC164C">
        <w:rPr>
          <w:rFonts w:eastAsiaTheme="minorEastAsia"/>
          <w:bCs/>
        </w:rPr>
        <w:t>this chapter</w:t>
      </w:r>
      <w:r>
        <w:rPr>
          <w:rFonts w:eastAsiaTheme="minorEastAsia"/>
          <w:bCs/>
        </w:rPr>
        <w:t xml:space="preserve">. </w:t>
      </w:r>
      <w:r w:rsidR="00FC164C">
        <w:rPr>
          <w:rFonts w:eastAsiaTheme="minorEastAsia"/>
          <w:bCs/>
        </w:rPr>
        <w:t>The analyse</w:t>
      </w:r>
      <w:r w:rsidR="00F31621">
        <w:rPr>
          <w:rFonts w:eastAsiaTheme="minorEastAsia"/>
          <w:bCs/>
        </w:rPr>
        <w:t xml:space="preserve">s of independent </w:t>
      </w:r>
      <w:r w:rsidR="00FC164C">
        <w:rPr>
          <w:rFonts w:eastAsiaTheme="minorEastAsia"/>
          <w:bCs/>
        </w:rPr>
        <w:t xml:space="preserve">variables and their effects </w:t>
      </w:r>
      <w:r w:rsidR="00F31621">
        <w:rPr>
          <w:rFonts w:eastAsiaTheme="minorEastAsia"/>
          <w:bCs/>
        </w:rPr>
        <w:t>on pr</w:t>
      </w:r>
      <w:r w:rsidR="000C7DB0">
        <w:rPr>
          <w:rFonts w:eastAsiaTheme="minorEastAsia"/>
          <w:bCs/>
        </w:rPr>
        <w:t>ecision and accuracy of the</w:t>
      </w:r>
      <w:r w:rsidR="00774CAA">
        <w:rPr>
          <w:rFonts w:eastAsiaTheme="minorEastAsia"/>
          <w:bCs/>
        </w:rPr>
        <w:t xml:space="preserve"> </w:t>
      </w:r>
      <w:r w:rsidR="00FC164C">
        <w:rPr>
          <w:rFonts w:eastAsiaTheme="minorEastAsia"/>
          <w:bCs/>
        </w:rPr>
        <w:t xml:space="preserve">PHXRF </w:t>
      </w:r>
      <w:r w:rsidR="00774CAA">
        <w:rPr>
          <w:rFonts w:eastAsiaTheme="minorEastAsia"/>
          <w:bCs/>
        </w:rPr>
        <w:t>devices</w:t>
      </w:r>
      <w:r w:rsidR="00F31621">
        <w:rPr>
          <w:rFonts w:eastAsiaTheme="minorEastAsia"/>
          <w:bCs/>
        </w:rPr>
        <w:t xml:space="preserve"> are illustrat</w:t>
      </w:r>
      <w:r w:rsidR="001E7442">
        <w:rPr>
          <w:rFonts w:eastAsiaTheme="minorEastAsia"/>
          <w:bCs/>
        </w:rPr>
        <w:t xml:space="preserve">ed and </w:t>
      </w:r>
      <w:r w:rsidR="00190241">
        <w:rPr>
          <w:rFonts w:eastAsiaTheme="minorEastAsia"/>
          <w:bCs/>
        </w:rPr>
        <w:t>discussed</w:t>
      </w:r>
      <w:r w:rsidR="00774CAA">
        <w:rPr>
          <w:rFonts w:eastAsiaTheme="minorEastAsia"/>
          <w:bCs/>
        </w:rPr>
        <w:t xml:space="preserve">. </w:t>
      </w:r>
      <w:r w:rsidR="00FC164C">
        <w:rPr>
          <w:rFonts w:eastAsiaTheme="minorEastAsia"/>
          <w:bCs/>
        </w:rPr>
        <w:t>Additionally, analyse</w:t>
      </w:r>
      <w:r w:rsidR="000C7DB0">
        <w:rPr>
          <w:rFonts w:eastAsiaTheme="minorEastAsia"/>
          <w:bCs/>
        </w:rPr>
        <w:t xml:space="preserve">s of </w:t>
      </w:r>
      <w:r w:rsidR="00FC164C">
        <w:rPr>
          <w:rFonts w:eastAsiaTheme="minorEastAsia"/>
          <w:bCs/>
        </w:rPr>
        <w:t xml:space="preserve">PHXRF </w:t>
      </w:r>
      <w:r w:rsidR="000C7DB0">
        <w:rPr>
          <w:rFonts w:eastAsiaTheme="minorEastAsia"/>
          <w:bCs/>
        </w:rPr>
        <w:t>field accuracy</w:t>
      </w:r>
      <w:r w:rsidR="00FC164C">
        <w:rPr>
          <w:rFonts w:eastAsiaTheme="minorEastAsia"/>
          <w:bCs/>
        </w:rPr>
        <w:t xml:space="preserve"> and</w:t>
      </w:r>
      <w:r w:rsidR="000C7DB0">
        <w:rPr>
          <w:rFonts w:eastAsiaTheme="minorEastAsia"/>
          <w:bCs/>
        </w:rPr>
        <w:t xml:space="preserve"> </w:t>
      </w:r>
      <w:r w:rsidR="006D0AA5">
        <w:rPr>
          <w:rFonts w:eastAsiaTheme="minorEastAsia"/>
          <w:bCs/>
        </w:rPr>
        <w:t xml:space="preserve">deployment </w:t>
      </w:r>
      <w:r w:rsidR="00C91327">
        <w:rPr>
          <w:rFonts w:eastAsiaTheme="minorEastAsia"/>
          <w:bCs/>
        </w:rPr>
        <w:t>feasibility</w:t>
      </w:r>
      <w:r w:rsidR="000C7DB0">
        <w:rPr>
          <w:rFonts w:eastAsiaTheme="minorEastAsia"/>
          <w:bCs/>
        </w:rPr>
        <w:t xml:space="preserve"> are present</w:t>
      </w:r>
      <w:r w:rsidR="0081204F">
        <w:rPr>
          <w:rFonts w:eastAsiaTheme="minorEastAsia"/>
          <w:bCs/>
        </w:rPr>
        <w:t>ed and discussed</w:t>
      </w:r>
      <w:r w:rsidR="00FC164C">
        <w:rPr>
          <w:rFonts w:eastAsiaTheme="minorEastAsia"/>
          <w:bCs/>
        </w:rPr>
        <w:t xml:space="preserve"> as well as spatial and depth stabilizer distribution assessments</w:t>
      </w:r>
      <w:r w:rsidR="006A070F">
        <w:rPr>
          <w:rFonts w:eastAsiaTheme="minorEastAsia"/>
          <w:bCs/>
        </w:rPr>
        <w:t>.</w:t>
      </w:r>
    </w:p>
    <w:p w14:paraId="41E46E08" w14:textId="77777777" w:rsidR="002630B0" w:rsidRDefault="002630B0" w:rsidP="00754B11">
      <w:pPr>
        <w:jc w:val="both"/>
        <w:rPr>
          <w:rFonts w:eastAsiaTheme="minorEastAsia"/>
          <w:bCs/>
        </w:rPr>
      </w:pPr>
    </w:p>
    <w:p w14:paraId="735E0B96" w14:textId="1F169803" w:rsidR="002630B0" w:rsidRDefault="002630B0" w:rsidP="002630B0">
      <w:pPr>
        <w:jc w:val="both"/>
        <w:rPr>
          <w:rFonts w:eastAsiaTheme="minorEastAsia"/>
          <w:b/>
        </w:rPr>
      </w:pPr>
      <w:r>
        <w:rPr>
          <w:rFonts w:eastAsiaTheme="minorEastAsia"/>
          <w:b/>
        </w:rPr>
        <w:t>4.2 PHXRF Laboratory Testing</w:t>
      </w:r>
    </w:p>
    <w:p w14:paraId="79EF5BCB" w14:textId="22042069" w:rsidR="002630B0" w:rsidRDefault="002630B0" w:rsidP="001E7442">
      <w:pPr>
        <w:jc w:val="both"/>
        <w:rPr>
          <w:rFonts w:eastAsiaTheme="minorEastAsia"/>
          <w:bCs/>
        </w:rPr>
      </w:pPr>
      <w:r>
        <w:rPr>
          <w:rFonts w:eastAsiaTheme="minorEastAsia"/>
          <w:b/>
        </w:rPr>
        <w:tab/>
      </w:r>
      <w:r w:rsidR="001D63F1">
        <w:rPr>
          <w:rFonts w:eastAsiaTheme="minorEastAsia"/>
          <w:bCs/>
        </w:rPr>
        <w:t>The effect</w:t>
      </w:r>
      <w:r w:rsidR="00037342">
        <w:rPr>
          <w:rFonts w:eastAsiaTheme="minorEastAsia"/>
          <w:bCs/>
        </w:rPr>
        <w:t>s</w:t>
      </w:r>
      <w:r w:rsidR="001D63F1">
        <w:rPr>
          <w:rFonts w:eastAsiaTheme="minorEastAsia"/>
          <w:bCs/>
        </w:rPr>
        <w:t xml:space="preserve"> of several independent variables</w:t>
      </w:r>
      <w:r w:rsidR="002B21CC">
        <w:rPr>
          <w:rFonts w:eastAsiaTheme="minorEastAsia"/>
          <w:bCs/>
        </w:rPr>
        <w:t>,</w:t>
      </w:r>
      <w:r w:rsidR="006D0AA5">
        <w:rPr>
          <w:rFonts w:eastAsiaTheme="minorEastAsia"/>
          <w:bCs/>
        </w:rPr>
        <w:t xml:space="preserve"> </w:t>
      </w:r>
      <w:r w:rsidR="001E7442">
        <w:rPr>
          <w:rFonts w:eastAsiaTheme="minorEastAsia"/>
          <w:bCs/>
        </w:rPr>
        <w:t xml:space="preserve">including </w:t>
      </w:r>
      <w:r w:rsidR="006655AB">
        <w:rPr>
          <w:rFonts w:eastAsiaTheme="minorEastAsia"/>
          <w:bCs/>
        </w:rPr>
        <w:t xml:space="preserve">scan duration, </w:t>
      </w:r>
      <w:r w:rsidR="00664A62">
        <w:rPr>
          <w:rFonts w:eastAsiaTheme="minorEastAsia"/>
          <w:bCs/>
        </w:rPr>
        <w:t>scan technique</w:t>
      </w:r>
      <w:r w:rsidR="001E7442">
        <w:rPr>
          <w:rFonts w:eastAsiaTheme="minorEastAsia"/>
          <w:bCs/>
        </w:rPr>
        <w:t xml:space="preserve">, </w:t>
      </w:r>
      <w:r w:rsidR="006655AB">
        <w:rPr>
          <w:rFonts w:eastAsiaTheme="minorEastAsia"/>
          <w:bCs/>
        </w:rPr>
        <w:t>particle size</w:t>
      </w:r>
      <w:r w:rsidR="001E7442">
        <w:rPr>
          <w:rFonts w:eastAsiaTheme="minorEastAsia"/>
          <w:bCs/>
        </w:rPr>
        <w:t>,</w:t>
      </w:r>
      <w:r w:rsidR="00664A62">
        <w:rPr>
          <w:rFonts w:eastAsiaTheme="minorEastAsia"/>
          <w:bCs/>
        </w:rPr>
        <w:t xml:space="preserve"> and</w:t>
      </w:r>
      <w:r w:rsidR="001E7442">
        <w:rPr>
          <w:rFonts w:eastAsiaTheme="minorEastAsia"/>
          <w:bCs/>
        </w:rPr>
        <w:t xml:space="preserve"> </w:t>
      </w:r>
      <w:r w:rsidR="006655AB">
        <w:rPr>
          <w:rFonts w:eastAsiaTheme="minorEastAsia"/>
          <w:bCs/>
        </w:rPr>
        <w:t>sample type</w:t>
      </w:r>
      <w:r w:rsidR="002B21CC">
        <w:rPr>
          <w:rFonts w:eastAsiaTheme="minorEastAsia"/>
          <w:bCs/>
        </w:rPr>
        <w:t>,</w:t>
      </w:r>
      <w:r w:rsidR="001D63F1">
        <w:rPr>
          <w:rFonts w:eastAsiaTheme="minorEastAsia"/>
          <w:bCs/>
        </w:rPr>
        <w:t xml:space="preserve"> on the precision and accuracy of the two PHXRF devices are presented. </w:t>
      </w:r>
      <w:r w:rsidR="00F65E9D">
        <w:rPr>
          <w:rFonts w:eastAsiaTheme="minorEastAsia"/>
          <w:bCs/>
        </w:rPr>
        <w:t>The effects of scan durations are presented only for the S1 Titan, whereas the effects of all other independent variables are presented for both the S1 Titan and the Niton XL3t.</w:t>
      </w:r>
      <w:r w:rsidR="001E7442">
        <w:rPr>
          <w:rFonts w:eastAsiaTheme="minorEastAsia"/>
          <w:bCs/>
        </w:rPr>
        <w:t xml:space="preserve"> Accuracy of the PHXRF measurements is the primary focus of this research. While precision of the devices is importan</w:t>
      </w:r>
      <w:r w:rsidR="003536FA">
        <w:rPr>
          <w:rFonts w:eastAsiaTheme="minorEastAsia"/>
          <w:bCs/>
        </w:rPr>
        <w:t xml:space="preserve">t, it will only be elaborated </w:t>
      </w:r>
      <w:r w:rsidR="001E7442">
        <w:rPr>
          <w:rFonts w:eastAsiaTheme="minorEastAsia"/>
          <w:bCs/>
        </w:rPr>
        <w:t>on in cases where it affects the overall accuracy.</w:t>
      </w:r>
    </w:p>
    <w:p w14:paraId="56D0284A" w14:textId="77777777" w:rsidR="00037342" w:rsidRDefault="00037342" w:rsidP="00754B11">
      <w:pPr>
        <w:jc w:val="both"/>
        <w:rPr>
          <w:rFonts w:eastAsiaTheme="minorEastAsia"/>
          <w:bCs/>
        </w:rPr>
      </w:pPr>
    </w:p>
    <w:p w14:paraId="7891E68A" w14:textId="46E81FB3" w:rsidR="006D0AA5" w:rsidRDefault="00037342" w:rsidP="005D2546">
      <w:pPr>
        <w:jc w:val="both"/>
        <w:rPr>
          <w:rFonts w:eastAsiaTheme="minorEastAsia"/>
          <w:b/>
        </w:rPr>
      </w:pPr>
      <w:r w:rsidRPr="00037342">
        <w:rPr>
          <w:rFonts w:eastAsiaTheme="minorEastAsia"/>
          <w:b/>
        </w:rPr>
        <w:tab/>
        <w:t>4.2.1 Scan Duration</w:t>
      </w:r>
      <w:r w:rsidR="00127BBF">
        <w:rPr>
          <w:rFonts w:eastAsiaTheme="minorEastAsia"/>
          <w:b/>
        </w:rPr>
        <w:t>s</w:t>
      </w:r>
    </w:p>
    <w:p w14:paraId="4FCFCD5F" w14:textId="61B9482F" w:rsidR="00741E00" w:rsidRDefault="0017057B" w:rsidP="007274D6">
      <w:pPr>
        <w:ind w:left="720" w:firstLine="720"/>
        <w:jc w:val="both"/>
        <w:rPr>
          <w:rFonts w:eastAsiaTheme="minorEastAsia"/>
          <w:bCs/>
        </w:rPr>
      </w:pPr>
      <w:r>
        <w:rPr>
          <w:rFonts w:eastAsiaTheme="minorEastAsia"/>
          <w:bCs/>
        </w:rPr>
        <w:t>S</w:t>
      </w:r>
      <w:r w:rsidR="001C43E6">
        <w:rPr>
          <w:rFonts w:eastAsiaTheme="minorEastAsia"/>
          <w:bCs/>
        </w:rPr>
        <w:t>c</w:t>
      </w:r>
      <w:r w:rsidR="00D94FB3">
        <w:rPr>
          <w:rFonts w:eastAsiaTheme="minorEastAsia"/>
          <w:bCs/>
        </w:rPr>
        <w:t xml:space="preserve">an durations </w:t>
      </w:r>
      <w:r w:rsidR="00902658">
        <w:rPr>
          <w:rFonts w:eastAsiaTheme="minorEastAsia"/>
          <w:bCs/>
        </w:rPr>
        <w:t xml:space="preserve">are found to </w:t>
      </w:r>
      <w:r w:rsidR="00D94FB3">
        <w:rPr>
          <w:rFonts w:eastAsiaTheme="minorEastAsia"/>
          <w:bCs/>
        </w:rPr>
        <w:t>have</w:t>
      </w:r>
      <w:r w:rsidR="001C43E6">
        <w:rPr>
          <w:rFonts w:eastAsiaTheme="minorEastAsia"/>
          <w:bCs/>
        </w:rPr>
        <w:t xml:space="preserve"> </w:t>
      </w:r>
      <w:r>
        <w:rPr>
          <w:rFonts w:eastAsiaTheme="minorEastAsia"/>
          <w:bCs/>
        </w:rPr>
        <w:t>very little effect</w:t>
      </w:r>
      <w:r w:rsidR="001C43E6">
        <w:rPr>
          <w:rFonts w:eastAsiaTheme="minorEastAsia"/>
          <w:bCs/>
        </w:rPr>
        <w:t xml:space="preserve"> </w:t>
      </w:r>
      <w:r>
        <w:rPr>
          <w:rFonts w:eastAsiaTheme="minorEastAsia"/>
          <w:bCs/>
        </w:rPr>
        <w:t xml:space="preserve">on </w:t>
      </w:r>
      <w:r w:rsidR="002B445A">
        <w:rPr>
          <w:rFonts w:eastAsiaTheme="minorEastAsia"/>
          <w:bCs/>
        </w:rPr>
        <w:t xml:space="preserve">the </w:t>
      </w:r>
      <m:oMath>
        <m:r>
          <w:rPr>
            <w:rFonts w:ascii="Cambria Math" w:hAnsi="Cambria Math"/>
          </w:rPr>
          <m:t>SC</m:t>
        </m:r>
      </m:oMath>
      <w:r w:rsidR="00D94FB3">
        <w:rPr>
          <w:rFonts w:eastAsiaTheme="minorEastAsia"/>
          <w:bCs/>
        </w:rPr>
        <w:t xml:space="preserve"> measurements</w:t>
      </w:r>
      <w:r w:rsidR="00FC164C">
        <w:rPr>
          <w:rFonts w:eastAsiaTheme="minorEastAsia"/>
          <w:bCs/>
        </w:rPr>
        <w:t xml:space="preserve"> for</w:t>
      </w:r>
      <w:r>
        <w:rPr>
          <w:rFonts w:eastAsiaTheme="minorEastAsia"/>
          <w:bCs/>
        </w:rPr>
        <w:t xml:space="preserve"> the S1 Titan</w:t>
      </w:r>
      <w:r w:rsidR="00D94FB3">
        <w:rPr>
          <w:rFonts w:eastAsiaTheme="minorEastAsia"/>
          <w:bCs/>
        </w:rPr>
        <w:t xml:space="preserve">. Though longer scan durations </w:t>
      </w:r>
      <w:r w:rsidR="00902658">
        <w:rPr>
          <w:rFonts w:eastAsiaTheme="minorEastAsia"/>
          <w:bCs/>
        </w:rPr>
        <w:t xml:space="preserve">do </w:t>
      </w:r>
      <w:r>
        <w:rPr>
          <w:rFonts w:eastAsiaTheme="minorEastAsia"/>
          <w:bCs/>
        </w:rPr>
        <w:t xml:space="preserve">tend to decrease </w:t>
      </w:r>
      <w:r w:rsidR="00645190">
        <w:rPr>
          <w:rFonts w:eastAsiaTheme="minorEastAsia"/>
          <w:bCs/>
        </w:rPr>
        <w:t>STDEV</w:t>
      </w:r>
      <w:r w:rsidR="00512349">
        <w:rPr>
          <w:rFonts w:eastAsiaTheme="minorEastAsia"/>
          <w:bCs/>
        </w:rPr>
        <w:t xml:space="preserve"> and </w:t>
      </w:r>
      <w:r w:rsidR="00512349">
        <w:rPr>
          <w:rFonts w:eastAsiaTheme="minorEastAsia"/>
          <w:bCs/>
        </w:rPr>
        <w:lastRenderedPageBreak/>
        <w:t xml:space="preserve">increase </w:t>
      </w:r>
      <w:r w:rsidR="00645190">
        <w:rPr>
          <w:rFonts w:eastAsiaTheme="minorEastAsia"/>
          <w:bCs/>
        </w:rPr>
        <w:t>RMSD</w:t>
      </w:r>
      <w:r w:rsidR="00FC164C">
        <w:rPr>
          <w:rFonts w:eastAsiaTheme="minorEastAsia"/>
          <w:bCs/>
        </w:rPr>
        <w:t xml:space="preserve">, the lack of variability in the </w:t>
      </w:r>
      <w:r w:rsidR="00C90B29">
        <w:rPr>
          <w:rFonts w:eastAsiaTheme="minorEastAsia"/>
          <w:bCs/>
        </w:rPr>
        <w:t>COV</w:t>
      </w:r>
      <w:r w:rsidR="00C90B29">
        <w:rPr>
          <w:rFonts w:eastAsiaTheme="minorEastAsia"/>
          <w:bCs/>
          <w:vertAlign w:val="subscript"/>
        </w:rPr>
        <w:t>STDEV</w:t>
      </w:r>
      <w:r w:rsidR="00C90B29">
        <w:rPr>
          <w:rFonts w:eastAsiaTheme="minorEastAsia"/>
          <w:bCs/>
        </w:rPr>
        <w:t xml:space="preserve"> and COV</w:t>
      </w:r>
      <w:r w:rsidR="00C90B29">
        <w:rPr>
          <w:rFonts w:eastAsiaTheme="minorEastAsia"/>
          <w:bCs/>
          <w:vertAlign w:val="subscript"/>
        </w:rPr>
        <w:t>RMSD</w:t>
      </w:r>
      <w:r w:rsidR="00C90B29">
        <w:rPr>
          <w:rFonts w:eastAsiaTheme="minorEastAsia"/>
          <w:bCs/>
        </w:rPr>
        <w:t xml:space="preserve"> </w:t>
      </w:r>
      <w:r w:rsidR="00FC164C">
        <w:rPr>
          <w:rFonts w:eastAsiaTheme="minorEastAsia"/>
          <w:bCs/>
        </w:rPr>
        <w:t xml:space="preserve">prove </w:t>
      </w:r>
      <w:r w:rsidR="00C90B29">
        <w:rPr>
          <w:rFonts w:eastAsiaTheme="minorEastAsia"/>
          <w:bCs/>
        </w:rPr>
        <w:t xml:space="preserve">that these differences are </w:t>
      </w:r>
      <w:r w:rsidR="007274D6">
        <w:rPr>
          <w:rFonts w:eastAsiaTheme="minorEastAsia"/>
          <w:bCs/>
        </w:rPr>
        <w:t>insignificant</w:t>
      </w:r>
      <w:r>
        <w:rPr>
          <w:rFonts w:eastAsiaTheme="minorEastAsia"/>
          <w:bCs/>
        </w:rPr>
        <w:t xml:space="preserve">. </w:t>
      </w:r>
    </w:p>
    <w:p w14:paraId="654F890D" w14:textId="6072EA9B" w:rsidR="00D02ED3" w:rsidRDefault="007274D6" w:rsidP="003536FA">
      <w:pPr>
        <w:ind w:left="720" w:firstLine="720"/>
        <w:jc w:val="both"/>
        <w:rPr>
          <w:rFonts w:eastAsiaTheme="minorEastAsia"/>
          <w:bCs/>
        </w:rPr>
      </w:pPr>
      <w:r>
        <w:rPr>
          <w:rFonts w:eastAsiaTheme="minorEastAsia"/>
          <w:bCs/>
        </w:rPr>
        <w:t xml:space="preserve">The results of the scan duration analysis for OHC samples are presented in </w:t>
      </w:r>
      <w:r>
        <w:rPr>
          <w:rFonts w:eastAsiaTheme="minorEastAsia"/>
          <w:bCs/>
        </w:rPr>
        <w:fldChar w:fldCharType="begin"/>
      </w:r>
      <w:r>
        <w:rPr>
          <w:rFonts w:eastAsiaTheme="minorEastAsia"/>
          <w:bCs/>
        </w:rPr>
        <w:instrText xml:space="preserve"> REF _Ref446435687 \h </w:instrText>
      </w:r>
      <w:r>
        <w:rPr>
          <w:rFonts w:eastAsiaTheme="minorEastAsia"/>
          <w:bCs/>
        </w:rPr>
      </w:r>
      <w:r>
        <w:rPr>
          <w:rFonts w:eastAsiaTheme="minorEastAsia"/>
          <w:bCs/>
        </w:rPr>
        <w:fldChar w:fldCharType="separate"/>
      </w:r>
      <w:r w:rsidR="00E90148">
        <w:t xml:space="preserve">Table </w:t>
      </w:r>
      <w:r w:rsidR="00E90148">
        <w:rPr>
          <w:noProof/>
        </w:rPr>
        <w:t>6</w:t>
      </w:r>
      <w:r>
        <w:rPr>
          <w:rFonts w:eastAsiaTheme="minorEastAsia"/>
          <w:bCs/>
        </w:rPr>
        <w:fldChar w:fldCharType="end"/>
      </w:r>
      <w:r>
        <w:rPr>
          <w:rFonts w:eastAsiaTheme="minorEastAsia"/>
          <w:bCs/>
        </w:rPr>
        <w:t>.</w:t>
      </w:r>
      <w:r w:rsidR="004877B2">
        <w:rPr>
          <w:rFonts w:eastAsiaTheme="minorEastAsia"/>
          <w:bCs/>
        </w:rPr>
        <w:t xml:space="preserve"> The insignificance of the variability in STDEV and RMSD can best be </w:t>
      </w:r>
      <w:r w:rsidR="00BF2A18">
        <w:rPr>
          <w:rFonts w:eastAsiaTheme="minorEastAsia"/>
          <w:bCs/>
        </w:rPr>
        <w:t>explained</w:t>
      </w:r>
      <w:r w:rsidR="004877B2">
        <w:rPr>
          <w:rFonts w:eastAsiaTheme="minorEastAsia"/>
          <w:bCs/>
        </w:rPr>
        <w:t xml:space="preserve"> through an example.</w:t>
      </w:r>
      <w:r w:rsidR="003F2AC8">
        <w:rPr>
          <w:rFonts w:eastAsiaTheme="minorEastAsia"/>
          <w:bCs/>
        </w:rPr>
        <w:t xml:space="preserve"> </w:t>
      </w:r>
      <w:r w:rsidR="004877B2">
        <w:rPr>
          <w:rFonts w:eastAsiaTheme="minorEastAsia"/>
          <w:bCs/>
        </w:rPr>
        <w:t xml:space="preserve">If the mean value of a series of </w:t>
      </w:r>
      <m:oMath>
        <m:r>
          <w:rPr>
            <w:rFonts w:ascii="Cambria Math" w:eastAsiaTheme="minorEastAsia" w:hAnsi="Cambria Math"/>
          </w:rPr>
          <m:t>SC</m:t>
        </m:r>
      </m:oMath>
      <w:r w:rsidR="00D02ED3">
        <w:rPr>
          <w:rFonts w:eastAsiaTheme="minorEastAsia"/>
          <w:bCs/>
        </w:rPr>
        <w:t xml:space="preserve"> measurements i</w:t>
      </w:r>
      <w:r w:rsidR="004877B2">
        <w:rPr>
          <w:rFonts w:eastAsiaTheme="minorEastAsia"/>
          <w:bCs/>
        </w:rPr>
        <w:t>s 21.983%, then scanning the samples for 60 seconds (30 - 30)</w:t>
      </w:r>
      <w:r w:rsidR="003F2AC8">
        <w:rPr>
          <w:rFonts w:eastAsiaTheme="minorEastAsia"/>
          <w:bCs/>
        </w:rPr>
        <w:t xml:space="preserve"> or 135 seconds (15 - 120)</w:t>
      </w:r>
      <w:r w:rsidR="004877B2">
        <w:rPr>
          <w:rFonts w:eastAsiaTheme="minorEastAsia"/>
          <w:bCs/>
        </w:rPr>
        <w:t xml:space="preserve"> would </w:t>
      </w:r>
      <w:r w:rsidR="003F2AC8">
        <w:rPr>
          <w:rFonts w:eastAsiaTheme="minorEastAsia"/>
          <w:bCs/>
        </w:rPr>
        <w:t xml:space="preserve">yield measurements of 21.983 </w:t>
      </w:r>
      <w:r w:rsidR="003F2AC8">
        <w:rPr>
          <w:rFonts w:eastAsiaTheme="minorEastAsia" w:cs="Times New Roman"/>
          <w:bCs/>
        </w:rPr>
        <w:t>± 0.039% or 21.983 ± 0.021%, respectively. There is very</w:t>
      </w:r>
      <w:r w:rsidR="00BF2A18">
        <w:rPr>
          <w:rFonts w:eastAsiaTheme="minorEastAsia" w:cs="Times New Roman"/>
          <w:bCs/>
        </w:rPr>
        <w:t xml:space="preserve"> little difference between these two values. This</w:t>
      </w:r>
      <w:r w:rsidR="003F2AC8">
        <w:rPr>
          <w:rFonts w:eastAsiaTheme="minorEastAsia" w:cs="Times New Roman"/>
          <w:bCs/>
        </w:rPr>
        <w:t xml:space="preserve"> suggests that longer scan durations are inefficient because they yield no appreciable improvement in measurement repeatability.</w:t>
      </w:r>
      <w:r w:rsidR="00D02ED3">
        <w:rPr>
          <w:rFonts w:eastAsiaTheme="minorEastAsia" w:cs="Times New Roman"/>
          <w:bCs/>
        </w:rPr>
        <w:t xml:space="preserve"> A</w:t>
      </w:r>
      <w:r w:rsidR="00BF2A18">
        <w:rPr>
          <w:rFonts w:eastAsiaTheme="minorEastAsia" w:cs="Times New Roman"/>
          <w:bCs/>
        </w:rPr>
        <w:t>ll observed scan durations in this research</w:t>
      </w:r>
      <w:r w:rsidR="00D02ED3">
        <w:rPr>
          <w:rFonts w:eastAsiaTheme="minorEastAsia" w:cs="Times New Roman"/>
          <w:bCs/>
        </w:rPr>
        <w:t>, regardless of length,</w:t>
      </w:r>
      <w:r w:rsidR="00BF2A18">
        <w:rPr>
          <w:rFonts w:eastAsiaTheme="minorEastAsia" w:cs="Times New Roman"/>
          <w:bCs/>
        </w:rPr>
        <w:t xml:space="preserve"> produced remarkably repeatable results, which </w:t>
      </w:r>
      <w:r w:rsidR="003536FA">
        <w:rPr>
          <w:rFonts w:eastAsiaTheme="minorEastAsia" w:cs="Times New Roman"/>
          <w:bCs/>
        </w:rPr>
        <w:t xml:space="preserve">is indicated by </w:t>
      </w:r>
      <w:r w:rsidR="00BF2A18">
        <w:rPr>
          <w:rFonts w:eastAsiaTheme="minorEastAsia" w:cs="Times New Roman"/>
          <w:bCs/>
        </w:rPr>
        <w:t xml:space="preserve">the low </w:t>
      </w:r>
      <w:r w:rsidR="00BF2A18">
        <w:rPr>
          <w:rFonts w:eastAsiaTheme="minorEastAsia"/>
          <w:bCs/>
        </w:rPr>
        <w:t>COV</w:t>
      </w:r>
      <w:r w:rsidR="00BF2A18">
        <w:rPr>
          <w:rFonts w:eastAsiaTheme="minorEastAsia"/>
          <w:bCs/>
          <w:vertAlign w:val="subscript"/>
        </w:rPr>
        <w:t>STDEV</w:t>
      </w:r>
      <w:r w:rsidR="00D02ED3">
        <w:rPr>
          <w:rFonts w:eastAsiaTheme="minorEastAsia" w:cs="Times New Roman"/>
          <w:bCs/>
        </w:rPr>
        <w:t>.</w:t>
      </w:r>
      <w:r w:rsidR="003F2AC8">
        <w:rPr>
          <w:rFonts w:eastAsiaTheme="minorEastAsia" w:cs="Times New Roman"/>
          <w:bCs/>
        </w:rPr>
        <w:t xml:space="preserve"> </w:t>
      </w:r>
      <w:r w:rsidR="007F7048">
        <w:rPr>
          <w:rFonts w:eastAsiaTheme="minorEastAsia" w:cs="Times New Roman"/>
          <w:bCs/>
        </w:rPr>
        <w:t xml:space="preserve">Therefore, lengthening scan durations is unnecessary. </w:t>
      </w:r>
      <w:r w:rsidR="00D02ED3">
        <w:rPr>
          <w:rFonts w:eastAsiaTheme="minorEastAsia" w:cs="Times New Roman"/>
          <w:bCs/>
        </w:rPr>
        <w:t xml:space="preserve">Similar conclusions are drawn about accuracy via RMSD. For example, if the true </w:t>
      </w:r>
      <m:oMath>
        <m:r>
          <w:rPr>
            <w:rFonts w:ascii="Cambria Math" w:eastAsiaTheme="minorEastAsia" w:hAnsi="Cambria Math" w:cs="Times New Roman"/>
          </w:rPr>
          <m:t>SC</m:t>
        </m:r>
      </m:oMath>
      <w:r w:rsidR="00D02ED3">
        <w:rPr>
          <w:rFonts w:eastAsiaTheme="minorEastAsia" w:cs="Times New Roman"/>
          <w:bCs/>
        </w:rPr>
        <w:t xml:space="preserve"> of a sample is 22.456%, then scanning the samples for 60 seconds (30 - 30) or 135 seconds (15 - 120) would produce a measurements of 22.456 ± 0.850% or 22.456 ± 0.876%. These changes are miniscule and, in this case, detrimental to PHXRF accuracy. </w:t>
      </w:r>
    </w:p>
    <w:p w14:paraId="5C97E974" w14:textId="77777777" w:rsidR="00BF2A18" w:rsidRDefault="00BF2A18" w:rsidP="00BF2A18">
      <w:pPr>
        <w:ind w:left="720" w:firstLine="720"/>
        <w:jc w:val="both"/>
        <w:rPr>
          <w:rFonts w:eastAsiaTheme="minorEastAsia" w:cs="Times New Roman"/>
          <w:bCs/>
        </w:rPr>
      </w:pPr>
    </w:p>
    <w:p w14:paraId="45337F96" w14:textId="77777777" w:rsidR="00175936" w:rsidRDefault="00175936" w:rsidP="00BF2A18">
      <w:pPr>
        <w:ind w:left="720" w:firstLine="720"/>
        <w:jc w:val="both"/>
        <w:rPr>
          <w:rFonts w:eastAsiaTheme="minorEastAsia" w:cs="Times New Roman"/>
          <w:bCs/>
        </w:rPr>
      </w:pPr>
    </w:p>
    <w:p w14:paraId="63B2657F" w14:textId="77777777" w:rsidR="00175936" w:rsidRDefault="00175936" w:rsidP="00BF2A18">
      <w:pPr>
        <w:ind w:left="720" w:firstLine="720"/>
        <w:jc w:val="both"/>
        <w:rPr>
          <w:rFonts w:eastAsiaTheme="minorEastAsia" w:cs="Times New Roman"/>
          <w:bCs/>
        </w:rPr>
      </w:pPr>
    </w:p>
    <w:p w14:paraId="4DECA854" w14:textId="77777777" w:rsidR="00175936" w:rsidRDefault="00175936" w:rsidP="00BF2A18">
      <w:pPr>
        <w:ind w:left="720" w:firstLine="720"/>
        <w:jc w:val="both"/>
        <w:rPr>
          <w:rFonts w:eastAsiaTheme="minorEastAsia" w:cs="Times New Roman"/>
          <w:bCs/>
        </w:rPr>
      </w:pPr>
    </w:p>
    <w:p w14:paraId="0B028DA3" w14:textId="77777777" w:rsidR="00175936" w:rsidRDefault="00175936" w:rsidP="00BF2A18">
      <w:pPr>
        <w:ind w:left="720" w:firstLine="720"/>
        <w:jc w:val="both"/>
        <w:rPr>
          <w:rFonts w:eastAsiaTheme="minorEastAsia" w:cs="Times New Roman"/>
          <w:bCs/>
        </w:rPr>
      </w:pPr>
    </w:p>
    <w:p w14:paraId="3F1B0CB5" w14:textId="77777777" w:rsidR="00BF2A18" w:rsidRDefault="00BF2A18" w:rsidP="00BF2A18">
      <w:pPr>
        <w:pStyle w:val="Caption"/>
        <w:spacing w:line="480" w:lineRule="auto"/>
        <w:ind w:left="1080" w:right="936"/>
      </w:pPr>
      <w:bookmarkStart w:id="54" w:name="_Ref446435687"/>
      <w:bookmarkStart w:id="55" w:name="_Toc447755326"/>
      <w:r>
        <w:lastRenderedPageBreak/>
        <w:t xml:space="preserve">Table </w:t>
      </w:r>
      <w:r w:rsidR="00184FC2">
        <w:fldChar w:fldCharType="begin"/>
      </w:r>
      <w:r w:rsidR="00184FC2">
        <w:instrText xml:space="preserve"> SEQ Table \* ARABIC </w:instrText>
      </w:r>
      <w:r w:rsidR="00184FC2">
        <w:fldChar w:fldCharType="separate"/>
      </w:r>
      <w:r w:rsidR="00E90148">
        <w:rPr>
          <w:noProof/>
        </w:rPr>
        <w:t>6</w:t>
      </w:r>
      <w:r w:rsidR="00184FC2">
        <w:rPr>
          <w:noProof/>
        </w:rPr>
        <w:fldChar w:fldCharType="end"/>
      </w:r>
      <w:bookmarkEnd w:id="54"/>
      <w:r>
        <w:t>: Effects of Scan Duration on STDEV, COV</w:t>
      </w:r>
      <w:r>
        <w:rPr>
          <w:vertAlign w:val="subscript"/>
        </w:rPr>
        <w:t>STDEV</w:t>
      </w:r>
      <w:r>
        <w:t>, RMSD, and COV</w:t>
      </w:r>
      <w:r>
        <w:rPr>
          <w:vertAlign w:val="subscript"/>
        </w:rPr>
        <w:t>RMSD</w:t>
      </w:r>
      <w:r>
        <w:t xml:space="preserve"> for OHC Samples</w:t>
      </w:r>
      <w:bookmarkEnd w:id="55"/>
      <w:r>
        <w:t xml:space="preserve"> </w:t>
      </w:r>
    </w:p>
    <w:tbl>
      <w:tblPr>
        <w:tblW w:w="7632" w:type="dxa"/>
        <w:jc w:val="center"/>
        <w:tblLook w:val="04A0" w:firstRow="1" w:lastRow="0" w:firstColumn="1" w:lastColumn="0" w:noHBand="0" w:noVBand="1"/>
      </w:tblPr>
      <w:tblGrid>
        <w:gridCol w:w="2304"/>
        <w:gridCol w:w="720"/>
        <w:gridCol w:w="1152"/>
        <w:gridCol w:w="1152"/>
        <w:gridCol w:w="1152"/>
        <w:gridCol w:w="1152"/>
      </w:tblGrid>
      <w:tr w:rsidR="00BF2A18" w:rsidRPr="003C559A" w14:paraId="665F9CB6" w14:textId="77777777" w:rsidTr="00BF2A18">
        <w:trPr>
          <w:trHeight w:val="600"/>
          <w:jc w:val="center"/>
        </w:trPr>
        <w:tc>
          <w:tcPr>
            <w:tcW w:w="2304" w:type="dxa"/>
            <w:tcBorders>
              <w:top w:val="single" w:sz="4" w:space="0" w:color="auto"/>
              <w:left w:val="single" w:sz="4" w:space="0" w:color="auto"/>
              <w:bottom w:val="single" w:sz="4" w:space="0" w:color="auto"/>
            </w:tcBorders>
            <w:shd w:val="clear" w:color="000000" w:fill="BFBFBF"/>
            <w:vAlign w:val="center"/>
            <w:hideMark/>
          </w:tcPr>
          <w:p w14:paraId="0BC3433D" w14:textId="77777777" w:rsidR="00BF2A18" w:rsidRPr="003C559A" w:rsidRDefault="00BF2A18" w:rsidP="00BF2A18">
            <w:pPr>
              <w:spacing w:line="240" w:lineRule="auto"/>
              <w:rPr>
                <w:rFonts w:eastAsia="Times New Roman" w:cs="Times New Roman"/>
                <w:i/>
                <w:iCs/>
                <w:color w:val="000000"/>
                <w:sz w:val="22"/>
                <w:szCs w:val="22"/>
              </w:rPr>
            </w:pPr>
            <w:r w:rsidRPr="003C559A">
              <w:rPr>
                <w:rFonts w:eastAsia="Times New Roman" w:cs="Times New Roman"/>
                <w:i/>
                <w:iCs/>
                <w:color w:val="000000"/>
                <w:sz w:val="22"/>
                <w:szCs w:val="22"/>
              </w:rPr>
              <w:t>Scan Duration</w:t>
            </w:r>
            <w:r>
              <w:rPr>
                <w:rFonts w:eastAsia="Times New Roman" w:cs="Times New Roman"/>
                <w:i/>
                <w:iCs/>
                <w:color w:val="000000"/>
                <w:sz w:val="22"/>
                <w:szCs w:val="22"/>
              </w:rPr>
              <w:t>s</w:t>
            </w:r>
            <w:r w:rsidRPr="003C559A">
              <w:rPr>
                <w:rFonts w:eastAsia="Times New Roman" w:cs="Times New Roman"/>
                <w:i/>
                <w:iCs/>
                <w:color w:val="000000"/>
                <w:sz w:val="22"/>
                <w:szCs w:val="22"/>
              </w:rPr>
              <w:t xml:space="preserve">         </w:t>
            </w:r>
            <w:r>
              <w:rPr>
                <w:rFonts w:eastAsia="Times New Roman" w:cs="Times New Roman"/>
                <w:i/>
                <w:iCs/>
                <w:color w:val="000000"/>
                <w:sz w:val="22"/>
                <w:szCs w:val="22"/>
              </w:rPr>
              <w:t xml:space="preserve">      sec (Phase I - Phase II)</w:t>
            </w:r>
          </w:p>
        </w:tc>
        <w:tc>
          <w:tcPr>
            <w:tcW w:w="720" w:type="dxa"/>
            <w:tcBorders>
              <w:top w:val="single" w:sz="4" w:space="0" w:color="auto"/>
              <w:bottom w:val="single" w:sz="4" w:space="0" w:color="auto"/>
            </w:tcBorders>
            <w:shd w:val="clear" w:color="000000" w:fill="BFBFBF"/>
            <w:vAlign w:val="center"/>
          </w:tcPr>
          <w:p w14:paraId="5CF73993" w14:textId="77777777" w:rsidR="00BF2A18" w:rsidRDefault="00BF2A18" w:rsidP="00BF2A18">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bottom w:val="single" w:sz="4" w:space="0" w:color="auto"/>
            </w:tcBorders>
            <w:shd w:val="clear" w:color="000000" w:fill="BFBFBF"/>
            <w:vAlign w:val="center"/>
            <w:hideMark/>
          </w:tcPr>
          <w:p w14:paraId="1368A202" w14:textId="77777777" w:rsidR="00BF2A18" w:rsidRDefault="00BF2A18" w:rsidP="00BF2A18">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p>
          <w:p w14:paraId="301BE5E4" w14:textId="77777777" w:rsidR="00BF2A18" w:rsidRPr="003C559A" w:rsidRDefault="00BF2A18" w:rsidP="00BF2A18">
            <w:pPr>
              <w:spacing w:line="240" w:lineRule="auto"/>
              <w:rPr>
                <w:rFonts w:eastAsia="Times New Roman" w:cs="Times New Roman"/>
                <w:i/>
                <w:iCs/>
                <w:color w:val="000000"/>
                <w:sz w:val="22"/>
                <w:szCs w:val="22"/>
              </w:rPr>
            </w:pPr>
            <w:r>
              <w:rPr>
                <w:rFonts w:eastAsia="Times New Roman" w:cs="Times New Roman"/>
                <w:i/>
                <w:iCs/>
                <w:color w:val="000000"/>
                <w:sz w:val="22"/>
                <w:szCs w:val="22"/>
              </w:rPr>
              <w:t>%</w:t>
            </w:r>
          </w:p>
        </w:tc>
        <w:tc>
          <w:tcPr>
            <w:tcW w:w="1152" w:type="dxa"/>
            <w:tcBorders>
              <w:top w:val="single" w:sz="4" w:space="0" w:color="auto"/>
              <w:bottom w:val="single" w:sz="4" w:space="0" w:color="auto"/>
            </w:tcBorders>
            <w:shd w:val="clear" w:color="000000" w:fill="BFBFBF"/>
            <w:vAlign w:val="center"/>
          </w:tcPr>
          <w:p w14:paraId="394F3A63" w14:textId="77777777" w:rsidR="00BF2A18" w:rsidRPr="003C559A" w:rsidRDefault="00BF2A18" w:rsidP="00BF2A18">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p>
        </w:tc>
        <w:tc>
          <w:tcPr>
            <w:tcW w:w="1152" w:type="dxa"/>
            <w:tcBorders>
              <w:top w:val="single" w:sz="4" w:space="0" w:color="auto"/>
              <w:bottom w:val="single" w:sz="4" w:space="0" w:color="auto"/>
            </w:tcBorders>
            <w:shd w:val="clear" w:color="000000" w:fill="BFBFBF"/>
            <w:vAlign w:val="center"/>
            <w:hideMark/>
          </w:tcPr>
          <w:p w14:paraId="2F7FCAA6" w14:textId="77777777" w:rsidR="00BF2A18" w:rsidRPr="003C559A" w:rsidRDefault="00BF2A18" w:rsidP="00BF2A18">
            <w:pPr>
              <w:spacing w:line="240" w:lineRule="auto"/>
              <w:rPr>
                <w:rFonts w:eastAsia="Times New Roman" w:cs="Times New Roman"/>
                <w:i/>
                <w:iCs/>
                <w:color w:val="000000"/>
                <w:sz w:val="22"/>
                <w:szCs w:val="22"/>
              </w:rPr>
            </w:pPr>
            <w:r w:rsidRPr="003C559A">
              <w:rPr>
                <w:rFonts w:eastAsia="Times New Roman" w:cs="Times New Roman"/>
                <w:i/>
                <w:iCs/>
                <w:color w:val="000000"/>
                <w:sz w:val="22"/>
                <w:szCs w:val="22"/>
              </w:rPr>
              <w:t xml:space="preserve">RMSD </w:t>
            </w:r>
            <w:r>
              <w:rPr>
                <w:rFonts w:eastAsia="Times New Roman" w:cs="Times New Roman"/>
                <w:i/>
                <w:iCs/>
                <w:color w:val="000000"/>
                <w:sz w:val="22"/>
                <w:szCs w:val="22"/>
              </w:rPr>
              <w:t xml:space="preserve">           %</w:t>
            </w:r>
          </w:p>
        </w:tc>
        <w:tc>
          <w:tcPr>
            <w:tcW w:w="1152" w:type="dxa"/>
            <w:tcBorders>
              <w:top w:val="single" w:sz="4" w:space="0" w:color="auto"/>
              <w:bottom w:val="single" w:sz="4" w:space="0" w:color="auto"/>
              <w:right w:val="single" w:sz="4" w:space="0" w:color="auto"/>
            </w:tcBorders>
            <w:shd w:val="clear" w:color="000000" w:fill="BFBFBF"/>
            <w:vAlign w:val="center"/>
          </w:tcPr>
          <w:p w14:paraId="548DFE3F" w14:textId="77777777" w:rsidR="00BF2A18" w:rsidRPr="003C559A" w:rsidRDefault="00BF2A18" w:rsidP="00BF2A18">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p>
        </w:tc>
      </w:tr>
      <w:tr w:rsidR="00BF2A18" w:rsidRPr="003C559A" w14:paraId="54DD5DBA" w14:textId="77777777" w:rsidTr="00BF2A18">
        <w:trPr>
          <w:trHeight w:val="300"/>
          <w:jc w:val="center"/>
        </w:trPr>
        <w:tc>
          <w:tcPr>
            <w:tcW w:w="2304" w:type="dxa"/>
            <w:tcBorders>
              <w:top w:val="single" w:sz="4" w:space="0" w:color="auto"/>
              <w:left w:val="single" w:sz="4" w:space="0" w:color="auto"/>
              <w:bottom w:val="nil"/>
            </w:tcBorders>
            <w:shd w:val="clear" w:color="000000" w:fill="FFFFFF"/>
            <w:noWrap/>
            <w:vAlign w:val="center"/>
            <w:hideMark/>
          </w:tcPr>
          <w:p w14:paraId="7D0BEC8C"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60 (30-30)</w:t>
            </w:r>
          </w:p>
        </w:tc>
        <w:tc>
          <w:tcPr>
            <w:tcW w:w="720" w:type="dxa"/>
            <w:tcBorders>
              <w:top w:val="single" w:sz="4" w:space="0" w:color="auto"/>
              <w:left w:val="nil"/>
              <w:bottom w:val="nil"/>
              <w:right w:val="dashed" w:sz="4" w:space="0" w:color="auto"/>
            </w:tcBorders>
            <w:shd w:val="clear" w:color="000000" w:fill="FFFFFF"/>
            <w:vAlign w:val="center"/>
          </w:tcPr>
          <w:p w14:paraId="4D7EAF6B" w14:textId="77777777" w:rsidR="00BF2A18"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270</w:t>
            </w:r>
          </w:p>
        </w:tc>
        <w:tc>
          <w:tcPr>
            <w:tcW w:w="1152" w:type="dxa"/>
            <w:tcBorders>
              <w:top w:val="single" w:sz="4" w:space="0" w:color="auto"/>
              <w:left w:val="dashed" w:sz="4" w:space="0" w:color="auto"/>
              <w:bottom w:val="nil"/>
            </w:tcBorders>
            <w:shd w:val="clear" w:color="000000" w:fill="FFFFFF"/>
            <w:noWrap/>
            <w:vAlign w:val="center"/>
            <w:hideMark/>
          </w:tcPr>
          <w:p w14:paraId="101C7FC1"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0.039</w:t>
            </w:r>
          </w:p>
        </w:tc>
        <w:tc>
          <w:tcPr>
            <w:tcW w:w="1152" w:type="dxa"/>
            <w:tcBorders>
              <w:top w:val="single" w:sz="4" w:space="0" w:color="auto"/>
              <w:bottom w:val="nil"/>
              <w:right w:val="dashed" w:sz="4" w:space="0" w:color="auto"/>
            </w:tcBorders>
            <w:shd w:val="clear" w:color="000000" w:fill="FFFFFF"/>
            <w:vAlign w:val="center"/>
          </w:tcPr>
          <w:p w14:paraId="305DC776"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0.002</w:t>
            </w:r>
          </w:p>
        </w:tc>
        <w:tc>
          <w:tcPr>
            <w:tcW w:w="1152" w:type="dxa"/>
            <w:tcBorders>
              <w:top w:val="single" w:sz="4" w:space="0" w:color="auto"/>
              <w:left w:val="dashed" w:sz="4" w:space="0" w:color="auto"/>
              <w:bottom w:val="nil"/>
            </w:tcBorders>
            <w:shd w:val="clear" w:color="000000" w:fill="FFFFFF"/>
            <w:noWrap/>
            <w:vAlign w:val="center"/>
            <w:hideMark/>
          </w:tcPr>
          <w:p w14:paraId="18B9C420" w14:textId="77777777" w:rsidR="00BF2A18" w:rsidRPr="00E17C6B" w:rsidRDefault="00BF2A18" w:rsidP="00BF2A18">
            <w:pPr>
              <w:spacing w:line="240" w:lineRule="auto"/>
              <w:rPr>
                <w:rFonts w:eastAsia="Times New Roman" w:cs="Times New Roman"/>
                <w:b/>
                <w:bCs/>
                <w:i/>
                <w:iCs/>
                <w:color w:val="000000"/>
                <w:sz w:val="20"/>
                <w:szCs w:val="20"/>
              </w:rPr>
            </w:pPr>
            <w:r w:rsidRPr="00E17C6B">
              <w:rPr>
                <w:rFonts w:eastAsia="Times New Roman" w:cs="Times New Roman"/>
                <w:b/>
                <w:bCs/>
                <w:i/>
                <w:iCs/>
                <w:color w:val="000000"/>
                <w:sz w:val="20"/>
                <w:szCs w:val="20"/>
              </w:rPr>
              <w:t>0.850</w:t>
            </w:r>
          </w:p>
        </w:tc>
        <w:tc>
          <w:tcPr>
            <w:tcW w:w="1152" w:type="dxa"/>
            <w:tcBorders>
              <w:top w:val="single" w:sz="4" w:space="0" w:color="auto"/>
              <w:bottom w:val="nil"/>
              <w:right w:val="single" w:sz="4" w:space="0" w:color="auto"/>
            </w:tcBorders>
            <w:shd w:val="clear" w:color="000000" w:fill="FFFFFF"/>
            <w:vAlign w:val="center"/>
          </w:tcPr>
          <w:p w14:paraId="29A5B354" w14:textId="77777777" w:rsidR="00BF2A18" w:rsidRPr="00050F6A" w:rsidRDefault="00BF2A18" w:rsidP="00BF2A18">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0.069</w:t>
            </w:r>
          </w:p>
        </w:tc>
      </w:tr>
      <w:tr w:rsidR="00BF2A18" w:rsidRPr="003C559A" w14:paraId="2817A994" w14:textId="77777777" w:rsidTr="00BF2A18">
        <w:trPr>
          <w:trHeight w:val="300"/>
          <w:jc w:val="center"/>
        </w:trPr>
        <w:tc>
          <w:tcPr>
            <w:tcW w:w="2304" w:type="dxa"/>
            <w:tcBorders>
              <w:top w:val="nil"/>
              <w:left w:val="single" w:sz="4" w:space="0" w:color="auto"/>
              <w:bottom w:val="nil"/>
            </w:tcBorders>
            <w:shd w:val="clear" w:color="000000" w:fill="F2F2F2"/>
            <w:noWrap/>
            <w:vAlign w:val="center"/>
            <w:hideMark/>
          </w:tcPr>
          <w:p w14:paraId="4B619BF6"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60 (15-</w:t>
            </w:r>
            <w:r w:rsidRPr="003C559A">
              <w:rPr>
                <w:rFonts w:eastAsia="Times New Roman" w:cs="Times New Roman"/>
                <w:i/>
                <w:iCs/>
                <w:color w:val="000000"/>
                <w:sz w:val="20"/>
                <w:szCs w:val="20"/>
              </w:rPr>
              <w:t>45)</w:t>
            </w:r>
          </w:p>
        </w:tc>
        <w:tc>
          <w:tcPr>
            <w:tcW w:w="720" w:type="dxa"/>
            <w:tcBorders>
              <w:top w:val="nil"/>
              <w:left w:val="nil"/>
              <w:bottom w:val="nil"/>
              <w:right w:val="dashed" w:sz="4" w:space="0" w:color="auto"/>
            </w:tcBorders>
            <w:shd w:val="clear" w:color="000000" w:fill="F2F2F2"/>
            <w:vAlign w:val="center"/>
          </w:tcPr>
          <w:p w14:paraId="7AA8FBB7" w14:textId="77777777" w:rsidR="00BF2A18"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270</w:t>
            </w:r>
          </w:p>
        </w:tc>
        <w:tc>
          <w:tcPr>
            <w:tcW w:w="1152" w:type="dxa"/>
            <w:tcBorders>
              <w:top w:val="nil"/>
              <w:left w:val="dashed" w:sz="4" w:space="0" w:color="auto"/>
              <w:bottom w:val="nil"/>
            </w:tcBorders>
            <w:shd w:val="clear" w:color="000000" w:fill="F2F2F2"/>
            <w:noWrap/>
            <w:vAlign w:val="center"/>
            <w:hideMark/>
          </w:tcPr>
          <w:p w14:paraId="3FCD8308"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0.027</w:t>
            </w:r>
          </w:p>
        </w:tc>
        <w:tc>
          <w:tcPr>
            <w:tcW w:w="1152" w:type="dxa"/>
            <w:tcBorders>
              <w:top w:val="nil"/>
              <w:bottom w:val="nil"/>
              <w:right w:val="dashed" w:sz="4" w:space="0" w:color="auto"/>
            </w:tcBorders>
            <w:shd w:val="clear" w:color="000000" w:fill="F2F2F2"/>
            <w:vAlign w:val="center"/>
          </w:tcPr>
          <w:p w14:paraId="4A28A4F2" w14:textId="77777777" w:rsidR="00BF2A18" w:rsidRPr="00050F6A" w:rsidRDefault="00BF2A18" w:rsidP="00BF2A18">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nil"/>
              <w:left w:val="dashed" w:sz="4" w:space="0" w:color="auto"/>
              <w:bottom w:val="nil"/>
            </w:tcBorders>
            <w:shd w:val="clear" w:color="000000" w:fill="F2F2F2"/>
            <w:noWrap/>
            <w:vAlign w:val="center"/>
            <w:hideMark/>
          </w:tcPr>
          <w:p w14:paraId="144CA5FE"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0.851</w:t>
            </w:r>
          </w:p>
        </w:tc>
        <w:tc>
          <w:tcPr>
            <w:tcW w:w="1152" w:type="dxa"/>
            <w:tcBorders>
              <w:top w:val="nil"/>
              <w:bottom w:val="nil"/>
              <w:right w:val="single" w:sz="4" w:space="0" w:color="auto"/>
            </w:tcBorders>
            <w:shd w:val="clear" w:color="000000" w:fill="F2F2F2"/>
            <w:vAlign w:val="center"/>
          </w:tcPr>
          <w:p w14:paraId="5B88BF17" w14:textId="77777777" w:rsidR="00BF2A18" w:rsidRPr="00050F6A" w:rsidRDefault="00BF2A18" w:rsidP="00BF2A18">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0.069</w:t>
            </w:r>
          </w:p>
        </w:tc>
      </w:tr>
      <w:tr w:rsidR="00BF2A18" w:rsidRPr="003C559A" w14:paraId="105A516E" w14:textId="77777777" w:rsidTr="00BF2A18">
        <w:trPr>
          <w:trHeight w:val="300"/>
          <w:jc w:val="center"/>
        </w:trPr>
        <w:tc>
          <w:tcPr>
            <w:tcW w:w="2304" w:type="dxa"/>
            <w:tcBorders>
              <w:top w:val="nil"/>
              <w:left w:val="single" w:sz="4" w:space="0" w:color="auto"/>
              <w:bottom w:val="nil"/>
            </w:tcBorders>
            <w:shd w:val="clear" w:color="000000" w:fill="FFFFFF"/>
            <w:noWrap/>
            <w:vAlign w:val="center"/>
            <w:hideMark/>
          </w:tcPr>
          <w:p w14:paraId="2ED14C89"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75 (15-</w:t>
            </w:r>
            <w:r w:rsidRPr="003C559A">
              <w:rPr>
                <w:rFonts w:eastAsia="Times New Roman" w:cs="Times New Roman"/>
                <w:i/>
                <w:iCs/>
                <w:color w:val="000000"/>
                <w:sz w:val="20"/>
                <w:szCs w:val="20"/>
              </w:rPr>
              <w:t>60)</w:t>
            </w:r>
          </w:p>
        </w:tc>
        <w:tc>
          <w:tcPr>
            <w:tcW w:w="720" w:type="dxa"/>
            <w:tcBorders>
              <w:top w:val="nil"/>
              <w:left w:val="nil"/>
              <w:bottom w:val="nil"/>
              <w:right w:val="dashed" w:sz="4" w:space="0" w:color="auto"/>
            </w:tcBorders>
            <w:shd w:val="clear" w:color="000000" w:fill="FFFFFF"/>
            <w:vAlign w:val="center"/>
          </w:tcPr>
          <w:p w14:paraId="2E71FF55" w14:textId="77777777" w:rsidR="00BF2A18"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270</w:t>
            </w:r>
          </w:p>
        </w:tc>
        <w:tc>
          <w:tcPr>
            <w:tcW w:w="1152" w:type="dxa"/>
            <w:tcBorders>
              <w:top w:val="nil"/>
              <w:left w:val="dashed" w:sz="4" w:space="0" w:color="auto"/>
              <w:bottom w:val="nil"/>
            </w:tcBorders>
            <w:shd w:val="clear" w:color="000000" w:fill="FFFFFF"/>
            <w:noWrap/>
            <w:vAlign w:val="center"/>
            <w:hideMark/>
          </w:tcPr>
          <w:p w14:paraId="665D385E"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0.034</w:t>
            </w:r>
          </w:p>
        </w:tc>
        <w:tc>
          <w:tcPr>
            <w:tcW w:w="1152" w:type="dxa"/>
            <w:tcBorders>
              <w:top w:val="nil"/>
              <w:bottom w:val="nil"/>
              <w:right w:val="dashed" w:sz="4" w:space="0" w:color="auto"/>
            </w:tcBorders>
            <w:shd w:val="clear" w:color="000000" w:fill="FFFFFF"/>
            <w:vAlign w:val="center"/>
          </w:tcPr>
          <w:p w14:paraId="21485BD8" w14:textId="77777777" w:rsidR="00BF2A18" w:rsidRPr="00050F6A" w:rsidRDefault="00BF2A18" w:rsidP="00BF2A18">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nil"/>
              <w:left w:val="dashed" w:sz="4" w:space="0" w:color="auto"/>
              <w:bottom w:val="nil"/>
            </w:tcBorders>
            <w:shd w:val="clear" w:color="000000" w:fill="FFFFFF"/>
            <w:noWrap/>
            <w:vAlign w:val="center"/>
            <w:hideMark/>
          </w:tcPr>
          <w:p w14:paraId="6FF8444F"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0.875</w:t>
            </w:r>
          </w:p>
        </w:tc>
        <w:tc>
          <w:tcPr>
            <w:tcW w:w="1152" w:type="dxa"/>
            <w:tcBorders>
              <w:top w:val="nil"/>
              <w:bottom w:val="nil"/>
              <w:right w:val="single" w:sz="4" w:space="0" w:color="auto"/>
            </w:tcBorders>
            <w:shd w:val="clear" w:color="000000" w:fill="FFFFFF"/>
            <w:vAlign w:val="center"/>
          </w:tcPr>
          <w:p w14:paraId="2261788C" w14:textId="77777777" w:rsidR="00BF2A18" w:rsidRPr="00050F6A" w:rsidRDefault="00BF2A18" w:rsidP="00BF2A18">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0.069</w:t>
            </w:r>
          </w:p>
        </w:tc>
      </w:tr>
      <w:tr w:rsidR="00BF2A18" w:rsidRPr="003C559A" w14:paraId="69BD4C72" w14:textId="77777777" w:rsidTr="00BF2A18">
        <w:trPr>
          <w:trHeight w:val="300"/>
          <w:jc w:val="center"/>
        </w:trPr>
        <w:tc>
          <w:tcPr>
            <w:tcW w:w="2304" w:type="dxa"/>
            <w:tcBorders>
              <w:top w:val="nil"/>
              <w:left w:val="single" w:sz="4" w:space="0" w:color="auto"/>
              <w:bottom w:val="single" w:sz="4" w:space="0" w:color="auto"/>
            </w:tcBorders>
            <w:shd w:val="clear" w:color="000000" w:fill="F2F2F2"/>
            <w:noWrap/>
            <w:vAlign w:val="center"/>
            <w:hideMark/>
          </w:tcPr>
          <w:p w14:paraId="73F28FC5" w14:textId="77777777" w:rsidR="00BF2A18" w:rsidRPr="003C559A" w:rsidRDefault="00BF2A18" w:rsidP="00BF2A18">
            <w:pPr>
              <w:spacing w:line="240" w:lineRule="auto"/>
              <w:rPr>
                <w:rFonts w:eastAsia="Times New Roman" w:cs="Times New Roman"/>
                <w:i/>
                <w:iCs/>
                <w:color w:val="000000"/>
                <w:sz w:val="20"/>
                <w:szCs w:val="20"/>
              </w:rPr>
            </w:pPr>
            <w:r>
              <w:rPr>
                <w:rFonts w:eastAsia="Times New Roman" w:cs="Times New Roman"/>
                <w:i/>
                <w:iCs/>
                <w:color w:val="000000"/>
                <w:sz w:val="20"/>
                <w:szCs w:val="20"/>
              </w:rPr>
              <w:t>135 (15-</w:t>
            </w:r>
            <w:r w:rsidRPr="003C559A">
              <w:rPr>
                <w:rFonts w:eastAsia="Times New Roman" w:cs="Times New Roman"/>
                <w:i/>
                <w:iCs/>
                <w:color w:val="000000"/>
                <w:sz w:val="20"/>
                <w:szCs w:val="20"/>
              </w:rPr>
              <w:t>120)</w:t>
            </w:r>
          </w:p>
        </w:tc>
        <w:tc>
          <w:tcPr>
            <w:tcW w:w="720" w:type="dxa"/>
            <w:tcBorders>
              <w:top w:val="nil"/>
              <w:left w:val="nil"/>
              <w:bottom w:val="single" w:sz="4" w:space="0" w:color="auto"/>
              <w:right w:val="dashed" w:sz="4" w:space="0" w:color="auto"/>
            </w:tcBorders>
            <w:shd w:val="clear" w:color="000000" w:fill="F2F2F2"/>
            <w:vAlign w:val="center"/>
          </w:tcPr>
          <w:p w14:paraId="3B827C37" w14:textId="77777777" w:rsidR="00BF2A18" w:rsidRPr="002F3C4D" w:rsidRDefault="00BF2A18" w:rsidP="00BF2A18">
            <w:pPr>
              <w:spacing w:line="240" w:lineRule="auto"/>
              <w:rPr>
                <w:rFonts w:eastAsia="Times New Roman" w:cs="Times New Roman"/>
                <w:i/>
                <w:iCs/>
                <w:color w:val="000000"/>
                <w:sz w:val="20"/>
                <w:szCs w:val="20"/>
              </w:rPr>
            </w:pPr>
            <w:r w:rsidRPr="002F3C4D">
              <w:rPr>
                <w:rFonts w:eastAsia="Times New Roman" w:cs="Times New Roman"/>
                <w:i/>
                <w:iCs/>
                <w:color w:val="000000"/>
                <w:sz w:val="20"/>
                <w:szCs w:val="20"/>
              </w:rPr>
              <w:t>270</w:t>
            </w:r>
          </w:p>
        </w:tc>
        <w:tc>
          <w:tcPr>
            <w:tcW w:w="1152" w:type="dxa"/>
            <w:tcBorders>
              <w:top w:val="nil"/>
              <w:left w:val="dashed" w:sz="4" w:space="0" w:color="auto"/>
              <w:bottom w:val="single" w:sz="4" w:space="0" w:color="auto"/>
            </w:tcBorders>
            <w:shd w:val="clear" w:color="000000" w:fill="F2F2F2"/>
            <w:noWrap/>
            <w:vAlign w:val="center"/>
            <w:hideMark/>
          </w:tcPr>
          <w:p w14:paraId="17E4295E" w14:textId="77777777" w:rsidR="00BF2A18" w:rsidRPr="003E3AE1" w:rsidRDefault="00BF2A18" w:rsidP="00BF2A18">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0.021</w:t>
            </w:r>
          </w:p>
        </w:tc>
        <w:tc>
          <w:tcPr>
            <w:tcW w:w="1152" w:type="dxa"/>
            <w:tcBorders>
              <w:top w:val="nil"/>
              <w:bottom w:val="single" w:sz="4" w:space="0" w:color="auto"/>
              <w:right w:val="dashed" w:sz="4" w:space="0" w:color="auto"/>
            </w:tcBorders>
            <w:shd w:val="clear" w:color="000000" w:fill="F2F2F2"/>
            <w:vAlign w:val="center"/>
          </w:tcPr>
          <w:p w14:paraId="2713B765" w14:textId="77777777" w:rsidR="00BF2A18" w:rsidRPr="003E3AE1" w:rsidRDefault="00BF2A18" w:rsidP="00BF2A18">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0.001</w:t>
            </w:r>
          </w:p>
        </w:tc>
        <w:tc>
          <w:tcPr>
            <w:tcW w:w="1152" w:type="dxa"/>
            <w:tcBorders>
              <w:top w:val="nil"/>
              <w:left w:val="dashed" w:sz="4" w:space="0" w:color="auto"/>
              <w:bottom w:val="single" w:sz="4" w:space="0" w:color="auto"/>
            </w:tcBorders>
            <w:shd w:val="clear" w:color="000000" w:fill="F2F2F2"/>
            <w:noWrap/>
            <w:vAlign w:val="center"/>
            <w:hideMark/>
          </w:tcPr>
          <w:p w14:paraId="3A6F52AB" w14:textId="77777777" w:rsidR="00BF2A18" w:rsidRPr="00E17C6B" w:rsidRDefault="00BF2A18" w:rsidP="00BF2A18">
            <w:pPr>
              <w:spacing w:line="240" w:lineRule="auto"/>
              <w:rPr>
                <w:rFonts w:eastAsia="Times New Roman" w:cs="Times New Roman"/>
                <w:i/>
                <w:iCs/>
                <w:color w:val="000000"/>
                <w:sz w:val="20"/>
                <w:szCs w:val="20"/>
              </w:rPr>
            </w:pPr>
            <w:r w:rsidRPr="00E17C6B">
              <w:rPr>
                <w:rFonts w:eastAsia="Times New Roman" w:cs="Times New Roman"/>
                <w:i/>
                <w:iCs/>
                <w:color w:val="000000"/>
                <w:sz w:val="20"/>
                <w:szCs w:val="20"/>
              </w:rPr>
              <w:t>0.876</w:t>
            </w:r>
          </w:p>
        </w:tc>
        <w:tc>
          <w:tcPr>
            <w:tcW w:w="1152" w:type="dxa"/>
            <w:tcBorders>
              <w:top w:val="nil"/>
              <w:bottom w:val="single" w:sz="4" w:space="0" w:color="auto"/>
              <w:right w:val="single" w:sz="4" w:space="0" w:color="auto"/>
            </w:tcBorders>
            <w:shd w:val="clear" w:color="000000" w:fill="F2F2F2"/>
            <w:vAlign w:val="center"/>
          </w:tcPr>
          <w:p w14:paraId="5BC32DB4" w14:textId="77777777" w:rsidR="00BF2A18" w:rsidRPr="00E17C6B" w:rsidRDefault="00BF2A18" w:rsidP="00BF2A18">
            <w:pPr>
              <w:spacing w:line="240" w:lineRule="auto"/>
              <w:rPr>
                <w:rFonts w:eastAsia="Times New Roman" w:cs="Times New Roman"/>
                <w:i/>
                <w:iCs/>
                <w:color w:val="000000"/>
                <w:sz w:val="20"/>
                <w:szCs w:val="20"/>
              </w:rPr>
            </w:pPr>
            <w:r w:rsidRPr="00E17C6B">
              <w:rPr>
                <w:rFonts w:eastAsia="Times New Roman" w:cs="Times New Roman"/>
                <w:i/>
                <w:iCs/>
                <w:color w:val="000000"/>
                <w:sz w:val="20"/>
                <w:szCs w:val="20"/>
              </w:rPr>
              <w:t>0.070</w:t>
            </w:r>
          </w:p>
        </w:tc>
      </w:tr>
    </w:tbl>
    <w:p w14:paraId="22E7729C" w14:textId="77777777" w:rsidR="00BF2A18" w:rsidRDefault="00BF2A18" w:rsidP="00BF2A18">
      <w:pPr>
        <w:ind w:left="720" w:firstLine="720"/>
        <w:jc w:val="both"/>
        <w:rPr>
          <w:rFonts w:eastAsiaTheme="minorEastAsia" w:cs="Times New Roman"/>
          <w:bCs/>
        </w:rPr>
      </w:pPr>
    </w:p>
    <w:p w14:paraId="3E7483F8" w14:textId="77777777" w:rsidR="00FD197B" w:rsidRDefault="00FD197B" w:rsidP="00BF2A18">
      <w:pPr>
        <w:ind w:left="720" w:firstLine="720"/>
        <w:jc w:val="both"/>
        <w:rPr>
          <w:rFonts w:eastAsiaTheme="minorEastAsia" w:cs="Times New Roman"/>
          <w:bCs/>
        </w:rPr>
      </w:pPr>
    </w:p>
    <w:p w14:paraId="67314C44" w14:textId="47183F04" w:rsidR="00820789" w:rsidRDefault="000D0A48" w:rsidP="007F7048">
      <w:pPr>
        <w:ind w:left="720" w:firstLine="720"/>
        <w:jc w:val="both"/>
        <w:rPr>
          <w:rFonts w:eastAsiaTheme="minorEastAsia"/>
          <w:bCs/>
        </w:rPr>
      </w:pPr>
      <w:r>
        <w:rPr>
          <w:rFonts w:eastAsiaTheme="minorEastAsia"/>
          <w:bCs/>
        </w:rPr>
        <w:t>The resu</w:t>
      </w:r>
      <w:r w:rsidR="0097634E">
        <w:rPr>
          <w:rFonts w:eastAsiaTheme="minorEastAsia"/>
          <w:bCs/>
        </w:rPr>
        <w:t>lts from the SGB samples</w:t>
      </w:r>
      <w:r w:rsidR="007F7048">
        <w:rPr>
          <w:rFonts w:eastAsiaTheme="minorEastAsia"/>
          <w:bCs/>
        </w:rPr>
        <w:t>,</w:t>
      </w:r>
      <w:r>
        <w:rPr>
          <w:rFonts w:eastAsiaTheme="minorEastAsia"/>
          <w:bCs/>
        </w:rPr>
        <w:t xml:space="preserve"> </w:t>
      </w:r>
      <w:r w:rsidR="007F7048">
        <w:rPr>
          <w:rFonts w:eastAsiaTheme="minorEastAsia"/>
          <w:bCs/>
        </w:rPr>
        <w:t xml:space="preserve">which can be seen in </w:t>
      </w:r>
      <w:r w:rsidR="007F7048">
        <w:rPr>
          <w:rFonts w:eastAsiaTheme="minorEastAsia"/>
          <w:bCs/>
        </w:rPr>
        <w:fldChar w:fldCharType="begin"/>
      </w:r>
      <w:r w:rsidR="007F7048">
        <w:rPr>
          <w:rFonts w:eastAsiaTheme="minorEastAsia"/>
          <w:bCs/>
        </w:rPr>
        <w:instrText xml:space="preserve"> REF _Ref442299512 \h </w:instrText>
      </w:r>
      <w:r w:rsidR="007F7048">
        <w:rPr>
          <w:rFonts w:eastAsiaTheme="minorEastAsia"/>
          <w:bCs/>
        </w:rPr>
      </w:r>
      <w:r w:rsidR="007F7048">
        <w:rPr>
          <w:rFonts w:eastAsiaTheme="minorEastAsia"/>
          <w:bCs/>
        </w:rPr>
        <w:fldChar w:fldCharType="separate"/>
      </w:r>
      <w:r w:rsidR="00E90148">
        <w:t xml:space="preserve">Table </w:t>
      </w:r>
      <w:r w:rsidR="00E90148">
        <w:rPr>
          <w:noProof/>
        </w:rPr>
        <w:t>7</w:t>
      </w:r>
      <w:r w:rsidR="007F7048">
        <w:rPr>
          <w:rFonts w:eastAsiaTheme="minorEastAsia"/>
          <w:bCs/>
        </w:rPr>
        <w:fldChar w:fldCharType="end"/>
      </w:r>
      <w:r w:rsidR="007F7048">
        <w:rPr>
          <w:rFonts w:eastAsiaTheme="minorEastAsia"/>
          <w:bCs/>
        </w:rPr>
        <w:t xml:space="preserve">, </w:t>
      </w:r>
      <w:r>
        <w:rPr>
          <w:rFonts w:eastAsiaTheme="minorEastAsia"/>
          <w:bCs/>
        </w:rPr>
        <w:t>agre</w:t>
      </w:r>
      <w:r w:rsidR="00BF2A18">
        <w:rPr>
          <w:rFonts w:eastAsiaTheme="minorEastAsia"/>
          <w:bCs/>
        </w:rPr>
        <w:t>e with those of the OHC samples</w:t>
      </w:r>
      <w:r w:rsidR="003C559A">
        <w:rPr>
          <w:rFonts w:eastAsiaTheme="minorEastAsia"/>
          <w:bCs/>
        </w:rPr>
        <w:t xml:space="preserve">. </w:t>
      </w:r>
      <w:r w:rsidR="000F650C">
        <w:rPr>
          <w:rFonts w:eastAsiaTheme="minorEastAsia"/>
          <w:bCs/>
        </w:rPr>
        <w:t>STDEV and RMSD increase and decrease slightly; however, the COV</w:t>
      </w:r>
      <w:r w:rsidR="000F650C">
        <w:rPr>
          <w:rFonts w:eastAsiaTheme="minorEastAsia"/>
          <w:bCs/>
          <w:vertAlign w:val="subscript"/>
        </w:rPr>
        <w:t>STDEV</w:t>
      </w:r>
      <w:r w:rsidR="000F650C">
        <w:rPr>
          <w:rFonts w:eastAsiaTheme="minorEastAsia"/>
          <w:bCs/>
        </w:rPr>
        <w:t xml:space="preserve"> and COV</w:t>
      </w:r>
      <w:r w:rsidR="000F650C">
        <w:rPr>
          <w:rFonts w:eastAsiaTheme="minorEastAsia"/>
          <w:bCs/>
          <w:vertAlign w:val="subscript"/>
        </w:rPr>
        <w:t>RMSD</w:t>
      </w:r>
      <w:r w:rsidR="000F650C">
        <w:rPr>
          <w:rFonts w:eastAsiaTheme="minorEastAsia"/>
          <w:bCs/>
        </w:rPr>
        <w:t xml:space="preserve"> show that these variations are negligible relative to the mean and true </w:t>
      </w:r>
      <m:oMath>
        <m:r>
          <w:rPr>
            <w:rFonts w:ascii="Cambria Math" w:hAnsi="Cambria Math"/>
          </w:rPr>
          <m:t>SC</m:t>
        </m:r>
      </m:oMath>
      <w:r w:rsidR="00D64B16">
        <w:rPr>
          <w:rFonts w:eastAsiaTheme="minorEastAsia"/>
        </w:rPr>
        <w:t>, respectively</w:t>
      </w:r>
      <w:r w:rsidR="000F650C">
        <w:rPr>
          <w:rFonts w:eastAsiaTheme="minorEastAsia"/>
          <w:bCs/>
        </w:rPr>
        <w:t xml:space="preserve">. The SGB samples support the OHC findings that </w:t>
      </w:r>
      <w:r w:rsidR="00D64B16">
        <w:rPr>
          <w:rFonts w:eastAsiaTheme="minorEastAsia"/>
          <w:bCs/>
        </w:rPr>
        <w:t xml:space="preserve">longer </w:t>
      </w:r>
      <w:r w:rsidR="000F650C">
        <w:rPr>
          <w:rFonts w:eastAsiaTheme="minorEastAsia"/>
          <w:bCs/>
        </w:rPr>
        <w:t xml:space="preserve">scan durations are not </w:t>
      </w:r>
      <w:r w:rsidR="00D64B16">
        <w:rPr>
          <w:rFonts w:eastAsiaTheme="minorEastAsia"/>
          <w:bCs/>
        </w:rPr>
        <w:t xml:space="preserve">only inefficient, but hinders the accuracy of PHXRF </w:t>
      </w:r>
      <m:oMath>
        <m:r>
          <w:rPr>
            <w:rFonts w:ascii="Cambria Math" w:hAnsi="Cambria Math"/>
          </w:rPr>
          <m:t>SC</m:t>
        </m:r>
      </m:oMath>
      <w:r w:rsidR="000F650C">
        <w:rPr>
          <w:rFonts w:eastAsiaTheme="minorEastAsia"/>
          <w:bCs/>
        </w:rPr>
        <w:t xml:space="preserve"> measurements.</w:t>
      </w:r>
    </w:p>
    <w:p w14:paraId="357CB83F" w14:textId="77777777" w:rsidR="00820789" w:rsidRDefault="00820789" w:rsidP="00CC13CE">
      <w:pPr>
        <w:ind w:left="720" w:firstLine="720"/>
        <w:jc w:val="both"/>
        <w:rPr>
          <w:rFonts w:eastAsiaTheme="minorEastAsia"/>
          <w:bCs/>
        </w:rPr>
      </w:pPr>
    </w:p>
    <w:p w14:paraId="44B572C3" w14:textId="462188BF" w:rsidR="006648D1" w:rsidRDefault="00820789" w:rsidP="00943A4F">
      <w:pPr>
        <w:pStyle w:val="Caption"/>
        <w:spacing w:line="480" w:lineRule="auto"/>
        <w:ind w:left="1080" w:right="936"/>
      </w:pPr>
      <w:bookmarkStart w:id="56" w:name="_Ref442299512"/>
      <w:bookmarkStart w:id="57" w:name="_Toc447755327"/>
      <w:r>
        <w:t xml:space="preserve">Table </w:t>
      </w:r>
      <w:r w:rsidR="00184FC2">
        <w:fldChar w:fldCharType="begin"/>
      </w:r>
      <w:r w:rsidR="00184FC2">
        <w:instrText xml:space="preserve"> SEQ Table \* ARABIC </w:instrText>
      </w:r>
      <w:r w:rsidR="00184FC2">
        <w:fldChar w:fldCharType="separate"/>
      </w:r>
      <w:r w:rsidR="00E90148">
        <w:rPr>
          <w:noProof/>
        </w:rPr>
        <w:t>7</w:t>
      </w:r>
      <w:r w:rsidR="00184FC2">
        <w:rPr>
          <w:noProof/>
        </w:rPr>
        <w:fldChar w:fldCharType="end"/>
      </w:r>
      <w:bookmarkEnd w:id="56"/>
      <w:r>
        <w:t xml:space="preserve">: Effects of Scan Duration on </w:t>
      </w:r>
      <w:r w:rsidR="006648D1">
        <w:t>STDEV, COV</w:t>
      </w:r>
      <w:r w:rsidR="006648D1">
        <w:rPr>
          <w:vertAlign w:val="subscript"/>
        </w:rPr>
        <w:t>STDEV</w:t>
      </w:r>
      <w:r w:rsidR="006648D1">
        <w:t>, RMSD, and COV</w:t>
      </w:r>
      <w:r w:rsidR="006648D1">
        <w:rPr>
          <w:vertAlign w:val="subscript"/>
        </w:rPr>
        <w:t>RMSD</w:t>
      </w:r>
      <w:r w:rsidR="006648D1">
        <w:t xml:space="preserve"> for SGB Samples</w:t>
      </w:r>
      <w:bookmarkEnd w:id="57"/>
    </w:p>
    <w:tbl>
      <w:tblPr>
        <w:tblW w:w="7632" w:type="dxa"/>
        <w:jc w:val="center"/>
        <w:tblLook w:val="04A0" w:firstRow="1" w:lastRow="0" w:firstColumn="1" w:lastColumn="0" w:noHBand="0" w:noVBand="1"/>
      </w:tblPr>
      <w:tblGrid>
        <w:gridCol w:w="2304"/>
        <w:gridCol w:w="720"/>
        <w:gridCol w:w="1152"/>
        <w:gridCol w:w="1152"/>
        <w:gridCol w:w="1152"/>
        <w:gridCol w:w="1152"/>
      </w:tblGrid>
      <w:tr w:rsidR="00F3297C" w:rsidRPr="003C559A" w14:paraId="683680C2" w14:textId="77777777" w:rsidTr="00F3297C">
        <w:trPr>
          <w:trHeight w:val="600"/>
          <w:jc w:val="center"/>
        </w:trPr>
        <w:tc>
          <w:tcPr>
            <w:tcW w:w="2304" w:type="dxa"/>
            <w:tcBorders>
              <w:top w:val="single" w:sz="4" w:space="0" w:color="auto"/>
              <w:left w:val="single" w:sz="4" w:space="0" w:color="auto"/>
              <w:bottom w:val="single" w:sz="4" w:space="0" w:color="auto"/>
            </w:tcBorders>
            <w:shd w:val="clear" w:color="000000" w:fill="BFBFBF"/>
            <w:vAlign w:val="center"/>
            <w:hideMark/>
          </w:tcPr>
          <w:p w14:paraId="592FBB75" w14:textId="6F0D2836" w:rsidR="00F3297C" w:rsidRPr="003C559A" w:rsidRDefault="00F3297C" w:rsidP="00202728">
            <w:pPr>
              <w:spacing w:line="240" w:lineRule="auto"/>
              <w:rPr>
                <w:rFonts w:eastAsia="Times New Roman" w:cs="Times New Roman"/>
                <w:i/>
                <w:iCs/>
                <w:color w:val="000000"/>
                <w:sz w:val="22"/>
                <w:szCs w:val="22"/>
              </w:rPr>
            </w:pPr>
            <w:r w:rsidRPr="003C559A">
              <w:rPr>
                <w:rFonts w:eastAsia="Times New Roman" w:cs="Times New Roman"/>
                <w:i/>
                <w:iCs/>
                <w:color w:val="000000"/>
                <w:sz w:val="22"/>
                <w:szCs w:val="22"/>
              </w:rPr>
              <w:t>Scan Duration</w:t>
            </w:r>
            <w:r>
              <w:rPr>
                <w:rFonts w:eastAsia="Times New Roman" w:cs="Times New Roman"/>
                <w:i/>
                <w:iCs/>
                <w:color w:val="000000"/>
                <w:sz w:val="22"/>
                <w:szCs w:val="22"/>
              </w:rPr>
              <w:t>s</w:t>
            </w:r>
            <w:r w:rsidRPr="003C559A">
              <w:rPr>
                <w:rFonts w:eastAsia="Times New Roman" w:cs="Times New Roman"/>
                <w:i/>
                <w:iCs/>
                <w:color w:val="000000"/>
                <w:sz w:val="22"/>
                <w:szCs w:val="22"/>
              </w:rPr>
              <w:t xml:space="preserve">         </w:t>
            </w:r>
            <w:r>
              <w:rPr>
                <w:rFonts w:eastAsia="Times New Roman" w:cs="Times New Roman"/>
                <w:i/>
                <w:iCs/>
                <w:color w:val="000000"/>
                <w:sz w:val="22"/>
                <w:szCs w:val="22"/>
              </w:rPr>
              <w:t xml:space="preserve">      sec (Phase I - Phase II)</w:t>
            </w:r>
          </w:p>
        </w:tc>
        <w:tc>
          <w:tcPr>
            <w:tcW w:w="720" w:type="dxa"/>
            <w:tcBorders>
              <w:top w:val="single" w:sz="4" w:space="0" w:color="auto"/>
              <w:bottom w:val="single" w:sz="4" w:space="0" w:color="auto"/>
            </w:tcBorders>
            <w:shd w:val="clear" w:color="000000" w:fill="BFBFBF"/>
            <w:vAlign w:val="center"/>
          </w:tcPr>
          <w:p w14:paraId="38048230" w14:textId="54CEB5BC" w:rsidR="00F3297C" w:rsidRDefault="00F3297C" w:rsidP="00F3297C">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bottom w:val="single" w:sz="4" w:space="0" w:color="auto"/>
            </w:tcBorders>
            <w:shd w:val="clear" w:color="000000" w:fill="BFBFBF"/>
            <w:vAlign w:val="center"/>
            <w:hideMark/>
          </w:tcPr>
          <w:p w14:paraId="35F5FAD8" w14:textId="6BA1C4B7" w:rsidR="00F3297C" w:rsidRDefault="00F3297C" w:rsidP="00202728">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p>
          <w:p w14:paraId="17374B80" w14:textId="2585EBA9" w:rsidR="00F3297C" w:rsidRPr="003C559A" w:rsidRDefault="00F3297C" w:rsidP="00202728">
            <w:pPr>
              <w:spacing w:line="240" w:lineRule="auto"/>
              <w:rPr>
                <w:rFonts w:eastAsia="Times New Roman" w:cs="Times New Roman"/>
                <w:i/>
                <w:iCs/>
                <w:color w:val="000000"/>
                <w:sz w:val="22"/>
                <w:szCs w:val="22"/>
              </w:rPr>
            </w:pPr>
            <w:r>
              <w:rPr>
                <w:rFonts w:eastAsia="Times New Roman" w:cs="Times New Roman"/>
                <w:i/>
                <w:iCs/>
                <w:color w:val="000000"/>
                <w:sz w:val="22"/>
                <w:szCs w:val="22"/>
              </w:rPr>
              <w:t>%</w:t>
            </w:r>
          </w:p>
        </w:tc>
        <w:tc>
          <w:tcPr>
            <w:tcW w:w="1152" w:type="dxa"/>
            <w:tcBorders>
              <w:top w:val="single" w:sz="4" w:space="0" w:color="auto"/>
              <w:bottom w:val="single" w:sz="4" w:space="0" w:color="auto"/>
            </w:tcBorders>
            <w:shd w:val="clear" w:color="000000" w:fill="BFBFBF"/>
            <w:vAlign w:val="center"/>
          </w:tcPr>
          <w:p w14:paraId="3F5838BA" w14:textId="52BA65B2" w:rsidR="00F3297C" w:rsidRPr="003C559A" w:rsidRDefault="00F3297C" w:rsidP="00202728">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p>
        </w:tc>
        <w:tc>
          <w:tcPr>
            <w:tcW w:w="1152" w:type="dxa"/>
            <w:tcBorders>
              <w:top w:val="single" w:sz="4" w:space="0" w:color="auto"/>
              <w:bottom w:val="single" w:sz="4" w:space="0" w:color="auto"/>
            </w:tcBorders>
            <w:shd w:val="clear" w:color="000000" w:fill="BFBFBF"/>
            <w:vAlign w:val="center"/>
            <w:hideMark/>
          </w:tcPr>
          <w:p w14:paraId="36851F7F" w14:textId="026EFF8F" w:rsidR="00F3297C" w:rsidRPr="003C559A" w:rsidRDefault="00F3297C" w:rsidP="00202728">
            <w:pPr>
              <w:spacing w:line="240" w:lineRule="auto"/>
              <w:rPr>
                <w:rFonts w:eastAsia="Times New Roman" w:cs="Times New Roman"/>
                <w:i/>
                <w:iCs/>
                <w:color w:val="000000"/>
                <w:sz w:val="22"/>
                <w:szCs w:val="22"/>
              </w:rPr>
            </w:pPr>
            <w:r w:rsidRPr="003C559A">
              <w:rPr>
                <w:rFonts w:eastAsia="Times New Roman" w:cs="Times New Roman"/>
                <w:i/>
                <w:iCs/>
                <w:color w:val="000000"/>
                <w:sz w:val="22"/>
                <w:szCs w:val="22"/>
              </w:rPr>
              <w:t xml:space="preserve">RMSD </w:t>
            </w:r>
            <w:r>
              <w:rPr>
                <w:rFonts w:eastAsia="Times New Roman" w:cs="Times New Roman"/>
                <w:i/>
                <w:iCs/>
                <w:color w:val="000000"/>
                <w:sz w:val="22"/>
                <w:szCs w:val="22"/>
              </w:rPr>
              <w:t xml:space="preserve">           %</w:t>
            </w:r>
          </w:p>
        </w:tc>
        <w:tc>
          <w:tcPr>
            <w:tcW w:w="1152" w:type="dxa"/>
            <w:tcBorders>
              <w:top w:val="single" w:sz="4" w:space="0" w:color="auto"/>
              <w:bottom w:val="single" w:sz="4" w:space="0" w:color="auto"/>
              <w:right w:val="single" w:sz="4" w:space="0" w:color="auto"/>
            </w:tcBorders>
            <w:shd w:val="clear" w:color="000000" w:fill="BFBFBF"/>
            <w:vAlign w:val="center"/>
          </w:tcPr>
          <w:p w14:paraId="2C162281" w14:textId="53DC4E0E" w:rsidR="00F3297C" w:rsidRPr="003C559A" w:rsidRDefault="00F3297C" w:rsidP="00202728">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p>
        </w:tc>
      </w:tr>
      <w:tr w:rsidR="00F3297C" w:rsidRPr="003C559A" w14:paraId="27251174" w14:textId="77777777" w:rsidTr="00F3297C">
        <w:trPr>
          <w:trHeight w:val="300"/>
          <w:jc w:val="center"/>
        </w:trPr>
        <w:tc>
          <w:tcPr>
            <w:tcW w:w="2304" w:type="dxa"/>
            <w:tcBorders>
              <w:top w:val="single" w:sz="4" w:space="0" w:color="auto"/>
              <w:left w:val="single" w:sz="4" w:space="0" w:color="auto"/>
              <w:bottom w:val="nil"/>
            </w:tcBorders>
            <w:shd w:val="clear" w:color="000000" w:fill="FFFFFF"/>
            <w:noWrap/>
            <w:vAlign w:val="center"/>
            <w:hideMark/>
          </w:tcPr>
          <w:p w14:paraId="0DF680C6" w14:textId="2D5E942F"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60 (30-</w:t>
            </w:r>
            <w:r w:rsidRPr="003C559A">
              <w:rPr>
                <w:rFonts w:eastAsia="Times New Roman" w:cs="Times New Roman"/>
                <w:i/>
                <w:iCs/>
                <w:color w:val="000000"/>
                <w:sz w:val="20"/>
                <w:szCs w:val="20"/>
              </w:rPr>
              <w:t>30)</w:t>
            </w:r>
          </w:p>
        </w:tc>
        <w:tc>
          <w:tcPr>
            <w:tcW w:w="720" w:type="dxa"/>
            <w:tcBorders>
              <w:top w:val="single" w:sz="4" w:space="0" w:color="auto"/>
              <w:left w:val="nil"/>
              <w:bottom w:val="nil"/>
              <w:right w:val="dashed" w:sz="4" w:space="0" w:color="auto"/>
            </w:tcBorders>
            <w:shd w:val="clear" w:color="000000" w:fill="FFFFFF"/>
          </w:tcPr>
          <w:p w14:paraId="37B68FC7" w14:textId="4CBCDA3C" w:rsidR="00F3297C" w:rsidRDefault="00F3297C" w:rsidP="00F3297C">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top w:val="single" w:sz="4" w:space="0" w:color="auto"/>
              <w:left w:val="dashed" w:sz="4" w:space="0" w:color="auto"/>
              <w:bottom w:val="nil"/>
            </w:tcBorders>
            <w:shd w:val="clear" w:color="000000" w:fill="FFFFFF"/>
            <w:noWrap/>
            <w:vAlign w:val="center"/>
          </w:tcPr>
          <w:p w14:paraId="44B6EDCB" w14:textId="20033FE2"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0.031</w:t>
            </w:r>
          </w:p>
        </w:tc>
        <w:tc>
          <w:tcPr>
            <w:tcW w:w="1152" w:type="dxa"/>
            <w:tcBorders>
              <w:top w:val="single" w:sz="4" w:space="0" w:color="auto"/>
              <w:bottom w:val="nil"/>
              <w:right w:val="dashed" w:sz="4" w:space="0" w:color="auto"/>
            </w:tcBorders>
            <w:shd w:val="clear" w:color="000000" w:fill="FFFFFF"/>
            <w:vAlign w:val="center"/>
          </w:tcPr>
          <w:p w14:paraId="38CD51A0" w14:textId="0CF37AF6" w:rsidR="00F3297C" w:rsidRPr="00050F6A" w:rsidRDefault="00F3297C" w:rsidP="00E17C6B">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single" w:sz="4" w:space="0" w:color="auto"/>
              <w:left w:val="dashed" w:sz="4" w:space="0" w:color="auto"/>
              <w:bottom w:val="nil"/>
            </w:tcBorders>
            <w:shd w:val="clear" w:color="000000" w:fill="FFFFFF"/>
            <w:noWrap/>
            <w:vAlign w:val="center"/>
          </w:tcPr>
          <w:p w14:paraId="37C1288A" w14:textId="73C0F0DA" w:rsidR="00F3297C" w:rsidRPr="00E17C6B" w:rsidRDefault="00F3297C" w:rsidP="00E17C6B">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2.691</w:t>
            </w:r>
          </w:p>
        </w:tc>
        <w:tc>
          <w:tcPr>
            <w:tcW w:w="1152" w:type="dxa"/>
            <w:tcBorders>
              <w:top w:val="single" w:sz="4" w:space="0" w:color="auto"/>
              <w:bottom w:val="nil"/>
              <w:right w:val="single" w:sz="4" w:space="0" w:color="auto"/>
            </w:tcBorders>
            <w:shd w:val="clear" w:color="000000" w:fill="FFFFFF"/>
            <w:vAlign w:val="center"/>
          </w:tcPr>
          <w:p w14:paraId="083CFF91" w14:textId="4BE4D1F5" w:rsidR="00F3297C" w:rsidRPr="00E17C6B" w:rsidRDefault="00F3297C" w:rsidP="00E17C6B">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0.187</w:t>
            </w:r>
          </w:p>
        </w:tc>
      </w:tr>
      <w:tr w:rsidR="00F3297C" w:rsidRPr="003C559A" w14:paraId="05F765D3" w14:textId="77777777" w:rsidTr="00F3297C">
        <w:trPr>
          <w:trHeight w:val="300"/>
          <w:jc w:val="center"/>
        </w:trPr>
        <w:tc>
          <w:tcPr>
            <w:tcW w:w="2304" w:type="dxa"/>
            <w:tcBorders>
              <w:top w:val="nil"/>
              <w:left w:val="single" w:sz="4" w:space="0" w:color="auto"/>
              <w:bottom w:val="nil"/>
            </w:tcBorders>
            <w:shd w:val="clear" w:color="000000" w:fill="F2F2F2"/>
            <w:noWrap/>
            <w:vAlign w:val="center"/>
            <w:hideMark/>
          </w:tcPr>
          <w:p w14:paraId="541B5652" w14:textId="2EC69E5C"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60 (15-</w:t>
            </w:r>
            <w:r w:rsidRPr="003C559A">
              <w:rPr>
                <w:rFonts w:eastAsia="Times New Roman" w:cs="Times New Roman"/>
                <w:i/>
                <w:iCs/>
                <w:color w:val="000000"/>
                <w:sz w:val="20"/>
                <w:szCs w:val="20"/>
              </w:rPr>
              <w:t>45)</w:t>
            </w:r>
          </w:p>
        </w:tc>
        <w:tc>
          <w:tcPr>
            <w:tcW w:w="720" w:type="dxa"/>
            <w:tcBorders>
              <w:top w:val="nil"/>
              <w:left w:val="nil"/>
              <w:bottom w:val="nil"/>
              <w:right w:val="dashed" w:sz="4" w:space="0" w:color="auto"/>
            </w:tcBorders>
            <w:shd w:val="clear" w:color="000000" w:fill="F2F2F2"/>
          </w:tcPr>
          <w:p w14:paraId="046B7F64" w14:textId="040D1C99" w:rsidR="00F3297C"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top w:val="nil"/>
              <w:left w:val="dashed" w:sz="4" w:space="0" w:color="auto"/>
              <w:bottom w:val="nil"/>
            </w:tcBorders>
            <w:shd w:val="clear" w:color="000000" w:fill="F2F2F2"/>
            <w:noWrap/>
            <w:vAlign w:val="center"/>
          </w:tcPr>
          <w:p w14:paraId="37CB770F" w14:textId="71B6947D"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0.030</w:t>
            </w:r>
          </w:p>
        </w:tc>
        <w:tc>
          <w:tcPr>
            <w:tcW w:w="1152" w:type="dxa"/>
            <w:tcBorders>
              <w:top w:val="nil"/>
              <w:bottom w:val="nil"/>
              <w:right w:val="dashed" w:sz="4" w:space="0" w:color="auto"/>
            </w:tcBorders>
            <w:shd w:val="clear" w:color="000000" w:fill="F2F2F2"/>
            <w:vAlign w:val="center"/>
          </w:tcPr>
          <w:p w14:paraId="13A34A2D" w14:textId="4AF3DF9B" w:rsidR="00F3297C" w:rsidRPr="00050F6A" w:rsidRDefault="00F3297C" w:rsidP="00E17C6B">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nil"/>
              <w:left w:val="dashed" w:sz="4" w:space="0" w:color="auto"/>
              <w:bottom w:val="nil"/>
            </w:tcBorders>
            <w:shd w:val="clear" w:color="000000" w:fill="F2F2F2"/>
            <w:noWrap/>
            <w:vAlign w:val="center"/>
          </w:tcPr>
          <w:p w14:paraId="7A615E03" w14:textId="08D624F0"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2.708</w:t>
            </w:r>
          </w:p>
        </w:tc>
        <w:tc>
          <w:tcPr>
            <w:tcW w:w="1152" w:type="dxa"/>
            <w:tcBorders>
              <w:top w:val="nil"/>
              <w:bottom w:val="nil"/>
              <w:right w:val="single" w:sz="4" w:space="0" w:color="auto"/>
            </w:tcBorders>
            <w:shd w:val="clear" w:color="000000" w:fill="F2F2F2"/>
            <w:vAlign w:val="center"/>
          </w:tcPr>
          <w:p w14:paraId="046085BD" w14:textId="1A53C6AF"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0.188</w:t>
            </w:r>
          </w:p>
        </w:tc>
      </w:tr>
      <w:tr w:rsidR="00F3297C" w:rsidRPr="003C559A" w14:paraId="20256924" w14:textId="77777777" w:rsidTr="00F3297C">
        <w:trPr>
          <w:trHeight w:val="300"/>
          <w:jc w:val="center"/>
        </w:trPr>
        <w:tc>
          <w:tcPr>
            <w:tcW w:w="2304" w:type="dxa"/>
            <w:tcBorders>
              <w:top w:val="nil"/>
              <w:left w:val="single" w:sz="4" w:space="0" w:color="auto"/>
              <w:bottom w:val="nil"/>
            </w:tcBorders>
            <w:shd w:val="clear" w:color="000000" w:fill="FFFFFF"/>
            <w:noWrap/>
            <w:vAlign w:val="center"/>
            <w:hideMark/>
          </w:tcPr>
          <w:p w14:paraId="7F0A1209" w14:textId="6EED2B41"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75 (15-</w:t>
            </w:r>
            <w:r w:rsidRPr="003C559A">
              <w:rPr>
                <w:rFonts w:eastAsia="Times New Roman" w:cs="Times New Roman"/>
                <w:i/>
                <w:iCs/>
                <w:color w:val="000000"/>
                <w:sz w:val="20"/>
                <w:szCs w:val="20"/>
              </w:rPr>
              <w:t>60)</w:t>
            </w:r>
          </w:p>
        </w:tc>
        <w:tc>
          <w:tcPr>
            <w:tcW w:w="720" w:type="dxa"/>
            <w:tcBorders>
              <w:top w:val="nil"/>
              <w:left w:val="nil"/>
              <w:bottom w:val="nil"/>
              <w:right w:val="dashed" w:sz="4" w:space="0" w:color="auto"/>
            </w:tcBorders>
            <w:shd w:val="clear" w:color="000000" w:fill="FFFFFF"/>
          </w:tcPr>
          <w:p w14:paraId="27C26A79" w14:textId="060EC32C" w:rsidR="00F3297C"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top w:val="nil"/>
              <w:left w:val="dashed" w:sz="4" w:space="0" w:color="auto"/>
              <w:bottom w:val="nil"/>
            </w:tcBorders>
            <w:shd w:val="clear" w:color="000000" w:fill="FFFFFF"/>
            <w:noWrap/>
            <w:vAlign w:val="center"/>
          </w:tcPr>
          <w:p w14:paraId="4062E0ED" w14:textId="2B02DC19"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0.039</w:t>
            </w:r>
          </w:p>
        </w:tc>
        <w:tc>
          <w:tcPr>
            <w:tcW w:w="1152" w:type="dxa"/>
            <w:tcBorders>
              <w:top w:val="nil"/>
              <w:bottom w:val="nil"/>
              <w:right w:val="dashed" w:sz="4" w:space="0" w:color="auto"/>
            </w:tcBorders>
            <w:shd w:val="clear" w:color="000000" w:fill="FFFFFF"/>
            <w:vAlign w:val="center"/>
          </w:tcPr>
          <w:p w14:paraId="2C5BAF1A" w14:textId="18523E4A" w:rsidR="00F3297C" w:rsidRPr="00050F6A" w:rsidRDefault="00F3297C" w:rsidP="00E17C6B">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nil"/>
              <w:left w:val="dashed" w:sz="4" w:space="0" w:color="auto"/>
              <w:bottom w:val="nil"/>
            </w:tcBorders>
            <w:shd w:val="clear" w:color="000000" w:fill="FFFFFF"/>
            <w:noWrap/>
            <w:vAlign w:val="center"/>
          </w:tcPr>
          <w:p w14:paraId="54594B77" w14:textId="262C5B13"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2.700</w:t>
            </w:r>
          </w:p>
        </w:tc>
        <w:tc>
          <w:tcPr>
            <w:tcW w:w="1152" w:type="dxa"/>
            <w:tcBorders>
              <w:top w:val="nil"/>
              <w:bottom w:val="nil"/>
              <w:right w:val="single" w:sz="4" w:space="0" w:color="auto"/>
            </w:tcBorders>
            <w:shd w:val="clear" w:color="000000" w:fill="FFFFFF"/>
            <w:vAlign w:val="center"/>
          </w:tcPr>
          <w:p w14:paraId="00B0F7F7" w14:textId="0EAEB89A"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0.188</w:t>
            </w:r>
          </w:p>
        </w:tc>
      </w:tr>
      <w:tr w:rsidR="00F3297C" w:rsidRPr="003C559A" w14:paraId="58CB67C5" w14:textId="77777777" w:rsidTr="00F3297C">
        <w:trPr>
          <w:trHeight w:val="300"/>
          <w:jc w:val="center"/>
        </w:trPr>
        <w:tc>
          <w:tcPr>
            <w:tcW w:w="2304" w:type="dxa"/>
            <w:tcBorders>
              <w:top w:val="nil"/>
              <w:left w:val="single" w:sz="4" w:space="0" w:color="auto"/>
              <w:bottom w:val="single" w:sz="4" w:space="0" w:color="auto"/>
            </w:tcBorders>
            <w:shd w:val="clear" w:color="000000" w:fill="F2F2F2"/>
            <w:noWrap/>
            <w:vAlign w:val="center"/>
            <w:hideMark/>
          </w:tcPr>
          <w:p w14:paraId="563F5C93" w14:textId="64EA8D8F" w:rsidR="00F3297C" w:rsidRPr="003C559A"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135 (15-</w:t>
            </w:r>
            <w:r w:rsidRPr="003C559A">
              <w:rPr>
                <w:rFonts w:eastAsia="Times New Roman" w:cs="Times New Roman"/>
                <w:i/>
                <w:iCs/>
                <w:color w:val="000000"/>
                <w:sz w:val="20"/>
                <w:szCs w:val="20"/>
              </w:rPr>
              <w:t>120)</w:t>
            </w:r>
          </w:p>
        </w:tc>
        <w:tc>
          <w:tcPr>
            <w:tcW w:w="720" w:type="dxa"/>
            <w:tcBorders>
              <w:top w:val="nil"/>
              <w:left w:val="nil"/>
              <w:bottom w:val="single" w:sz="4" w:space="0" w:color="auto"/>
              <w:right w:val="dashed" w:sz="4" w:space="0" w:color="auto"/>
            </w:tcBorders>
            <w:shd w:val="clear" w:color="000000" w:fill="F2F2F2"/>
          </w:tcPr>
          <w:p w14:paraId="62AD22C4" w14:textId="7F621B30" w:rsidR="00F3297C" w:rsidRPr="00F3297C" w:rsidRDefault="00F3297C" w:rsidP="00E17C6B">
            <w:pPr>
              <w:spacing w:line="240" w:lineRule="auto"/>
              <w:rPr>
                <w:rFonts w:eastAsia="Times New Roman" w:cs="Times New Roman"/>
                <w:i/>
                <w:iCs/>
                <w:color w:val="000000"/>
                <w:sz w:val="20"/>
                <w:szCs w:val="20"/>
              </w:rPr>
            </w:pPr>
            <w:r w:rsidRPr="00F3297C">
              <w:rPr>
                <w:rFonts w:eastAsia="Times New Roman" w:cs="Times New Roman"/>
                <w:i/>
                <w:iCs/>
                <w:color w:val="000000"/>
                <w:sz w:val="20"/>
                <w:szCs w:val="20"/>
              </w:rPr>
              <w:t>84</w:t>
            </w:r>
          </w:p>
        </w:tc>
        <w:tc>
          <w:tcPr>
            <w:tcW w:w="1152" w:type="dxa"/>
            <w:tcBorders>
              <w:top w:val="nil"/>
              <w:left w:val="dashed" w:sz="4" w:space="0" w:color="auto"/>
              <w:bottom w:val="single" w:sz="4" w:space="0" w:color="auto"/>
            </w:tcBorders>
            <w:shd w:val="clear" w:color="000000" w:fill="F2F2F2"/>
            <w:noWrap/>
            <w:vAlign w:val="center"/>
          </w:tcPr>
          <w:p w14:paraId="57CF5838" w14:textId="687B710E" w:rsidR="00F3297C" w:rsidRPr="003E3AE1" w:rsidRDefault="00F3297C" w:rsidP="00E17C6B">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0.024</w:t>
            </w:r>
          </w:p>
        </w:tc>
        <w:tc>
          <w:tcPr>
            <w:tcW w:w="1152" w:type="dxa"/>
            <w:tcBorders>
              <w:top w:val="nil"/>
              <w:bottom w:val="single" w:sz="4" w:space="0" w:color="auto"/>
              <w:right w:val="dashed" w:sz="4" w:space="0" w:color="auto"/>
            </w:tcBorders>
            <w:shd w:val="clear" w:color="000000" w:fill="F2F2F2"/>
            <w:vAlign w:val="center"/>
          </w:tcPr>
          <w:p w14:paraId="48783236" w14:textId="2B0D49CD" w:rsidR="00F3297C" w:rsidRPr="00050F6A" w:rsidRDefault="00F3297C" w:rsidP="00E17C6B">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nil"/>
              <w:left w:val="dashed" w:sz="4" w:space="0" w:color="auto"/>
              <w:bottom w:val="single" w:sz="4" w:space="0" w:color="auto"/>
            </w:tcBorders>
            <w:shd w:val="clear" w:color="000000" w:fill="F2F2F2"/>
            <w:noWrap/>
            <w:vAlign w:val="center"/>
          </w:tcPr>
          <w:p w14:paraId="462B219A" w14:textId="37D4F751" w:rsidR="00F3297C" w:rsidRPr="00E17C6B"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2.693</w:t>
            </w:r>
          </w:p>
        </w:tc>
        <w:tc>
          <w:tcPr>
            <w:tcW w:w="1152" w:type="dxa"/>
            <w:tcBorders>
              <w:top w:val="nil"/>
              <w:bottom w:val="single" w:sz="4" w:space="0" w:color="auto"/>
              <w:right w:val="single" w:sz="4" w:space="0" w:color="auto"/>
            </w:tcBorders>
            <w:shd w:val="clear" w:color="000000" w:fill="F2F2F2"/>
            <w:vAlign w:val="center"/>
          </w:tcPr>
          <w:p w14:paraId="7FB4DE91" w14:textId="0020C0F6" w:rsidR="00F3297C" w:rsidRPr="00E17C6B" w:rsidRDefault="00F3297C" w:rsidP="00E17C6B">
            <w:pPr>
              <w:spacing w:line="240" w:lineRule="auto"/>
              <w:rPr>
                <w:rFonts w:eastAsia="Times New Roman" w:cs="Times New Roman"/>
                <w:i/>
                <w:iCs/>
                <w:color w:val="000000"/>
                <w:sz w:val="20"/>
                <w:szCs w:val="20"/>
              </w:rPr>
            </w:pPr>
            <w:r>
              <w:rPr>
                <w:rFonts w:eastAsia="Times New Roman" w:cs="Times New Roman"/>
                <w:i/>
                <w:iCs/>
                <w:color w:val="000000"/>
                <w:sz w:val="20"/>
                <w:szCs w:val="20"/>
              </w:rPr>
              <w:t>0.188</w:t>
            </w:r>
          </w:p>
        </w:tc>
      </w:tr>
    </w:tbl>
    <w:p w14:paraId="5C197F26" w14:textId="77777777" w:rsidR="00E17C6B" w:rsidRPr="00E17C6B" w:rsidRDefault="00E17C6B" w:rsidP="00A91C1C">
      <w:pPr>
        <w:spacing w:after="240"/>
      </w:pPr>
    </w:p>
    <w:p w14:paraId="2ECAFFCE" w14:textId="5E4FDE8B" w:rsidR="00553F80" w:rsidRDefault="00820789" w:rsidP="00FD197B">
      <w:pPr>
        <w:ind w:left="720" w:firstLine="720"/>
        <w:jc w:val="both"/>
        <w:rPr>
          <w:rFonts w:eastAsiaTheme="minorEastAsia"/>
          <w:bCs/>
        </w:rPr>
      </w:pPr>
      <w:r>
        <w:rPr>
          <w:rFonts w:eastAsiaTheme="minorEastAsia"/>
          <w:bCs/>
        </w:rPr>
        <w:t>L</w:t>
      </w:r>
      <w:r w:rsidR="00570AE8">
        <w:rPr>
          <w:rFonts w:eastAsiaTheme="minorEastAsia"/>
          <w:bCs/>
        </w:rPr>
        <w:t>inear r</w:t>
      </w:r>
      <w:r w:rsidR="00B22F09">
        <w:rPr>
          <w:rFonts w:eastAsiaTheme="minorEastAsia"/>
          <w:bCs/>
        </w:rPr>
        <w:t xml:space="preserve">egression analyses </w:t>
      </w:r>
      <w:r w:rsidR="00903519">
        <w:rPr>
          <w:rFonts w:eastAsiaTheme="minorEastAsia"/>
          <w:bCs/>
        </w:rPr>
        <w:t>were used to examine</w:t>
      </w:r>
      <w:r>
        <w:rPr>
          <w:rFonts w:eastAsiaTheme="minorEastAsia"/>
          <w:bCs/>
        </w:rPr>
        <w:t xml:space="preserve"> </w:t>
      </w:r>
      <w:r w:rsidR="001F16A2">
        <w:rPr>
          <w:rFonts w:eastAsiaTheme="minorEastAsia"/>
          <w:bCs/>
        </w:rPr>
        <w:t xml:space="preserve">the statistical significance of </w:t>
      </w:r>
      <w:r w:rsidR="000D0A48">
        <w:rPr>
          <w:rFonts w:eastAsiaTheme="minorEastAsia"/>
          <w:bCs/>
        </w:rPr>
        <w:t xml:space="preserve">the </w:t>
      </w:r>
      <w:r w:rsidR="001F16A2">
        <w:rPr>
          <w:rFonts w:eastAsiaTheme="minorEastAsia"/>
          <w:bCs/>
        </w:rPr>
        <w:t>differences between various scan durations.</w:t>
      </w:r>
      <w:r>
        <w:rPr>
          <w:rFonts w:eastAsiaTheme="minorEastAsia"/>
          <w:bCs/>
        </w:rPr>
        <w:t xml:space="preserve"> The results are </w:t>
      </w:r>
      <w:r>
        <w:rPr>
          <w:rFonts w:eastAsiaTheme="minorEastAsia"/>
          <w:bCs/>
        </w:rPr>
        <w:lastRenderedPageBreak/>
        <w:t>illustrated in</w:t>
      </w:r>
      <w:r w:rsidR="00B22F09">
        <w:rPr>
          <w:rFonts w:eastAsiaTheme="minorEastAsia"/>
          <w:bCs/>
        </w:rPr>
        <w:t xml:space="preserve"> </w:t>
      </w:r>
      <w:r w:rsidR="00B22F09">
        <w:rPr>
          <w:rFonts w:eastAsiaTheme="minorEastAsia"/>
          <w:bCs/>
        </w:rPr>
        <w:fldChar w:fldCharType="begin"/>
      </w:r>
      <w:r w:rsidR="00B22F09">
        <w:rPr>
          <w:rFonts w:eastAsiaTheme="minorEastAsia"/>
          <w:bCs/>
        </w:rPr>
        <w:instrText xml:space="preserve"> REF _Ref442299762 \h </w:instrText>
      </w:r>
      <w:r w:rsidR="00B22F09">
        <w:rPr>
          <w:rFonts w:eastAsiaTheme="minorEastAsia"/>
          <w:bCs/>
        </w:rPr>
      </w:r>
      <w:r w:rsidR="00B22F09">
        <w:rPr>
          <w:rFonts w:eastAsiaTheme="minorEastAsia"/>
          <w:bCs/>
        </w:rPr>
        <w:fldChar w:fldCharType="separate"/>
      </w:r>
      <w:r w:rsidR="00E90148">
        <w:t xml:space="preserve">Figure </w:t>
      </w:r>
      <w:r w:rsidR="00E90148">
        <w:rPr>
          <w:noProof/>
        </w:rPr>
        <w:t>15</w:t>
      </w:r>
      <w:r w:rsidR="00B22F09">
        <w:rPr>
          <w:rFonts w:eastAsiaTheme="minorEastAsia"/>
          <w:bCs/>
        </w:rPr>
        <w:fldChar w:fldCharType="end"/>
      </w:r>
      <w:r w:rsidR="00B22F09">
        <w:rPr>
          <w:rFonts w:eastAsiaTheme="minorEastAsia"/>
          <w:bCs/>
        </w:rPr>
        <w:t xml:space="preserve"> and </w:t>
      </w:r>
      <w:r w:rsidR="00B22F09">
        <w:rPr>
          <w:rFonts w:eastAsiaTheme="minorEastAsia"/>
          <w:bCs/>
        </w:rPr>
        <w:fldChar w:fldCharType="begin"/>
      </w:r>
      <w:r w:rsidR="00B22F09">
        <w:rPr>
          <w:rFonts w:eastAsiaTheme="minorEastAsia"/>
          <w:bCs/>
        </w:rPr>
        <w:instrText xml:space="preserve"> REF _Ref442299794 \h </w:instrText>
      </w:r>
      <w:r w:rsidR="00B22F09">
        <w:rPr>
          <w:rFonts w:eastAsiaTheme="minorEastAsia"/>
          <w:bCs/>
        </w:rPr>
      </w:r>
      <w:r w:rsidR="00B22F09">
        <w:rPr>
          <w:rFonts w:eastAsiaTheme="minorEastAsia"/>
          <w:bCs/>
        </w:rPr>
        <w:fldChar w:fldCharType="separate"/>
      </w:r>
      <w:r w:rsidR="00E90148">
        <w:t xml:space="preserve">Figure </w:t>
      </w:r>
      <w:r w:rsidR="00E90148">
        <w:rPr>
          <w:noProof/>
        </w:rPr>
        <w:t>16</w:t>
      </w:r>
      <w:r w:rsidR="00B22F09">
        <w:rPr>
          <w:rFonts w:eastAsiaTheme="minorEastAsia"/>
          <w:bCs/>
        </w:rPr>
        <w:fldChar w:fldCharType="end"/>
      </w:r>
      <w:r w:rsidR="004A12F3">
        <w:rPr>
          <w:rFonts w:eastAsiaTheme="minorEastAsia"/>
          <w:bCs/>
        </w:rPr>
        <w:t xml:space="preserve"> for the OHC and SGB samples, respectively</w:t>
      </w:r>
      <w:r w:rsidR="00B22F09">
        <w:rPr>
          <w:rFonts w:eastAsiaTheme="minorEastAsia"/>
          <w:bCs/>
        </w:rPr>
        <w:t xml:space="preserve">. </w:t>
      </w:r>
      <w:r w:rsidR="00553F80">
        <w:rPr>
          <w:rFonts w:eastAsiaTheme="minorEastAsia"/>
          <w:bCs/>
        </w:rPr>
        <w:t xml:space="preserve">Regression line (a) is produced from all 60 second (30 - 30) scans, (b) is produced from all 60 second (15 - 45) scans, etc. Notice that there is virtually no difference between the four regression lines, further proving that longer scan durations are of little to no benefit. </w:t>
      </w:r>
      <w:r w:rsidR="00FD197B">
        <w:rPr>
          <w:rFonts w:eastAsiaTheme="minorEastAsia"/>
          <w:bCs/>
        </w:rPr>
        <w:t xml:space="preserve">Furthermore, the bounds of the confidence intervals, which the mean of each set of measurements is 95% likely to fall in between, encompass all of the combined trend lines of each of the four scan durations tested. This infers that scan durations are not statistically significant enough to be a variable of concern. </w:t>
      </w:r>
      <w:r w:rsidR="00553F80">
        <w:rPr>
          <w:rFonts w:eastAsiaTheme="minorEastAsia"/>
          <w:bCs/>
        </w:rPr>
        <w:t>This trend is observed for both OHC and SGB samples.</w:t>
      </w:r>
    </w:p>
    <w:p w14:paraId="01E551C5" w14:textId="77777777" w:rsidR="005C0288" w:rsidRDefault="005C0288" w:rsidP="00FD197B">
      <w:pPr>
        <w:jc w:val="both"/>
        <w:rPr>
          <w:rFonts w:eastAsiaTheme="minorEastAsia"/>
          <w:bCs/>
        </w:rPr>
      </w:pPr>
    </w:p>
    <w:p w14:paraId="0756B0FF" w14:textId="77777777" w:rsidR="007A54D6" w:rsidRDefault="007A54D6" w:rsidP="001F16A2">
      <w:pPr>
        <w:ind w:left="720" w:firstLine="720"/>
        <w:jc w:val="both"/>
        <w:rPr>
          <w:rFonts w:eastAsiaTheme="minorEastAsia"/>
          <w:bCs/>
        </w:rPr>
      </w:pPr>
    </w:p>
    <w:p w14:paraId="6304DBEB" w14:textId="77777777" w:rsidR="007A54D6" w:rsidRDefault="007A54D6" w:rsidP="001F16A2">
      <w:pPr>
        <w:ind w:left="720" w:firstLine="720"/>
        <w:jc w:val="both"/>
        <w:rPr>
          <w:rFonts w:eastAsiaTheme="minorEastAsia"/>
          <w:bCs/>
        </w:rPr>
      </w:pPr>
    </w:p>
    <w:p w14:paraId="3FA9A2EC" w14:textId="7F19C090" w:rsidR="00943A4F" w:rsidRDefault="007A54D6" w:rsidP="007A54D6">
      <w:pPr>
        <w:jc w:val="both"/>
        <w:rPr>
          <w:rFonts w:eastAsiaTheme="minorEastAsia"/>
          <w:bCs/>
        </w:rPr>
      </w:pPr>
      <w:r>
        <w:rPr>
          <w:rFonts w:eastAsiaTheme="minorEastAsia"/>
          <w:bCs/>
          <w:noProof/>
        </w:rPr>
        <w:lastRenderedPageBreak/>
        <w:drawing>
          <wp:inline distT="0" distB="0" distL="0" distR="0" wp14:anchorId="19FD4229" wp14:editId="4F771448">
            <wp:extent cx="5394960" cy="617601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Figure 16.png"/>
                    <pic:cNvPicPr/>
                  </pic:nvPicPr>
                  <pic:blipFill>
                    <a:blip r:embed="rId28">
                      <a:extLst>
                        <a:ext uri="{28A0092B-C50C-407E-A947-70E740481C1C}">
                          <a14:useLocalDpi xmlns:a14="http://schemas.microsoft.com/office/drawing/2010/main" val="0"/>
                        </a:ext>
                      </a:extLst>
                    </a:blip>
                    <a:stretch>
                      <a:fillRect/>
                    </a:stretch>
                  </pic:blipFill>
                  <pic:spPr>
                    <a:xfrm>
                      <a:off x="0" y="0"/>
                      <a:ext cx="5394960" cy="6176010"/>
                    </a:xfrm>
                    <a:prstGeom prst="rect">
                      <a:avLst/>
                    </a:prstGeom>
                  </pic:spPr>
                </pic:pic>
              </a:graphicData>
            </a:graphic>
          </wp:inline>
        </w:drawing>
      </w:r>
    </w:p>
    <w:p w14:paraId="75E36607" w14:textId="1AAFD392" w:rsidR="00B22F09" w:rsidRDefault="00B22F09" w:rsidP="00943A4F">
      <w:pPr>
        <w:pStyle w:val="Caption"/>
        <w:spacing w:line="480" w:lineRule="auto"/>
      </w:pPr>
      <w:bookmarkStart w:id="58" w:name="_Ref442299762"/>
      <w:bookmarkStart w:id="59" w:name="_Ref442299742"/>
      <w:bookmarkStart w:id="60" w:name="_Toc447755353"/>
      <w:r>
        <w:t xml:space="preserve">Figure </w:t>
      </w:r>
      <w:r w:rsidR="00184FC2">
        <w:fldChar w:fldCharType="begin"/>
      </w:r>
      <w:r w:rsidR="00184FC2">
        <w:instrText xml:space="preserve"> SEQ Figure \* ARABIC </w:instrText>
      </w:r>
      <w:r w:rsidR="00184FC2">
        <w:fldChar w:fldCharType="separate"/>
      </w:r>
      <w:r w:rsidR="00E90148">
        <w:rPr>
          <w:noProof/>
        </w:rPr>
        <w:t>15</w:t>
      </w:r>
      <w:r w:rsidR="00184FC2">
        <w:rPr>
          <w:noProof/>
        </w:rPr>
        <w:fldChar w:fldCharType="end"/>
      </w:r>
      <w:bookmarkEnd w:id="58"/>
      <w:r>
        <w:t>: Effects of Various Scan Durations on Precision and Accuracy of S1 Titan</w:t>
      </w:r>
      <w:bookmarkEnd w:id="59"/>
      <w:r>
        <w:t xml:space="preserve"> PHXRF Device for (a) </w:t>
      </w:r>
      <w:r w:rsidR="00D770ED">
        <w:t>60 Second</w:t>
      </w:r>
      <w:r w:rsidR="009B573C">
        <w:t xml:space="preserve"> (30</w:t>
      </w:r>
      <w:r w:rsidR="00943A4F">
        <w:t xml:space="preserve"> </w:t>
      </w:r>
      <w:r w:rsidR="009B573C">
        <w:t>-</w:t>
      </w:r>
      <w:r w:rsidR="00943A4F">
        <w:t xml:space="preserve"> </w:t>
      </w:r>
      <w:r w:rsidR="009B573C">
        <w:t>30)</w:t>
      </w:r>
      <w:r>
        <w:t xml:space="preserve">, (b) </w:t>
      </w:r>
      <w:r w:rsidR="00D770ED">
        <w:t>60 Second</w:t>
      </w:r>
      <w:r w:rsidR="009B573C">
        <w:t xml:space="preserve"> (15</w:t>
      </w:r>
      <w:r w:rsidR="00943A4F">
        <w:t xml:space="preserve"> </w:t>
      </w:r>
      <w:r w:rsidR="009B573C">
        <w:t>-</w:t>
      </w:r>
      <w:r w:rsidR="00943A4F">
        <w:t xml:space="preserve"> </w:t>
      </w:r>
      <w:r w:rsidR="009B573C">
        <w:t>45),</w:t>
      </w:r>
      <w:r>
        <w:t xml:space="preserve"> (c) </w:t>
      </w:r>
      <w:r w:rsidR="00D770ED">
        <w:t>75 Second</w:t>
      </w:r>
      <w:r w:rsidR="009B573C">
        <w:t xml:space="preserve"> (15</w:t>
      </w:r>
      <w:r w:rsidR="00943A4F">
        <w:t xml:space="preserve"> </w:t>
      </w:r>
      <w:r w:rsidR="009B573C">
        <w:t>-60)</w:t>
      </w:r>
      <w:r>
        <w:t xml:space="preserve">, and (d) </w:t>
      </w:r>
      <w:r w:rsidR="00D770ED">
        <w:t>135 Second</w:t>
      </w:r>
      <w:r>
        <w:t xml:space="preserve"> </w:t>
      </w:r>
      <w:r w:rsidR="00D770ED">
        <w:t>(15</w:t>
      </w:r>
      <w:r w:rsidR="00943A4F">
        <w:t xml:space="preserve"> </w:t>
      </w:r>
      <w:r w:rsidR="00D770ED">
        <w:t>-</w:t>
      </w:r>
      <w:r w:rsidR="00943A4F">
        <w:t xml:space="preserve"> </w:t>
      </w:r>
      <w:r w:rsidR="00D770ED">
        <w:t xml:space="preserve">120) Scan Durations </w:t>
      </w:r>
      <w:r>
        <w:t>on OHC samples.</w:t>
      </w:r>
      <w:bookmarkEnd w:id="60"/>
    </w:p>
    <w:p w14:paraId="112B27FC" w14:textId="57766F0D" w:rsidR="00943A4F" w:rsidRPr="00943A4F" w:rsidRDefault="007A54D6" w:rsidP="00943A4F">
      <w:r>
        <w:rPr>
          <w:noProof/>
        </w:rPr>
        <w:lastRenderedPageBreak/>
        <w:drawing>
          <wp:inline distT="0" distB="0" distL="0" distR="0" wp14:anchorId="758F2687" wp14:editId="536CC30A">
            <wp:extent cx="5486400" cy="6241297"/>
            <wp:effectExtent l="0" t="0" r="0" b="762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Figure 17.png"/>
                    <pic:cNvPicPr/>
                  </pic:nvPicPr>
                  <pic:blipFill>
                    <a:blip r:embed="rId29">
                      <a:extLst>
                        <a:ext uri="{28A0092B-C50C-407E-A947-70E740481C1C}">
                          <a14:useLocalDpi xmlns:a14="http://schemas.microsoft.com/office/drawing/2010/main" val="0"/>
                        </a:ext>
                      </a:extLst>
                    </a:blip>
                    <a:stretch>
                      <a:fillRect/>
                    </a:stretch>
                  </pic:blipFill>
                  <pic:spPr>
                    <a:xfrm>
                      <a:off x="0" y="0"/>
                      <a:ext cx="5486400" cy="6241297"/>
                    </a:xfrm>
                    <a:prstGeom prst="rect">
                      <a:avLst/>
                    </a:prstGeom>
                  </pic:spPr>
                </pic:pic>
              </a:graphicData>
            </a:graphic>
          </wp:inline>
        </w:drawing>
      </w:r>
    </w:p>
    <w:p w14:paraId="0CE90401" w14:textId="3DDD45F1" w:rsidR="006306FE" w:rsidRDefault="00B22F09" w:rsidP="001261AB">
      <w:pPr>
        <w:pStyle w:val="Caption"/>
        <w:spacing w:line="480" w:lineRule="auto"/>
      </w:pPr>
      <w:bookmarkStart w:id="61" w:name="_Ref442299794"/>
      <w:bookmarkStart w:id="62" w:name="_Ref442299745"/>
      <w:bookmarkStart w:id="63" w:name="_Toc447755354"/>
      <w:r>
        <w:t xml:space="preserve">Figure </w:t>
      </w:r>
      <w:r w:rsidR="00184FC2">
        <w:fldChar w:fldCharType="begin"/>
      </w:r>
      <w:r w:rsidR="00184FC2">
        <w:instrText xml:space="preserve"> SEQ Figure \* ARABIC </w:instrText>
      </w:r>
      <w:r w:rsidR="00184FC2">
        <w:fldChar w:fldCharType="separate"/>
      </w:r>
      <w:r w:rsidR="00E90148">
        <w:rPr>
          <w:noProof/>
        </w:rPr>
        <w:t>16</w:t>
      </w:r>
      <w:r w:rsidR="00184FC2">
        <w:rPr>
          <w:noProof/>
        </w:rPr>
        <w:fldChar w:fldCharType="end"/>
      </w:r>
      <w:bookmarkEnd w:id="61"/>
      <w:r>
        <w:t xml:space="preserve">: </w:t>
      </w:r>
      <w:bookmarkEnd w:id="62"/>
      <w:r w:rsidR="00D770ED">
        <w:t>Effects of Various Scan Durations on Precision and Accuracy of S1 Titan PHXRF Device for (a) 60 Second (30</w:t>
      </w:r>
      <w:r w:rsidR="00FD197B">
        <w:t xml:space="preserve"> </w:t>
      </w:r>
      <w:r w:rsidR="00D770ED">
        <w:t>-</w:t>
      </w:r>
      <w:r w:rsidR="00FD197B">
        <w:t xml:space="preserve"> </w:t>
      </w:r>
      <w:r w:rsidR="00D770ED">
        <w:t>30), (b) 60 Second (15</w:t>
      </w:r>
      <w:r w:rsidR="00FD197B">
        <w:t xml:space="preserve"> </w:t>
      </w:r>
      <w:r w:rsidR="00D770ED">
        <w:t>-</w:t>
      </w:r>
      <w:r w:rsidR="00FD197B">
        <w:t xml:space="preserve"> </w:t>
      </w:r>
      <w:r w:rsidR="00D770ED">
        <w:t>45), (c) 75 Second (15</w:t>
      </w:r>
      <w:r w:rsidR="00FD197B">
        <w:t xml:space="preserve"> </w:t>
      </w:r>
      <w:r w:rsidR="00D770ED">
        <w:t>-</w:t>
      </w:r>
      <w:r w:rsidR="00FD197B">
        <w:t xml:space="preserve"> </w:t>
      </w:r>
      <w:r w:rsidR="00D770ED">
        <w:t>60), and (d) 135 Second (15</w:t>
      </w:r>
      <w:r w:rsidR="00FD197B">
        <w:t xml:space="preserve"> </w:t>
      </w:r>
      <w:r w:rsidR="00D770ED">
        <w:t>-</w:t>
      </w:r>
      <w:r w:rsidR="00FD197B">
        <w:t xml:space="preserve"> </w:t>
      </w:r>
      <w:r w:rsidR="00D770ED">
        <w:t>120) Scan Durations on SGB samples.</w:t>
      </w:r>
      <w:bookmarkEnd w:id="63"/>
    </w:p>
    <w:p w14:paraId="72D12844" w14:textId="77777777" w:rsidR="007A54D6" w:rsidRDefault="007A54D6" w:rsidP="007A54D6"/>
    <w:p w14:paraId="5D02AA38" w14:textId="77777777" w:rsidR="007A54D6" w:rsidRPr="007A54D6" w:rsidRDefault="007A54D6" w:rsidP="007A54D6"/>
    <w:p w14:paraId="0E550DE5" w14:textId="77777777" w:rsidR="00664A62" w:rsidRDefault="00664A62" w:rsidP="00664A62">
      <w:pPr>
        <w:ind w:firstLine="720"/>
        <w:jc w:val="both"/>
        <w:rPr>
          <w:rFonts w:eastAsiaTheme="minorEastAsia"/>
          <w:b/>
        </w:rPr>
      </w:pPr>
      <w:r>
        <w:rPr>
          <w:rFonts w:eastAsiaTheme="minorEastAsia"/>
          <w:b/>
        </w:rPr>
        <w:lastRenderedPageBreak/>
        <w:t>4.2.4 Scan Technique</w:t>
      </w:r>
    </w:p>
    <w:p w14:paraId="7002CB14" w14:textId="77777777" w:rsidR="00664A62" w:rsidRDefault="00664A62" w:rsidP="00664A62">
      <w:pPr>
        <w:ind w:left="720" w:firstLine="720"/>
        <w:jc w:val="both"/>
        <w:rPr>
          <w:rFonts w:eastAsiaTheme="minorEastAsia"/>
          <w:bCs/>
        </w:rPr>
      </w:pPr>
      <w:r>
        <w:rPr>
          <w:rFonts w:eastAsiaTheme="minorEastAsia"/>
          <w:bCs/>
        </w:rPr>
        <w:t xml:space="preserve">Scan technique appears to play a sizable role in the precision of PHXRF </w:t>
      </w:r>
      <m:oMath>
        <m:r>
          <w:rPr>
            <w:rFonts w:ascii="Cambria Math" w:eastAsiaTheme="minorEastAsia" w:hAnsi="Cambria Math"/>
          </w:rPr>
          <m:t>SC</m:t>
        </m:r>
      </m:oMath>
      <w:r>
        <w:rPr>
          <w:rFonts w:eastAsiaTheme="minorEastAsia"/>
          <w:bCs/>
        </w:rPr>
        <w:t xml:space="preserve"> measurements, but little to no role regarding accuracy. Disparities in precision are more pronounced in S1 Titan measurements as opposed to Niton XL3t ones. Accuracy was hardly affected, and no clear trends are able to be drawn from the data. </w:t>
      </w:r>
    </w:p>
    <w:p w14:paraId="3635A3A5" w14:textId="10DD7B53" w:rsidR="00664A62" w:rsidRDefault="00664A62" w:rsidP="004F4E9A">
      <w:pPr>
        <w:ind w:left="720" w:firstLine="720"/>
        <w:jc w:val="both"/>
        <w:rPr>
          <w:rFonts w:eastAsiaTheme="minorEastAsia"/>
          <w:bCs/>
        </w:rPr>
      </w:pPr>
      <w:r>
        <w:rPr>
          <w:rFonts w:eastAsiaTheme="minorEastAsia"/>
          <w:bCs/>
        </w:rPr>
        <w:t>As seen in</w:t>
      </w:r>
      <w:r w:rsidR="004F4E9A">
        <w:rPr>
          <w:rFonts w:eastAsiaTheme="minorEastAsia"/>
          <w:bCs/>
        </w:rPr>
        <w:t xml:space="preserve"> </w:t>
      </w:r>
      <w:r w:rsidR="004F4E9A">
        <w:rPr>
          <w:rFonts w:eastAsiaTheme="minorEastAsia"/>
          <w:bCs/>
        </w:rPr>
        <w:fldChar w:fldCharType="begin"/>
      </w:r>
      <w:r w:rsidR="004F4E9A">
        <w:rPr>
          <w:rFonts w:eastAsiaTheme="minorEastAsia"/>
          <w:bCs/>
        </w:rPr>
        <w:instrText xml:space="preserve"> REF _Ref447754175 \h </w:instrText>
      </w:r>
      <w:r w:rsidR="004F4E9A">
        <w:rPr>
          <w:rFonts w:eastAsiaTheme="minorEastAsia"/>
          <w:bCs/>
        </w:rPr>
      </w:r>
      <w:r w:rsidR="004F4E9A">
        <w:rPr>
          <w:rFonts w:eastAsiaTheme="minorEastAsia"/>
          <w:bCs/>
        </w:rPr>
        <w:fldChar w:fldCharType="separate"/>
      </w:r>
      <w:r w:rsidR="00E90148">
        <w:t xml:space="preserve">Table </w:t>
      </w:r>
      <w:r w:rsidR="00E90148">
        <w:rPr>
          <w:noProof/>
        </w:rPr>
        <w:t>8</w:t>
      </w:r>
      <w:r w:rsidR="004F4E9A">
        <w:rPr>
          <w:rFonts w:eastAsiaTheme="minorEastAsia"/>
          <w:bCs/>
        </w:rPr>
        <w:fldChar w:fldCharType="end"/>
      </w:r>
      <w:r>
        <w:rPr>
          <w:rFonts w:eastAsiaTheme="minorEastAsia"/>
          <w:bCs/>
        </w:rPr>
        <w:t>, scanning powder OHC samples with a standard technique as opposed to a quartering technique yields significant benefits with regards to precision for the S1 Titan. STDEV decreases by 0.225% as a result, which is the most substantial change in STDEV observed in this research. The large change in COV</w:t>
      </w:r>
      <w:r>
        <w:rPr>
          <w:rFonts w:eastAsiaTheme="minorEastAsia"/>
          <w:bCs/>
          <w:vertAlign w:val="subscript"/>
        </w:rPr>
        <w:t>STDEV</w:t>
      </w:r>
      <w:r w:rsidR="001E7442">
        <w:rPr>
          <w:rFonts w:eastAsiaTheme="minorEastAsia"/>
          <w:bCs/>
        </w:rPr>
        <w:t xml:space="preserve"> for the S1 Titan prove the significance of this increase in precision</w:t>
      </w:r>
      <w:r>
        <w:rPr>
          <w:rFonts w:eastAsiaTheme="minorEastAsia"/>
          <w:bCs/>
        </w:rPr>
        <w:t>. In contrast, RMSD is barely affected by different scan techniques. Only small differences in the second and third decimal places of the RMSD are observed.</w:t>
      </w:r>
    </w:p>
    <w:p w14:paraId="42D3C1A4" w14:textId="77777777" w:rsidR="00664A62" w:rsidRPr="00803601" w:rsidRDefault="00664A62" w:rsidP="00664A62">
      <w:pPr>
        <w:ind w:left="720" w:firstLine="720"/>
        <w:jc w:val="both"/>
      </w:pPr>
    </w:p>
    <w:p w14:paraId="50B87C1B" w14:textId="77777777" w:rsidR="00664A62" w:rsidRDefault="00664A62" w:rsidP="00664A62">
      <w:pPr>
        <w:pStyle w:val="Caption"/>
        <w:spacing w:line="480" w:lineRule="auto"/>
        <w:ind w:left="1080" w:right="936"/>
      </w:pPr>
      <w:bookmarkStart w:id="64" w:name="_Ref447754175"/>
      <w:bookmarkStart w:id="65" w:name="_Toc447755328"/>
      <w:r>
        <w:t xml:space="preserve">Table </w:t>
      </w:r>
      <w:r w:rsidR="00184FC2">
        <w:fldChar w:fldCharType="begin"/>
      </w:r>
      <w:r w:rsidR="00184FC2">
        <w:instrText xml:space="preserve"> SEQ Table \* ARABIC </w:instrText>
      </w:r>
      <w:r w:rsidR="00184FC2">
        <w:fldChar w:fldCharType="separate"/>
      </w:r>
      <w:r w:rsidR="00E90148">
        <w:rPr>
          <w:noProof/>
        </w:rPr>
        <w:t>8</w:t>
      </w:r>
      <w:r w:rsidR="00184FC2">
        <w:rPr>
          <w:noProof/>
        </w:rPr>
        <w:fldChar w:fldCharType="end"/>
      </w:r>
      <w:bookmarkEnd w:id="64"/>
      <w:r>
        <w:t>: Effects of Scan Technique on STDEV, COV</w:t>
      </w:r>
      <w:r>
        <w:rPr>
          <w:vertAlign w:val="subscript"/>
        </w:rPr>
        <w:t>STDEV</w:t>
      </w:r>
      <w:r>
        <w:t>, RMSD, and COV</w:t>
      </w:r>
      <w:r>
        <w:rPr>
          <w:vertAlign w:val="subscript"/>
        </w:rPr>
        <w:t>RMSD</w:t>
      </w:r>
      <w:r>
        <w:t xml:space="preserve"> for OHC Samples</w:t>
      </w:r>
      <w:bookmarkEnd w:id="65"/>
    </w:p>
    <w:tbl>
      <w:tblPr>
        <w:tblW w:w="750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2"/>
        <w:gridCol w:w="1728"/>
        <w:gridCol w:w="720"/>
        <w:gridCol w:w="1152"/>
        <w:gridCol w:w="1152"/>
        <w:gridCol w:w="1152"/>
        <w:gridCol w:w="1152"/>
      </w:tblGrid>
      <w:tr w:rsidR="00664A62" w:rsidRPr="00B1453E" w14:paraId="4DC7A655" w14:textId="77777777" w:rsidTr="00E34344">
        <w:trPr>
          <w:trHeight w:val="600"/>
          <w:jc w:val="center"/>
        </w:trPr>
        <w:tc>
          <w:tcPr>
            <w:tcW w:w="452" w:type="dxa"/>
            <w:tcBorders>
              <w:top w:val="nil"/>
              <w:left w:val="nil"/>
              <w:bottom w:val="single" w:sz="4" w:space="0" w:color="auto"/>
              <w:right w:val="single" w:sz="4" w:space="0" w:color="auto"/>
            </w:tcBorders>
            <w:shd w:val="clear" w:color="auto" w:fill="auto"/>
            <w:vAlign w:val="center"/>
          </w:tcPr>
          <w:p w14:paraId="507DF53E" w14:textId="77777777" w:rsidR="00664A62" w:rsidRPr="00B1453E" w:rsidRDefault="00664A62" w:rsidP="00E34344">
            <w:pPr>
              <w:spacing w:line="240" w:lineRule="auto"/>
              <w:rPr>
                <w:rFonts w:eastAsia="Times New Roman" w:cs="Times New Roman"/>
                <w:i/>
                <w:iCs/>
                <w:color w:val="000000"/>
                <w:sz w:val="22"/>
                <w:szCs w:val="22"/>
              </w:rPr>
            </w:pPr>
          </w:p>
        </w:tc>
        <w:tc>
          <w:tcPr>
            <w:tcW w:w="172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0B3638C6" w14:textId="77777777" w:rsidR="00664A62" w:rsidRPr="00B1453E"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Scan Technique</w:t>
            </w:r>
          </w:p>
        </w:tc>
        <w:tc>
          <w:tcPr>
            <w:tcW w:w="720" w:type="dxa"/>
            <w:tcBorders>
              <w:top w:val="single" w:sz="4" w:space="0" w:color="auto"/>
              <w:left w:val="nil"/>
              <w:bottom w:val="single" w:sz="4" w:space="0" w:color="auto"/>
              <w:right w:val="nil"/>
            </w:tcBorders>
            <w:shd w:val="clear" w:color="auto" w:fill="BFBFBF" w:themeFill="background1" w:themeFillShade="BF"/>
            <w:vAlign w:val="center"/>
          </w:tcPr>
          <w:p w14:paraId="3A2CB0F6" w14:textId="77777777" w:rsidR="00664A62"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5F8DAD93" w14:textId="77777777" w:rsidR="00664A62" w:rsidRPr="00B1453E"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B1453E">
              <w:rPr>
                <w:rFonts w:eastAsia="Times New Roman" w:cs="Times New Roman"/>
                <w:i/>
                <w:iCs/>
                <w:color w:val="000000"/>
                <w:sz w:val="22"/>
                <w:szCs w:val="22"/>
              </w:rPr>
              <w:t xml:space="preserve">    </w:t>
            </w:r>
            <w:r>
              <w:rPr>
                <w:rFonts w:eastAsia="Times New Roman" w:cs="Times New Roman"/>
                <w:i/>
                <w:iCs/>
                <w:color w:val="000000"/>
                <w:sz w:val="22"/>
                <w:szCs w:val="22"/>
              </w:rPr>
              <w:t xml:space="preserve">              </w:t>
            </w:r>
            <w:r w:rsidRPr="00B1453E">
              <w:rPr>
                <w:rFonts w:eastAsia="Times New Roman" w:cs="Times New Roman"/>
                <w:i/>
                <w:iCs/>
                <w:color w:val="000000"/>
                <w:sz w:val="22"/>
                <w:szCs w:val="22"/>
              </w:rPr>
              <w:t>(%)</w:t>
            </w:r>
          </w:p>
        </w:tc>
        <w:tc>
          <w:tcPr>
            <w:tcW w:w="1152" w:type="dxa"/>
            <w:tcBorders>
              <w:top w:val="single" w:sz="4" w:space="0" w:color="auto"/>
              <w:left w:val="nil"/>
              <w:bottom w:val="single" w:sz="4" w:space="0" w:color="auto"/>
              <w:right w:val="nil"/>
            </w:tcBorders>
            <w:shd w:val="clear" w:color="auto" w:fill="BFBFBF" w:themeFill="background1" w:themeFillShade="BF"/>
            <w:vAlign w:val="center"/>
          </w:tcPr>
          <w:p w14:paraId="5948C2EF" w14:textId="77777777" w:rsidR="00664A62" w:rsidRPr="00B1453E"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576B1F31" w14:textId="77777777" w:rsidR="00664A62" w:rsidRPr="00B1453E" w:rsidRDefault="00664A62" w:rsidP="00E34344">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RMSD         (%)</w:t>
            </w:r>
          </w:p>
        </w:tc>
        <w:tc>
          <w:tcPr>
            <w:tcW w:w="115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39888DF" w14:textId="77777777" w:rsidR="00664A62" w:rsidRPr="00B1453E"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p>
        </w:tc>
      </w:tr>
      <w:tr w:rsidR="00664A62" w:rsidRPr="00B1453E" w14:paraId="20137756" w14:textId="77777777" w:rsidTr="00E34344">
        <w:trPr>
          <w:cantSplit/>
          <w:trHeight w:val="590"/>
          <w:jc w:val="center"/>
        </w:trPr>
        <w:tc>
          <w:tcPr>
            <w:tcW w:w="4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7F44E41D" w14:textId="77777777" w:rsidR="00664A62" w:rsidRPr="00B1453E" w:rsidRDefault="00664A62" w:rsidP="00E34344">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S1 Titan</w:t>
            </w:r>
          </w:p>
        </w:tc>
        <w:tc>
          <w:tcPr>
            <w:tcW w:w="1728" w:type="dxa"/>
            <w:tcBorders>
              <w:top w:val="single" w:sz="4" w:space="0" w:color="auto"/>
              <w:left w:val="single" w:sz="4" w:space="0" w:color="auto"/>
              <w:bottom w:val="nil"/>
              <w:right w:val="nil"/>
            </w:tcBorders>
            <w:shd w:val="clear" w:color="auto" w:fill="auto"/>
            <w:noWrap/>
            <w:vAlign w:val="center"/>
            <w:hideMark/>
          </w:tcPr>
          <w:p w14:paraId="10F0398E"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Standard</w:t>
            </w:r>
          </w:p>
        </w:tc>
        <w:tc>
          <w:tcPr>
            <w:tcW w:w="720" w:type="dxa"/>
            <w:tcBorders>
              <w:top w:val="single" w:sz="4" w:space="0" w:color="auto"/>
              <w:left w:val="nil"/>
              <w:bottom w:val="nil"/>
              <w:right w:val="dashed" w:sz="4" w:space="0" w:color="auto"/>
            </w:tcBorders>
            <w:vAlign w:val="center"/>
          </w:tcPr>
          <w:p w14:paraId="6ADCAA5D" w14:textId="77777777" w:rsidR="00664A62" w:rsidRPr="00A45898"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240</w:t>
            </w:r>
          </w:p>
        </w:tc>
        <w:tc>
          <w:tcPr>
            <w:tcW w:w="1152" w:type="dxa"/>
            <w:tcBorders>
              <w:top w:val="single" w:sz="4" w:space="0" w:color="auto"/>
              <w:left w:val="dashed" w:sz="4" w:space="0" w:color="auto"/>
              <w:bottom w:val="nil"/>
            </w:tcBorders>
            <w:shd w:val="clear" w:color="auto" w:fill="auto"/>
            <w:noWrap/>
            <w:vAlign w:val="center"/>
            <w:hideMark/>
          </w:tcPr>
          <w:p w14:paraId="2E80B151" w14:textId="77777777" w:rsidR="00664A62" w:rsidRPr="00B1453E" w:rsidRDefault="00664A62" w:rsidP="00E34344">
            <w:pPr>
              <w:spacing w:line="240" w:lineRule="auto"/>
              <w:rPr>
                <w:rFonts w:eastAsia="Times New Roman" w:cs="Times New Roman"/>
                <w:i/>
                <w:iCs/>
                <w:color w:val="000000"/>
                <w:sz w:val="20"/>
                <w:szCs w:val="20"/>
              </w:rPr>
            </w:pPr>
            <w:r w:rsidRPr="00F44302">
              <w:rPr>
                <w:rFonts w:eastAsia="Times New Roman" w:cs="Times New Roman"/>
                <w:b/>
                <w:bCs/>
                <w:i/>
                <w:iCs/>
                <w:color w:val="000000"/>
                <w:sz w:val="20"/>
                <w:szCs w:val="20"/>
              </w:rPr>
              <w:t>0.029</w:t>
            </w:r>
          </w:p>
        </w:tc>
        <w:tc>
          <w:tcPr>
            <w:tcW w:w="1152" w:type="dxa"/>
            <w:tcBorders>
              <w:top w:val="single" w:sz="4" w:space="0" w:color="auto"/>
              <w:bottom w:val="nil"/>
              <w:right w:val="dashed" w:sz="4" w:space="0" w:color="auto"/>
            </w:tcBorders>
            <w:shd w:val="clear" w:color="auto" w:fill="auto"/>
            <w:vAlign w:val="center"/>
          </w:tcPr>
          <w:p w14:paraId="1A1F29E6"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0.001</w:t>
            </w:r>
          </w:p>
        </w:tc>
        <w:tc>
          <w:tcPr>
            <w:tcW w:w="1152" w:type="dxa"/>
            <w:tcBorders>
              <w:top w:val="single" w:sz="4" w:space="0" w:color="auto"/>
              <w:left w:val="dashed" w:sz="4" w:space="0" w:color="auto"/>
              <w:bottom w:val="nil"/>
            </w:tcBorders>
            <w:shd w:val="clear" w:color="auto" w:fill="auto"/>
            <w:noWrap/>
            <w:vAlign w:val="center"/>
            <w:hideMark/>
          </w:tcPr>
          <w:p w14:paraId="38971C3F"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2.153</w:t>
            </w:r>
          </w:p>
        </w:tc>
        <w:tc>
          <w:tcPr>
            <w:tcW w:w="1152" w:type="dxa"/>
            <w:tcBorders>
              <w:top w:val="single" w:sz="4" w:space="0" w:color="auto"/>
              <w:bottom w:val="nil"/>
            </w:tcBorders>
            <w:shd w:val="clear" w:color="auto" w:fill="auto"/>
            <w:vAlign w:val="center"/>
          </w:tcPr>
          <w:p w14:paraId="18235F80"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0.133</w:t>
            </w:r>
          </w:p>
        </w:tc>
      </w:tr>
      <w:tr w:rsidR="00664A62" w:rsidRPr="00B1453E" w14:paraId="2CB49A6B" w14:textId="77777777" w:rsidTr="00E34344">
        <w:trPr>
          <w:trHeight w:val="590"/>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25D5DCCF" w14:textId="77777777" w:rsidR="00664A62" w:rsidRPr="00B1453E" w:rsidRDefault="00664A62" w:rsidP="00E34344">
            <w:pPr>
              <w:spacing w:line="240" w:lineRule="auto"/>
              <w:rPr>
                <w:rFonts w:eastAsia="Times New Roman" w:cs="Times New Roman"/>
                <w:i/>
                <w:iCs/>
                <w:color w:val="000000"/>
                <w:sz w:val="20"/>
                <w:szCs w:val="20"/>
              </w:rPr>
            </w:pPr>
          </w:p>
        </w:tc>
        <w:tc>
          <w:tcPr>
            <w:tcW w:w="1728" w:type="dxa"/>
            <w:tcBorders>
              <w:top w:val="nil"/>
              <w:left w:val="single" w:sz="4" w:space="0" w:color="auto"/>
              <w:bottom w:val="dashed" w:sz="4" w:space="0" w:color="auto"/>
              <w:right w:val="nil"/>
            </w:tcBorders>
            <w:shd w:val="clear" w:color="auto" w:fill="F2F2F2" w:themeFill="background1" w:themeFillShade="F2"/>
            <w:noWrap/>
            <w:vAlign w:val="center"/>
            <w:hideMark/>
          </w:tcPr>
          <w:p w14:paraId="1884BE61"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Quartering</w:t>
            </w:r>
          </w:p>
        </w:tc>
        <w:tc>
          <w:tcPr>
            <w:tcW w:w="720" w:type="dxa"/>
            <w:tcBorders>
              <w:top w:val="nil"/>
              <w:left w:val="nil"/>
              <w:bottom w:val="dashed" w:sz="4" w:space="0" w:color="auto"/>
              <w:right w:val="dashed" w:sz="4" w:space="0" w:color="auto"/>
            </w:tcBorders>
            <w:shd w:val="clear" w:color="auto" w:fill="F2F2F2" w:themeFill="background1" w:themeFillShade="F2"/>
            <w:vAlign w:val="center"/>
          </w:tcPr>
          <w:p w14:paraId="37884629" w14:textId="77777777" w:rsidR="00664A62" w:rsidRPr="00A45898"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72</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01F87235" w14:textId="77777777" w:rsidR="00664A62" w:rsidRPr="008E61F5" w:rsidRDefault="00664A62" w:rsidP="00E34344">
            <w:pPr>
              <w:spacing w:line="240" w:lineRule="auto"/>
              <w:rPr>
                <w:rFonts w:eastAsia="Times New Roman" w:cs="Times New Roman"/>
                <w:b/>
                <w:bCs/>
                <w:i/>
                <w:iCs/>
                <w:color w:val="000000"/>
                <w:sz w:val="20"/>
                <w:szCs w:val="20"/>
              </w:rPr>
            </w:pPr>
            <w:r w:rsidRPr="00F44302">
              <w:rPr>
                <w:rFonts w:eastAsia="Times New Roman" w:cs="Times New Roman"/>
                <w:i/>
                <w:iCs/>
                <w:color w:val="000000"/>
                <w:sz w:val="20"/>
                <w:szCs w:val="20"/>
              </w:rPr>
              <w:t>0.254</w:t>
            </w:r>
          </w:p>
        </w:tc>
        <w:tc>
          <w:tcPr>
            <w:tcW w:w="1152" w:type="dxa"/>
            <w:tcBorders>
              <w:top w:val="nil"/>
              <w:bottom w:val="dashed" w:sz="4" w:space="0" w:color="auto"/>
              <w:right w:val="dashed" w:sz="4" w:space="0" w:color="auto"/>
            </w:tcBorders>
            <w:shd w:val="clear" w:color="auto" w:fill="F2F2F2" w:themeFill="background1" w:themeFillShade="F2"/>
            <w:vAlign w:val="center"/>
          </w:tcPr>
          <w:p w14:paraId="33421087" w14:textId="77777777" w:rsidR="00664A62" w:rsidRPr="00050F6A" w:rsidRDefault="00664A62" w:rsidP="00E34344">
            <w:pPr>
              <w:spacing w:line="240" w:lineRule="auto"/>
              <w:rPr>
                <w:rFonts w:eastAsia="Times New Roman" w:cs="Times New Roman"/>
                <w:b/>
                <w:bCs/>
                <w:i/>
                <w:iCs/>
                <w:color w:val="000000"/>
                <w:sz w:val="20"/>
                <w:szCs w:val="20"/>
              </w:rPr>
            </w:pPr>
            <w:r w:rsidRPr="00F44302">
              <w:rPr>
                <w:rFonts w:eastAsia="Times New Roman" w:cs="Times New Roman"/>
                <w:i/>
                <w:iCs/>
                <w:color w:val="000000"/>
                <w:sz w:val="20"/>
                <w:szCs w:val="20"/>
              </w:rPr>
              <w:t>0.015</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0880EA82" w14:textId="77777777" w:rsidR="00664A62" w:rsidRPr="008E61F5"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2.172</w:t>
            </w:r>
          </w:p>
        </w:tc>
        <w:tc>
          <w:tcPr>
            <w:tcW w:w="1152" w:type="dxa"/>
            <w:tcBorders>
              <w:top w:val="nil"/>
              <w:bottom w:val="dashed" w:sz="4" w:space="0" w:color="auto"/>
            </w:tcBorders>
            <w:shd w:val="clear" w:color="auto" w:fill="F2F2F2" w:themeFill="background1" w:themeFillShade="F2"/>
            <w:vAlign w:val="center"/>
          </w:tcPr>
          <w:p w14:paraId="54B13113"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0.140</w:t>
            </w:r>
          </w:p>
        </w:tc>
      </w:tr>
      <w:tr w:rsidR="00664A62" w:rsidRPr="00B1453E" w14:paraId="42CD7929" w14:textId="77777777" w:rsidTr="00E34344">
        <w:trPr>
          <w:cantSplit/>
          <w:trHeight w:val="590"/>
          <w:jc w:val="center"/>
        </w:trPr>
        <w:tc>
          <w:tcPr>
            <w:tcW w:w="452" w:type="dxa"/>
            <w:vMerge w:val="restart"/>
            <w:tcBorders>
              <w:top w:val="dashed"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2794BFA8" w14:textId="77777777" w:rsidR="00664A62" w:rsidRPr="00B1453E" w:rsidRDefault="00664A62" w:rsidP="00E34344">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Niton XL3t</w:t>
            </w:r>
          </w:p>
        </w:tc>
        <w:tc>
          <w:tcPr>
            <w:tcW w:w="1728" w:type="dxa"/>
            <w:tcBorders>
              <w:top w:val="dashed" w:sz="4" w:space="0" w:color="auto"/>
              <w:left w:val="single" w:sz="4" w:space="0" w:color="auto"/>
              <w:bottom w:val="nil"/>
              <w:right w:val="nil"/>
            </w:tcBorders>
            <w:shd w:val="clear" w:color="auto" w:fill="auto"/>
            <w:noWrap/>
            <w:vAlign w:val="center"/>
          </w:tcPr>
          <w:p w14:paraId="10896022"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Standard</w:t>
            </w:r>
          </w:p>
        </w:tc>
        <w:tc>
          <w:tcPr>
            <w:tcW w:w="720" w:type="dxa"/>
            <w:tcBorders>
              <w:top w:val="dashed" w:sz="4" w:space="0" w:color="auto"/>
              <w:left w:val="nil"/>
              <w:right w:val="dashed" w:sz="4" w:space="0" w:color="auto"/>
            </w:tcBorders>
            <w:vAlign w:val="center"/>
          </w:tcPr>
          <w:p w14:paraId="0139B280" w14:textId="77777777" w:rsidR="00664A62" w:rsidRPr="00A45898"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18</w:t>
            </w:r>
          </w:p>
        </w:tc>
        <w:tc>
          <w:tcPr>
            <w:tcW w:w="1152" w:type="dxa"/>
            <w:tcBorders>
              <w:top w:val="dashed" w:sz="4" w:space="0" w:color="auto"/>
              <w:left w:val="dashed" w:sz="4" w:space="0" w:color="auto"/>
            </w:tcBorders>
            <w:shd w:val="clear" w:color="auto" w:fill="auto"/>
            <w:noWrap/>
            <w:vAlign w:val="center"/>
          </w:tcPr>
          <w:p w14:paraId="1D818A2E"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0.099</w:t>
            </w:r>
          </w:p>
        </w:tc>
        <w:tc>
          <w:tcPr>
            <w:tcW w:w="1152" w:type="dxa"/>
            <w:tcBorders>
              <w:top w:val="dashed" w:sz="4" w:space="0" w:color="auto"/>
              <w:right w:val="dashed" w:sz="4" w:space="0" w:color="auto"/>
            </w:tcBorders>
            <w:shd w:val="clear" w:color="auto" w:fill="auto"/>
            <w:vAlign w:val="center"/>
          </w:tcPr>
          <w:p w14:paraId="0D9ECA9A"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0.005</w:t>
            </w:r>
          </w:p>
        </w:tc>
        <w:tc>
          <w:tcPr>
            <w:tcW w:w="1152" w:type="dxa"/>
            <w:tcBorders>
              <w:top w:val="dashed" w:sz="4" w:space="0" w:color="auto"/>
              <w:left w:val="dashed" w:sz="4" w:space="0" w:color="auto"/>
            </w:tcBorders>
            <w:shd w:val="clear" w:color="auto" w:fill="auto"/>
            <w:noWrap/>
            <w:vAlign w:val="center"/>
          </w:tcPr>
          <w:p w14:paraId="1FCF244A"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2.800</w:t>
            </w:r>
          </w:p>
        </w:tc>
        <w:tc>
          <w:tcPr>
            <w:tcW w:w="1152" w:type="dxa"/>
            <w:tcBorders>
              <w:top w:val="dashed" w:sz="4" w:space="0" w:color="auto"/>
            </w:tcBorders>
            <w:shd w:val="clear" w:color="auto" w:fill="auto"/>
            <w:vAlign w:val="center"/>
          </w:tcPr>
          <w:p w14:paraId="68AFFEC3"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0.096</w:t>
            </w:r>
          </w:p>
        </w:tc>
      </w:tr>
      <w:tr w:rsidR="00664A62" w:rsidRPr="00B1453E" w14:paraId="43108DC9" w14:textId="77777777" w:rsidTr="00E34344">
        <w:trPr>
          <w:trHeight w:val="590"/>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5FADF4DB" w14:textId="77777777" w:rsidR="00664A62" w:rsidRPr="00B1453E" w:rsidRDefault="00664A62" w:rsidP="00E34344">
            <w:pPr>
              <w:spacing w:line="240" w:lineRule="auto"/>
              <w:rPr>
                <w:rFonts w:eastAsia="Times New Roman" w:cs="Times New Roman"/>
                <w:i/>
                <w:iCs/>
                <w:color w:val="000000"/>
                <w:sz w:val="20"/>
                <w:szCs w:val="20"/>
              </w:rPr>
            </w:pPr>
          </w:p>
        </w:tc>
        <w:tc>
          <w:tcPr>
            <w:tcW w:w="1728" w:type="dxa"/>
            <w:tcBorders>
              <w:top w:val="nil"/>
              <w:left w:val="single" w:sz="4" w:space="0" w:color="auto"/>
              <w:bottom w:val="single" w:sz="4" w:space="0" w:color="auto"/>
              <w:right w:val="nil"/>
            </w:tcBorders>
            <w:shd w:val="clear" w:color="auto" w:fill="F2F2F2" w:themeFill="background1" w:themeFillShade="F2"/>
            <w:noWrap/>
            <w:vAlign w:val="center"/>
          </w:tcPr>
          <w:p w14:paraId="2F976308"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Quartering</w:t>
            </w:r>
          </w:p>
        </w:tc>
        <w:tc>
          <w:tcPr>
            <w:tcW w:w="720" w:type="dxa"/>
            <w:tcBorders>
              <w:left w:val="nil"/>
              <w:bottom w:val="single" w:sz="4" w:space="0" w:color="auto"/>
              <w:right w:val="dashed" w:sz="4" w:space="0" w:color="auto"/>
            </w:tcBorders>
            <w:shd w:val="clear" w:color="auto" w:fill="F2F2F2" w:themeFill="background1" w:themeFillShade="F2"/>
            <w:vAlign w:val="center"/>
          </w:tcPr>
          <w:p w14:paraId="5DBEEBD7" w14:textId="77777777" w:rsidR="00664A62" w:rsidRPr="00A45898"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72</w:t>
            </w:r>
          </w:p>
        </w:tc>
        <w:tc>
          <w:tcPr>
            <w:tcW w:w="1152" w:type="dxa"/>
            <w:tcBorders>
              <w:left w:val="dashed" w:sz="4" w:space="0" w:color="auto"/>
              <w:bottom w:val="single" w:sz="4" w:space="0" w:color="auto"/>
            </w:tcBorders>
            <w:shd w:val="clear" w:color="auto" w:fill="F2F2F2" w:themeFill="background1" w:themeFillShade="F2"/>
            <w:noWrap/>
            <w:vAlign w:val="center"/>
          </w:tcPr>
          <w:p w14:paraId="006A9151"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0.108</w:t>
            </w:r>
          </w:p>
        </w:tc>
        <w:tc>
          <w:tcPr>
            <w:tcW w:w="1152" w:type="dxa"/>
            <w:tcBorders>
              <w:bottom w:val="single" w:sz="4" w:space="0" w:color="auto"/>
              <w:right w:val="dashed" w:sz="4" w:space="0" w:color="auto"/>
            </w:tcBorders>
            <w:shd w:val="clear" w:color="auto" w:fill="F2F2F2" w:themeFill="background1" w:themeFillShade="F2"/>
            <w:vAlign w:val="center"/>
          </w:tcPr>
          <w:p w14:paraId="13558DB8" w14:textId="77777777" w:rsidR="00664A62" w:rsidRPr="00A03DAC"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0.006</w:t>
            </w:r>
          </w:p>
        </w:tc>
        <w:tc>
          <w:tcPr>
            <w:tcW w:w="1152" w:type="dxa"/>
            <w:tcBorders>
              <w:left w:val="dashed" w:sz="4" w:space="0" w:color="auto"/>
              <w:bottom w:val="single" w:sz="4" w:space="0" w:color="auto"/>
            </w:tcBorders>
            <w:shd w:val="clear" w:color="auto" w:fill="F2F2F2" w:themeFill="background1" w:themeFillShade="F2"/>
            <w:noWrap/>
            <w:vAlign w:val="center"/>
          </w:tcPr>
          <w:p w14:paraId="542A95A6" w14:textId="77777777" w:rsidR="00664A62" w:rsidRPr="008E61F5"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2.802</w:t>
            </w:r>
          </w:p>
        </w:tc>
        <w:tc>
          <w:tcPr>
            <w:tcW w:w="1152" w:type="dxa"/>
            <w:tcBorders>
              <w:bottom w:val="single" w:sz="4" w:space="0" w:color="auto"/>
            </w:tcBorders>
            <w:shd w:val="clear" w:color="auto" w:fill="F2F2F2" w:themeFill="background1" w:themeFillShade="F2"/>
            <w:vAlign w:val="center"/>
          </w:tcPr>
          <w:p w14:paraId="00BBE36D" w14:textId="77777777" w:rsidR="00664A62" w:rsidRPr="008E61F5"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0.104</w:t>
            </w:r>
          </w:p>
        </w:tc>
      </w:tr>
    </w:tbl>
    <w:p w14:paraId="6D1C32E8" w14:textId="77777777" w:rsidR="00664A62" w:rsidRPr="00D95102" w:rsidRDefault="00664A62" w:rsidP="00664A62"/>
    <w:p w14:paraId="6DD9E03F" w14:textId="77777777" w:rsidR="00664A62" w:rsidRPr="0024128E" w:rsidRDefault="00664A62" w:rsidP="00664A62">
      <w:pPr>
        <w:jc w:val="both"/>
        <w:rPr>
          <w:rFonts w:eastAsiaTheme="minorEastAsia"/>
          <w:bCs/>
        </w:rPr>
      </w:pPr>
    </w:p>
    <w:p w14:paraId="5A7CB55D" w14:textId="69C26DF4" w:rsidR="00664A62" w:rsidRDefault="00664A62" w:rsidP="004F4E9A">
      <w:pPr>
        <w:ind w:left="720" w:firstLine="720"/>
        <w:jc w:val="both"/>
        <w:rPr>
          <w:rFonts w:eastAsiaTheme="minorEastAsia"/>
          <w:b/>
        </w:rPr>
      </w:pPr>
      <w:r>
        <w:rPr>
          <w:rFonts w:eastAsiaTheme="minorEastAsia"/>
          <w:bCs/>
        </w:rPr>
        <w:t>The results from the SGB samples agree with those of the OHC samples in terms of precision. These results can be seen in</w:t>
      </w:r>
      <w:r w:rsidR="004F4E9A">
        <w:rPr>
          <w:rFonts w:eastAsiaTheme="minorEastAsia"/>
          <w:bCs/>
        </w:rPr>
        <w:t xml:space="preserve"> </w:t>
      </w:r>
      <w:r w:rsidR="004F4E9A">
        <w:rPr>
          <w:rFonts w:eastAsiaTheme="minorEastAsia"/>
          <w:bCs/>
        </w:rPr>
        <w:fldChar w:fldCharType="begin"/>
      </w:r>
      <w:r w:rsidR="004F4E9A">
        <w:rPr>
          <w:rFonts w:eastAsiaTheme="minorEastAsia"/>
          <w:bCs/>
        </w:rPr>
        <w:instrText xml:space="preserve"> REF _Ref447754188 \h </w:instrText>
      </w:r>
      <w:r w:rsidR="004F4E9A">
        <w:rPr>
          <w:rFonts w:eastAsiaTheme="minorEastAsia"/>
          <w:bCs/>
        </w:rPr>
      </w:r>
      <w:r w:rsidR="004F4E9A">
        <w:rPr>
          <w:rFonts w:eastAsiaTheme="minorEastAsia"/>
          <w:bCs/>
        </w:rPr>
        <w:fldChar w:fldCharType="separate"/>
      </w:r>
      <w:r w:rsidR="00E90148">
        <w:t xml:space="preserve">Table </w:t>
      </w:r>
      <w:r w:rsidR="00E90148">
        <w:rPr>
          <w:noProof/>
        </w:rPr>
        <w:t>9</w:t>
      </w:r>
      <w:r w:rsidR="004F4E9A">
        <w:rPr>
          <w:rFonts w:eastAsiaTheme="minorEastAsia"/>
          <w:bCs/>
        </w:rPr>
        <w:fldChar w:fldCharType="end"/>
      </w:r>
      <w:r>
        <w:rPr>
          <w:rFonts w:eastAsiaTheme="minorEastAsia"/>
          <w:bCs/>
        </w:rPr>
        <w:t xml:space="preserve">. Once again, precision is heavily influenced by scan technique for the S1 Titan measurements but not for the Niton XL3t. Accuracy is affected by scan technique for the SGB samples, which conflicts with the findings of the OHC samples. When using a standard scanning technique, RMSD is improved by 0.158% for the S1 Titan but worsened by 0.103% for the Niton XL3t. Since these results conflict with one another and the results from the OHC samples, the effects of scan technique on the accuracy of PHXRF </w:t>
      </w:r>
      <m:oMath>
        <m:r>
          <w:rPr>
            <w:rFonts w:ascii="Cambria Math" w:eastAsiaTheme="minorEastAsia" w:hAnsi="Cambria Math"/>
          </w:rPr>
          <m:t>SC</m:t>
        </m:r>
      </m:oMath>
      <w:r>
        <w:rPr>
          <w:rFonts w:eastAsiaTheme="minorEastAsia"/>
          <w:bCs/>
        </w:rPr>
        <w:t xml:space="preserve"> measurements is deemed inconclusive. </w:t>
      </w:r>
    </w:p>
    <w:p w14:paraId="7D46A0F3" w14:textId="77777777" w:rsidR="00664A62" w:rsidRDefault="00664A62" w:rsidP="00664A62">
      <w:pPr>
        <w:jc w:val="both"/>
        <w:rPr>
          <w:rFonts w:eastAsiaTheme="minorEastAsia"/>
          <w:b/>
        </w:rPr>
      </w:pPr>
    </w:p>
    <w:p w14:paraId="19998743" w14:textId="77777777" w:rsidR="00664A62" w:rsidRDefault="00664A62" w:rsidP="00664A62">
      <w:pPr>
        <w:pStyle w:val="Caption"/>
        <w:spacing w:line="480" w:lineRule="auto"/>
        <w:ind w:left="1080" w:right="936"/>
      </w:pPr>
      <w:bookmarkStart w:id="66" w:name="_Ref447754188"/>
      <w:bookmarkStart w:id="67" w:name="_Toc447755329"/>
      <w:r>
        <w:t xml:space="preserve">Table </w:t>
      </w:r>
      <w:r w:rsidR="00184FC2">
        <w:fldChar w:fldCharType="begin"/>
      </w:r>
      <w:r w:rsidR="00184FC2">
        <w:instrText xml:space="preserve"> SEQ Table \</w:instrText>
      </w:r>
      <w:r w:rsidR="00184FC2">
        <w:instrText xml:space="preserve">* ARABIC </w:instrText>
      </w:r>
      <w:r w:rsidR="00184FC2">
        <w:fldChar w:fldCharType="separate"/>
      </w:r>
      <w:r w:rsidR="00E90148">
        <w:rPr>
          <w:noProof/>
        </w:rPr>
        <w:t>9</w:t>
      </w:r>
      <w:r w:rsidR="00184FC2">
        <w:rPr>
          <w:noProof/>
        </w:rPr>
        <w:fldChar w:fldCharType="end"/>
      </w:r>
      <w:bookmarkEnd w:id="66"/>
      <w:r>
        <w:t>: Effects of Scan Technique on STDEV, COV</w:t>
      </w:r>
      <w:r>
        <w:rPr>
          <w:vertAlign w:val="subscript"/>
        </w:rPr>
        <w:t>STDEV</w:t>
      </w:r>
      <w:r>
        <w:t>, RMSD, and COV</w:t>
      </w:r>
      <w:r>
        <w:rPr>
          <w:vertAlign w:val="subscript"/>
        </w:rPr>
        <w:t>RMSD</w:t>
      </w:r>
      <w:r>
        <w:t xml:space="preserve"> for SGB Samples</w:t>
      </w:r>
      <w:bookmarkEnd w:id="67"/>
    </w:p>
    <w:tbl>
      <w:tblPr>
        <w:tblW w:w="750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2"/>
        <w:gridCol w:w="1728"/>
        <w:gridCol w:w="720"/>
        <w:gridCol w:w="1152"/>
        <w:gridCol w:w="1152"/>
        <w:gridCol w:w="1152"/>
        <w:gridCol w:w="1152"/>
      </w:tblGrid>
      <w:tr w:rsidR="00664A62" w:rsidRPr="00B1453E" w14:paraId="0D3BE1D8" w14:textId="77777777" w:rsidTr="00E34344">
        <w:trPr>
          <w:trHeight w:val="600"/>
          <w:jc w:val="center"/>
        </w:trPr>
        <w:tc>
          <w:tcPr>
            <w:tcW w:w="452" w:type="dxa"/>
            <w:tcBorders>
              <w:top w:val="nil"/>
              <w:left w:val="nil"/>
              <w:bottom w:val="single" w:sz="4" w:space="0" w:color="auto"/>
              <w:right w:val="single" w:sz="4" w:space="0" w:color="auto"/>
            </w:tcBorders>
            <w:shd w:val="clear" w:color="auto" w:fill="auto"/>
            <w:vAlign w:val="center"/>
          </w:tcPr>
          <w:p w14:paraId="31E6C7EB" w14:textId="77777777" w:rsidR="00664A62" w:rsidRPr="00B1453E" w:rsidRDefault="00664A62" w:rsidP="00E34344">
            <w:pPr>
              <w:spacing w:line="240" w:lineRule="auto"/>
              <w:rPr>
                <w:rFonts w:eastAsia="Times New Roman" w:cs="Times New Roman"/>
                <w:i/>
                <w:iCs/>
                <w:color w:val="000000"/>
                <w:sz w:val="22"/>
                <w:szCs w:val="22"/>
              </w:rPr>
            </w:pPr>
          </w:p>
        </w:tc>
        <w:tc>
          <w:tcPr>
            <w:tcW w:w="172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D904D25" w14:textId="77777777" w:rsidR="00664A62" w:rsidRPr="00B1453E"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Scan Technique</w:t>
            </w:r>
          </w:p>
        </w:tc>
        <w:tc>
          <w:tcPr>
            <w:tcW w:w="720" w:type="dxa"/>
            <w:tcBorders>
              <w:top w:val="single" w:sz="4" w:space="0" w:color="auto"/>
              <w:left w:val="nil"/>
              <w:bottom w:val="single" w:sz="4" w:space="0" w:color="auto"/>
              <w:right w:val="nil"/>
            </w:tcBorders>
            <w:shd w:val="clear" w:color="auto" w:fill="BFBFBF" w:themeFill="background1" w:themeFillShade="BF"/>
            <w:vAlign w:val="center"/>
          </w:tcPr>
          <w:p w14:paraId="23EC8F49" w14:textId="77777777" w:rsidR="00664A62"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4541AD53" w14:textId="77777777" w:rsidR="00664A62" w:rsidRPr="00B1453E"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B1453E">
              <w:rPr>
                <w:rFonts w:eastAsia="Times New Roman" w:cs="Times New Roman"/>
                <w:i/>
                <w:iCs/>
                <w:color w:val="000000"/>
                <w:sz w:val="22"/>
                <w:szCs w:val="22"/>
              </w:rPr>
              <w:t xml:space="preserve">    </w:t>
            </w:r>
            <w:r>
              <w:rPr>
                <w:rFonts w:eastAsia="Times New Roman" w:cs="Times New Roman"/>
                <w:i/>
                <w:iCs/>
                <w:color w:val="000000"/>
                <w:sz w:val="22"/>
                <w:szCs w:val="22"/>
              </w:rPr>
              <w:t xml:space="preserve">              </w:t>
            </w:r>
            <w:r w:rsidRPr="00B1453E">
              <w:rPr>
                <w:rFonts w:eastAsia="Times New Roman" w:cs="Times New Roman"/>
                <w:i/>
                <w:iCs/>
                <w:color w:val="000000"/>
                <w:sz w:val="22"/>
                <w:szCs w:val="22"/>
              </w:rPr>
              <w:t>(%)</w:t>
            </w:r>
          </w:p>
        </w:tc>
        <w:tc>
          <w:tcPr>
            <w:tcW w:w="1152" w:type="dxa"/>
            <w:tcBorders>
              <w:top w:val="single" w:sz="4" w:space="0" w:color="auto"/>
              <w:left w:val="nil"/>
              <w:bottom w:val="single" w:sz="4" w:space="0" w:color="auto"/>
              <w:right w:val="nil"/>
            </w:tcBorders>
            <w:shd w:val="clear" w:color="auto" w:fill="BFBFBF" w:themeFill="background1" w:themeFillShade="BF"/>
            <w:vAlign w:val="center"/>
          </w:tcPr>
          <w:p w14:paraId="03A31FC6" w14:textId="77777777" w:rsidR="00664A62" w:rsidRPr="00B1453E"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2406A182" w14:textId="77777777" w:rsidR="00664A62" w:rsidRPr="00B1453E" w:rsidRDefault="00664A62" w:rsidP="00E34344">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RMSD         (%)</w:t>
            </w:r>
          </w:p>
        </w:tc>
        <w:tc>
          <w:tcPr>
            <w:tcW w:w="115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D6EC302" w14:textId="77777777" w:rsidR="00664A62" w:rsidRPr="00B1453E" w:rsidRDefault="00664A62" w:rsidP="00E34344">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p>
        </w:tc>
      </w:tr>
      <w:tr w:rsidR="00664A62" w:rsidRPr="00B1453E" w14:paraId="6228C39F" w14:textId="77777777" w:rsidTr="00E34344">
        <w:trPr>
          <w:cantSplit/>
          <w:trHeight w:val="590"/>
          <w:jc w:val="center"/>
        </w:trPr>
        <w:tc>
          <w:tcPr>
            <w:tcW w:w="4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4D53E533" w14:textId="77777777" w:rsidR="00664A62" w:rsidRPr="00B1453E" w:rsidRDefault="00664A62" w:rsidP="00E34344">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S1 Titan</w:t>
            </w:r>
          </w:p>
        </w:tc>
        <w:tc>
          <w:tcPr>
            <w:tcW w:w="1728" w:type="dxa"/>
            <w:tcBorders>
              <w:top w:val="single" w:sz="4" w:space="0" w:color="auto"/>
              <w:left w:val="single" w:sz="4" w:space="0" w:color="auto"/>
              <w:bottom w:val="nil"/>
              <w:right w:val="nil"/>
            </w:tcBorders>
            <w:shd w:val="clear" w:color="auto" w:fill="auto"/>
            <w:noWrap/>
            <w:vAlign w:val="center"/>
            <w:hideMark/>
          </w:tcPr>
          <w:p w14:paraId="268CA52E"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Standard</w:t>
            </w:r>
          </w:p>
        </w:tc>
        <w:tc>
          <w:tcPr>
            <w:tcW w:w="720" w:type="dxa"/>
            <w:tcBorders>
              <w:top w:val="single" w:sz="4" w:space="0" w:color="auto"/>
              <w:left w:val="nil"/>
              <w:bottom w:val="nil"/>
              <w:right w:val="dashed" w:sz="4" w:space="0" w:color="auto"/>
            </w:tcBorders>
            <w:vAlign w:val="center"/>
          </w:tcPr>
          <w:p w14:paraId="7CA98C68" w14:textId="77777777" w:rsidR="00664A62" w:rsidRPr="00A45898"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top w:val="single" w:sz="4" w:space="0" w:color="auto"/>
              <w:left w:val="dashed" w:sz="4" w:space="0" w:color="auto"/>
              <w:bottom w:val="nil"/>
            </w:tcBorders>
            <w:shd w:val="clear" w:color="auto" w:fill="auto"/>
            <w:noWrap/>
            <w:vAlign w:val="center"/>
            <w:hideMark/>
          </w:tcPr>
          <w:p w14:paraId="0F7C628D"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b/>
                <w:bCs/>
                <w:i/>
                <w:iCs/>
                <w:color w:val="000000"/>
                <w:sz w:val="20"/>
                <w:szCs w:val="20"/>
              </w:rPr>
              <w:t>0.035</w:t>
            </w:r>
          </w:p>
        </w:tc>
        <w:tc>
          <w:tcPr>
            <w:tcW w:w="1152" w:type="dxa"/>
            <w:tcBorders>
              <w:top w:val="single" w:sz="4" w:space="0" w:color="auto"/>
              <w:bottom w:val="nil"/>
              <w:right w:val="dashed" w:sz="4" w:space="0" w:color="auto"/>
            </w:tcBorders>
            <w:shd w:val="clear" w:color="auto" w:fill="auto"/>
            <w:vAlign w:val="center"/>
          </w:tcPr>
          <w:p w14:paraId="31DD7CF0"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0.002</w:t>
            </w:r>
          </w:p>
        </w:tc>
        <w:tc>
          <w:tcPr>
            <w:tcW w:w="1152" w:type="dxa"/>
            <w:tcBorders>
              <w:top w:val="single" w:sz="4" w:space="0" w:color="auto"/>
              <w:left w:val="dashed" w:sz="4" w:space="0" w:color="auto"/>
              <w:bottom w:val="nil"/>
            </w:tcBorders>
            <w:shd w:val="clear" w:color="auto" w:fill="auto"/>
            <w:noWrap/>
            <w:vAlign w:val="center"/>
            <w:hideMark/>
          </w:tcPr>
          <w:p w14:paraId="190EC221" w14:textId="77777777" w:rsidR="00664A62" w:rsidRPr="008E61F5" w:rsidRDefault="00664A62" w:rsidP="00E34344">
            <w:pPr>
              <w:spacing w:line="240" w:lineRule="auto"/>
              <w:rPr>
                <w:rFonts w:eastAsia="Times New Roman" w:cs="Times New Roman"/>
                <w:b/>
                <w:bCs/>
                <w:i/>
                <w:iCs/>
                <w:color w:val="000000"/>
                <w:sz w:val="20"/>
                <w:szCs w:val="20"/>
              </w:rPr>
            </w:pPr>
            <w:r w:rsidRPr="00F44302">
              <w:rPr>
                <w:rFonts w:eastAsia="Times New Roman" w:cs="Times New Roman"/>
                <w:b/>
                <w:bCs/>
                <w:i/>
                <w:iCs/>
                <w:color w:val="000000"/>
                <w:sz w:val="20"/>
                <w:szCs w:val="20"/>
              </w:rPr>
              <w:t>1.808</w:t>
            </w:r>
          </w:p>
        </w:tc>
        <w:tc>
          <w:tcPr>
            <w:tcW w:w="1152" w:type="dxa"/>
            <w:tcBorders>
              <w:top w:val="single" w:sz="4" w:space="0" w:color="auto"/>
              <w:bottom w:val="nil"/>
            </w:tcBorders>
            <w:shd w:val="clear" w:color="auto" w:fill="auto"/>
            <w:vAlign w:val="center"/>
          </w:tcPr>
          <w:p w14:paraId="663A35A4"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0.145</w:t>
            </w:r>
          </w:p>
        </w:tc>
      </w:tr>
      <w:tr w:rsidR="00664A62" w:rsidRPr="00B1453E" w14:paraId="0C704E15" w14:textId="77777777" w:rsidTr="00E34344">
        <w:trPr>
          <w:trHeight w:val="590"/>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50E58BF1" w14:textId="77777777" w:rsidR="00664A62" w:rsidRPr="00B1453E" w:rsidRDefault="00664A62" w:rsidP="00E34344">
            <w:pPr>
              <w:spacing w:line="240" w:lineRule="auto"/>
              <w:rPr>
                <w:rFonts w:eastAsia="Times New Roman" w:cs="Times New Roman"/>
                <w:i/>
                <w:iCs/>
                <w:color w:val="000000"/>
                <w:sz w:val="20"/>
                <w:szCs w:val="20"/>
              </w:rPr>
            </w:pPr>
          </w:p>
        </w:tc>
        <w:tc>
          <w:tcPr>
            <w:tcW w:w="1728" w:type="dxa"/>
            <w:tcBorders>
              <w:top w:val="nil"/>
              <w:left w:val="single" w:sz="4" w:space="0" w:color="auto"/>
              <w:bottom w:val="dashed" w:sz="4" w:space="0" w:color="auto"/>
              <w:right w:val="nil"/>
            </w:tcBorders>
            <w:shd w:val="clear" w:color="auto" w:fill="F2F2F2" w:themeFill="background1" w:themeFillShade="F2"/>
            <w:noWrap/>
            <w:vAlign w:val="center"/>
            <w:hideMark/>
          </w:tcPr>
          <w:p w14:paraId="11368CF2"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Quartering</w:t>
            </w:r>
          </w:p>
        </w:tc>
        <w:tc>
          <w:tcPr>
            <w:tcW w:w="720" w:type="dxa"/>
            <w:tcBorders>
              <w:top w:val="nil"/>
              <w:left w:val="nil"/>
              <w:bottom w:val="dashed" w:sz="4" w:space="0" w:color="auto"/>
              <w:right w:val="dashed" w:sz="4" w:space="0" w:color="auto"/>
            </w:tcBorders>
            <w:shd w:val="clear" w:color="auto" w:fill="F2F2F2" w:themeFill="background1" w:themeFillShade="F2"/>
            <w:vAlign w:val="center"/>
          </w:tcPr>
          <w:p w14:paraId="74C9E512" w14:textId="77777777" w:rsidR="00664A62" w:rsidRPr="00A45898"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0065D67C"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0.108</w:t>
            </w:r>
          </w:p>
        </w:tc>
        <w:tc>
          <w:tcPr>
            <w:tcW w:w="1152" w:type="dxa"/>
            <w:tcBorders>
              <w:top w:val="nil"/>
              <w:bottom w:val="dashed" w:sz="4" w:space="0" w:color="auto"/>
              <w:right w:val="dashed" w:sz="4" w:space="0" w:color="auto"/>
            </w:tcBorders>
            <w:shd w:val="clear" w:color="auto" w:fill="F2F2F2" w:themeFill="background1" w:themeFillShade="F2"/>
            <w:vAlign w:val="center"/>
          </w:tcPr>
          <w:p w14:paraId="5DE1F8BC" w14:textId="77777777" w:rsidR="00664A62" w:rsidRPr="00050F6A" w:rsidRDefault="00664A62" w:rsidP="00E34344">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0.006</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41102C26" w14:textId="77777777" w:rsidR="00664A62" w:rsidRPr="008E61F5" w:rsidRDefault="00664A62" w:rsidP="00E34344">
            <w:pPr>
              <w:spacing w:line="240" w:lineRule="auto"/>
              <w:rPr>
                <w:rFonts w:eastAsia="Times New Roman" w:cs="Times New Roman"/>
                <w:i/>
                <w:iCs/>
                <w:color w:val="000000"/>
                <w:sz w:val="20"/>
                <w:szCs w:val="20"/>
              </w:rPr>
            </w:pPr>
            <w:r w:rsidRPr="00F44302">
              <w:rPr>
                <w:rFonts w:eastAsia="Times New Roman" w:cs="Times New Roman"/>
                <w:i/>
                <w:iCs/>
                <w:color w:val="000000"/>
                <w:sz w:val="20"/>
                <w:szCs w:val="20"/>
              </w:rPr>
              <w:t>1.966</w:t>
            </w:r>
          </w:p>
        </w:tc>
        <w:tc>
          <w:tcPr>
            <w:tcW w:w="1152" w:type="dxa"/>
            <w:tcBorders>
              <w:top w:val="nil"/>
              <w:bottom w:val="dashed" w:sz="4" w:space="0" w:color="auto"/>
            </w:tcBorders>
            <w:shd w:val="clear" w:color="auto" w:fill="F2F2F2" w:themeFill="background1" w:themeFillShade="F2"/>
            <w:vAlign w:val="center"/>
          </w:tcPr>
          <w:p w14:paraId="247A8C97"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b/>
                <w:bCs/>
                <w:i/>
                <w:iCs/>
                <w:color w:val="000000"/>
                <w:sz w:val="20"/>
                <w:szCs w:val="20"/>
              </w:rPr>
              <w:t>0.142</w:t>
            </w:r>
          </w:p>
        </w:tc>
      </w:tr>
      <w:tr w:rsidR="00664A62" w:rsidRPr="00B1453E" w14:paraId="4A03FF5C" w14:textId="77777777" w:rsidTr="00E34344">
        <w:trPr>
          <w:cantSplit/>
          <w:trHeight w:val="590"/>
          <w:jc w:val="center"/>
        </w:trPr>
        <w:tc>
          <w:tcPr>
            <w:tcW w:w="452" w:type="dxa"/>
            <w:vMerge w:val="restart"/>
            <w:tcBorders>
              <w:top w:val="dashed"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4B702B35" w14:textId="77777777" w:rsidR="00664A62" w:rsidRPr="00B1453E" w:rsidRDefault="00664A62" w:rsidP="00E34344">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Niton XL3t</w:t>
            </w:r>
          </w:p>
        </w:tc>
        <w:tc>
          <w:tcPr>
            <w:tcW w:w="1728" w:type="dxa"/>
            <w:tcBorders>
              <w:top w:val="dashed" w:sz="4" w:space="0" w:color="auto"/>
              <w:left w:val="single" w:sz="4" w:space="0" w:color="auto"/>
              <w:bottom w:val="nil"/>
              <w:right w:val="nil"/>
            </w:tcBorders>
            <w:shd w:val="clear" w:color="auto" w:fill="auto"/>
            <w:noWrap/>
            <w:vAlign w:val="center"/>
          </w:tcPr>
          <w:p w14:paraId="29367735"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Standard</w:t>
            </w:r>
          </w:p>
        </w:tc>
        <w:tc>
          <w:tcPr>
            <w:tcW w:w="720" w:type="dxa"/>
            <w:tcBorders>
              <w:top w:val="dashed" w:sz="4" w:space="0" w:color="auto"/>
              <w:left w:val="nil"/>
              <w:right w:val="dashed" w:sz="4" w:space="0" w:color="auto"/>
            </w:tcBorders>
            <w:vAlign w:val="center"/>
          </w:tcPr>
          <w:p w14:paraId="2987F5C3" w14:textId="77777777" w:rsidR="00664A62" w:rsidRPr="00A45898"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21</w:t>
            </w:r>
          </w:p>
        </w:tc>
        <w:tc>
          <w:tcPr>
            <w:tcW w:w="1152" w:type="dxa"/>
            <w:tcBorders>
              <w:top w:val="dashed" w:sz="4" w:space="0" w:color="auto"/>
              <w:left w:val="dashed" w:sz="4" w:space="0" w:color="auto"/>
            </w:tcBorders>
            <w:shd w:val="clear" w:color="auto" w:fill="auto"/>
            <w:noWrap/>
            <w:vAlign w:val="center"/>
          </w:tcPr>
          <w:p w14:paraId="5FEBF495" w14:textId="77777777" w:rsidR="00664A62" w:rsidRPr="008E61F5" w:rsidRDefault="00664A62" w:rsidP="00E34344">
            <w:pPr>
              <w:spacing w:line="240" w:lineRule="auto"/>
              <w:rPr>
                <w:rFonts w:eastAsia="Times New Roman" w:cs="Times New Roman"/>
                <w:b/>
                <w:bCs/>
                <w:i/>
                <w:iCs/>
                <w:color w:val="000000"/>
                <w:sz w:val="20"/>
                <w:szCs w:val="20"/>
              </w:rPr>
            </w:pPr>
            <w:r w:rsidRPr="00F44302">
              <w:rPr>
                <w:rFonts w:eastAsia="Times New Roman" w:cs="Times New Roman"/>
                <w:b/>
                <w:bCs/>
                <w:i/>
                <w:iCs/>
                <w:color w:val="000000"/>
                <w:sz w:val="20"/>
                <w:szCs w:val="20"/>
              </w:rPr>
              <w:t>0.068</w:t>
            </w:r>
          </w:p>
        </w:tc>
        <w:tc>
          <w:tcPr>
            <w:tcW w:w="1152" w:type="dxa"/>
            <w:tcBorders>
              <w:top w:val="dashed" w:sz="4" w:space="0" w:color="auto"/>
              <w:right w:val="dashed" w:sz="4" w:space="0" w:color="auto"/>
            </w:tcBorders>
            <w:shd w:val="clear" w:color="auto" w:fill="auto"/>
            <w:vAlign w:val="center"/>
          </w:tcPr>
          <w:p w14:paraId="7A12E18D" w14:textId="77777777" w:rsidR="00664A62" w:rsidRPr="008E61F5" w:rsidRDefault="00664A62" w:rsidP="00E34344">
            <w:pPr>
              <w:spacing w:line="240" w:lineRule="auto"/>
              <w:rPr>
                <w:rFonts w:eastAsia="Times New Roman" w:cs="Times New Roman"/>
                <w:b/>
                <w:bCs/>
                <w:i/>
                <w:iCs/>
                <w:color w:val="000000"/>
                <w:sz w:val="20"/>
                <w:szCs w:val="20"/>
              </w:rPr>
            </w:pPr>
            <w:r w:rsidRPr="00F44302">
              <w:rPr>
                <w:rFonts w:eastAsia="Times New Roman" w:cs="Times New Roman"/>
                <w:b/>
                <w:bCs/>
                <w:i/>
                <w:iCs/>
                <w:color w:val="000000"/>
                <w:sz w:val="20"/>
                <w:szCs w:val="20"/>
              </w:rPr>
              <w:t>0.004</w:t>
            </w:r>
          </w:p>
        </w:tc>
        <w:tc>
          <w:tcPr>
            <w:tcW w:w="1152" w:type="dxa"/>
            <w:tcBorders>
              <w:top w:val="dashed" w:sz="4" w:space="0" w:color="auto"/>
              <w:left w:val="dashed" w:sz="4" w:space="0" w:color="auto"/>
            </w:tcBorders>
            <w:shd w:val="clear" w:color="auto" w:fill="auto"/>
            <w:noWrap/>
            <w:vAlign w:val="center"/>
          </w:tcPr>
          <w:p w14:paraId="4163CDDE"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0.980</w:t>
            </w:r>
          </w:p>
        </w:tc>
        <w:tc>
          <w:tcPr>
            <w:tcW w:w="1152" w:type="dxa"/>
            <w:tcBorders>
              <w:top w:val="dashed" w:sz="4" w:space="0" w:color="auto"/>
            </w:tcBorders>
            <w:shd w:val="clear" w:color="auto" w:fill="auto"/>
            <w:vAlign w:val="center"/>
          </w:tcPr>
          <w:p w14:paraId="2CDD8A00" w14:textId="77777777" w:rsidR="00664A62" w:rsidRPr="008E61F5" w:rsidRDefault="00664A62" w:rsidP="00E34344">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0.051</w:t>
            </w:r>
          </w:p>
        </w:tc>
      </w:tr>
      <w:tr w:rsidR="00664A62" w:rsidRPr="00B1453E" w14:paraId="551D2907" w14:textId="77777777" w:rsidTr="00E34344">
        <w:trPr>
          <w:trHeight w:val="590"/>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166852B4" w14:textId="77777777" w:rsidR="00664A62" w:rsidRPr="00B1453E" w:rsidRDefault="00664A62" w:rsidP="00E34344">
            <w:pPr>
              <w:spacing w:line="240" w:lineRule="auto"/>
              <w:rPr>
                <w:rFonts w:eastAsia="Times New Roman" w:cs="Times New Roman"/>
                <w:i/>
                <w:iCs/>
                <w:color w:val="000000"/>
                <w:sz w:val="20"/>
                <w:szCs w:val="20"/>
              </w:rPr>
            </w:pPr>
          </w:p>
        </w:tc>
        <w:tc>
          <w:tcPr>
            <w:tcW w:w="1728" w:type="dxa"/>
            <w:tcBorders>
              <w:top w:val="nil"/>
              <w:left w:val="single" w:sz="4" w:space="0" w:color="auto"/>
              <w:bottom w:val="single" w:sz="4" w:space="0" w:color="auto"/>
              <w:right w:val="nil"/>
            </w:tcBorders>
            <w:shd w:val="clear" w:color="auto" w:fill="F2F2F2" w:themeFill="background1" w:themeFillShade="F2"/>
            <w:noWrap/>
            <w:vAlign w:val="center"/>
          </w:tcPr>
          <w:p w14:paraId="3B39748B" w14:textId="77777777" w:rsidR="00664A62" w:rsidRPr="00B1453E"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Quartering</w:t>
            </w:r>
          </w:p>
        </w:tc>
        <w:tc>
          <w:tcPr>
            <w:tcW w:w="720" w:type="dxa"/>
            <w:tcBorders>
              <w:left w:val="nil"/>
              <w:bottom w:val="single" w:sz="4" w:space="0" w:color="auto"/>
              <w:right w:val="dashed" w:sz="4" w:space="0" w:color="auto"/>
            </w:tcBorders>
            <w:shd w:val="clear" w:color="auto" w:fill="F2F2F2" w:themeFill="background1" w:themeFillShade="F2"/>
            <w:vAlign w:val="center"/>
          </w:tcPr>
          <w:p w14:paraId="2638D855" w14:textId="77777777" w:rsidR="00664A62" w:rsidRPr="00A45898" w:rsidRDefault="00664A62" w:rsidP="00E34344">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left w:val="dashed" w:sz="4" w:space="0" w:color="auto"/>
              <w:bottom w:val="single" w:sz="4" w:space="0" w:color="auto"/>
            </w:tcBorders>
            <w:shd w:val="clear" w:color="auto" w:fill="F2F2F2" w:themeFill="background1" w:themeFillShade="F2"/>
            <w:noWrap/>
            <w:vAlign w:val="center"/>
          </w:tcPr>
          <w:p w14:paraId="6DCFF491" w14:textId="77777777" w:rsidR="00664A62" w:rsidRPr="00B1453E" w:rsidRDefault="00664A62" w:rsidP="00E34344">
            <w:pPr>
              <w:spacing w:line="240" w:lineRule="auto"/>
              <w:rPr>
                <w:rFonts w:eastAsia="Times New Roman" w:cs="Times New Roman"/>
                <w:i/>
                <w:iCs/>
                <w:color w:val="000000"/>
                <w:sz w:val="20"/>
                <w:szCs w:val="20"/>
              </w:rPr>
            </w:pPr>
            <w:r w:rsidRPr="00F44302">
              <w:rPr>
                <w:rFonts w:eastAsia="Times New Roman" w:cs="Times New Roman"/>
                <w:i/>
                <w:iCs/>
                <w:color w:val="000000"/>
                <w:sz w:val="20"/>
                <w:szCs w:val="20"/>
              </w:rPr>
              <w:t>0.099</w:t>
            </w:r>
          </w:p>
        </w:tc>
        <w:tc>
          <w:tcPr>
            <w:tcW w:w="1152" w:type="dxa"/>
            <w:tcBorders>
              <w:bottom w:val="single" w:sz="4" w:space="0" w:color="auto"/>
              <w:right w:val="dashed" w:sz="4" w:space="0" w:color="auto"/>
            </w:tcBorders>
            <w:shd w:val="clear" w:color="auto" w:fill="F2F2F2" w:themeFill="background1" w:themeFillShade="F2"/>
            <w:vAlign w:val="center"/>
          </w:tcPr>
          <w:p w14:paraId="5DE647A6" w14:textId="77777777" w:rsidR="00664A62" w:rsidRPr="00A03DAC" w:rsidRDefault="00664A62" w:rsidP="00E34344">
            <w:pPr>
              <w:spacing w:line="240" w:lineRule="auto"/>
              <w:rPr>
                <w:rFonts w:eastAsia="Times New Roman" w:cs="Times New Roman"/>
                <w:i/>
                <w:iCs/>
                <w:color w:val="000000"/>
                <w:sz w:val="20"/>
                <w:szCs w:val="20"/>
              </w:rPr>
            </w:pPr>
            <w:r w:rsidRPr="00F44302">
              <w:rPr>
                <w:rFonts w:eastAsia="Times New Roman" w:cs="Times New Roman"/>
                <w:i/>
                <w:iCs/>
                <w:color w:val="000000"/>
                <w:sz w:val="20"/>
                <w:szCs w:val="20"/>
              </w:rPr>
              <w:t>0.005</w:t>
            </w:r>
          </w:p>
        </w:tc>
        <w:tc>
          <w:tcPr>
            <w:tcW w:w="1152" w:type="dxa"/>
            <w:tcBorders>
              <w:left w:val="dashed" w:sz="4" w:space="0" w:color="auto"/>
              <w:bottom w:val="single" w:sz="4" w:space="0" w:color="auto"/>
            </w:tcBorders>
            <w:shd w:val="clear" w:color="auto" w:fill="F2F2F2" w:themeFill="background1" w:themeFillShade="F2"/>
            <w:noWrap/>
            <w:vAlign w:val="center"/>
          </w:tcPr>
          <w:p w14:paraId="66579793" w14:textId="77777777" w:rsidR="00664A62" w:rsidRPr="008E61F5" w:rsidRDefault="00664A62" w:rsidP="00E34344">
            <w:pPr>
              <w:spacing w:line="240" w:lineRule="auto"/>
              <w:rPr>
                <w:rFonts w:eastAsia="Times New Roman" w:cs="Times New Roman"/>
                <w:i/>
                <w:iCs/>
                <w:color w:val="000000"/>
                <w:sz w:val="20"/>
                <w:szCs w:val="20"/>
              </w:rPr>
            </w:pPr>
            <w:r>
              <w:rPr>
                <w:rFonts w:eastAsia="Times New Roman" w:cs="Times New Roman"/>
                <w:b/>
                <w:bCs/>
                <w:i/>
                <w:iCs/>
                <w:color w:val="000000"/>
                <w:sz w:val="20"/>
                <w:szCs w:val="20"/>
              </w:rPr>
              <w:t>0.877</w:t>
            </w:r>
          </w:p>
        </w:tc>
        <w:tc>
          <w:tcPr>
            <w:tcW w:w="1152" w:type="dxa"/>
            <w:tcBorders>
              <w:bottom w:val="single" w:sz="4" w:space="0" w:color="auto"/>
            </w:tcBorders>
            <w:shd w:val="clear" w:color="auto" w:fill="F2F2F2" w:themeFill="background1" w:themeFillShade="F2"/>
            <w:vAlign w:val="center"/>
          </w:tcPr>
          <w:p w14:paraId="495ECE4D" w14:textId="77777777" w:rsidR="00664A62" w:rsidRPr="008E61F5" w:rsidRDefault="00664A62" w:rsidP="00E34344">
            <w:pPr>
              <w:spacing w:line="240" w:lineRule="auto"/>
              <w:rPr>
                <w:rFonts w:eastAsia="Times New Roman" w:cs="Times New Roman"/>
                <w:i/>
                <w:iCs/>
                <w:color w:val="000000"/>
                <w:sz w:val="20"/>
                <w:szCs w:val="20"/>
              </w:rPr>
            </w:pPr>
            <w:r>
              <w:rPr>
                <w:rFonts w:eastAsia="Times New Roman" w:cs="Times New Roman"/>
                <w:b/>
                <w:bCs/>
                <w:i/>
                <w:iCs/>
                <w:color w:val="000000"/>
                <w:sz w:val="20"/>
                <w:szCs w:val="20"/>
              </w:rPr>
              <w:t>0.039</w:t>
            </w:r>
          </w:p>
        </w:tc>
      </w:tr>
    </w:tbl>
    <w:p w14:paraId="5ABBCF34" w14:textId="77777777" w:rsidR="00664A62" w:rsidRPr="00D95102" w:rsidRDefault="00664A62" w:rsidP="00664A62"/>
    <w:p w14:paraId="7208D9AD" w14:textId="77777777" w:rsidR="00664A62" w:rsidRDefault="00664A62" w:rsidP="00664A62">
      <w:pPr>
        <w:jc w:val="both"/>
        <w:rPr>
          <w:rFonts w:eastAsiaTheme="minorEastAsia"/>
          <w:b/>
        </w:rPr>
      </w:pPr>
    </w:p>
    <w:p w14:paraId="5893AF3E" w14:textId="1DDB159B" w:rsidR="00664A62" w:rsidRDefault="00664A62" w:rsidP="004F4E9A">
      <w:pPr>
        <w:ind w:left="720" w:firstLine="720"/>
        <w:jc w:val="both"/>
        <w:rPr>
          <w:rFonts w:eastAsiaTheme="minorEastAsia"/>
          <w:bCs/>
        </w:rPr>
      </w:pPr>
      <w:r>
        <w:rPr>
          <w:rFonts w:eastAsiaTheme="minorEastAsia"/>
          <w:bCs/>
        </w:rPr>
        <w:t xml:space="preserve">An interesting observation in these results is the large difference in precision between the two techniques for the S1 Titan but not for the Niton XL3t. The S1 Titan results seem to suggest that the soil samples were not uniform. As </w:t>
      </w:r>
      <w:r w:rsidR="00A1694C">
        <w:rPr>
          <w:rFonts w:eastAsiaTheme="minorEastAsia"/>
          <w:bCs/>
        </w:rPr>
        <w:lastRenderedPageBreak/>
        <w:t>the sample</w:t>
      </w:r>
      <w:r>
        <w:rPr>
          <w:rFonts w:eastAsiaTheme="minorEastAsia"/>
          <w:bCs/>
        </w:rPr>
        <w:t xml:space="preserve"> was rotated and scanned, the measurements varied greatly, far greater than scanning the sample repeatedly in one location. This observation was not confirmed by the Niton XL3t results, however. The explanation for this phenomenon may be that the footprint of the x-ray beam emitted from the S1 Titan is ellipse shaped and has an area of 15.71 mm</w:t>
      </w:r>
      <w:r>
        <w:rPr>
          <w:rFonts w:eastAsiaTheme="minorEastAsia"/>
          <w:bCs/>
          <w:vertAlign w:val="superscript"/>
        </w:rPr>
        <w:t>2</w:t>
      </w:r>
      <w:r>
        <w:rPr>
          <w:rFonts w:eastAsiaTheme="minorEastAsia"/>
          <w:bCs/>
        </w:rPr>
        <w:t>. The footprint of the Niton XL3t’s x-ray beam, on the other hand, is more than three times larger. It is circular and has an area of 50.27 mm</w:t>
      </w:r>
      <w:r>
        <w:rPr>
          <w:rFonts w:eastAsiaTheme="minorEastAsia"/>
          <w:bCs/>
          <w:vertAlign w:val="superscript"/>
        </w:rPr>
        <w:t>2</w:t>
      </w:r>
      <w:r>
        <w:rPr>
          <w:rFonts w:eastAsiaTheme="minorEastAsia"/>
          <w:bCs/>
        </w:rPr>
        <w:t>. These beam profiles can be seen in</w:t>
      </w:r>
      <w:r w:rsidR="004F4E9A">
        <w:rPr>
          <w:rFonts w:eastAsiaTheme="minorEastAsia"/>
          <w:bCs/>
        </w:rPr>
        <w:t xml:space="preserve"> </w:t>
      </w:r>
      <w:r w:rsidR="004F4E9A">
        <w:rPr>
          <w:rFonts w:eastAsiaTheme="minorEastAsia"/>
          <w:bCs/>
        </w:rPr>
        <w:fldChar w:fldCharType="begin"/>
      </w:r>
      <w:r w:rsidR="004F4E9A">
        <w:rPr>
          <w:rFonts w:eastAsiaTheme="minorEastAsia"/>
          <w:bCs/>
        </w:rPr>
        <w:instrText xml:space="preserve"> REF _Ref441946380 \h </w:instrText>
      </w:r>
      <w:r w:rsidR="004F4E9A">
        <w:rPr>
          <w:rFonts w:eastAsiaTheme="minorEastAsia"/>
          <w:bCs/>
        </w:rPr>
      </w:r>
      <w:r w:rsidR="004F4E9A">
        <w:rPr>
          <w:rFonts w:eastAsiaTheme="minorEastAsia"/>
          <w:bCs/>
        </w:rPr>
        <w:fldChar w:fldCharType="separate"/>
      </w:r>
      <w:r w:rsidR="00E90148">
        <w:t xml:space="preserve">Figure </w:t>
      </w:r>
      <w:r w:rsidR="00E90148">
        <w:rPr>
          <w:noProof/>
        </w:rPr>
        <w:t>22</w:t>
      </w:r>
      <w:r w:rsidR="004F4E9A">
        <w:rPr>
          <w:rFonts w:eastAsiaTheme="minorEastAsia"/>
          <w:bCs/>
        </w:rPr>
        <w:fldChar w:fldCharType="end"/>
      </w:r>
      <w:r>
        <w:rPr>
          <w:rFonts w:eastAsiaTheme="minorEastAsia"/>
          <w:bCs/>
        </w:rPr>
        <w:t xml:space="preserve">. This suggests that measurements taken by the Niton XL3t are naturally more of an average of the sample than those of the S1 Titan because of the significantly larger beam footprint. Therefore, it makes sense that the Niton XL3t found less variation throughout the sample as compared to the S1 Titan. </w:t>
      </w:r>
    </w:p>
    <w:p w14:paraId="34B6BEDB" w14:textId="77777777" w:rsidR="00664A62" w:rsidRDefault="00664A62" w:rsidP="00664A62">
      <w:pPr>
        <w:jc w:val="both"/>
        <w:rPr>
          <w:rFonts w:eastAsiaTheme="minorEastAsia"/>
          <w:bCs/>
        </w:rPr>
      </w:pPr>
    </w:p>
    <w:p w14:paraId="61C4AF86" w14:textId="77777777" w:rsidR="00664A62" w:rsidRDefault="00664A62" w:rsidP="00664A62">
      <w:pPr>
        <w:jc w:val="both"/>
        <w:rPr>
          <w:rFonts w:eastAsiaTheme="minorEastAsia"/>
          <w:bCs/>
        </w:rPr>
      </w:pPr>
    </w:p>
    <w:p w14:paraId="518E8AF5" w14:textId="77777777" w:rsidR="00664A62" w:rsidRDefault="00664A62" w:rsidP="00664A62">
      <w:pPr>
        <w:rPr>
          <w:rFonts w:eastAsiaTheme="minorEastAsia"/>
          <w:bCs/>
        </w:rPr>
      </w:pPr>
      <w:r>
        <w:rPr>
          <w:rFonts w:eastAsiaTheme="minorEastAsia"/>
          <w:bCs/>
          <w:noProof/>
        </w:rPr>
        <w:drawing>
          <wp:inline distT="0" distB="0" distL="0" distR="0" wp14:anchorId="0B449A46" wp14:editId="2039FA6E">
            <wp:extent cx="4074729" cy="2926080"/>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Figure 26.png"/>
                    <pic:cNvPicPr/>
                  </pic:nvPicPr>
                  <pic:blipFill>
                    <a:blip r:embed="rId30">
                      <a:extLst>
                        <a:ext uri="{28A0092B-C50C-407E-A947-70E740481C1C}">
                          <a14:useLocalDpi xmlns:a14="http://schemas.microsoft.com/office/drawing/2010/main" val="0"/>
                        </a:ext>
                      </a:extLst>
                    </a:blip>
                    <a:stretch>
                      <a:fillRect/>
                    </a:stretch>
                  </pic:blipFill>
                  <pic:spPr>
                    <a:xfrm>
                      <a:off x="0" y="0"/>
                      <a:ext cx="4074729" cy="2926080"/>
                    </a:xfrm>
                    <a:prstGeom prst="roundRect">
                      <a:avLst/>
                    </a:prstGeom>
                  </pic:spPr>
                </pic:pic>
              </a:graphicData>
            </a:graphic>
          </wp:inline>
        </w:drawing>
      </w:r>
    </w:p>
    <w:p w14:paraId="6475CCB1" w14:textId="77777777" w:rsidR="00664A62" w:rsidRDefault="00664A62" w:rsidP="00664A62">
      <w:pPr>
        <w:pStyle w:val="Caption"/>
        <w:spacing w:line="480" w:lineRule="auto"/>
        <w:ind w:left="1080" w:right="936"/>
      </w:pPr>
      <w:bookmarkStart w:id="68" w:name="_Toc447755355"/>
      <w:r>
        <w:t xml:space="preserve">Figure </w:t>
      </w:r>
      <w:r w:rsidR="00184FC2">
        <w:fldChar w:fldCharType="begin"/>
      </w:r>
      <w:r w:rsidR="00184FC2">
        <w:instrText xml:space="preserve"> SEQ Figure \* ARABIC </w:instrText>
      </w:r>
      <w:r w:rsidR="00184FC2">
        <w:fldChar w:fldCharType="separate"/>
      </w:r>
      <w:r w:rsidR="00E90148">
        <w:rPr>
          <w:noProof/>
        </w:rPr>
        <w:t>17</w:t>
      </w:r>
      <w:r w:rsidR="00184FC2">
        <w:rPr>
          <w:noProof/>
        </w:rPr>
        <w:fldChar w:fldCharType="end"/>
      </w:r>
      <w:r>
        <w:t>: Beam Footprints of the S1 Titan (Left) and Niton XL3t (Right) PHXRF Devices</w:t>
      </w:r>
      <w:bookmarkEnd w:id="68"/>
    </w:p>
    <w:p w14:paraId="5F5424BF" w14:textId="5EB1C292" w:rsidR="00664A62" w:rsidRDefault="00664A62" w:rsidP="00851F6C">
      <w:pPr>
        <w:pStyle w:val="Caption"/>
        <w:spacing w:line="480" w:lineRule="auto"/>
        <w:ind w:left="720" w:firstLine="720"/>
        <w:jc w:val="both"/>
        <w:rPr>
          <w:rFonts w:eastAsiaTheme="minorEastAsia"/>
          <w:bCs/>
          <w:i w:val="0"/>
          <w:iCs w:val="0"/>
          <w:color w:val="auto"/>
        </w:rPr>
      </w:pPr>
      <w:r w:rsidRPr="003B3E42">
        <w:rPr>
          <w:rFonts w:eastAsiaTheme="minorEastAsia"/>
          <w:bCs/>
          <w:i w:val="0"/>
          <w:iCs w:val="0"/>
          <w:color w:val="auto"/>
        </w:rPr>
        <w:lastRenderedPageBreak/>
        <w:t xml:space="preserve">The linear regression analyses verify the statistical significance of the effects of scan technique on PHXRF measurements. The results of the OHC and SGB measurements for the S1 Titan are </w:t>
      </w:r>
      <w:r w:rsidRPr="004F4E9A">
        <w:rPr>
          <w:rFonts w:eastAsiaTheme="minorEastAsia"/>
          <w:bCs/>
          <w:i w:val="0"/>
          <w:iCs w:val="0"/>
          <w:color w:val="auto"/>
        </w:rPr>
        <w:t xml:space="preserve">illustrated in </w:t>
      </w:r>
      <w:r w:rsidR="004F4E9A" w:rsidRPr="004F4E9A">
        <w:rPr>
          <w:rFonts w:eastAsiaTheme="minorEastAsia"/>
          <w:bCs/>
          <w:i w:val="0"/>
          <w:iCs w:val="0"/>
          <w:color w:val="auto"/>
        </w:rPr>
        <w:fldChar w:fldCharType="begin"/>
      </w:r>
      <w:r w:rsidR="004F4E9A" w:rsidRPr="004F4E9A">
        <w:rPr>
          <w:rFonts w:eastAsiaTheme="minorEastAsia"/>
          <w:bCs/>
          <w:i w:val="0"/>
          <w:iCs w:val="0"/>
          <w:color w:val="auto"/>
        </w:rPr>
        <w:instrText xml:space="preserve"> REF _Ref447754280 \h  \* MERGEFORMAT </w:instrText>
      </w:r>
      <w:r w:rsidR="004F4E9A" w:rsidRPr="004F4E9A">
        <w:rPr>
          <w:rFonts w:eastAsiaTheme="minorEastAsia"/>
          <w:bCs/>
          <w:i w:val="0"/>
          <w:iCs w:val="0"/>
          <w:color w:val="auto"/>
        </w:rPr>
      </w:r>
      <w:r w:rsidR="004F4E9A" w:rsidRPr="004F4E9A">
        <w:rPr>
          <w:rFonts w:eastAsiaTheme="minorEastAsia"/>
          <w:bCs/>
          <w:i w:val="0"/>
          <w:iCs w:val="0"/>
          <w:color w:val="auto"/>
        </w:rPr>
        <w:fldChar w:fldCharType="separate"/>
      </w:r>
      <w:r w:rsidR="00E90148" w:rsidRPr="00E90148">
        <w:rPr>
          <w:i w:val="0"/>
          <w:iCs w:val="0"/>
          <w:color w:val="auto"/>
        </w:rPr>
        <w:t xml:space="preserve">Figure </w:t>
      </w:r>
      <w:r w:rsidR="00E90148" w:rsidRPr="00E90148">
        <w:rPr>
          <w:i w:val="0"/>
          <w:iCs w:val="0"/>
          <w:noProof/>
          <w:color w:val="auto"/>
        </w:rPr>
        <w:t>18</w:t>
      </w:r>
      <w:r w:rsidR="004F4E9A" w:rsidRPr="004F4E9A">
        <w:rPr>
          <w:rFonts w:eastAsiaTheme="minorEastAsia"/>
          <w:bCs/>
          <w:i w:val="0"/>
          <w:iCs w:val="0"/>
          <w:color w:val="auto"/>
        </w:rPr>
        <w:fldChar w:fldCharType="end"/>
      </w:r>
      <w:r w:rsidR="004F4E9A" w:rsidRPr="004F4E9A">
        <w:rPr>
          <w:rFonts w:eastAsiaTheme="minorEastAsia"/>
          <w:bCs/>
          <w:i w:val="0"/>
          <w:iCs w:val="0"/>
          <w:color w:val="auto"/>
        </w:rPr>
        <w:t xml:space="preserve"> </w:t>
      </w:r>
      <w:r w:rsidR="004F4E9A" w:rsidRPr="004C73EB">
        <w:rPr>
          <w:rFonts w:eastAsiaTheme="minorEastAsia"/>
          <w:bCs/>
          <w:i w:val="0"/>
          <w:iCs w:val="0"/>
          <w:color w:val="auto"/>
        </w:rPr>
        <w:t>and</w:t>
      </w:r>
      <w:r w:rsidR="00851F6C" w:rsidRPr="004C73EB">
        <w:rPr>
          <w:rFonts w:eastAsiaTheme="minorEastAsia"/>
          <w:bCs/>
          <w:i w:val="0"/>
          <w:iCs w:val="0"/>
          <w:color w:val="auto"/>
        </w:rPr>
        <w:t xml:space="preserve"> </w:t>
      </w:r>
      <w:r w:rsidR="00851F6C" w:rsidRPr="004C73EB">
        <w:rPr>
          <w:rFonts w:eastAsiaTheme="minorEastAsia"/>
          <w:bCs/>
          <w:i w:val="0"/>
          <w:iCs w:val="0"/>
          <w:color w:val="auto"/>
        </w:rPr>
        <w:fldChar w:fldCharType="begin"/>
      </w:r>
      <w:r w:rsidR="00851F6C" w:rsidRPr="004C73EB">
        <w:rPr>
          <w:rFonts w:eastAsiaTheme="minorEastAsia"/>
          <w:bCs/>
          <w:i w:val="0"/>
          <w:iCs w:val="0"/>
          <w:color w:val="auto"/>
        </w:rPr>
        <w:instrText xml:space="preserve"> REF _Ref447755095 \h </w:instrText>
      </w:r>
      <w:r w:rsidR="004C73EB" w:rsidRPr="004C73EB">
        <w:rPr>
          <w:rFonts w:eastAsiaTheme="minorEastAsia"/>
          <w:bCs/>
          <w:i w:val="0"/>
          <w:iCs w:val="0"/>
          <w:color w:val="auto"/>
        </w:rPr>
        <w:instrText xml:space="preserve"> \* MERGEFORMAT </w:instrText>
      </w:r>
      <w:r w:rsidR="00851F6C" w:rsidRPr="004C73EB">
        <w:rPr>
          <w:rFonts w:eastAsiaTheme="minorEastAsia"/>
          <w:bCs/>
          <w:i w:val="0"/>
          <w:iCs w:val="0"/>
          <w:color w:val="auto"/>
        </w:rPr>
      </w:r>
      <w:r w:rsidR="00851F6C" w:rsidRPr="004C73EB">
        <w:rPr>
          <w:rFonts w:eastAsiaTheme="minorEastAsia"/>
          <w:bCs/>
          <w:i w:val="0"/>
          <w:iCs w:val="0"/>
          <w:color w:val="auto"/>
        </w:rPr>
        <w:fldChar w:fldCharType="separate"/>
      </w:r>
      <w:r w:rsidR="00E90148" w:rsidRPr="00E90148">
        <w:rPr>
          <w:i w:val="0"/>
          <w:iCs w:val="0"/>
          <w:color w:val="auto"/>
        </w:rPr>
        <w:t xml:space="preserve">Figure </w:t>
      </w:r>
      <w:r w:rsidR="00E90148" w:rsidRPr="00E90148">
        <w:rPr>
          <w:i w:val="0"/>
          <w:iCs w:val="0"/>
          <w:noProof/>
          <w:color w:val="auto"/>
        </w:rPr>
        <w:t>20</w:t>
      </w:r>
      <w:r w:rsidR="00851F6C" w:rsidRPr="004C73EB">
        <w:rPr>
          <w:rFonts w:eastAsiaTheme="minorEastAsia"/>
          <w:bCs/>
          <w:i w:val="0"/>
          <w:iCs w:val="0"/>
          <w:color w:val="auto"/>
        </w:rPr>
        <w:fldChar w:fldCharType="end"/>
      </w:r>
      <w:r w:rsidRPr="004F4E9A">
        <w:rPr>
          <w:rFonts w:eastAsiaTheme="minorEastAsia"/>
          <w:bCs/>
          <w:i w:val="0"/>
          <w:iCs w:val="0"/>
          <w:color w:val="auto"/>
        </w:rPr>
        <w:t xml:space="preserve">; </w:t>
      </w:r>
      <w:r w:rsidRPr="003B3E42">
        <w:rPr>
          <w:rFonts w:eastAsiaTheme="minorEastAsia"/>
          <w:bCs/>
          <w:i w:val="0"/>
          <w:iCs w:val="0"/>
          <w:color w:val="auto"/>
        </w:rPr>
        <w:t>for the Niton XL3t,</w:t>
      </w:r>
      <w:r w:rsidR="004F4E9A">
        <w:rPr>
          <w:rFonts w:eastAsiaTheme="minorEastAsia"/>
          <w:bCs/>
          <w:i w:val="0"/>
          <w:iCs w:val="0"/>
          <w:color w:val="auto"/>
        </w:rPr>
        <w:t xml:space="preserve"> </w:t>
      </w:r>
      <w:r w:rsidR="004F4E9A" w:rsidRPr="004C73EB">
        <w:rPr>
          <w:rFonts w:eastAsiaTheme="minorEastAsia"/>
          <w:bCs/>
          <w:i w:val="0"/>
          <w:iCs w:val="0"/>
          <w:color w:val="auto"/>
        </w:rPr>
        <w:fldChar w:fldCharType="begin"/>
      </w:r>
      <w:r w:rsidR="004F4E9A" w:rsidRPr="004C73EB">
        <w:rPr>
          <w:rFonts w:eastAsiaTheme="minorEastAsia"/>
          <w:bCs/>
          <w:i w:val="0"/>
          <w:iCs w:val="0"/>
          <w:color w:val="auto"/>
        </w:rPr>
        <w:instrText xml:space="preserve"> REF _Ref447754347 \h  \* MERGEFORMAT </w:instrText>
      </w:r>
      <w:r w:rsidR="004F4E9A" w:rsidRPr="004C73EB">
        <w:rPr>
          <w:rFonts w:eastAsiaTheme="minorEastAsia"/>
          <w:bCs/>
          <w:i w:val="0"/>
          <w:iCs w:val="0"/>
          <w:color w:val="auto"/>
        </w:rPr>
      </w:r>
      <w:r w:rsidR="004F4E9A" w:rsidRPr="004C73EB">
        <w:rPr>
          <w:rFonts w:eastAsiaTheme="minorEastAsia"/>
          <w:bCs/>
          <w:i w:val="0"/>
          <w:iCs w:val="0"/>
          <w:color w:val="auto"/>
        </w:rPr>
        <w:fldChar w:fldCharType="separate"/>
      </w:r>
      <w:r w:rsidR="00E90148" w:rsidRPr="00E90148">
        <w:rPr>
          <w:i w:val="0"/>
          <w:iCs w:val="0"/>
          <w:color w:val="auto"/>
        </w:rPr>
        <w:t xml:space="preserve">Figure </w:t>
      </w:r>
      <w:r w:rsidR="00E90148" w:rsidRPr="00E90148">
        <w:rPr>
          <w:i w:val="0"/>
          <w:iCs w:val="0"/>
          <w:noProof/>
          <w:color w:val="auto"/>
        </w:rPr>
        <w:t>19</w:t>
      </w:r>
      <w:r w:rsidR="004F4E9A" w:rsidRPr="004C73EB">
        <w:rPr>
          <w:rFonts w:eastAsiaTheme="minorEastAsia"/>
          <w:bCs/>
          <w:i w:val="0"/>
          <w:iCs w:val="0"/>
          <w:color w:val="auto"/>
        </w:rPr>
        <w:fldChar w:fldCharType="end"/>
      </w:r>
      <w:r w:rsidRPr="004C73EB">
        <w:rPr>
          <w:rFonts w:eastAsiaTheme="minorEastAsia"/>
          <w:bCs/>
          <w:i w:val="0"/>
          <w:iCs w:val="0"/>
          <w:color w:val="auto"/>
        </w:rPr>
        <w:t xml:space="preserve"> and</w:t>
      </w:r>
      <w:r w:rsidR="004F4E9A" w:rsidRPr="004C73EB">
        <w:rPr>
          <w:rFonts w:eastAsiaTheme="minorEastAsia"/>
          <w:bCs/>
          <w:i w:val="0"/>
          <w:iCs w:val="0"/>
          <w:color w:val="auto"/>
        </w:rPr>
        <w:t xml:space="preserve"> </w:t>
      </w:r>
      <w:r w:rsidR="004F4E9A" w:rsidRPr="004C73EB">
        <w:rPr>
          <w:rFonts w:eastAsiaTheme="minorEastAsia"/>
          <w:bCs/>
          <w:i w:val="0"/>
          <w:iCs w:val="0"/>
          <w:color w:val="auto"/>
        </w:rPr>
        <w:fldChar w:fldCharType="begin"/>
      </w:r>
      <w:r w:rsidR="004F4E9A" w:rsidRPr="004C73EB">
        <w:rPr>
          <w:rFonts w:eastAsiaTheme="minorEastAsia"/>
          <w:bCs/>
          <w:i w:val="0"/>
          <w:iCs w:val="0"/>
          <w:color w:val="auto"/>
        </w:rPr>
        <w:instrText xml:space="preserve"> REF _Ref447754356 \h  \* MERGEFORMAT </w:instrText>
      </w:r>
      <w:r w:rsidR="004F4E9A" w:rsidRPr="004C73EB">
        <w:rPr>
          <w:rFonts w:eastAsiaTheme="minorEastAsia"/>
          <w:bCs/>
          <w:i w:val="0"/>
          <w:iCs w:val="0"/>
          <w:color w:val="auto"/>
        </w:rPr>
      </w:r>
      <w:r w:rsidR="004F4E9A" w:rsidRPr="004C73EB">
        <w:rPr>
          <w:rFonts w:eastAsiaTheme="minorEastAsia"/>
          <w:bCs/>
          <w:i w:val="0"/>
          <w:iCs w:val="0"/>
          <w:color w:val="auto"/>
        </w:rPr>
        <w:fldChar w:fldCharType="separate"/>
      </w:r>
      <w:r w:rsidR="00E90148" w:rsidRPr="00E90148">
        <w:rPr>
          <w:i w:val="0"/>
          <w:iCs w:val="0"/>
          <w:noProof/>
          <w:color w:val="auto"/>
        </w:rPr>
        <w:t>Figure</w:t>
      </w:r>
      <w:r w:rsidR="00E90148" w:rsidRPr="00E90148">
        <w:rPr>
          <w:i w:val="0"/>
          <w:iCs w:val="0"/>
          <w:color w:val="auto"/>
        </w:rPr>
        <w:t xml:space="preserve"> </w:t>
      </w:r>
      <w:r w:rsidR="00E90148" w:rsidRPr="00E90148">
        <w:rPr>
          <w:i w:val="0"/>
          <w:iCs w:val="0"/>
          <w:noProof/>
          <w:color w:val="auto"/>
        </w:rPr>
        <w:t>21</w:t>
      </w:r>
      <w:r w:rsidR="004F4E9A" w:rsidRPr="004C73EB">
        <w:rPr>
          <w:rFonts w:eastAsiaTheme="minorEastAsia"/>
          <w:bCs/>
          <w:i w:val="0"/>
          <w:iCs w:val="0"/>
          <w:color w:val="auto"/>
        </w:rPr>
        <w:fldChar w:fldCharType="end"/>
      </w:r>
      <w:r w:rsidRPr="003B3E42">
        <w:rPr>
          <w:rFonts w:eastAsiaTheme="minorEastAsia"/>
          <w:bCs/>
          <w:i w:val="0"/>
          <w:iCs w:val="0"/>
          <w:color w:val="auto"/>
        </w:rPr>
        <w:t xml:space="preserve">. Notable variations in the equations of the regressions lines are observed, both in terms of the slopes and the y-intercepts. The variations are large enough to place the combined trendlines outside of the 95% confidence intervals of the correlating graphs, which verifies the statistical significance of the effects of scan technique on accuracy of the PHXRF devices. Additionally, accuracy of the PHXRF devices is illustrated in these figures by the closeness of the combined trendlines to a </w:t>
      </w:r>
      <w:r>
        <w:rPr>
          <w:rFonts w:eastAsiaTheme="minorEastAsia"/>
          <w:bCs/>
          <w:i w:val="0"/>
          <w:iCs w:val="0"/>
          <w:color w:val="auto"/>
        </w:rPr>
        <w:t>y = x</w:t>
      </w:r>
      <w:r w:rsidRPr="003B3E42">
        <w:rPr>
          <w:rFonts w:eastAsiaTheme="minorEastAsia"/>
          <w:bCs/>
          <w:i w:val="0"/>
          <w:iCs w:val="0"/>
          <w:color w:val="auto"/>
        </w:rPr>
        <w:t xml:space="preserve"> line. In most cases, the standard scan technique produces more accurate and more precise measurements, except in the case of the quartering scans of the SGB samples with the Niton XL3t as explained earlier. </w:t>
      </w:r>
    </w:p>
    <w:p w14:paraId="6B490AF3" w14:textId="77777777" w:rsidR="00175936" w:rsidRPr="00175936" w:rsidRDefault="00175936" w:rsidP="00175936"/>
    <w:p w14:paraId="3A128FC6" w14:textId="77777777" w:rsidR="00664A62" w:rsidRPr="00545205" w:rsidRDefault="00664A62" w:rsidP="00664A62">
      <w:pPr>
        <w:ind w:left="720" w:firstLine="720"/>
        <w:jc w:val="both"/>
      </w:pPr>
    </w:p>
    <w:p w14:paraId="75227758" w14:textId="77777777" w:rsidR="00664A62" w:rsidRDefault="00664A62" w:rsidP="00664A62">
      <w:pPr>
        <w:pStyle w:val="Caption"/>
      </w:pPr>
      <w:r>
        <w:rPr>
          <w:noProof/>
        </w:rPr>
        <w:lastRenderedPageBreak/>
        <w:drawing>
          <wp:inline distT="0" distB="0" distL="0" distR="0" wp14:anchorId="49EE9D12" wp14:editId="620CA111">
            <wp:extent cx="5486400" cy="30718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Figure 27.PNG"/>
                    <pic:cNvPicPr/>
                  </pic:nvPicPr>
                  <pic:blipFill>
                    <a:blip r:embed="rId31">
                      <a:extLst>
                        <a:ext uri="{28A0092B-C50C-407E-A947-70E740481C1C}">
                          <a14:useLocalDpi xmlns:a14="http://schemas.microsoft.com/office/drawing/2010/main" val="0"/>
                        </a:ext>
                      </a:extLst>
                    </a:blip>
                    <a:stretch>
                      <a:fillRect/>
                    </a:stretch>
                  </pic:blipFill>
                  <pic:spPr>
                    <a:xfrm>
                      <a:off x="0" y="0"/>
                      <a:ext cx="5486400" cy="3071893"/>
                    </a:xfrm>
                    <a:prstGeom prst="rect">
                      <a:avLst/>
                    </a:prstGeom>
                  </pic:spPr>
                </pic:pic>
              </a:graphicData>
            </a:graphic>
          </wp:inline>
        </w:drawing>
      </w:r>
    </w:p>
    <w:p w14:paraId="464951B2" w14:textId="77777777" w:rsidR="00664A62" w:rsidRDefault="00664A62" w:rsidP="00664A62">
      <w:pPr>
        <w:pStyle w:val="Caption"/>
        <w:spacing w:line="480" w:lineRule="auto"/>
      </w:pPr>
      <w:bookmarkStart w:id="69" w:name="_Ref447754280"/>
      <w:bookmarkStart w:id="70" w:name="_Toc447755356"/>
      <w:r>
        <w:t xml:space="preserve">Figure </w:t>
      </w:r>
      <w:r w:rsidR="00184FC2">
        <w:fldChar w:fldCharType="begin"/>
      </w:r>
      <w:r w:rsidR="00184FC2">
        <w:instrText xml:space="preserve"> SEQ Figure \* ARABIC </w:instrText>
      </w:r>
      <w:r w:rsidR="00184FC2">
        <w:fldChar w:fldCharType="separate"/>
      </w:r>
      <w:r w:rsidR="00E90148">
        <w:rPr>
          <w:noProof/>
        </w:rPr>
        <w:t>18</w:t>
      </w:r>
      <w:r w:rsidR="00184FC2">
        <w:rPr>
          <w:noProof/>
        </w:rPr>
        <w:fldChar w:fldCharType="end"/>
      </w:r>
      <w:bookmarkEnd w:id="69"/>
      <w:r>
        <w:t>: Effects of (a) Standard and (b) Quartering Scan Techniques on Precision and Accuracy of S1 Titan PHXRF Device for OHC Samples.</w:t>
      </w:r>
      <w:bookmarkEnd w:id="70"/>
    </w:p>
    <w:p w14:paraId="05CFF4B5" w14:textId="77777777" w:rsidR="00664A62" w:rsidRDefault="00664A62" w:rsidP="00664A62"/>
    <w:p w14:paraId="15EB6B78" w14:textId="77777777" w:rsidR="00664A62" w:rsidRPr="002F4FCD" w:rsidRDefault="00664A62" w:rsidP="00664A62">
      <w:r>
        <w:rPr>
          <w:noProof/>
        </w:rPr>
        <w:drawing>
          <wp:inline distT="0" distB="0" distL="0" distR="0" wp14:anchorId="198BE7BD" wp14:editId="2745F9FB">
            <wp:extent cx="5486400" cy="301248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Figure 28.PNG"/>
                    <pic:cNvPicPr/>
                  </pic:nvPicPr>
                  <pic:blipFill>
                    <a:blip r:embed="rId32">
                      <a:extLst>
                        <a:ext uri="{28A0092B-C50C-407E-A947-70E740481C1C}">
                          <a14:useLocalDpi xmlns:a14="http://schemas.microsoft.com/office/drawing/2010/main" val="0"/>
                        </a:ext>
                      </a:extLst>
                    </a:blip>
                    <a:stretch>
                      <a:fillRect/>
                    </a:stretch>
                  </pic:blipFill>
                  <pic:spPr>
                    <a:xfrm>
                      <a:off x="0" y="0"/>
                      <a:ext cx="5486400" cy="3012483"/>
                    </a:xfrm>
                    <a:prstGeom prst="rect">
                      <a:avLst/>
                    </a:prstGeom>
                  </pic:spPr>
                </pic:pic>
              </a:graphicData>
            </a:graphic>
          </wp:inline>
        </w:drawing>
      </w:r>
    </w:p>
    <w:p w14:paraId="0386986A" w14:textId="77777777" w:rsidR="00664A62" w:rsidRDefault="00664A62" w:rsidP="00664A62">
      <w:pPr>
        <w:pStyle w:val="Caption"/>
        <w:spacing w:line="480" w:lineRule="auto"/>
      </w:pPr>
      <w:bookmarkStart w:id="71" w:name="_Ref447754347"/>
      <w:bookmarkStart w:id="72" w:name="_Toc447755357"/>
      <w:r>
        <w:t xml:space="preserve">Figure </w:t>
      </w:r>
      <w:r w:rsidR="00184FC2">
        <w:fldChar w:fldCharType="begin"/>
      </w:r>
      <w:r w:rsidR="00184FC2">
        <w:instrText xml:space="preserve"> SEQ Figure \* ARABIC </w:instrText>
      </w:r>
      <w:r w:rsidR="00184FC2">
        <w:fldChar w:fldCharType="separate"/>
      </w:r>
      <w:r w:rsidR="00E90148">
        <w:rPr>
          <w:noProof/>
        </w:rPr>
        <w:t>19</w:t>
      </w:r>
      <w:r w:rsidR="00184FC2">
        <w:rPr>
          <w:noProof/>
        </w:rPr>
        <w:fldChar w:fldCharType="end"/>
      </w:r>
      <w:bookmarkEnd w:id="71"/>
      <w:r>
        <w:t>: Effects of (a) Standard and (b) Quartering Scan Techniques on Precision and Accuracy of Niton XL3t PHXRF Device for OHC Samples.</w:t>
      </w:r>
      <w:bookmarkEnd w:id="72"/>
    </w:p>
    <w:p w14:paraId="324BA251" w14:textId="61BFBA1A" w:rsidR="00664A62" w:rsidRDefault="00851F6C" w:rsidP="00664A62">
      <w:pPr>
        <w:jc w:val="both"/>
        <w:rPr>
          <w:rFonts w:eastAsiaTheme="minorEastAsia"/>
          <w:b/>
        </w:rPr>
      </w:pPr>
      <w:r>
        <w:rPr>
          <w:rFonts w:eastAsiaTheme="minorEastAsia"/>
          <w:b/>
          <w:noProof/>
        </w:rPr>
        <w:lastRenderedPageBreak/>
        <w:drawing>
          <wp:inline distT="0" distB="0" distL="0" distR="0" wp14:anchorId="13535CFA" wp14:editId="3BFAB9A9">
            <wp:extent cx="5394960" cy="30314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Figure 29.PNG"/>
                    <pic:cNvPicPr/>
                  </pic:nvPicPr>
                  <pic:blipFill>
                    <a:blip r:embed="rId33">
                      <a:extLst>
                        <a:ext uri="{28A0092B-C50C-407E-A947-70E740481C1C}">
                          <a14:useLocalDpi xmlns:a14="http://schemas.microsoft.com/office/drawing/2010/main" val="0"/>
                        </a:ext>
                      </a:extLst>
                    </a:blip>
                    <a:stretch>
                      <a:fillRect/>
                    </a:stretch>
                  </pic:blipFill>
                  <pic:spPr>
                    <a:xfrm>
                      <a:off x="0" y="0"/>
                      <a:ext cx="5394960" cy="3031490"/>
                    </a:xfrm>
                    <a:prstGeom prst="rect">
                      <a:avLst/>
                    </a:prstGeom>
                  </pic:spPr>
                </pic:pic>
              </a:graphicData>
            </a:graphic>
          </wp:inline>
        </w:drawing>
      </w:r>
    </w:p>
    <w:p w14:paraId="1CB1563F" w14:textId="5C235CF3" w:rsidR="00851F6C" w:rsidRDefault="00851F6C" w:rsidP="00851F6C">
      <w:pPr>
        <w:pStyle w:val="Caption"/>
        <w:spacing w:line="480" w:lineRule="auto"/>
        <w:rPr>
          <w:rFonts w:eastAsiaTheme="minorEastAsia"/>
          <w:b/>
        </w:rPr>
      </w:pPr>
      <w:bookmarkStart w:id="73" w:name="_Ref447755095"/>
      <w:bookmarkStart w:id="74" w:name="_Toc447755358"/>
      <w:r>
        <w:t xml:space="preserve">Figure </w:t>
      </w:r>
      <w:r w:rsidR="00184FC2">
        <w:fldChar w:fldCharType="begin"/>
      </w:r>
      <w:r w:rsidR="00184FC2">
        <w:instrText xml:space="preserve"> SEQ Figure \* ARABIC </w:instrText>
      </w:r>
      <w:r w:rsidR="00184FC2">
        <w:fldChar w:fldCharType="separate"/>
      </w:r>
      <w:r w:rsidR="00E90148">
        <w:rPr>
          <w:noProof/>
        </w:rPr>
        <w:t>20</w:t>
      </w:r>
      <w:r w:rsidR="00184FC2">
        <w:rPr>
          <w:noProof/>
        </w:rPr>
        <w:fldChar w:fldCharType="end"/>
      </w:r>
      <w:bookmarkEnd w:id="73"/>
      <w:r>
        <w:t xml:space="preserve">: </w:t>
      </w:r>
      <w:r w:rsidRPr="00244CA4">
        <w:t>Effects of (a) Standard and (b) Quartering Scan Techniques on Precision and Accuracy of S1 Titan PHXRF Device for SGB Samples</w:t>
      </w:r>
      <w:bookmarkEnd w:id="74"/>
    </w:p>
    <w:p w14:paraId="73EFD80B" w14:textId="77777777" w:rsidR="00851F6C" w:rsidRDefault="00851F6C" w:rsidP="00664A62">
      <w:pPr>
        <w:jc w:val="both"/>
        <w:rPr>
          <w:rFonts w:eastAsiaTheme="minorEastAsia"/>
          <w:b/>
        </w:rPr>
      </w:pPr>
    </w:p>
    <w:p w14:paraId="1A9EC4C3" w14:textId="77777777" w:rsidR="00664A62" w:rsidRDefault="00664A62" w:rsidP="00664A62">
      <w:pPr>
        <w:pStyle w:val="Caption"/>
      </w:pPr>
      <w:r>
        <w:rPr>
          <w:noProof/>
        </w:rPr>
        <w:drawing>
          <wp:inline distT="0" distB="0" distL="0" distR="0" wp14:anchorId="27F44136" wp14:editId="607686D0">
            <wp:extent cx="5486400" cy="3045417"/>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Figure 30.PNG"/>
                    <pic:cNvPicPr/>
                  </pic:nvPicPr>
                  <pic:blipFill>
                    <a:blip r:embed="rId34">
                      <a:extLst>
                        <a:ext uri="{28A0092B-C50C-407E-A947-70E740481C1C}">
                          <a14:useLocalDpi xmlns:a14="http://schemas.microsoft.com/office/drawing/2010/main" val="0"/>
                        </a:ext>
                      </a:extLst>
                    </a:blip>
                    <a:stretch>
                      <a:fillRect/>
                    </a:stretch>
                  </pic:blipFill>
                  <pic:spPr>
                    <a:xfrm>
                      <a:off x="0" y="0"/>
                      <a:ext cx="5486400" cy="3045417"/>
                    </a:xfrm>
                    <a:prstGeom prst="rect">
                      <a:avLst/>
                    </a:prstGeom>
                  </pic:spPr>
                </pic:pic>
              </a:graphicData>
            </a:graphic>
          </wp:inline>
        </w:drawing>
      </w:r>
    </w:p>
    <w:p w14:paraId="57EF1D51" w14:textId="77777777" w:rsidR="00664A62" w:rsidRDefault="00664A62" w:rsidP="00664A62">
      <w:pPr>
        <w:pStyle w:val="Caption"/>
        <w:spacing w:line="480" w:lineRule="auto"/>
      </w:pPr>
      <w:bookmarkStart w:id="75" w:name="_Ref447754356"/>
      <w:bookmarkStart w:id="76" w:name="_Toc447755359"/>
      <w:r>
        <w:t xml:space="preserve">Figure </w:t>
      </w:r>
      <w:r w:rsidR="00184FC2">
        <w:fldChar w:fldCharType="begin"/>
      </w:r>
      <w:r w:rsidR="00184FC2">
        <w:instrText xml:space="preserve"> SEQ Figure \* ARABIC </w:instrText>
      </w:r>
      <w:r w:rsidR="00184FC2">
        <w:fldChar w:fldCharType="separate"/>
      </w:r>
      <w:r w:rsidR="00E90148">
        <w:rPr>
          <w:noProof/>
        </w:rPr>
        <w:t>21</w:t>
      </w:r>
      <w:r w:rsidR="00184FC2">
        <w:rPr>
          <w:noProof/>
        </w:rPr>
        <w:fldChar w:fldCharType="end"/>
      </w:r>
      <w:bookmarkEnd w:id="75"/>
      <w:r>
        <w:t>: Effects of (a) Standard and (b) Quartering Scan Techniques on Precision and Accuracy of Niton XL3t PHXRF Device for SGB Samples.</w:t>
      </w:r>
      <w:bookmarkEnd w:id="76"/>
    </w:p>
    <w:p w14:paraId="7EC95776" w14:textId="77777777" w:rsidR="00A940EB" w:rsidRDefault="00A940EB" w:rsidP="00A940EB">
      <w:pPr>
        <w:ind w:firstLine="720"/>
        <w:jc w:val="both"/>
        <w:rPr>
          <w:rFonts w:eastAsiaTheme="minorEastAsia"/>
          <w:b/>
        </w:rPr>
      </w:pPr>
      <w:r>
        <w:rPr>
          <w:rFonts w:eastAsiaTheme="minorEastAsia"/>
          <w:b/>
        </w:rPr>
        <w:lastRenderedPageBreak/>
        <w:t>4.2.2</w:t>
      </w:r>
      <w:r w:rsidRPr="00037342">
        <w:rPr>
          <w:rFonts w:eastAsiaTheme="minorEastAsia"/>
          <w:b/>
        </w:rPr>
        <w:t xml:space="preserve"> </w:t>
      </w:r>
      <w:r>
        <w:rPr>
          <w:rFonts w:eastAsiaTheme="minorEastAsia"/>
          <w:b/>
        </w:rPr>
        <w:t>Particle Size</w:t>
      </w:r>
    </w:p>
    <w:p w14:paraId="11F4785D" w14:textId="77777777" w:rsidR="00D02ED3" w:rsidRDefault="00D64B16" w:rsidP="00457152">
      <w:pPr>
        <w:ind w:left="720" w:firstLine="720"/>
        <w:jc w:val="both"/>
        <w:rPr>
          <w:rFonts w:eastAsiaTheme="minorEastAsia"/>
          <w:bCs/>
        </w:rPr>
      </w:pPr>
      <w:r>
        <w:rPr>
          <w:rFonts w:eastAsiaTheme="minorEastAsia"/>
          <w:bCs/>
        </w:rPr>
        <w:t>Particle size</w:t>
      </w:r>
      <w:r w:rsidR="00F167E5">
        <w:rPr>
          <w:rFonts w:eastAsiaTheme="minorEastAsia"/>
          <w:bCs/>
        </w:rPr>
        <w:t xml:space="preserve"> play</w:t>
      </w:r>
      <w:r>
        <w:rPr>
          <w:rFonts w:eastAsiaTheme="minorEastAsia"/>
          <w:bCs/>
        </w:rPr>
        <w:t>s</w:t>
      </w:r>
      <w:r w:rsidR="00F167E5">
        <w:rPr>
          <w:rFonts w:eastAsiaTheme="minorEastAsia"/>
          <w:bCs/>
        </w:rPr>
        <w:t xml:space="preserve"> a more </w:t>
      </w:r>
      <w:r w:rsidR="009062BF">
        <w:rPr>
          <w:rFonts w:eastAsiaTheme="minorEastAsia"/>
          <w:bCs/>
        </w:rPr>
        <w:t>prominent</w:t>
      </w:r>
      <w:r w:rsidR="00F167E5">
        <w:rPr>
          <w:rFonts w:eastAsiaTheme="minorEastAsia"/>
          <w:bCs/>
        </w:rPr>
        <w:t xml:space="preserve"> role </w:t>
      </w:r>
      <w:r w:rsidR="00055A31">
        <w:rPr>
          <w:rFonts w:eastAsiaTheme="minorEastAsia"/>
          <w:bCs/>
        </w:rPr>
        <w:t xml:space="preserve">in the accuracy </w:t>
      </w:r>
      <w:r w:rsidR="00F167E5">
        <w:rPr>
          <w:rFonts w:eastAsiaTheme="minorEastAsia"/>
          <w:bCs/>
        </w:rPr>
        <w:t>of the PHXRF devices</w:t>
      </w:r>
      <w:r w:rsidR="008565B0">
        <w:rPr>
          <w:rFonts w:eastAsiaTheme="minorEastAsia"/>
          <w:bCs/>
        </w:rPr>
        <w:t xml:space="preserve">. </w:t>
      </w:r>
      <w:r w:rsidR="00D02ED3">
        <w:rPr>
          <w:rFonts w:eastAsiaTheme="minorEastAsia"/>
          <w:bCs/>
        </w:rPr>
        <w:t xml:space="preserve">Significant drops in RMSD are observed as samples are milled to smaller particle sizes. </w:t>
      </w:r>
      <w:r w:rsidR="00A43765">
        <w:rPr>
          <w:rFonts w:eastAsiaTheme="minorEastAsia"/>
          <w:bCs/>
        </w:rPr>
        <w:t xml:space="preserve">The relationship between precision and particles size, on the other hand, </w:t>
      </w:r>
      <w:r w:rsidR="00A8138C">
        <w:rPr>
          <w:rFonts w:eastAsiaTheme="minorEastAsia"/>
          <w:bCs/>
        </w:rPr>
        <w:t xml:space="preserve">is </w:t>
      </w:r>
      <w:r w:rsidR="004252F5">
        <w:rPr>
          <w:rFonts w:eastAsiaTheme="minorEastAsia"/>
          <w:bCs/>
        </w:rPr>
        <w:t>minor</w:t>
      </w:r>
      <w:r>
        <w:rPr>
          <w:rFonts w:eastAsiaTheme="minorEastAsia"/>
          <w:bCs/>
        </w:rPr>
        <w:t xml:space="preserve"> according to the COV</w:t>
      </w:r>
      <w:r>
        <w:rPr>
          <w:rFonts w:eastAsiaTheme="minorEastAsia"/>
          <w:bCs/>
          <w:vertAlign w:val="subscript"/>
        </w:rPr>
        <w:t>STDEV</w:t>
      </w:r>
      <w:r w:rsidR="00A43765">
        <w:rPr>
          <w:rFonts w:eastAsiaTheme="minorEastAsia"/>
          <w:bCs/>
        </w:rPr>
        <w:t xml:space="preserve">. </w:t>
      </w:r>
    </w:p>
    <w:p w14:paraId="30390C2F" w14:textId="461504DF" w:rsidR="007F7048" w:rsidRDefault="008565B0" w:rsidP="00583259">
      <w:pPr>
        <w:ind w:left="720" w:firstLine="720"/>
        <w:jc w:val="both"/>
        <w:rPr>
          <w:rFonts w:eastAsiaTheme="minorEastAsia"/>
          <w:bCs/>
        </w:rPr>
      </w:pPr>
      <w:r>
        <w:rPr>
          <w:rFonts w:eastAsiaTheme="minorEastAsia"/>
          <w:bCs/>
        </w:rPr>
        <w:t xml:space="preserve">As seen in </w:t>
      </w:r>
      <w:r>
        <w:rPr>
          <w:rFonts w:eastAsiaTheme="minorEastAsia"/>
          <w:bCs/>
        </w:rPr>
        <w:fldChar w:fldCharType="begin"/>
      </w:r>
      <w:r>
        <w:rPr>
          <w:rFonts w:eastAsiaTheme="minorEastAsia"/>
          <w:bCs/>
        </w:rPr>
        <w:instrText xml:space="preserve"> REF _Ref442706466 \h </w:instrText>
      </w:r>
      <w:r>
        <w:rPr>
          <w:rFonts w:eastAsiaTheme="minorEastAsia"/>
          <w:bCs/>
        </w:rPr>
      </w:r>
      <w:r>
        <w:rPr>
          <w:rFonts w:eastAsiaTheme="minorEastAsia"/>
          <w:bCs/>
        </w:rPr>
        <w:fldChar w:fldCharType="separate"/>
      </w:r>
      <w:r w:rsidR="00E90148">
        <w:t xml:space="preserve">Table </w:t>
      </w:r>
      <w:r w:rsidR="00E90148">
        <w:rPr>
          <w:noProof/>
        </w:rPr>
        <w:t>10</w:t>
      </w:r>
      <w:r>
        <w:rPr>
          <w:rFonts w:eastAsiaTheme="minorEastAsia"/>
          <w:bCs/>
        </w:rPr>
        <w:fldChar w:fldCharType="end"/>
      </w:r>
      <w:r>
        <w:rPr>
          <w:rFonts w:eastAsiaTheme="minorEastAsia"/>
          <w:bCs/>
        </w:rPr>
        <w:t xml:space="preserve">, </w:t>
      </w:r>
      <w:r w:rsidR="004A12F3">
        <w:rPr>
          <w:rFonts w:eastAsiaTheme="minorEastAsia"/>
          <w:bCs/>
        </w:rPr>
        <w:t xml:space="preserve">the relationship between precision and particle size </w:t>
      </w:r>
      <w:r w:rsidR="00463453">
        <w:rPr>
          <w:rFonts w:eastAsiaTheme="minorEastAsia"/>
          <w:bCs/>
        </w:rPr>
        <w:t>is similar to that of precision and</w:t>
      </w:r>
      <w:r w:rsidR="007F7048">
        <w:rPr>
          <w:rFonts w:eastAsiaTheme="minorEastAsia"/>
          <w:bCs/>
        </w:rPr>
        <w:t xml:space="preserve"> scan durations: insignificant. </w:t>
      </w:r>
      <w:r w:rsidR="00463453">
        <w:rPr>
          <w:rFonts w:eastAsiaTheme="minorEastAsia"/>
          <w:bCs/>
        </w:rPr>
        <w:t xml:space="preserve">Once again, an example is the best way to demonstrate this point. If the mean value of a series of </w:t>
      </w:r>
      <m:oMath>
        <m:r>
          <w:rPr>
            <w:rFonts w:ascii="Cambria Math" w:eastAsiaTheme="minorEastAsia" w:hAnsi="Cambria Math"/>
          </w:rPr>
          <m:t>SC</m:t>
        </m:r>
      </m:oMath>
      <w:r w:rsidR="00463453">
        <w:rPr>
          <w:rFonts w:eastAsiaTheme="minorEastAsia"/>
          <w:bCs/>
        </w:rPr>
        <w:t xml:space="preserve"> measurements is 21.844%, then scanning the passing No. 4 samples or the passing No. 200 samples would produce measurements of 21.844 </w:t>
      </w:r>
      <w:r w:rsidR="00463453">
        <w:rPr>
          <w:rFonts w:eastAsiaTheme="minorEastAsia" w:cs="Times New Roman"/>
          <w:bCs/>
        </w:rPr>
        <w:t>±</w:t>
      </w:r>
      <w:r w:rsidR="00463453">
        <w:rPr>
          <w:rFonts w:eastAsiaTheme="minorEastAsia"/>
          <w:bCs/>
        </w:rPr>
        <w:t xml:space="preserve"> 0.024 or 21.844 </w:t>
      </w:r>
      <w:r w:rsidR="00463453">
        <w:rPr>
          <w:rFonts w:eastAsiaTheme="minorEastAsia" w:cs="Times New Roman"/>
          <w:bCs/>
        </w:rPr>
        <w:t>±</w:t>
      </w:r>
      <w:r w:rsidR="00463453">
        <w:rPr>
          <w:rFonts w:eastAsiaTheme="minorEastAsia"/>
          <w:bCs/>
        </w:rPr>
        <w:t xml:space="preserve"> 0.091, respectively, 95% of the time. Only the second decimal place of the measurements is affected, which is </w:t>
      </w:r>
      <w:r w:rsidR="00577E3E">
        <w:rPr>
          <w:rFonts w:eastAsiaTheme="minorEastAsia"/>
          <w:bCs/>
        </w:rPr>
        <w:t>of minimal consequence</w:t>
      </w:r>
      <w:r w:rsidR="00463453">
        <w:rPr>
          <w:rFonts w:eastAsiaTheme="minorEastAsia"/>
          <w:bCs/>
        </w:rPr>
        <w:t xml:space="preserve"> as indicated by the </w:t>
      </w:r>
      <w:r w:rsidR="00577E3E">
        <w:rPr>
          <w:rFonts w:eastAsiaTheme="minorEastAsia"/>
          <w:bCs/>
        </w:rPr>
        <w:t>near constant</w:t>
      </w:r>
      <w:r w:rsidR="00463453">
        <w:rPr>
          <w:rFonts w:eastAsiaTheme="minorEastAsia"/>
          <w:bCs/>
        </w:rPr>
        <w:t xml:space="preserve"> COV</w:t>
      </w:r>
      <w:r w:rsidR="00463453">
        <w:rPr>
          <w:rFonts w:eastAsiaTheme="minorEastAsia"/>
          <w:bCs/>
          <w:vertAlign w:val="subscript"/>
        </w:rPr>
        <w:t>STDEV</w:t>
      </w:r>
      <w:r w:rsidR="00463453">
        <w:rPr>
          <w:rFonts w:eastAsiaTheme="minorEastAsia"/>
          <w:bCs/>
        </w:rPr>
        <w:t xml:space="preserve">. </w:t>
      </w:r>
      <w:r w:rsidR="00577E3E">
        <w:rPr>
          <w:rFonts w:eastAsiaTheme="minorEastAsia"/>
          <w:bCs/>
        </w:rPr>
        <w:t xml:space="preserve">Conversely, </w:t>
      </w:r>
      <w:r w:rsidR="00407638">
        <w:rPr>
          <w:rFonts w:eastAsiaTheme="minorEastAsia"/>
          <w:bCs/>
        </w:rPr>
        <w:t xml:space="preserve">accuracy is heavily influenced by particle size. </w:t>
      </w:r>
      <w:r w:rsidR="00E97900">
        <w:rPr>
          <w:rFonts w:eastAsiaTheme="minorEastAsia"/>
          <w:bCs/>
        </w:rPr>
        <w:t>The</w:t>
      </w:r>
      <w:r w:rsidR="001261AB">
        <w:rPr>
          <w:rFonts w:eastAsiaTheme="minorEastAsia"/>
          <w:bCs/>
        </w:rPr>
        <w:t xml:space="preserve"> RMSD, or the</w:t>
      </w:r>
      <w:r w:rsidR="00407638">
        <w:rPr>
          <w:rFonts w:eastAsiaTheme="minorEastAsia"/>
          <w:bCs/>
        </w:rPr>
        <w:t xml:space="preserve"> deviation of the </w:t>
      </w:r>
      <m:oMath>
        <m:r>
          <w:rPr>
            <w:rFonts w:ascii="Cambria Math" w:hAnsi="Cambria Math"/>
          </w:rPr>
          <m:t>SC</m:t>
        </m:r>
      </m:oMath>
      <w:r w:rsidR="00407638">
        <w:rPr>
          <w:rFonts w:eastAsiaTheme="minorEastAsia"/>
          <w:bCs/>
        </w:rPr>
        <w:t xml:space="preserve"> measurements from the true</w:t>
      </w:r>
      <w:r w:rsidR="00583259">
        <w:rPr>
          <w:rFonts w:eastAsiaTheme="minorEastAsia"/>
          <w:bCs/>
        </w:rPr>
        <w:t xml:space="preserve"> (commercial laboratory)</w:t>
      </w:r>
      <w:r w:rsidR="00E97900">
        <w:rPr>
          <w:rFonts w:eastAsiaTheme="minorEastAsia"/>
          <w:bCs/>
        </w:rPr>
        <w:t xml:space="preserve"> </w:t>
      </w:r>
      <m:oMath>
        <m:r>
          <w:rPr>
            <w:rFonts w:ascii="Cambria Math" w:hAnsi="Cambria Math"/>
          </w:rPr>
          <m:t>SC</m:t>
        </m:r>
      </m:oMath>
      <w:r w:rsidR="001261AB">
        <w:rPr>
          <w:rFonts w:eastAsiaTheme="minorEastAsia"/>
          <w:bCs/>
        </w:rPr>
        <w:t>,</w:t>
      </w:r>
      <w:r w:rsidR="00E97900">
        <w:rPr>
          <w:rFonts w:eastAsiaTheme="minorEastAsia"/>
          <w:bCs/>
        </w:rPr>
        <w:t xml:space="preserve"> is decreased by </w:t>
      </w:r>
      <w:r>
        <w:rPr>
          <w:rFonts w:eastAsiaTheme="minorEastAsia"/>
          <w:bCs/>
        </w:rPr>
        <w:t>0.</w:t>
      </w:r>
      <w:r w:rsidR="00C62473">
        <w:rPr>
          <w:rFonts w:eastAsiaTheme="minorEastAsia"/>
          <w:bCs/>
        </w:rPr>
        <w:t>342</w:t>
      </w:r>
      <w:r>
        <w:rPr>
          <w:rFonts w:eastAsiaTheme="minorEastAsia"/>
          <w:bCs/>
        </w:rPr>
        <w:t xml:space="preserve">% </w:t>
      </w:r>
      <w:r w:rsidR="00C62473">
        <w:rPr>
          <w:rFonts w:eastAsiaTheme="minorEastAsia"/>
          <w:bCs/>
        </w:rPr>
        <w:t>and 0.334% for the S1 T</w:t>
      </w:r>
      <w:r w:rsidR="005B2315">
        <w:rPr>
          <w:rFonts w:eastAsiaTheme="minorEastAsia"/>
          <w:bCs/>
        </w:rPr>
        <w:t>itan and Niton XL3t</w:t>
      </w:r>
      <w:r w:rsidR="00C62473">
        <w:rPr>
          <w:rFonts w:eastAsiaTheme="minorEastAsia"/>
          <w:bCs/>
        </w:rPr>
        <w:t>, respectively</w:t>
      </w:r>
      <w:r w:rsidR="00E97900">
        <w:rPr>
          <w:rFonts w:eastAsiaTheme="minorEastAsia"/>
          <w:bCs/>
        </w:rPr>
        <w:t>, when the particle size is reduced from passing the No. 4 sieve to passing the No. 200 sieve.</w:t>
      </w:r>
      <w:r w:rsidR="00D86288">
        <w:rPr>
          <w:rFonts w:eastAsiaTheme="minorEastAsia"/>
          <w:bCs/>
        </w:rPr>
        <w:t xml:space="preserve"> </w:t>
      </w:r>
      <w:r w:rsidR="00E97900">
        <w:rPr>
          <w:rFonts w:eastAsiaTheme="minorEastAsia"/>
          <w:bCs/>
        </w:rPr>
        <w:t>T</w:t>
      </w:r>
      <w:r w:rsidR="00583259">
        <w:rPr>
          <w:rFonts w:eastAsiaTheme="minorEastAsia"/>
          <w:bCs/>
        </w:rPr>
        <w:t xml:space="preserve">he reduction in </w:t>
      </w:r>
      <w:r w:rsidR="00D86288">
        <w:rPr>
          <w:rFonts w:eastAsiaTheme="minorEastAsia"/>
          <w:bCs/>
        </w:rPr>
        <w:t>COV</w:t>
      </w:r>
      <w:r w:rsidR="00D86288">
        <w:rPr>
          <w:rFonts w:eastAsiaTheme="minorEastAsia"/>
          <w:bCs/>
          <w:vertAlign w:val="subscript"/>
        </w:rPr>
        <w:t>RMSD</w:t>
      </w:r>
      <w:r w:rsidR="00583259">
        <w:rPr>
          <w:rFonts w:eastAsiaTheme="minorEastAsia"/>
          <w:bCs/>
        </w:rPr>
        <w:t xml:space="preserve">, or variability of the measurements relative to the true </w:t>
      </w:r>
      <m:oMath>
        <m:r>
          <w:rPr>
            <w:rFonts w:ascii="Cambria Math" w:eastAsiaTheme="minorEastAsia" w:hAnsi="Cambria Math"/>
          </w:rPr>
          <m:t>SC</m:t>
        </m:r>
      </m:oMath>
      <w:r w:rsidR="00583259">
        <w:rPr>
          <w:rFonts w:eastAsiaTheme="minorEastAsia"/>
          <w:bCs/>
        </w:rPr>
        <w:t xml:space="preserve"> value,</w:t>
      </w:r>
      <w:r w:rsidR="005B2315">
        <w:rPr>
          <w:rFonts w:eastAsiaTheme="minorEastAsia"/>
          <w:bCs/>
        </w:rPr>
        <w:t xml:space="preserve"> </w:t>
      </w:r>
      <w:r w:rsidR="00E97900">
        <w:rPr>
          <w:rFonts w:eastAsiaTheme="minorEastAsia"/>
          <w:bCs/>
        </w:rPr>
        <w:t xml:space="preserve">confirm </w:t>
      </w:r>
      <w:r w:rsidR="00583259">
        <w:rPr>
          <w:rFonts w:eastAsiaTheme="minorEastAsia"/>
          <w:bCs/>
        </w:rPr>
        <w:t>that milling samples to smaller particle diameters yield sizable benefits to PHXRF device accuracy</w:t>
      </w:r>
      <w:r w:rsidR="007F7048">
        <w:rPr>
          <w:rFonts w:eastAsiaTheme="minorEastAsia" w:cs="Times New Roman"/>
          <w:bCs/>
        </w:rPr>
        <w:t xml:space="preserve">. </w:t>
      </w:r>
    </w:p>
    <w:p w14:paraId="0EFF11C0" w14:textId="77777777" w:rsidR="001261AB" w:rsidRDefault="001261AB" w:rsidP="001261AB">
      <w:pPr>
        <w:ind w:left="720" w:firstLine="720"/>
        <w:jc w:val="both"/>
        <w:rPr>
          <w:rFonts w:eastAsiaTheme="minorEastAsia"/>
          <w:b/>
        </w:rPr>
      </w:pPr>
    </w:p>
    <w:p w14:paraId="6C3606EF" w14:textId="77777777" w:rsidR="00175936" w:rsidRDefault="00175936" w:rsidP="001261AB">
      <w:pPr>
        <w:ind w:left="720" w:firstLine="720"/>
        <w:jc w:val="both"/>
        <w:rPr>
          <w:rFonts w:eastAsiaTheme="minorEastAsia"/>
          <w:b/>
        </w:rPr>
      </w:pPr>
    </w:p>
    <w:p w14:paraId="6FB4E5FF" w14:textId="77777777" w:rsidR="00175936" w:rsidRDefault="00175936" w:rsidP="001261AB">
      <w:pPr>
        <w:ind w:left="720" w:firstLine="720"/>
        <w:jc w:val="both"/>
        <w:rPr>
          <w:rFonts w:eastAsiaTheme="minorEastAsia"/>
          <w:b/>
        </w:rPr>
      </w:pPr>
    </w:p>
    <w:p w14:paraId="45E1996F" w14:textId="675E00CF" w:rsidR="006648D1" w:rsidRDefault="00B1453E" w:rsidP="001261AB">
      <w:pPr>
        <w:pStyle w:val="Caption"/>
        <w:spacing w:line="480" w:lineRule="auto"/>
        <w:ind w:left="1080" w:right="936"/>
      </w:pPr>
      <w:bookmarkStart w:id="77" w:name="_Ref442706466"/>
      <w:bookmarkStart w:id="78" w:name="_Toc447755330"/>
      <w:r>
        <w:lastRenderedPageBreak/>
        <w:t xml:space="preserve">Table </w:t>
      </w:r>
      <w:r w:rsidR="00184FC2">
        <w:fldChar w:fldCharType="begin"/>
      </w:r>
      <w:r w:rsidR="00184FC2">
        <w:instrText xml:space="preserve"> SEQ Table \* ARABIC </w:instrText>
      </w:r>
      <w:r w:rsidR="00184FC2">
        <w:fldChar w:fldCharType="separate"/>
      </w:r>
      <w:r w:rsidR="00E90148">
        <w:rPr>
          <w:noProof/>
        </w:rPr>
        <w:t>10</w:t>
      </w:r>
      <w:r w:rsidR="00184FC2">
        <w:rPr>
          <w:noProof/>
        </w:rPr>
        <w:fldChar w:fldCharType="end"/>
      </w:r>
      <w:bookmarkEnd w:id="77"/>
      <w:r>
        <w:t xml:space="preserve">: Effects of Particle Size on </w:t>
      </w:r>
      <w:r w:rsidR="006648D1">
        <w:t>STDEV, COV</w:t>
      </w:r>
      <w:r w:rsidR="006648D1">
        <w:rPr>
          <w:vertAlign w:val="subscript"/>
        </w:rPr>
        <w:t>STDEV</w:t>
      </w:r>
      <w:r w:rsidR="006648D1">
        <w:t>, RMSD, and COV</w:t>
      </w:r>
      <w:r w:rsidR="006648D1">
        <w:rPr>
          <w:vertAlign w:val="subscript"/>
        </w:rPr>
        <w:t>RMSD</w:t>
      </w:r>
      <w:r w:rsidR="006648D1">
        <w:t xml:space="preserve"> for OHC Samples</w:t>
      </w:r>
      <w:bookmarkEnd w:id="78"/>
    </w:p>
    <w:tbl>
      <w:tblPr>
        <w:tblW w:w="750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2"/>
        <w:gridCol w:w="1728"/>
        <w:gridCol w:w="720"/>
        <w:gridCol w:w="1152"/>
        <w:gridCol w:w="1152"/>
        <w:gridCol w:w="1152"/>
        <w:gridCol w:w="1152"/>
      </w:tblGrid>
      <w:tr w:rsidR="0045587E" w:rsidRPr="00B1453E" w14:paraId="67297C00" w14:textId="743F9619" w:rsidTr="00594940">
        <w:trPr>
          <w:trHeight w:val="600"/>
          <w:jc w:val="center"/>
        </w:trPr>
        <w:tc>
          <w:tcPr>
            <w:tcW w:w="452" w:type="dxa"/>
            <w:tcBorders>
              <w:top w:val="nil"/>
              <w:left w:val="nil"/>
              <w:bottom w:val="single" w:sz="4" w:space="0" w:color="auto"/>
              <w:right w:val="single" w:sz="4" w:space="0" w:color="auto"/>
            </w:tcBorders>
            <w:shd w:val="clear" w:color="000000" w:fill="auto"/>
          </w:tcPr>
          <w:p w14:paraId="1F167FFD" w14:textId="77777777" w:rsidR="0045587E" w:rsidRDefault="0045587E" w:rsidP="003747D0">
            <w:pPr>
              <w:spacing w:line="240" w:lineRule="auto"/>
              <w:rPr>
                <w:rFonts w:eastAsia="Times New Roman" w:cs="Times New Roman"/>
                <w:i/>
                <w:iCs/>
                <w:color w:val="000000"/>
                <w:sz w:val="22"/>
                <w:szCs w:val="22"/>
              </w:rPr>
            </w:pPr>
          </w:p>
        </w:tc>
        <w:tc>
          <w:tcPr>
            <w:tcW w:w="1728" w:type="dxa"/>
            <w:tcBorders>
              <w:top w:val="single" w:sz="4" w:space="0" w:color="auto"/>
              <w:left w:val="single" w:sz="4" w:space="0" w:color="auto"/>
              <w:bottom w:val="single" w:sz="4" w:space="0" w:color="auto"/>
              <w:right w:val="nil"/>
            </w:tcBorders>
            <w:shd w:val="clear" w:color="000000" w:fill="BFBFBF"/>
            <w:vAlign w:val="center"/>
            <w:hideMark/>
          </w:tcPr>
          <w:p w14:paraId="339C088B" w14:textId="2F20C58A" w:rsidR="0045587E" w:rsidRPr="00B1453E" w:rsidRDefault="0045587E" w:rsidP="003747D0">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Particle Size    (Passing)</w:t>
            </w:r>
          </w:p>
        </w:tc>
        <w:tc>
          <w:tcPr>
            <w:tcW w:w="720" w:type="dxa"/>
            <w:tcBorders>
              <w:top w:val="single" w:sz="4" w:space="0" w:color="auto"/>
              <w:left w:val="nil"/>
              <w:bottom w:val="single" w:sz="4" w:space="0" w:color="auto"/>
              <w:right w:val="nil"/>
            </w:tcBorders>
            <w:shd w:val="clear" w:color="000000" w:fill="BFBFBF"/>
            <w:vAlign w:val="center"/>
          </w:tcPr>
          <w:p w14:paraId="77050051" w14:textId="01B96C56" w:rsidR="0045587E" w:rsidRDefault="0045587E" w:rsidP="00594940">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left w:val="nil"/>
              <w:bottom w:val="single" w:sz="4" w:space="0" w:color="auto"/>
              <w:right w:val="nil"/>
            </w:tcBorders>
            <w:shd w:val="clear" w:color="000000" w:fill="BFBFBF"/>
            <w:vAlign w:val="center"/>
            <w:hideMark/>
          </w:tcPr>
          <w:p w14:paraId="04008A47" w14:textId="2A4D6AC0" w:rsidR="0045587E" w:rsidRPr="00B1453E" w:rsidRDefault="0045587E" w:rsidP="003747D0">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B1453E">
              <w:rPr>
                <w:rFonts w:eastAsia="Times New Roman" w:cs="Times New Roman"/>
                <w:i/>
                <w:iCs/>
                <w:color w:val="000000"/>
                <w:sz w:val="22"/>
                <w:szCs w:val="22"/>
              </w:rPr>
              <w:t xml:space="preserve">.    </w:t>
            </w:r>
            <w:r>
              <w:rPr>
                <w:rFonts w:eastAsia="Times New Roman" w:cs="Times New Roman"/>
                <w:i/>
                <w:iCs/>
                <w:color w:val="000000"/>
                <w:sz w:val="22"/>
                <w:szCs w:val="22"/>
              </w:rPr>
              <w:t xml:space="preserve">              </w:t>
            </w:r>
            <w:r w:rsidRPr="00B1453E">
              <w:rPr>
                <w:rFonts w:eastAsia="Times New Roman" w:cs="Times New Roman"/>
                <w:i/>
                <w:iCs/>
                <w:color w:val="000000"/>
                <w:sz w:val="22"/>
                <w:szCs w:val="22"/>
              </w:rPr>
              <w:t>(%)</w:t>
            </w:r>
          </w:p>
        </w:tc>
        <w:tc>
          <w:tcPr>
            <w:tcW w:w="1152" w:type="dxa"/>
            <w:tcBorders>
              <w:top w:val="single" w:sz="4" w:space="0" w:color="auto"/>
              <w:left w:val="nil"/>
              <w:bottom w:val="single" w:sz="4" w:space="0" w:color="auto"/>
              <w:right w:val="nil"/>
            </w:tcBorders>
            <w:shd w:val="clear" w:color="000000" w:fill="BFBFBF"/>
            <w:vAlign w:val="center"/>
          </w:tcPr>
          <w:p w14:paraId="798D3A54" w14:textId="34D61AFE" w:rsidR="0045587E" w:rsidRPr="00B1453E" w:rsidRDefault="0045587E" w:rsidP="00202728">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r>
              <w:rPr>
                <w:rFonts w:eastAsia="Times New Roman" w:cs="Times New Roman"/>
                <w:i/>
                <w:iCs/>
                <w:color w:val="000000"/>
                <w:sz w:val="22"/>
                <w:szCs w:val="22"/>
              </w:rPr>
              <w:t xml:space="preserve">           </w:t>
            </w:r>
          </w:p>
        </w:tc>
        <w:tc>
          <w:tcPr>
            <w:tcW w:w="1152" w:type="dxa"/>
            <w:tcBorders>
              <w:top w:val="single" w:sz="4" w:space="0" w:color="auto"/>
              <w:left w:val="nil"/>
              <w:bottom w:val="single" w:sz="4" w:space="0" w:color="auto"/>
              <w:right w:val="nil"/>
            </w:tcBorders>
            <w:shd w:val="clear" w:color="000000" w:fill="BFBFBF"/>
            <w:vAlign w:val="center"/>
            <w:hideMark/>
          </w:tcPr>
          <w:p w14:paraId="23C567BD" w14:textId="63636824" w:rsidR="0045587E" w:rsidRPr="00B1453E" w:rsidRDefault="0045587E" w:rsidP="003747D0">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RMSD         (%)</w:t>
            </w:r>
          </w:p>
        </w:tc>
        <w:tc>
          <w:tcPr>
            <w:tcW w:w="1152" w:type="dxa"/>
            <w:tcBorders>
              <w:top w:val="single" w:sz="4" w:space="0" w:color="auto"/>
              <w:left w:val="nil"/>
              <w:bottom w:val="single" w:sz="4" w:space="0" w:color="auto"/>
              <w:right w:val="single" w:sz="4" w:space="0" w:color="auto"/>
            </w:tcBorders>
            <w:shd w:val="clear" w:color="000000" w:fill="BFBFBF"/>
            <w:vAlign w:val="center"/>
          </w:tcPr>
          <w:p w14:paraId="466E45C0" w14:textId="14D65838" w:rsidR="0045587E" w:rsidRPr="00B1453E" w:rsidRDefault="0045587E" w:rsidP="00202728">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r>
              <w:rPr>
                <w:rFonts w:eastAsia="Times New Roman" w:cs="Times New Roman"/>
                <w:i/>
                <w:iCs/>
                <w:color w:val="000000"/>
                <w:sz w:val="22"/>
                <w:szCs w:val="22"/>
              </w:rPr>
              <w:t xml:space="preserve">           </w:t>
            </w:r>
          </w:p>
        </w:tc>
      </w:tr>
      <w:tr w:rsidR="0045587E" w:rsidRPr="00B1453E" w14:paraId="44A8BDDA" w14:textId="0F76BC95" w:rsidTr="0045587E">
        <w:trPr>
          <w:trHeight w:val="300"/>
          <w:jc w:val="center"/>
        </w:trPr>
        <w:tc>
          <w:tcPr>
            <w:tcW w:w="452" w:type="dxa"/>
            <w:vMerge w:val="restart"/>
            <w:tcBorders>
              <w:top w:val="single" w:sz="4" w:space="0" w:color="auto"/>
              <w:bottom w:val="single" w:sz="4" w:space="0" w:color="auto"/>
              <w:right w:val="single" w:sz="4" w:space="0" w:color="auto"/>
            </w:tcBorders>
            <w:shd w:val="clear" w:color="auto" w:fill="BFBFBF" w:themeFill="background1" w:themeFillShade="BF"/>
            <w:textDirection w:val="btLr"/>
          </w:tcPr>
          <w:p w14:paraId="461F5D4A" w14:textId="4C89BAB2" w:rsidR="0045587E" w:rsidRDefault="0045587E" w:rsidP="0045587E">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S1 Titan</w:t>
            </w:r>
          </w:p>
        </w:tc>
        <w:tc>
          <w:tcPr>
            <w:tcW w:w="1728" w:type="dxa"/>
            <w:tcBorders>
              <w:top w:val="single" w:sz="4" w:space="0" w:color="auto"/>
              <w:left w:val="single" w:sz="4" w:space="0" w:color="auto"/>
              <w:bottom w:val="nil"/>
              <w:right w:val="nil"/>
            </w:tcBorders>
            <w:shd w:val="clear" w:color="000000" w:fill="FFFFFF"/>
            <w:noWrap/>
            <w:vAlign w:val="center"/>
            <w:hideMark/>
          </w:tcPr>
          <w:p w14:paraId="3D86EAA3" w14:textId="19404C0D" w:rsidR="0045587E" w:rsidRPr="00B1453E" w:rsidRDefault="0045587E" w:rsidP="003747D0">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w:t>
            </w:r>
          </w:p>
        </w:tc>
        <w:tc>
          <w:tcPr>
            <w:tcW w:w="720" w:type="dxa"/>
            <w:tcBorders>
              <w:top w:val="single" w:sz="4" w:space="0" w:color="auto"/>
              <w:left w:val="nil"/>
              <w:right w:val="dashed" w:sz="4" w:space="0" w:color="auto"/>
            </w:tcBorders>
            <w:shd w:val="clear" w:color="000000" w:fill="FFFFFF"/>
          </w:tcPr>
          <w:p w14:paraId="5331C021" w14:textId="0026CE68" w:rsidR="0045587E" w:rsidRPr="0045587E" w:rsidRDefault="008C77A2" w:rsidP="00BC191B">
            <w:pPr>
              <w:spacing w:line="240" w:lineRule="auto"/>
              <w:rPr>
                <w:rFonts w:eastAsia="Times New Roman" w:cs="Times New Roman"/>
                <w:i/>
                <w:iCs/>
                <w:color w:val="000000"/>
                <w:sz w:val="20"/>
                <w:szCs w:val="20"/>
              </w:rPr>
            </w:pPr>
            <w:r>
              <w:rPr>
                <w:rFonts w:eastAsia="Times New Roman" w:cs="Times New Roman"/>
                <w:i/>
                <w:iCs/>
                <w:color w:val="000000"/>
                <w:sz w:val="20"/>
                <w:szCs w:val="20"/>
              </w:rPr>
              <w:t>280</w:t>
            </w:r>
          </w:p>
        </w:tc>
        <w:tc>
          <w:tcPr>
            <w:tcW w:w="1152" w:type="dxa"/>
            <w:tcBorders>
              <w:top w:val="single" w:sz="4" w:space="0" w:color="auto"/>
              <w:left w:val="dashed" w:sz="4" w:space="0" w:color="auto"/>
            </w:tcBorders>
            <w:shd w:val="clear" w:color="000000" w:fill="FFFFFF"/>
            <w:noWrap/>
            <w:vAlign w:val="center"/>
            <w:hideMark/>
          </w:tcPr>
          <w:p w14:paraId="7BE4327F" w14:textId="15EA28F3"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0.035</w:t>
            </w:r>
          </w:p>
        </w:tc>
        <w:tc>
          <w:tcPr>
            <w:tcW w:w="1152" w:type="dxa"/>
            <w:tcBorders>
              <w:top w:val="single" w:sz="4" w:space="0" w:color="auto"/>
              <w:right w:val="dashed" w:sz="4" w:space="0" w:color="auto"/>
            </w:tcBorders>
            <w:shd w:val="clear" w:color="000000" w:fill="FFFFFF"/>
            <w:vAlign w:val="center"/>
          </w:tcPr>
          <w:p w14:paraId="3A947F58" w14:textId="4E12ECB6" w:rsidR="0045587E" w:rsidRPr="00050F6A" w:rsidRDefault="0045587E" w:rsidP="003747D0">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single" w:sz="4" w:space="0" w:color="auto"/>
              <w:left w:val="dashed" w:sz="4" w:space="0" w:color="auto"/>
            </w:tcBorders>
            <w:shd w:val="clear" w:color="000000" w:fill="FFFFFF"/>
            <w:noWrap/>
            <w:vAlign w:val="center"/>
            <w:hideMark/>
          </w:tcPr>
          <w:p w14:paraId="7C7236AE" w14:textId="05CADE04"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1.234</w:t>
            </w:r>
          </w:p>
        </w:tc>
        <w:tc>
          <w:tcPr>
            <w:tcW w:w="1152" w:type="dxa"/>
            <w:tcBorders>
              <w:top w:val="single" w:sz="4" w:space="0" w:color="auto"/>
            </w:tcBorders>
            <w:shd w:val="clear" w:color="000000" w:fill="FFFFFF"/>
            <w:vAlign w:val="center"/>
          </w:tcPr>
          <w:p w14:paraId="592D4DD5" w14:textId="52B400F1"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0.082</w:t>
            </w:r>
          </w:p>
        </w:tc>
      </w:tr>
      <w:tr w:rsidR="0045587E" w:rsidRPr="00B1453E" w14:paraId="2F46C3B2" w14:textId="3A0FDCF0" w:rsidTr="0045587E">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1C0865C2" w14:textId="77777777" w:rsidR="0045587E" w:rsidRDefault="0045587E" w:rsidP="003747D0">
            <w:pPr>
              <w:spacing w:line="240" w:lineRule="auto"/>
              <w:rPr>
                <w:rFonts w:eastAsia="Times New Roman" w:cs="Times New Roman"/>
                <w:i/>
                <w:iCs/>
                <w:color w:val="000000"/>
                <w:sz w:val="20"/>
                <w:szCs w:val="20"/>
              </w:rPr>
            </w:pPr>
          </w:p>
        </w:tc>
        <w:tc>
          <w:tcPr>
            <w:tcW w:w="1728" w:type="dxa"/>
            <w:tcBorders>
              <w:top w:val="nil"/>
              <w:left w:val="single" w:sz="4" w:space="0" w:color="auto"/>
              <w:bottom w:val="nil"/>
              <w:right w:val="nil"/>
            </w:tcBorders>
            <w:shd w:val="clear" w:color="000000" w:fill="F2F2F2"/>
            <w:noWrap/>
            <w:vAlign w:val="center"/>
            <w:hideMark/>
          </w:tcPr>
          <w:p w14:paraId="18882BCA" w14:textId="1E3D5233" w:rsidR="0045587E" w:rsidRPr="00B1453E" w:rsidRDefault="0045587E" w:rsidP="003747D0">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40</w:t>
            </w:r>
          </w:p>
        </w:tc>
        <w:tc>
          <w:tcPr>
            <w:tcW w:w="720" w:type="dxa"/>
            <w:tcBorders>
              <w:left w:val="nil"/>
              <w:right w:val="dashed" w:sz="4" w:space="0" w:color="auto"/>
            </w:tcBorders>
            <w:shd w:val="clear" w:color="000000" w:fill="F2F2F2"/>
          </w:tcPr>
          <w:p w14:paraId="5FFFC7EC" w14:textId="1AC73AEC" w:rsidR="0045587E" w:rsidRPr="0045587E" w:rsidRDefault="008C77A2"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280</w:t>
            </w:r>
          </w:p>
        </w:tc>
        <w:tc>
          <w:tcPr>
            <w:tcW w:w="1152" w:type="dxa"/>
            <w:tcBorders>
              <w:left w:val="dashed" w:sz="4" w:space="0" w:color="auto"/>
            </w:tcBorders>
            <w:shd w:val="clear" w:color="000000" w:fill="F2F2F2"/>
            <w:noWrap/>
            <w:vAlign w:val="center"/>
            <w:hideMark/>
          </w:tcPr>
          <w:p w14:paraId="3B04A4D2" w14:textId="36A48143" w:rsidR="0045587E" w:rsidRPr="00451B5A" w:rsidRDefault="0045587E" w:rsidP="003747D0">
            <w:pPr>
              <w:spacing w:line="240" w:lineRule="auto"/>
              <w:rPr>
                <w:rFonts w:eastAsia="Times New Roman" w:cs="Times New Roman"/>
                <w:i/>
                <w:iCs/>
                <w:color w:val="000000"/>
                <w:sz w:val="20"/>
                <w:szCs w:val="20"/>
              </w:rPr>
            </w:pPr>
            <w:r w:rsidRPr="00451B5A">
              <w:rPr>
                <w:rFonts w:eastAsia="Times New Roman" w:cs="Times New Roman"/>
                <w:i/>
                <w:iCs/>
                <w:color w:val="000000"/>
                <w:sz w:val="20"/>
                <w:szCs w:val="20"/>
              </w:rPr>
              <w:t>0.025</w:t>
            </w:r>
          </w:p>
        </w:tc>
        <w:tc>
          <w:tcPr>
            <w:tcW w:w="1152" w:type="dxa"/>
            <w:tcBorders>
              <w:right w:val="dashed" w:sz="4" w:space="0" w:color="auto"/>
            </w:tcBorders>
            <w:shd w:val="clear" w:color="000000" w:fill="F2F2F2"/>
            <w:vAlign w:val="center"/>
          </w:tcPr>
          <w:p w14:paraId="33F85FDC" w14:textId="141DDD8E" w:rsidR="0045587E" w:rsidRPr="00050F6A" w:rsidRDefault="0045587E" w:rsidP="003747D0">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left w:val="dashed" w:sz="4" w:space="0" w:color="auto"/>
            </w:tcBorders>
            <w:shd w:val="clear" w:color="000000" w:fill="F2F2F2"/>
            <w:noWrap/>
            <w:vAlign w:val="center"/>
            <w:hideMark/>
          </w:tcPr>
          <w:p w14:paraId="3C33EE39" w14:textId="1C76EBC9" w:rsidR="0045587E" w:rsidRPr="00060D79" w:rsidRDefault="0045587E" w:rsidP="003747D0">
            <w:pPr>
              <w:spacing w:line="240" w:lineRule="auto"/>
              <w:rPr>
                <w:rFonts w:eastAsia="Times New Roman" w:cs="Times New Roman"/>
                <w:b/>
                <w:bCs/>
                <w:i/>
                <w:iCs/>
                <w:color w:val="000000"/>
                <w:sz w:val="20"/>
                <w:szCs w:val="20"/>
              </w:rPr>
            </w:pPr>
            <w:r w:rsidRPr="00060D79">
              <w:rPr>
                <w:rFonts w:eastAsia="Times New Roman" w:cs="Times New Roman"/>
                <w:b/>
                <w:bCs/>
                <w:i/>
                <w:iCs/>
                <w:color w:val="000000"/>
                <w:sz w:val="20"/>
                <w:szCs w:val="20"/>
              </w:rPr>
              <w:t>0.892</w:t>
            </w:r>
          </w:p>
        </w:tc>
        <w:tc>
          <w:tcPr>
            <w:tcW w:w="1152" w:type="dxa"/>
            <w:shd w:val="clear" w:color="000000" w:fill="F2F2F2"/>
            <w:vAlign w:val="center"/>
          </w:tcPr>
          <w:p w14:paraId="0D9BC6FF" w14:textId="194044FB"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0.062</w:t>
            </w:r>
          </w:p>
        </w:tc>
      </w:tr>
      <w:tr w:rsidR="0045587E" w:rsidRPr="00B1453E" w14:paraId="0CFA7774" w14:textId="2C2DD604" w:rsidTr="0045587E">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3E6DAD2C" w14:textId="77777777" w:rsidR="0045587E" w:rsidRDefault="0045587E" w:rsidP="003747D0">
            <w:pPr>
              <w:spacing w:line="240" w:lineRule="auto"/>
              <w:rPr>
                <w:rFonts w:eastAsia="Times New Roman" w:cs="Times New Roman"/>
                <w:i/>
                <w:iCs/>
                <w:color w:val="000000"/>
                <w:sz w:val="20"/>
                <w:szCs w:val="20"/>
              </w:rPr>
            </w:pPr>
          </w:p>
        </w:tc>
        <w:tc>
          <w:tcPr>
            <w:tcW w:w="1728" w:type="dxa"/>
            <w:tcBorders>
              <w:top w:val="nil"/>
              <w:left w:val="single" w:sz="4" w:space="0" w:color="auto"/>
              <w:bottom w:val="nil"/>
              <w:right w:val="nil"/>
            </w:tcBorders>
            <w:shd w:val="clear" w:color="000000" w:fill="FFFFFF"/>
            <w:noWrap/>
            <w:vAlign w:val="center"/>
            <w:hideMark/>
          </w:tcPr>
          <w:p w14:paraId="48CE45FA" w14:textId="28920DA4" w:rsidR="0045587E" w:rsidRPr="00B1453E" w:rsidRDefault="0045587E" w:rsidP="003747D0">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100</w:t>
            </w:r>
          </w:p>
        </w:tc>
        <w:tc>
          <w:tcPr>
            <w:tcW w:w="720" w:type="dxa"/>
            <w:tcBorders>
              <w:left w:val="nil"/>
              <w:bottom w:val="nil"/>
              <w:right w:val="dashed" w:sz="4" w:space="0" w:color="auto"/>
            </w:tcBorders>
            <w:shd w:val="clear" w:color="000000" w:fill="FFFFFF"/>
          </w:tcPr>
          <w:p w14:paraId="53556A26" w14:textId="05182933" w:rsidR="0045587E" w:rsidRPr="0045587E" w:rsidRDefault="008C77A2"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280</w:t>
            </w:r>
          </w:p>
        </w:tc>
        <w:tc>
          <w:tcPr>
            <w:tcW w:w="1152" w:type="dxa"/>
            <w:tcBorders>
              <w:left w:val="dashed" w:sz="4" w:space="0" w:color="auto"/>
              <w:bottom w:val="nil"/>
            </w:tcBorders>
            <w:shd w:val="clear" w:color="000000" w:fill="FFFFFF"/>
            <w:noWrap/>
            <w:vAlign w:val="center"/>
            <w:hideMark/>
          </w:tcPr>
          <w:p w14:paraId="2C5F5825" w14:textId="72A587BE" w:rsidR="0045587E" w:rsidRPr="00451B5A" w:rsidRDefault="0045587E" w:rsidP="003747D0">
            <w:pPr>
              <w:spacing w:line="240" w:lineRule="auto"/>
              <w:rPr>
                <w:rFonts w:eastAsia="Times New Roman" w:cs="Times New Roman"/>
                <w:b/>
                <w:bCs/>
                <w:i/>
                <w:iCs/>
                <w:color w:val="000000"/>
                <w:sz w:val="20"/>
                <w:szCs w:val="20"/>
              </w:rPr>
            </w:pPr>
            <w:r w:rsidRPr="00451B5A">
              <w:rPr>
                <w:rFonts w:eastAsia="Times New Roman" w:cs="Times New Roman"/>
                <w:b/>
                <w:bCs/>
                <w:i/>
                <w:iCs/>
                <w:color w:val="000000"/>
                <w:sz w:val="20"/>
                <w:szCs w:val="20"/>
              </w:rPr>
              <w:t>0.024</w:t>
            </w:r>
          </w:p>
        </w:tc>
        <w:tc>
          <w:tcPr>
            <w:tcW w:w="1152" w:type="dxa"/>
            <w:tcBorders>
              <w:bottom w:val="nil"/>
              <w:right w:val="dashed" w:sz="4" w:space="0" w:color="auto"/>
            </w:tcBorders>
            <w:shd w:val="clear" w:color="000000" w:fill="FFFFFF"/>
            <w:vAlign w:val="center"/>
          </w:tcPr>
          <w:p w14:paraId="561FC152" w14:textId="094F7802" w:rsidR="0045587E" w:rsidRPr="00050F6A" w:rsidRDefault="0045587E" w:rsidP="003747D0">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left w:val="dashed" w:sz="4" w:space="0" w:color="auto"/>
              <w:bottom w:val="nil"/>
            </w:tcBorders>
            <w:shd w:val="clear" w:color="000000" w:fill="FFFFFF"/>
            <w:noWrap/>
            <w:vAlign w:val="center"/>
            <w:hideMark/>
          </w:tcPr>
          <w:p w14:paraId="60C5527D" w14:textId="3E1AF5A9" w:rsidR="0045587E" w:rsidRPr="00060D79" w:rsidRDefault="0045587E" w:rsidP="003747D0">
            <w:pPr>
              <w:spacing w:line="240" w:lineRule="auto"/>
              <w:rPr>
                <w:rFonts w:eastAsia="Times New Roman" w:cs="Times New Roman"/>
                <w:i/>
                <w:iCs/>
                <w:color w:val="000000"/>
                <w:sz w:val="20"/>
                <w:szCs w:val="20"/>
              </w:rPr>
            </w:pPr>
            <w:r w:rsidRPr="00060D79">
              <w:rPr>
                <w:rFonts w:eastAsia="Times New Roman" w:cs="Times New Roman"/>
                <w:i/>
                <w:iCs/>
                <w:color w:val="000000"/>
                <w:sz w:val="20"/>
                <w:szCs w:val="20"/>
              </w:rPr>
              <w:t>0.915</w:t>
            </w:r>
          </w:p>
        </w:tc>
        <w:tc>
          <w:tcPr>
            <w:tcW w:w="1152" w:type="dxa"/>
            <w:tcBorders>
              <w:bottom w:val="nil"/>
            </w:tcBorders>
            <w:shd w:val="clear" w:color="000000" w:fill="FFFFFF"/>
            <w:vAlign w:val="center"/>
          </w:tcPr>
          <w:p w14:paraId="757825D3" w14:textId="2B4F31AF" w:rsidR="0045587E" w:rsidRPr="00060D79" w:rsidRDefault="0045587E" w:rsidP="003747D0">
            <w:pPr>
              <w:spacing w:line="240" w:lineRule="auto"/>
              <w:rPr>
                <w:rFonts w:eastAsia="Times New Roman" w:cs="Times New Roman"/>
                <w:i/>
                <w:iCs/>
                <w:color w:val="000000"/>
                <w:sz w:val="20"/>
                <w:szCs w:val="20"/>
              </w:rPr>
            </w:pPr>
            <w:r w:rsidRPr="00060D79">
              <w:rPr>
                <w:rFonts w:eastAsia="Times New Roman" w:cs="Times New Roman"/>
                <w:i/>
                <w:iCs/>
                <w:color w:val="000000"/>
                <w:sz w:val="20"/>
                <w:szCs w:val="20"/>
              </w:rPr>
              <w:t>0.077</w:t>
            </w:r>
          </w:p>
        </w:tc>
      </w:tr>
      <w:tr w:rsidR="0045587E" w:rsidRPr="00B1453E" w14:paraId="59FE8E22" w14:textId="1D500FB5" w:rsidTr="0045587E">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645C8C60" w14:textId="77777777" w:rsidR="0045587E" w:rsidRDefault="0045587E" w:rsidP="003747D0">
            <w:pPr>
              <w:spacing w:line="240" w:lineRule="auto"/>
              <w:rPr>
                <w:rFonts w:eastAsia="Times New Roman" w:cs="Times New Roman"/>
                <w:i/>
                <w:iCs/>
                <w:color w:val="000000"/>
                <w:sz w:val="20"/>
                <w:szCs w:val="20"/>
              </w:rPr>
            </w:pPr>
          </w:p>
        </w:tc>
        <w:tc>
          <w:tcPr>
            <w:tcW w:w="1728" w:type="dxa"/>
            <w:tcBorders>
              <w:top w:val="nil"/>
              <w:left w:val="single" w:sz="4" w:space="0" w:color="auto"/>
              <w:bottom w:val="dashed" w:sz="4" w:space="0" w:color="auto"/>
              <w:right w:val="nil"/>
            </w:tcBorders>
            <w:shd w:val="clear" w:color="000000" w:fill="F2F2F2"/>
            <w:noWrap/>
            <w:vAlign w:val="center"/>
            <w:hideMark/>
          </w:tcPr>
          <w:p w14:paraId="7FC56225" w14:textId="63575483" w:rsidR="0045587E" w:rsidRPr="00B1453E" w:rsidRDefault="0045587E" w:rsidP="003747D0">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200</w:t>
            </w:r>
          </w:p>
        </w:tc>
        <w:tc>
          <w:tcPr>
            <w:tcW w:w="720" w:type="dxa"/>
            <w:tcBorders>
              <w:top w:val="nil"/>
              <w:left w:val="nil"/>
              <w:bottom w:val="dashed" w:sz="4" w:space="0" w:color="auto"/>
              <w:right w:val="dashed" w:sz="4" w:space="0" w:color="auto"/>
            </w:tcBorders>
            <w:shd w:val="clear" w:color="000000" w:fill="F2F2F2"/>
          </w:tcPr>
          <w:p w14:paraId="48291E55" w14:textId="650B9208" w:rsidR="0045587E" w:rsidRPr="0045587E" w:rsidRDefault="008C77A2"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240</w:t>
            </w:r>
          </w:p>
        </w:tc>
        <w:tc>
          <w:tcPr>
            <w:tcW w:w="1152" w:type="dxa"/>
            <w:tcBorders>
              <w:top w:val="nil"/>
              <w:left w:val="dashed" w:sz="4" w:space="0" w:color="auto"/>
              <w:bottom w:val="dashed" w:sz="4" w:space="0" w:color="auto"/>
            </w:tcBorders>
            <w:shd w:val="clear" w:color="000000" w:fill="F2F2F2"/>
            <w:noWrap/>
            <w:vAlign w:val="center"/>
            <w:hideMark/>
          </w:tcPr>
          <w:p w14:paraId="525330CF" w14:textId="0ED623D3"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0.036</w:t>
            </w:r>
          </w:p>
        </w:tc>
        <w:tc>
          <w:tcPr>
            <w:tcW w:w="1152" w:type="dxa"/>
            <w:tcBorders>
              <w:top w:val="nil"/>
              <w:bottom w:val="dashed" w:sz="4" w:space="0" w:color="auto"/>
              <w:right w:val="dashed" w:sz="4" w:space="0" w:color="auto"/>
            </w:tcBorders>
            <w:shd w:val="clear" w:color="000000" w:fill="F2F2F2"/>
            <w:vAlign w:val="center"/>
          </w:tcPr>
          <w:p w14:paraId="3E123017" w14:textId="6CFF529D" w:rsidR="0045587E" w:rsidRPr="00050F6A" w:rsidRDefault="0045587E" w:rsidP="003747D0">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nil"/>
              <w:left w:val="dashed" w:sz="4" w:space="0" w:color="auto"/>
              <w:bottom w:val="dashed" w:sz="4" w:space="0" w:color="auto"/>
            </w:tcBorders>
            <w:shd w:val="clear" w:color="000000" w:fill="F2F2F2"/>
            <w:noWrap/>
            <w:vAlign w:val="center"/>
            <w:hideMark/>
          </w:tcPr>
          <w:p w14:paraId="5C844958" w14:textId="32F5DF67"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0.905</w:t>
            </w:r>
          </w:p>
        </w:tc>
        <w:tc>
          <w:tcPr>
            <w:tcW w:w="1152" w:type="dxa"/>
            <w:tcBorders>
              <w:top w:val="nil"/>
              <w:bottom w:val="dashed" w:sz="4" w:space="0" w:color="auto"/>
            </w:tcBorders>
            <w:shd w:val="clear" w:color="000000" w:fill="F2F2F2"/>
            <w:vAlign w:val="center"/>
          </w:tcPr>
          <w:p w14:paraId="23775691" w14:textId="1D88443E" w:rsidR="0045587E" w:rsidRPr="00060D79" w:rsidRDefault="0045587E" w:rsidP="003747D0">
            <w:pPr>
              <w:spacing w:line="240" w:lineRule="auto"/>
              <w:rPr>
                <w:rFonts w:eastAsia="Times New Roman" w:cs="Times New Roman"/>
                <w:b/>
                <w:bCs/>
                <w:i/>
                <w:iCs/>
                <w:color w:val="000000"/>
                <w:sz w:val="20"/>
                <w:szCs w:val="20"/>
              </w:rPr>
            </w:pPr>
            <w:r w:rsidRPr="00060D79">
              <w:rPr>
                <w:rFonts w:eastAsia="Times New Roman" w:cs="Times New Roman"/>
                <w:b/>
                <w:bCs/>
                <w:i/>
                <w:iCs/>
                <w:color w:val="000000"/>
                <w:sz w:val="20"/>
                <w:szCs w:val="20"/>
              </w:rPr>
              <w:t>0.056</w:t>
            </w:r>
          </w:p>
        </w:tc>
      </w:tr>
      <w:tr w:rsidR="0045587E" w:rsidRPr="00B1453E" w14:paraId="737E0E22" w14:textId="3440BAEA" w:rsidTr="0045587E">
        <w:trPr>
          <w:trHeight w:val="300"/>
          <w:jc w:val="center"/>
        </w:trPr>
        <w:tc>
          <w:tcPr>
            <w:tcW w:w="452" w:type="dxa"/>
            <w:vMerge w:val="restart"/>
            <w:tcBorders>
              <w:top w:val="dashed" w:sz="4" w:space="0" w:color="auto"/>
              <w:bottom w:val="single" w:sz="4" w:space="0" w:color="auto"/>
              <w:right w:val="single" w:sz="4" w:space="0" w:color="auto"/>
            </w:tcBorders>
            <w:shd w:val="clear" w:color="auto" w:fill="BFBFBF" w:themeFill="background1" w:themeFillShade="BF"/>
            <w:textDirection w:val="btLr"/>
          </w:tcPr>
          <w:p w14:paraId="133FF30D" w14:textId="2BE924DB" w:rsidR="0045587E" w:rsidRDefault="0045587E" w:rsidP="0045587E">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Niton XL3t</w:t>
            </w:r>
          </w:p>
        </w:tc>
        <w:tc>
          <w:tcPr>
            <w:tcW w:w="1728" w:type="dxa"/>
            <w:tcBorders>
              <w:top w:val="dashed" w:sz="4" w:space="0" w:color="auto"/>
              <w:left w:val="single" w:sz="4" w:space="0" w:color="auto"/>
              <w:bottom w:val="nil"/>
              <w:right w:val="nil"/>
            </w:tcBorders>
            <w:shd w:val="clear" w:color="auto" w:fill="FFFFFF" w:themeFill="background1"/>
            <w:noWrap/>
            <w:vAlign w:val="center"/>
          </w:tcPr>
          <w:p w14:paraId="7547CEA2" w14:textId="6FB20EBF" w:rsidR="0045587E" w:rsidRPr="00B1453E" w:rsidRDefault="0045587E" w:rsidP="003747D0">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w:t>
            </w:r>
          </w:p>
        </w:tc>
        <w:tc>
          <w:tcPr>
            <w:tcW w:w="720" w:type="dxa"/>
            <w:tcBorders>
              <w:top w:val="dashed" w:sz="4" w:space="0" w:color="auto"/>
              <w:left w:val="nil"/>
              <w:right w:val="dashed" w:sz="4" w:space="0" w:color="auto"/>
            </w:tcBorders>
            <w:shd w:val="clear" w:color="auto" w:fill="FFFFFF" w:themeFill="background1"/>
          </w:tcPr>
          <w:p w14:paraId="264023D8" w14:textId="344EF1D7" w:rsidR="0045587E" w:rsidRPr="0045587E" w:rsidRDefault="0045587E" w:rsidP="003747D0">
            <w:pPr>
              <w:spacing w:line="240" w:lineRule="auto"/>
              <w:rPr>
                <w:rFonts w:eastAsia="Times New Roman" w:cs="Times New Roman"/>
                <w:i/>
                <w:iCs/>
                <w:color w:val="000000"/>
                <w:sz w:val="20"/>
                <w:szCs w:val="20"/>
              </w:rPr>
            </w:pPr>
            <w:r w:rsidRPr="0045587E">
              <w:rPr>
                <w:rFonts w:eastAsia="Times New Roman" w:cs="Times New Roman"/>
                <w:i/>
                <w:iCs/>
                <w:color w:val="000000"/>
                <w:sz w:val="20"/>
                <w:szCs w:val="20"/>
              </w:rPr>
              <w:t>21</w:t>
            </w:r>
          </w:p>
        </w:tc>
        <w:tc>
          <w:tcPr>
            <w:tcW w:w="1152" w:type="dxa"/>
            <w:tcBorders>
              <w:top w:val="dashed" w:sz="4" w:space="0" w:color="auto"/>
              <w:left w:val="dashed" w:sz="4" w:space="0" w:color="auto"/>
            </w:tcBorders>
            <w:shd w:val="clear" w:color="auto" w:fill="FFFFFF" w:themeFill="background1"/>
            <w:noWrap/>
            <w:vAlign w:val="center"/>
          </w:tcPr>
          <w:p w14:paraId="5ECF0D05" w14:textId="6C7D840F"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0.064</w:t>
            </w:r>
          </w:p>
        </w:tc>
        <w:tc>
          <w:tcPr>
            <w:tcW w:w="1152" w:type="dxa"/>
            <w:tcBorders>
              <w:top w:val="dashed" w:sz="4" w:space="0" w:color="auto"/>
              <w:right w:val="dashed" w:sz="4" w:space="0" w:color="auto"/>
            </w:tcBorders>
            <w:shd w:val="clear" w:color="auto" w:fill="FFFFFF" w:themeFill="background1"/>
            <w:vAlign w:val="center"/>
          </w:tcPr>
          <w:p w14:paraId="568C49FD" w14:textId="77E800A0" w:rsidR="0045587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0.004</w:t>
            </w:r>
          </w:p>
        </w:tc>
        <w:tc>
          <w:tcPr>
            <w:tcW w:w="1152" w:type="dxa"/>
            <w:tcBorders>
              <w:top w:val="dashed" w:sz="4" w:space="0" w:color="auto"/>
              <w:left w:val="dashed" w:sz="4" w:space="0" w:color="auto"/>
            </w:tcBorders>
            <w:shd w:val="clear" w:color="auto" w:fill="FFFFFF" w:themeFill="background1"/>
            <w:noWrap/>
            <w:vAlign w:val="center"/>
          </w:tcPr>
          <w:p w14:paraId="48334F82" w14:textId="1A6CF0E4"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2.128</w:t>
            </w:r>
          </w:p>
        </w:tc>
        <w:tc>
          <w:tcPr>
            <w:tcW w:w="1152" w:type="dxa"/>
            <w:tcBorders>
              <w:top w:val="dashed" w:sz="4" w:space="0" w:color="auto"/>
            </w:tcBorders>
            <w:shd w:val="clear" w:color="auto" w:fill="FFFFFF" w:themeFill="background1"/>
            <w:vAlign w:val="center"/>
          </w:tcPr>
          <w:p w14:paraId="324F6C5D" w14:textId="60620A8E" w:rsidR="0045587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0.080</w:t>
            </w:r>
          </w:p>
        </w:tc>
      </w:tr>
      <w:tr w:rsidR="0045587E" w:rsidRPr="00B1453E" w14:paraId="553C3FA7" w14:textId="2BFCFEF5" w:rsidTr="0045587E">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3F03340B" w14:textId="77777777" w:rsidR="0045587E" w:rsidRDefault="0045587E" w:rsidP="003747D0">
            <w:pPr>
              <w:spacing w:line="240" w:lineRule="auto"/>
              <w:rPr>
                <w:rFonts w:eastAsia="Times New Roman" w:cs="Times New Roman"/>
                <w:i/>
                <w:iCs/>
                <w:color w:val="000000"/>
                <w:sz w:val="20"/>
                <w:szCs w:val="20"/>
              </w:rPr>
            </w:pPr>
          </w:p>
        </w:tc>
        <w:tc>
          <w:tcPr>
            <w:tcW w:w="1728" w:type="dxa"/>
            <w:tcBorders>
              <w:top w:val="nil"/>
              <w:left w:val="single" w:sz="4" w:space="0" w:color="auto"/>
              <w:bottom w:val="nil"/>
              <w:right w:val="nil"/>
            </w:tcBorders>
            <w:shd w:val="clear" w:color="000000" w:fill="F2F2F2"/>
            <w:noWrap/>
            <w:vAlign w:val="center"/>
          </w:tcPr>
          <w:p w14:paraId="1EF9BB68" w14:textId="3F193DF3" w:rsidR="0045587E" w:rsidRPr="00B1453E" w:rsidRDefault="0045587E" w:rsidP="003747D0">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40</w:t>
            </w:r>
          </w:p>
        </w:tc>
        <w:tc>
          <w:tcPr>
            <w:tcW w:w="720" w:type="dxa"/>
            <w:tcBorders>
              <w:left w:val="nil"/>
              <w:right w:val="dashed" w:sz="4" w:space="0" w:color="auto"/>
            </w:tcBorders>
            <w:shd w:val="clear" w:color="000000" w:fill="F2F2F2"/>
          </w:tcPr>
          <w:p w14:paraId="2CEF1F11" w14:textId="53A0A7A3" w:rsidR="0045587E" w:rsidRPr="0045587E" w:rsidRDefault="0045587E" w:rsidP="003747D0">
            <w:pPr>
              <w:spacing w:line="240" w:lineRule="auto"/>
              <w:rPr>
                <w:rFonts w:eastAsia="Times New Roman" w:cs="Times New Roman"/>
                <w:i/>
                <w:iCs/>
                <w:color w:val="000000"/>
                <w:sz w:val="20"/>
                <w:szCs w:val="20"/>
              </w:rPr>
            </w:pPr>
            <w:r w:rsidRPr="0045587E">
              <w:rPr>
                <w:rFonts w:eastAsia="Times New Roman" w:cs="Times New Roman"/>
                <w:i/>
                <w:iCs/>
                <w:color w:val="000000"/>
                <w:sz w:val="20"/>
                <w:szCs w:val="20"/>
              </w:rPr>
              <w:t>21</w:t>
            </w:r>
          </w:p>
        </w:tc>
        <w:tc>
          <w:tcPr>
            <w:tcW w:w="1152" w:type="dxa"/>
            <w:tcBorders>
              <w:left w:val="dashed" w:sz="4" w:space="0" w:color="auto"/>
            </w:tcBorders>
            <w:shd w:val="clear" w:color="000000" w:fill="F2F2F2"/>
            <w:noWrap/>
            <w:vAlign w:val="center"/>
          </w:tcPr>
          <w:p w14:paraId="6D9734F5" w14:textId="05ABDAA2"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0.091</w:t>
            </w:r>
          </w:p>
        </w:tc>
        <w:tc>
          <w:tcPr>
            <w:tcW w:w="1152" w:type="dxa"/>
            <w:tcBorders>
              <w:right w:val="dashed" w:sz="4" w:space="0" w:color="auto"/>
            </w:tcBorders>
            <w:shd w:val="clear" w:color="000000" w:fill="F2F2F2"/>
            <w:vAlign w:val="center"/>
          </w:tcPr>
          <w:p w14:paraId="03883490" w14:textId="0FD2AF96" w:rsidR="0045587E" w:rsidRPr="00A03DAC" w:rsidRDefault="0045587E" w:rsidP="003747D0">
            <w:pPr>
              <w:spacing w:line="240" w:lineRule="auto"/>
              <w:rPr>
                <w:rFonts w:eastAsia="Times New Roman" w:cs="Times New Roman"/>
                <w:i/>
                <w:iCs/>
                <w:color w:val="000000"/>
                <w:sz w:val="20"/>
                <w:szCs w:val="20"/>
              </w:rPr>
            </w:pPr>
            <w:r w:rsidRPr="00A03DAC">
              <w:rPr>
                <w:rFonts w:eastAsia="Times New Roman" w:cs="Times New Roman"/>
                <w:i/>
                <w:iCs/>
                <w:color w:val="000000"/>
                <w:sz w:val="20"/>
                <w:szCs w:val="20"/>
              </w:rPr>
              <w:t>0.004</w:t>
            </w:r>
          </w:p>
        </w:tc>
        <w:tc>
          <w:tcPr>
            <w:tcW w:w="1152" w:type="dxa"/>
            <w:tcBorders>
              <w:left w:val="dashed" w:sz="4" w:space="0" w:color="auto"/>
            </w:tcBorders>
            <w:shd w:val="clear" w:color="000000" w:fill="F2F2F2"/>
            <w:noWrap/>
            <w:vAlign w:val="center"/>
          </w:tcPr>
          <w:p w14:paraId="5CD79356" w14:textId="20A6C8FD" w:rsidR="0045587E" w:rsidRPr="00CD3DB0" w:rsidRDefault="0045587E" w:rsidP="003747D0">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1.578</w:t>
            </w:r>
          </w:p>
        </w:tc>
        <w:tc>
          <w:tcPr>
            <w:tcW w:w="1152" w:type="dxa"/>
            <w:shd w:val="clear" w:color="000000" w:fill="F2F2F2"/>
            <w:vAlign w:val="center"/>
          </w:tcPr>
          <w:p w14:paraId="23CDC84F" w14:textId="39794DEE" w:rsidR="0045587E" w:rsidRPr="00CD3DB0" w:rsidRDefault="0045587E" w:rsidP="003747D0">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0.064</w:t>
            </w:r>
          </w:p>
        </w:tc>
      </w:tr>
      <w:tr w:rsidR="0045587E" w:rsidRPr="00B1453E" w14:paraId="51F22C50" w14:textId="288A473B" w:rsidTr="0045587E">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35EB802E" w14:textId="77777777" w:rsidR="0045587E" w:rsidRDefault="0045587E" w:rsidP="003747D0">
            <w:pPr>
              <w:spacing w:line="240" w:lineRule="auto"/>
              <w:rPr>
                <w:rFonts w:eastAsia="Times New Roman" w:cs="Times New Roman"/>
                <w:i/>
                <w:iCs/>
                <w:color w:val="000000"/>
                <w:sz w:val="20"/>
                <w:szCs w:val="20"/>
              </w:rPr>
            </w:pPr>
          </w:p>
        </w:tc>
        <w:tc>
          <w:tcPr>
            <w:tcW w:w="1728" w:type="dxa"/>
            <w:tcBorders>
              <w:top w:val="nil"/>
              <w:left w:val="single" w:sz="4" w:space="0" w:color="auto"/>
              <w:bottom w:val="nil"/>
              <w:right w:val="nil"/>
            </w:tcBorders>
            <w:shd w:val="clear" w:color="auto" w:fill="FFFFFF" w:themeFill="background1"/>
            <w:noWrap/>
            <w:vAlign w:val="center"/>
          </w:tcPr>
          <w:p w14:paraId="4DE7DCF4" w14:textId="7A8D1937" w:rsidR="0045587E" w:rsidRPr="00B1453E" w:rsidRDefault="0045587E" w:rsidP="003747D0">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100</w:t>
            </w:r>
          </w:p>
        </w:tc>
        <w:tc>
          <w:tcPr>
            <w:tcW w:w="720" w:type="dxa"/>
            <w:tcBorders>
              <w:left w:val="nil"/>
              <w:right w:val="dashed" w:sz="4" w:space="0" w:color="auto"/>
            </w:tcBorders>
            <w:shd w:val="clear" w:color="auto" w:fill="FFFFFF" w:themeFill="background1"/>
          </w:tcPr>
          <w:p w14:paraId="2955282E" w14:textId="554BEC95" w:rsidR="0045587E" w:rsidRPr="0045587E" w:rsidRDefault="0045587E" w:rsidP="003747D0">
            <w:pPr>
              <w:spacing w:line="240" w:lineRule="auto"/>
              <w:rPr>
                <w:rFonts w:eastAsia="Times New Roman" w:cs="Times New Roman"/>
                <w:i/>
                <w:iCs/>
                <w:color w:val="000000"/>
                <w:sz w:val="20"/>
                <w:szCs w:val="20"/>
              </w:rPr>
            </w:pPr>
            <w:r w:rsidRPr="0045587E">
              <w:rPr>
                <w:rFonts w:eastAsia="Times New Roman" w:cs="Times New Roman"/>
                <w:i/>
                <w:iCs/>
                <w:color w:val="000000"/>
                <w:sz w:val="20"/>
                <w:szCs w:val="20"/>
              </w:rPr>
              <w:t>21</w:t>
            </w:r>
          </w:p>
        </w:tc>
        <w:tc>
          <w:tcPr>
            <w:tcW w:w="1152" w:type="dxa"/>
            <w:tcBorders>
              <w:left w:val="dashed" w:sz="4" w:space="0" w:color="auto"/>
            </w:tcBorders>
            <w:shd w:val="clear" w:color="auto" w:fill="FFFFFF" w:themeFill="background1"/>
            <w:noWrap/>
            <w:vAlign w:val="center"/>
          </w:tcPr>
          <w:p w14:paraId="53145ECC" w14:textId="6C879B13" w:rsidR="0045587E" w:rsidRPr="00CD3DB0" w:rsidRDefault="0045587E" w:rsidP="003747D0">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0.050</w:t>
            </w:r>
          </w:p>
        </w:tc>
        <w:tc>
          <w:tcPr>
            <w:tcW w:w="1152" w:type="dxa"/>
            <w:tcBorders>
              <w:right w:val="dashed" w:sz="4" w:space="0" w:color="auto"/>
            </w:tcBorders>
            <w:shd w:val="clear" w:color="auto" w:fill="FFFFFF" w:themeFill="background1"/>
            <w:vAlign w:val="center"/>
          </w:tcPr>
          <w:p w14:paraId="2D49F862" w14:textId="1624CEAB" w:rsidR="0045587E" w:rsidRPr="00A03DAC" w:rsidRDefault="0045587E" w:rsidP="003747D0">
            <w:pPr>
              <w:spacing w:line="240" w:lineRule="auto"/>
              <w:rPr>
                <w:rFonts w:eastAsia="Times New Roman" w:cs="Times New Roman"/>
                <w:b/>
                <w:bCs/>
                <w:i/>
                <w:iCs/>
                <w:color w:val="000000"/>
                <w:sz w:val="20"/>
                <w:szCs w:val="20"/>
              </w:rPr>
            </w:pPr>
            <w:r w:rsidRPr="00A03DAC">
              <w:rPr>
                <w:rFonts w:eastAsia="Times New Roman" w:cs="Times New Roman"/>
                <w:b/>
                <w:bCs/>
                <w:i/>
                <w:iCs/>
                <w:color w:val="000000"/>
                <w:sz w:val="20"/>
                <w:szCs w:val="20"/>
              </w:rPr>
              <w:t>0.002</w:t>
            </w:r>
          </w:p>
        </w:tc>
        <w:tc>
          <w:tcPr>
            <w:tcW w:w="1152" w:type="dxa"/>
            <w:tcBorders>
              <w:left w:val="dashed" w:sz="4" w:space="0" w:color="auto"/>
            </w:tcBorders>
            <w:shd w:val="clear" w:color="auto" w:fill="FFFFFF" w:themeFill="background1"/>
            <w:noWrap/>
            <w:vAlign w:val="center"/>
          </w:tcPr>
          <w:p w14:paraId="4F859000" w14:textId="1D19416D"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1.663</w:t>
            </w:r>
          </w:p>
        </w:tc>
        <w:tc>
          <w:tcPr>
            <w:tcW w:w="1152" w:type="dxa"/>
            <w:shd w:val="clear" w:color="auto" w:fill="FFFFFF" w:themeFill="background1"/>
            <w:vAlign w:val="center"/>
          </w:tcPr>
          <w:p w14:paraId="5BDB75AD" w14:textId="6CEFBB20" w:rsidR="0045587E" w:rsidRPr="00130528" w:rsidRDefault="0045587E" w:rsidP="003747D0">
            <w:pPr>
              <w:spacing w:line="240" w:lineRule="auto"/>
              <w:rPr>
                <w:rFonts w:eastAsia="Times New Roman" w:cs="Times New Roman"/>
                <w:b/>
                <w:bCs/>
                <w:i/>
                <w:iCs/>
                <w:color w:val="000000"/>
                <w:sz w:val="20"/>
                <w:szCs w:val="20"/>
              </w:rPr>
            </w:pPr>
            <w:r w:rsidRPr="00130528">
              <w:rPr>
                <w:rFonts w:eastAsia="Times New Roman" w:cs="Times New Roman"/>
                <w:b/>
                <w:bCs/>
                <w:i/>
                <w:iCs/>
                <w:color w:val="000000"/>
                <w:sz w:val="20"/>
                <w:szCs w:val="20"/>
              </w:rPr>
              <w:t>0.064</w:t>
            </w:r>
          </w:p>
        </w:tc>
      </w:tr>
      <w:tr w:rsidR="0045587E" w:rsidRPr="00B1453E" w14:paraId="4999B661" w14:textId="0D3E667C" w:rsidTr="0045587E">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0F3AA351" w14:textId="77777777" w:rsidR="0045587E" w:rsidRDefault="0045587E" w:rsidP="003747D0">
            <w:pPr>
              <w:spacing w:line="240" w:lineRule="auto"/>
              <w:rPr>
                <w:rFonts w:eastAsia="Times New Roman" w:cs="Times New Roman"/>
                <w:i/>
                <w:iCs/>
                <w:color w:val="000000"/>
                <w:sz w:val="20"/>
                <w:szCs w:val="20"/>
              </w:rPr>
            </w:pPr>
          </w:p>
        </w:tc>
        <w:tc>
          <w:tcPr>
            <w:tcW w:w="1728" w:type="dxa"/>
            <w:tcBorders>
              <w:top w:val="nil"/>
              <w:left w:val="single" w:sz="4" w:space="0" w:color="auto"/>
              <w:bottom w:val="single" w:sz="4" w:space="0" w:color="auto"/>
              <w:right w:val="nil"/>
            </w:tcBorders>
            <w:shd w:val="clear" w:color="000000" w:fill="F2F2F2"/>
            <w:noWrap/>
            <w:vAlign w:val="center"/>
          </w:tcPr>
          <w:p w14:paraId="2D2767CC" w14:textId="2428E4A7" w:rsidR="0045587E" w:rsidRPr="00B1453E" w:rsidRDefault="0045587E" w:rsidP="003747D0">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200</w:t>
            </w:r>
          </w:p>
        </w:tc>
        <w:tc>
          <w:tcPr>
            <w:tcW w:w="720" w:type="dxa"/>
            <w:tcBorders>
              <w:left w:val="nil"/>
              <w:right w:val="dashed" w:sz="4" w:space="0" w:color="auto"/>
            </w:tcBorders>
            <w:shd w:val="clear" w:color="000000" w:fill="F2F2F2"/>
          </w:tcPr>
          <w:p w14:paraId="09B862F8" w14:textId="56F38C24" w:rsidR="0045587E" w:rsidRPr="0045587E" w:rsidRDefault="008C77A2"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18</w:t>
            </w:r>
          </w:p>
        </w:tc>
        <w:tc>
          <w:tcPr>
            <w:tcW w:w="1152" w:type="dxa"/>
            <w:tcBorders>
              <w:left w:val="dashed" w:sz="4" w:space="0" w:color="auto"/>
              <w:bottom w:val="single" w:sz="4" w:space="0" w:color="auto"/>
            </w:tcBorders>
            <w:shd w:val="clear" w:color="000000" w:fill="F2F2F2"/>
            <w:noWrap/>
            <w:vAlign w:val="center"/>
          </w:tcPr>
          <w:p w14:paraId="5BC5CACF" w14:textId="42F3455A"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0.064</w:t>
            </w:r>
          </w:p>
        </w:tc>
        <w:tc>
          <w:tcPr>
            <w:tcW w:w="1152" w:type="dxa"/>
            <w:tcBorders>
              <w:bottom w:val="single" w:sz="4" w:space="0" w:color="auto"/>
              <w:right w:val="dashed" w:sz="4" w:space="0" w:color="auto"/>
            </w:tcBorders>
            <w:shd w:val="clear" w:color="000000" w:fill="F2F2F2"/>
            <w:vAlign w:val="center"/>
          </w:tcPr>
          <w:p w14:paraId="3D2D42E5" w14:textId="1E113425" w:rsidR="0045587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0.003</w:t>
            </w:r>
          </w:p>
        </w:tc>
        <w:tc>
          <w:tcPr>
            <w:tcW w:w="1152" w:type="dxa"/>
            <w:tcBorders>
              <w:left w:val="dashed" w:sz="4" w:space="0" w:color="auto"/>
            </w:tcBorders>
            <w:shd w:val="clear" w:color="000000" w:fill="F2F2F2"/>
            <w:noWrap/>
            <w:vAlign w:val="center"/>
          </w:tcPr>
          <w:p w14:paraId="4E024EE6" w14:textId="150A3AD2" w:rsidR="0045587E" w:rsidRPr="00B1453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1.794</w:t>
            </w:r>
          </w:p>
        </w:tc>
        <w:tc>
          <w:tcPr>
            <w:tcW w:w="1152" w:type="dxa"/>
            <w:shd w:val="clear" w:color="000000" w:fill="F2F2F2"/>
            <w:vAlign w:val="center"/>
          </w:tcPr>
          <w:p w14:paraId="2DEE6775" w14:textId="447F59CA" w:rsidR="0045587E" w:rsidRDefault="0045587E" w:rsidP="003747D0">
            <w:pPr>
              <w:spacing w:line="240" w:lineRule="auto"/>
              <w:rPr>
                <w:rFonts w:eastAsia="Times New Roman" w:cs="Times New Roman"/>
                <w:i/>
                <w:iCs/>
                <w:color w:val="000000"/>
                <w:sz w:val="20"/>
                <w:szCs w:val="20"/>
              </w:rPr>
            </w:pPr>
            <w:r>
              <w:rPr>
                <w:rFonts w:eastAsia="Times New Roman" w:cs="Times New Roman"/>
                <w:i/>
                <w:iCs/>
                <w:color w:val="000000"/>
                <w:sz w:val="20"/>
                <w:szCs w:val="20"/>
              </w:rPr>
              <w:t>0.066</w:t>
            </w:r>
          </w:p>
        </w:tc>
      </w:tr>
    </w:tbl>
    <w:p w14:paraId="58133E16" w14:textId="77777777" w:rsidR="00B1453E" w:rsidRDefault="00B1453E" w:rsidP="00B1453E">
      <w:pPr>
        <w:rPr>
          <w:rFonts w:eastAsiaTheme="minorEastAsia"/>
          <w:bCs/>
        </w:rPr>
      </w:pPr>
    </w:p>
    <w:p w14:paraId="186038D3" w14:textId="77777777" w:rsidR="00C305BF" w:rsidRDefault="00C305BF" w:rsidP="00B1453E">
      <w:pPr>
        <w:rPr>
          <w:rFonts w:eastAsiaTheme="minorEastAsia"/>
          <w:bCs/>
        </w:rPr>
      </w:pPr>
    </w:p>
    <w:p w14:paraId="3C6BF004" w14:textId="04D0732D" w:rsidR="001261AB" w:rsidRDefault="0097634E" w:rsidP="00F31C7B">
      <w:pPr>
        <w:ind w:left="720" w:firstLine="720"/>
        <w:jc w:val="both"/>
        <w:rPr>
          <w:rFonts w:eastAsiaTheme="minorEastAsia"/>
          <w:bCs/>
        </w:rPr>
      </w:pPr>
      <w:r>
        <w:rPr>
          <w:rFonts w:eastAsiaTheme="minorEastAsia"/>
          <w:bCs/>
        </w:rPr>
        <w:t>The resu</w:t>
      </w:r>
      <w:r w:rsidR="00451B5A">
        <w:rPr>
          <w:rFonts w:eastAsiaTheme="minorEastAsia"/>
          <w:bCs/>
        </w:rPr>
        <w:t>lts from the SGB samples</w:t>
      </w:r>
      <w:r>
        <w:rPr>
          <w:rFonts w:eastAsiaTheme="minorEastAsia"/>
          <w:bCs/>
        </w:rPr>
        <w:t xml:space="preserve"> agree with those of the OHC sampl</w:t>
      </w:r>
      <w:r w:rsidR="00B968E5">
        <w:rPr>
          <w:rFonts w:eastAsiaTheme="minorEastAsia"/>
          <w:bCs/>
        </w:rPr>
        <w:t xml:space="preserve">es. These results can be seen in </w:t>
      </w:r>
      <w:r w:rsidR="00B968E5">
        <w:rPr>
          <w:rFonts w:eastAsiaTheme="minorEastAsia"/>
          <w:bCs/>
        </w:rPr>
        <w:fldChar w:fldCharType="begin"/>
      </w:r>
      <w:r w:rsidR="00B968E5">
        <w:rPr>
          <w:rFonts w:eastAsiaTheme="minorEastAsia"/>
          <w:bCs/>
        </w:rPr>
        <w:instrText xml:space="preserve"> REF _Ref442969862 \h </w:instrText>
      </w:r>
      <w:r w:rsidR="00B968E5">
        <w:rPr>
          <w:rFonts w:eastAsiaTheme="minorEastAsia"/>
          <w:bCs/>
        </w:rPr>
      </w:r>
      <w:r w:rsidR="00B968E5">
        <w:rPr>
          <w:rFonts w:eastAsiaTheme="minorEastAsia"/>
          <w:bCs/>
        </w:rPr>
        <w:fldChar w:fldCharType="separate"/>
      </w:r>
      <w:r w:rsidR="00E90148">
        <w:t xml:space="preserve">Table </w:t>
      </w:r>
      <w:r w:rsidR="00E90148">
        <w:rPr>
          <w:noProof/>
        </w:rPr>
        <w:t>11</w:t>
      </w:r>
      <w:r w:rsidR="00B968E5">
        <w:rPr>
          <w:rFonts w:eastAsiaTheme="minorEastAsia"/>
          <w:bCs/>
        </w:rPr>
        <w:fldChar w:fldCharType="end"/>
      </w:r>
      <w:r>
        <w:rPr>
          <w:rFonts w:eastAsiaTheme="minorEastAsia"/>
          <w:bCs/>
        </w:rPr>
        <w:t xml:space="preserve">. </w:t>
      </w:r>
      <w:r w:rsidR="00451B5A">
        <w:rPr>
          <w:rFonts w:eastAsiaTheme="minorEastAsia"/>
          <w:bCs/>
        </w:rPr>
        <w:t>Precision</w:t>
      </w:r>
      <w:r w:rsidR="00541F69">
        <w:rPr>
          <w:rFonts w:eastAsiaTheme="minorEastAsia"/>
          <w:bCs/>
        </w:rPr>
        <w:t xml:space="preserve"> </w:t>
      </w:r>
      <w:r w:rsidR="00583259">
        <w:rPr>
          <w:rFonts w:eastAsiaTheme="minorEastAsia"/>
          <w:bCs/>
        </w:rPr>
        <w:t xml:space="preserve">remains relatively unaffected while accuracy receives substantial benefits as sample particle diameter is </w:t>
      </w:r>
      <w:r w:rsidR="00F31C7B">
        <w:rPr>
          <w:rFonts w:eastAsiaTheme="minorEastAsia"/>
          <w:bCs/>
        </w:rPr>
        <w:t xml:space="preserve">reduced. The increase in accuracy is much more pronounced for the SGB samples, however. </w:t>
      </w:r>
      <w:r w:rsidR="00AC2CAD">
        <w:rPr>
          <w:rFonts w:eastAsiaTheme="minorEastAsia"/>
          <w:bCs/>
        </w:rPr>
        <w:t xml:space="preserve">The </w:t>
      </w:r>
      <w:r w:rsidR="00541F69">
        <w:rPr>
          <w:rFonts w:eastAsiaTheme="minorEastAsia"/>
          <w:bCs/>
        </w:rPr>
        <w:t xml:space="preserve">RMSD </w:t>
      </w:r>
      <w:r w:rsidR="00AC2CAD">
        <w:rPr>
          <w:rFonts w:eastAsiaTheme="minorEastAsia"/>
          <w:bCs/>
        </w:rPr>
        <w:t>of the SGB samples decrease by 1.251% for the S1 Titan and 0.723% for the Niton XL3t as particle size is reduced</w:t>
      </w:r>
      <w:r w:rsidR="00F31C7B">
        <w:rPr>
          <w:rFonts w:eastAsiaTheme="minorEastAsia"/>
          <w:bCs/>
        </w:rPr>
        <w:t xml:space="preserve"> as opposed to 0.342% and 0.334% for the OHC samples</w:t>
      </w:r>
      <w:r w:rsidR="00AC2CAD">
        <w:rPr>
          <w:rFonts w:eastAsiaTheme="minorEastAsia"/>
          <w:bCs/>
        </w:rPr>
        <w:t>.</w:t>
      </w:r>
      <w:r w:rsidR="00F31C7B">
        <w:rPr>
          <w:rFonts w:eastAsiaTheme="minorEastAsia"/>
          <w:bCs/>
        </w:rPr>
        <w:t xml:space="preserve"> Though the magnitudes of increased accuracy vary between soils, there is unanimous agreement that milling samples to smaller particle sizes increases PHXRF device accuracy. </w:t>
      </w:r>
      <w:r w:rsidR="00AC2CAD">
        <w:rPr>
          <w:rFonts w:eastAsiaTheme="minorEastAsia"/>
          <w:bCs/>
        </w:rPr>
        <w:t xml:space="preserve"> </w:t>
      </w:r>
    </w:p>
    <w:p w14:paraId="56AEB204" w14:textId="77777777" w:rsidR="001261AB" w:rsidRDefault="001261AB" w:rsidP="001261AB">
      <w:pPr>
        <w:ind w:left="720" w:firstLine="720"/>
        <w:jc w:val="both"/>
        <w:rPr>
          <w:rFonts w:eastAsiaTheme="minorEastAsia"/>
          <w:bCs/>
        </w:rPr>
      </w:pPr>
    </w:p>
    <w:p w14:paraId="09E86C7D" w14:textId="77777777" w:rsidR="00175936" w:rsidRDefault="00175936" w:rsidP="001261AB">
      <w:pPr>
        <w:ind w:left="720" w:firstLine="720"/>
        <w:jc w:val="both"/>
        <w:rPr>
          <w:rFonts w:eastAsiaTheme="minorEastAsia"/>
          <w:bCs/>
        </w:rPr>
      </w:pPr>
    </w:p>
    <w:p w14:paraId="7DCE1142" w14:textId="77777777" w:rsidR="00175936" w:rsidRDefault="00175936" w:rsidP="001261AB">
      <w:pPr>
        <w:ind w:left="720" w:firstLine="720"/>
        <w:jc w:val="both"/>
        <w:rPr>
          <w:rFonts w:eastAsiaTheme="minorEastAsia"/>
          <w:bCs/>
        </w:rPr>
      </w:pPr>
    </w:p>
    <w:p w14:paraId="65790F4E" w14:textId="77777777" w:rsidR="00175936" w:rsidRPr="00155162" w:rsidRDefault="00175936" w:rsidP="001261AB">
      <w:pPr>
        <w:ind w:left="720" w:firstLine="720"/>
        <w:jc w:val="both"/>
        <w:rPr>
          <w:rFonts w:eastAsiaTheme="minorEastAsia"/>
          <w:bCs/>
        </w:rPr>
      </w:pPr>
    </w:p>
    <w:p w14:paraId="3BB0340A" w14:textId="1D26FC0D" w:rsidR="006648D1" w:rsidRDefault="00117654" w:rsidP="001261AB">
      <w:pPr>
        <w:pStyle w:val="Caption"/>
        <w:spacing w:line="480" w:lineRule="auto"/>
        <w:ind w:left="1080" w:right="936"/>
      </w:pPr>
      <w:bookmarkStart w:id="79" w:name="_Ref442969862"/>
      <w:bookmarkStart w:id="80" w:name="_Toc447755331"/>
      <w:r>
        <w:lastRenderedPageBreak/>
        <w:t xml:space="preserve">Table </w:t>
      </w:r>
      <w:r w:rsidR="00184FC2">
        <w:fldChar w:fldCharType="begin"/>
      </w:r>
      <w:r w:rsidR="00184FC2">
        <w:instrText xml:space="preserve"> SEQ Table \* ARABIC </w:instrText>
      </w:r>
      <w:r w:rsidR="00184FC2">
        <w:fldChar w:fldCharType="separate"/>
      </w:r>
      <w:r w:rsidR="00E90148">
        <w:rPr>
          <w:noProof/>
        </w:rPr>
        <w:t>11</w:t>
      </w:r>
      <w:r w:rsidR="00184FC2">
        <w:rPr>
          <w:noProof/>
        </w:rPr>
        <w:fldChar w:fldCharType="end"/>
      </w:r>
      <w:bookmarkEnd w:id="79"/>
      <w:r>
        <w:t xml:space="preserve">: Effects of Particle Size on </w:t>
      </w:r>
      <w:r w:rsidR="006648D1">
        <w:t>STDEV, COV</w:t>
      </w:r>
      <w:r w:rsidR="006648D1">
        <w:rPr>
          <w:vertAlign w:val="subscript"/>
        </w:rPr>
        <w:t>STDEV</w:t>
      </w:r>
      <w:r w:rsidR="006648D1">
        <w:t>, RMSD, and COV</w:t>
      </w:r>
      <w:r w:rsidR="006648D1">
        <w:rPr>
          <w:vertAlign w:val="subscript"/>
        </w:rPr>
        <w:t>RMSD</w:t>
      </w:r>
      <w:r w:rsidR="006648D1">
        <w:t xml:space="preserve"> for SGB Samples</w:t>
      </w:r>
      <w:bookmarkEnd w:id="80"/>
    </w:p>
    <w:tbl>
      <w:tblPr>
        <w:tblW w:w="750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2"/>
        <w:gridCol w:w="1728"/>
        <w:gridCol w:w="720"/>
        <w:gridCol w:w="1152"/>
        <w:gridCol w:w="1152"/>
        <w:gridCol w:w="1152"/>
        <w:gridCol w:w="1152"/>
      </w:tblGrid>
      <w:tr w:rsidR="008C77A2" w:rsidRPr="00B1453E" w14:paraId="42037901" w14:textId="77777777" w:rsidTr="00594940">
        <w:trPr>
          <w:trHeight w:val="600"/>
          <w:jc w:val="center"/>
        </w:trPr>
        <w:tc>
          <w:tcPr>
            <w:tcW w:w="452" w:type="dxa"/>
            <w:tcBorders>
              <w:top w:val="nil"/>
              <w:left w:val="nil"/>
              <w:bottom w:val="single" w:sz="4" w:space="0" w:color="auto"/>
              <w:right w:val="single" w:sz="4" w:space="0" w:color="auto"/>
            </w:tcBorders>
            <w:shd w:val="clear" w:color="000000" w:fill="auto"/>
          </w:tcPr>
          <w:p w14:paraId="36854913" w14:textId="77777777" w:rsidR="008C77A2" w:rsidRDefault="008C77A2" w:rsidP="007D612A">
            <w:pPr>
              <w:spacing w:line="240" w:lineRule="auto"/>
              <w:rPr>
                <w:rFonts w:eastAsia="Times New Roman" w:cs="Times New Roman"/>
                <w:i/>
                <w:iCs/>
                <w:color w:val="000000"/>
                <w:sz w:val="22"/>
                <w:szCs w:val="22"/>
              </w:rPr>
            </w:pPr>
          </w:p>
        </w:tc>
        <w:tc>
          <w:tcPr>
            <w:tcW w:w="1728" w:type="dxa"/>
            <w:tcBorders>
              <w:top w:val="single" w:sz="4" w:space="0" w:color="auto"/>
              <w:left w:val="single" w:sz="4" w:space="0" w:color="auto"/>
              <w:bottom w:val="single" w:sz="4" w:space="0" w:color="auto"/>
              <w:right w:val="nil"/>
            </w:tcBorders>
            <w:shd w:val="clear" w:color="000000" w:fill="BFBFBF"/>
            <w:vAlign w:val="center"/>
            <w:hideMark/>
          </w:tcPr>
          <w:p w14:paraId="325122D6" w14:textId="77777777" w:rsidR="008C77A2" w:rsidRPr="00B1453E" w:rsidRDefault="008C77A2" w:rsidP="007D612A">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Particle Size    (Passing)</w:t>
            </w:r>
          </w:p>
        </w:tc>
        <w:tc>
          <w:tcPr>
            <w:tcW w:w="720" w:type="dxa"/>
            <w:tcBorders>
              <w:top w:val="single" w:sz="4" w:space="0" w:color="auto"/>
              <w:left w:val="nil"/>
              <w:bottom w:val="single" w:sz="4" w:space="0" w:color="auto"/>
              <w:right w:val="nil"/>
            </w:tcBorders>
            <w:shd w:val="clear" w:color="000000" w:fill="BFBFBF"/>
            <w:vAlign w:val="center"/>
          </w:tcPr>
          <w:p w14:paraId="6DB249C6" w14:textId="77777777" w:rsidR="008C77A2" w:rsidRDefault="008C77A2" w:rsidP="00594940">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left w:val="nil"/>
              <w:bottom w:val="single" w:sz="4" w:space="0" w:color="auto"/>
              <w:right w:val="nil"/>
            </w:tcBorders>
            <w:shd w:val="clear" w:color="000000" w:fill="BFBFBF"/>
            <w:vAlign w:val="center"/>
            <w:hideMark/>
          </w:tcPr>
          <w:p w14:paraId="6BC52F8E" w14:textId="77777777" w:rsidR="008C77A2" w:rsidRPr="00B1453E" w:rsidRDefault="008C77A2"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B1453E">
              <w:rPr>
                <w:rFonts w:eastAsia="Times New Roman" w:cs="Times New Roman"/>
                <w:i/>
                <w:iCs/>
                <w:color w:val="000000"/>
                <w:sz w:val="22"/>
                <w:szCs w:val="22"/>
              </w:rPr>
              <w:t xml:space="preserve">.    </w:t>
            </w:r>
            <w:r>
              <w:rPr>
                <w:rFonts w:eastAsia="Times New Roman" w:cs="Times New Roman"/>
                <w:i/>
                <w:iCs/>
                <w:color w:val="000000"/>
                <w:sz w:val="22"/>
                <w:szCs w:val="22"/>
              </w:rPr>
              <w:t xml:space="preserve">              </w:t>
            </w:r>
            <w:r w:rsidRPr="00B1453E">
              <w:rPr>
                <w:rFonts w:eastAsia="Times New Roman" w:cs="Times New Roman"/>
                <w:i/>
                <w:iCs/>
                <w:color w:val="000000"/>
                <w:sz w:val="22"/>
                <w:szCs w:val="22"/>
              </w:rPr>
              <w:t>(%)</w:t>
            </w:r>
          </w:p>
        </w:tc>
        <w:tc>
          <w:tcPr>
            <w:tcW w:w="1152" w:type="dxa"/>
            <w:tcBorders>
              <w:top w:val="single" w:sz="4" w:space="0" w:color="auto"/>
              <w:left w:val="nil"/>
              <w:bottom w:val="single" w:sz="4" w:space="0" w:color="auto"/>
              <w:right w:val="nil"/>
            </w:tcBorders>
            <w:shd w:val="clear" w:color="000000" w:fill="BFBFBF"/>
            <w:vAlign w:val="center"/>
          </w:tcPr>
          <w:p w14:paraId="06BE59E5" w14:textId="77777777" w:rsidR="008C77A2" w:rsidRPr="00B1453E" w:rsidRDefault="008C77A2"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r>
              <w:rPr>
                <w:rFonts w:eastAsia="Times New Roman" w:cs="Times New Roman"/>
                <w:i/>
                <w:iCs/>
                <w:color w:val="000000"/>
                <w:sz w:val="22"/>
                <w:szCs w:val="22"/>
              </w:rPr>
              <w:t xml:space="preserve">           </w:t>
            </w:r>
          </w:p>
        </w:tc>
        <w:tc>
          <w:tcPr>
            <w:tcW w:w="1152" w:type="dxa"/>
            <w:tcBorders>
              <w:top w:val="single" w:sz="4" w:space="0" w:color="auto"/>
              <w:left w:val="nil"/>
              <w:bottom w:val="single" w:sz="4" w:space="0" w:color="auto"/>
              <w:right w:val="nil"/>
            </w:tcBorders>
            <w:shd w:val="clear" w:color="000000" w:fill="BFBFBF"/>
            <w:vAlign w:val="center"/>
            <w:hideMark/>
          </w:tcPr>
          <w:p w14:paraId="4F8B4AAE" w14:textId="77777777" w:rsidR="008C77A2" w:rsidRPr="00B1453E" w:rsidRDefault="008C77A2" w:rsidP="007D612A">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RMSD         (%)</w:t>
            </w:r>
          </w:p>
        </w:tc>
        <w:tc>
          <w:tcPr>
            <w:tcW w:w="1152" w:type="dxa"/>
            <w:tcBorders>
              <w:top w:val="single" w:sz="4" w:space="0" w:color="auto"/>
              <w:left w:val="nil"/>
              <w:bottom w:val="single" w:sz="4" w:space="0" w:color="auto"/>
              <w:right w:val="single" w:sz="4" w:space="0" w:color="auto"/>
            </w:tcBorders>
            <w:shd w:val="clear" w:color="000000" w:fill="BFBFBF"/>
            <w:vAlign w:val="center"/>
          </w:tcPr>
          <w:p w14:paraId="2DBCE0A9" w14:textId="77777777" w:rsidR="008C77A2" w:rsidRPr="00B1453E" w:rsidRDefault="008C77A2"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r>
              <w:rPr>
                <w:rFonts w:eastAsia="Times New Roman" w:cs="Times New Roman"/>
                <w:i/>
                <w:iCs/>
                <w:color w:val="000000"/>
                <w:sz w:val="22"/>
                <w:szCs w:val="22"/>
              </w:rPr>
              <w:t xml:space="preserve">           </w:t>
            </w:r>
          </w:p>
        </w:tc>
      </w:tr>
      <w:tr w:rsidR="008C77A2" w:rsidRPr="00B1453E" w14:paraId="1D55B99E" w14:textId="77777777" w:rsidTr="007D612A">
        <w:trPr>
          <w:trHeight w:val="300"/>
          <w:jc w:val="center"/>
        </w:trPr>
        <w:tc>
          <w:tcPr>
            <w:tcW w:w="452" w:type="dxa"/>
            <w:vMerge w:val="restart"/>
            <w:tcBorders>
              <w:top w:val="single" w:sz="4" w:space="0" w:color="auto"/>
              <w:bottom w:val="single" w:sz="4" w:space="0" w:color="auto"/>
              <w:right w:val="single" w:sz="4" w:space="0" w:color="auto"/>
            </w:tcBorders>
            <w:shd w:val="clear" w:color="auto" w:fill="BFBFBF" w:themeFill="background1" w:themeFillShade="BF"/>
            <w:textDirection w:val="btLr"/>
          </w:tcPr>
          <w:p w14:paraId="1A45EB64" w14:textId="77777777" w:rsidR="008C77A2" w:rsidRDefault="008C77A2" w:rsidP="008C77A2">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S1 Titan</w:t>
            </w:r>
          </w:p>
        </w:tc>
        <w:tc>
          <w:tcPr>
            <w:tcW w:w="1728" w:type="dxa"/>
            <w:tcBorders>
              <w:top w:val="single" w:sz="4" w:space="0" w:color="auto"/>
              <w:left w:val="single" w:sz="4" w:space="0" w:color="auto"/>
              <w:bottom w:val="nil"/>
              <w:right w:val="nil"/>
            </w:tcBorders>
            <w:shd w:val="clear" w:color="000000" w:fill="FFFFFF"/>
            <w:noWrap/>
            <w:vAlign w:val="center"/>
            <w:hideMark/>
          </w:tcPr>
          <w:p w14:paraId="07640E82" w14:textId="77777777" w:rsidR="008C77A2" w:rsidRPr="00B1453E" w:rsidRDefault="008C77A2" w:rsidP="008C77A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w:t>
            </w:r>
          </w:p>
        </w:tc>
        <w:tc>
          <w:tcPr>
            <w:tcW w:w="720" w:type="dxa"/>
            <w:tcBorders>
              <w:top w:val="single" w:sz="4" w:space="0" w:color="auto"/>
              <w:left w:val="nil"/>
              <w:right w:val="dashed" w:sz="4" w:space="0" w:color="auto"/>
            </w:tcBorders>
            <w:shd w:val="clear" w:color="000000" w:fill="FFFFFF"/>
          </w:tcPr>
          <w:p w14:paraId="248D4707" w14:textId="5E27D891" w:rsidR="008C77A2" w:rsidRPr="0045587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top w:val="single" w:sz="4" w:space="0" w:color="auto"/>
              <w:left w:val="dashed" w:sz="4" w:space="0" w:color="auto"/>
            </w:tcBorders>
            <w:shd w:val="clear" w:color="000000" w:fill="FFFFFF"/>
            <w:noWrap/>
            <w:vAlign w:val="center"/>
            <w:hideMark/>
          </w:tcPr>
          <w:p w14:paraId="5AEA9B0D" w14:textId="3731A517" w:rsidR="008C77A2" w:rsidRPr="00B1453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0.032</w:t>
            </w:r>
          </w:p>
        </w:tc>
        <w:tc>
          <w:tcPr>
            <w:tcW w:w="1152" w:type="dxa"/>
            <w:tcBorders>
              <w:top w:val="single" w:sz="4" w:space="0" w:color="auto"/>
              <w:right w:val="dashed" w:sz="4" w:space="0" w:color="auto"/>
            </w:tcBorders>
            <w:shd w:val="clear" w:color="000000" w:fill="FFFFFF"/>
            <w:vAlign w:val="center"/>
          </w:tcPr>
          <w:p w14:paraId="754B34CF" w14:textId="6FE5FD6F" w:rsidR="008C77A2" w:rsidRPr="00050F6A" w:rsidRDefault="008C77A2" w:rsidP="008C77A2">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0.001</w:t>
            </w:r>
          </w:p>
        </w:tc>
        <w:tc>
          <w:tcPr>
            <w:tcW w:w="1152" w:type="dxa"/>
            <w:tcBorders>
              <w:top w:val="single" w:sz="4" w:space="0" w:color="auto"/>
              <w:left w:val="dashed" w:sz="4" w:space="0" w:color="auto"/>
            </w:tcBorders>
            <w:shd w:val="clear" w:color="000000" w:fill="FFFFFF"/>
            <w:noWrap/>
            <w:vAlign w:val="center"/>
            <w:hideMark/>
          </w:tcPr>
          <w:p w14:paraId="6135E966" w14:textId="41C9D458" w:rsidR="008C77A2" w:rsidRPr="00B1453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3.560</w:t>
            </w:r>
          </w:p>
        </w:tc>
        <w:tc>
          <w:tcPr>
            <w:tcW w:w="1152" w:type="dxa"/>
            <w:tcBorders>
              <w:top w:val="single" w:sz="4" w:space="0" w:color="auto"/>
            </w:tcBorders>
            <w:shd w:val="clear" w:color="000000" w:fill="FFFFFF"/>
            <w:vAlign w:val="center"/>
          </w:tcPr>
          <w:p w14:paraId="6C47E62A" w14:textId="25CD318E" w:rsidR="008C77A2" w:rsidRPr="00B1453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0.246</w:t>
            </w:r>
          </w:p>
        </w:tc>
      </w:tr>
      <w:tr w:rsidR="008C77A2" w:rsidRPr="00B1453E" w14:paraId="693C7737" w14:textId="77777777" w:rsidTr="007D612A">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7CBEACA6" w14:textId="01DEDF44" w:rsidR="008C77A2" w:rsidRDefault="008C77A2" w:rsidP="008C77A2">
            <w:pPr>
              <w:spacing w:line="240" w:lineRule="auto"/>
              <w:rPr>
                <w:rFonts w:eastAsia="Times New Roman" w:cs="Times New Roman"/>
                <w:i/>
                <w:iCs/>
                <w:color w:val="000000"/>
                <w:sz w:val="20"/>
                <w:szCs w:val="20"/>
              </w:rPr>
            </w:pPr>
          </w:p>
        </w:tc>
        <w:tc>
          <w:tcPr>
            <w:tcW w:w="1728" w:type="dxa"/>
            <w:tcBorders>
              <w:top w:val="nil"/>
              <w:left w:val="single" w:sz="4" w:space="0" w:color="auto"/>
              <w:bottom w:val="nil"/>
              <w:right w:val="nil"/>
            </w:tcBorders>
            <w:shd w:val="clear" w:color="000000" w:fill="F2F2F2"/>
            <w:noWrap/>
            <w:vAlign w:val="center"/>
            <w:hideMark/>
          </w:tcPr>
          <w:p w14:paraId="39F25CBC" w14:textId="77777777" w:rsidR="008C77A2" w:rsidRPr="00B1453E" w:rsidRDefault="008C77A2" w:rsidP="008C77A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40</w:t>
            </w:r>
          </w:p>
        </w:tc>
        <w:tc>
          <w:tcPr>
            <w:tcW w:w="720" w:type="dxa"/>
            <w:tcBorders>
              <w:left w:val="nil"/>
              <w:right w:val="dashed" w:sz="4" w:space="0" w:color="auto"/>
            </w:tcBorders>
            <w:shd w:val="clear" w:color="000000" w:fill="F2F2F2"/>
          </w:tcPr>
          <w:p w14:paraId="21DC58AA" w14:textId="0B987CBC" w:rsidR="008C77A2" w:rsidRPr="0045587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left w:val="dashed" w:sz="4" w:space="0" w:color="auto"/>
            </w:tcBorders>
            <w:shd w:val="clear" w:color="000000" w:fill="F2F2F2"/>
            <w:noWrap/>
            <w:vAlign w:val="center"/>
            <w:hideMark/>
          </w:tcPr>
          <w:p w14:paraId="1D42265C" w14:textId="3E2B05E1" w:rsidR="008C77A2" w:rsidRPr="00451B5A" w:rsidRDefault="008C77A2" w:rsidP="008C77A2">
            <w:pPr>
              <w:spacing w:line="240" w:lineRule="auto"/>
              <w:rPr>
                <w:rFonts w:eastAsia="Times New Roman" w:cs="Times New Roman"/>
                <w:i/>
                <w:iCs/>
                <w:color w:val="000000"/>
                <w:sz w:val="20"/>
                <w:szCs w:val="20"/>
              </w:rPr>
            </w:pPr>
            <w:r w:rsidRPr="00903519">
              <w:rPr>
                <w:rFonts w:eastAsia="Times New Roman" w:cs="Times New Roman"/>
                <w:i/>
                <w:iCs/>
                <w:color w:val="000000"/>
                <w:sz w:val="20"/>
                <w:szCs w:val="20"/>
              </w:rPr>
              <w:t>0.039</w:t>
            </w:r>
          </w:p>
        </w:tc>
        <w:tc>
          <w:tcPr>
            <w:tcW w:w="1152" w:type="dxa"/>
            <w:tcBorders>
              <w:right w:val="dashed" w:sz="4" w:space="0" w:color="auto"/>
            </w:tcBorders>
            <w:shd w:val="clear" w:color="000000" w:fill="F2F2F2"/>
            <w:vAlign w:val="center"/>
          </w:tcPr>
          <w:p w14:paraId="0DC65E88" w14:textId="306DAC10" w:rsidR="008C77A2" w:rsidRPr="00050F6A" w:rsidRDefault="008C77A2" w:rsidP="008C77A2">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0.001</w:t>
            </w:r>
          </w:p>
        </w:tc>
        <w:tc>
          <w:tcPr>
            <w:tcW w:w="1152" w:type="dxa"/>
            <w:tcBorders>
              <w:left w:val="dashed" w:sz="4" w:space="0" w:color="auto"/>
            </w:tcBorders>
            <w:shd w:val="clear" w:color="000000" w:fill="F2F2F2"/>
            <w:noWrap/>
            <w:vAlign w:val="center"/>
            <w:hideMark/>
          </w:tcPr>
          <w:p w14:paraId="0E254959" w14:textId="0202AB4C" w:rsidR="008C77A2" w:rsidRPr="00060D79" w:rsidRDefault="008C77A2" w:rsidP="008C77A2">
            <w:pPr>
              <w:spacing w:line="240" w:lineRule="auto"/>
              <w:rPr>
                <w:rFonts w:eastAsia="Times New Roman" w:cs="Times New Roman"/>
                <w:b/>
                <w:bCs/>
                <w:i/>
                <w:iCs/>
                <w:color w:val="000000"/>
                <w:sz w:val="20"/>
                <w:szCs w:val="20"/>
              </w:rPr>
            </w:pPr>
            <w:r w:rsidRPr="00903519">
              <w:rPr>
                <w:rFonts w:eastAsia="Times New Roman" w:cs="Times New Roman"/>
                <w:i/>
                <w:iCs/>
                <w:color w:val="000000"/>
                <w:sz w:val="20"/>
                <w:szCs w:val="20"/>
              </w:rPr>
              <w:t>2.601</w:t>
            </w:r>
          </w:p>
        </w:tc>
        <w:tc>
          <w:tcPr>
            <w:tcW w:w="1152" w:type="dxa"/>
            <w:shd w:val="clear" w:color="000000" w:fill="F2F2F2"/>
            <w:vAlign w:val="center"/>
          </w:tcPr>
          <w:p w14:paraId="477B88D0" w14:textId="26B7457F" w:rsidR="008C77A2" w:rsidRPr="00B1453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0.190</w:t>
            </w:r>
          </w:p>
        </w:tc>
      </w:tr>
      <w:tr w:rsidR="008C77A2" w:rsidRPr="00B1453E" w14:paraId="12B311CC" w14:textId="77777777" w:rsidTr="007D612A">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4FB66926" w14:textId="77777777" w:rsidR="008C77A2" w:rsidRDefault="008C77A2" w:rsidP="008C77A2">
            <w:pPr>
              <w:spacing w:line="240" w:lineRule="auto"/>
              <w:rPr>
                <w:rFonts w:eastAsia="Times New Roman" w:cs="Times New Roman"/>
                <w:i/>
                <w:iCs/>
                <w:color w:val="000000"/>
                <w:sz w:val="20"/>
                <w:szCs w:val="20"/>
              </w:rPr>
            </w:pPr>
          </w:p>
        </w:tc>
        <w:tc>
          <w:tcPr>
            <w:tcW w:w="1728" w:type="dxa"/>
            <w:tcBorders>
              <w:top w:val="nil"/>
              <w:left w:val="single" w:sz="4" w:space="0" w:color="auto"/>
              <w:bottom w:val="nil"/>
              <w:right w:val="nil"/>
            </w:tcBorders>
            <w:shd w:val="clear" w:color="000000" w:fill="FFFFFF"/>
            <w:noWrap/>
            <w:vAlign w:val="center"/>
            <w:hideMark/>
          </w:tcPr>
          <w:p w14:paraId="23ECAD6D" w14:textId="77777777" w:rsidR="008C77A2" w:rsidRPr="00B1453E" w:rsidRDefault="008C77A2" w:rsidP="008C77A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100</w:t>
            </w:r>
          </w:p>
        </w:tc>
        <w:tc>
          <w:tcPr>
            <w:tcW w:w="720" w:type="dxa"/>
            <w:tcBorders>
              <w:left w:val="nil"/>
              <w:bottom w:val="nil"/>
              <w:right w:val="dashed" w:sz="4" w:space="0" w:color="auto"/>
            </w:tcBorders>
            <w:shd w:val="clear" w:color="000000" w:fill="FFFFFF"/>
          </w:tcPr>
          <w:p w14:paraId="49C5E12D" w14:textId="4C523D11" w:rsidR="008C77A2" w:rsidRPr="0045587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left w:val="dashed" w:sz="4" w:space="0" w:color="auto"/>
              <w:bottom w:val="nil"/>
            </w:tcBorders>
            <w:shd w:val="clear" w:color="000000" w:fill="FFFFFF"/>
            <w:noWrap/>
            <w:vAlign w:val="center"/>
            <w:hideMark/>
          </w:tcPr>
          <w:p w14:paraId="475C4620" w14:textId="5E9622EA" w:rsidR="008C77A2" w:rsidRPr="00451B5A" w:rsidRDefault="008C77A2" w:rsidP="008C77A2">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0.045</w:t>
            </w:r>
          </w:p>
        </w:tc>
        <w:tc>
          <w:tcPr>
            <w:tcW w:w="1152" w:type="dxa"/>
            <w:tcBorders>
              <w:bottom w:val="nil"/>
              <w:right w:val="dashed" w:sz="4" w:space="0" w:color="auto"/>
            </w:tcBorders>
            <w:shd w:val="clear" w:color="000000" w:fill="FFFFFF"/>
            <w:vAlign w:val="center"/>
          </w:tcPr>
          <w:p w14:paraId="39FB1E1B" w14:textId="14EC80BC" w:rsidR="008C77A2" w:rsidRPr="00050F6A" w:rsidRDefault="008C77A2" w:rsidP="008C77A2">
            <w:pPr>
              <w:spacing w:line="240" w:lineRule="auto"/>
              <w:rPr>
                <w:rFonts w:eastAsia="Times New Roman" w:cs="Times New Roman"/>
                <w:b/>
                <w:bCs/>
                <w:i/>
                <w:iCs/>
                <w:color w:val="000000"/>
                <w:sz w:val="20"/>
                <w:szCs w:val="20"/>
              </w:rPr>
            </w:pPr>
            <w:r w:rsidRPr="00903519">
              <w:rPr>
                <w:rFonts w:eastAsia="Times New Roman" w:cs="Times New Roman"/>
                <w:i/>
                <w:iCs/>
                <w:color w:val="000000"/>
                <w:sz w:val="20"/>
                <w:szCs w:val="20"/>
              </w:rPr>
              <w:t>0.002</w:t>
            </w:r>
          </w:p>
        </w:tc>
        <w:tc>
          <w:tcPr>
            <w:tcW w:w="1152" w:type="dxa"/>
            <w:tcBorders>
              <w:left w:val="dashed" w:sz="4" w:space="0" w:color="auto"/>
              <w:bottom w:val="nil"/>
            </w:tcBorders>
            <w:shd w:val="clear" w:color="000000" w:fill="FFFFFF"/>
            <w:noWrap/>
            <w:vAlign w:val="center"/>
            <w:hideMark/>
          </w:tcPr>
          <w:p w14:paraId="71BEBB89" w14:textId="13FA4D56" w:rsidR="008C77A2" w:rsidRPr="00060D79"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2.323</w:t>
            </w:r>
          </w:p>
        </w:tc>
        <w:tc>
          <w:tcPr>
            <w:tcW w:w="1152" w:type="dxa"/>
            <w:tcBorders>
              <w:bottom w:val="nil"/>
            </w:tcBorders>
            <w:shd w:val="clear" w:color="000000" w:fill="FFFFFF"/>
            <w:vAlign w:val="center"/>
          </w:tcPr>
          <w:p w14:paraId="3D2D6CC8" w14:textId="2CFD78AE" w:rsidR="008C77A2" w:rsidRPr="00060D79" w:rsidRDefault="008C77A2" w:rsidP="008C77A2">
            <w:pPr>
              <w:spacing w:line="240" w:lineRule="auto"/>
              <w:rPr>
                <w:rFonts w:eastAsia="Times New Roman" w:cs="Times New Roman"/>
                <w:i/>
                <w:iCs/>
                <w:color w:val="000000"/>
                <w:sz w:val="20"/>
                <w:szCs w:val="20"/>
              </w:rPr>
            </w:pPr>
            <w:r w:rsidRPr="00903519">
              <w:rPr>
                <w:rFonts w:eastAsia="Times New Roman" w:cs="Times New Roman"/>
                <w:b/>
                <w:bCs/>
                <w:i/>
                <w:iCs/>
                <w:color w:val="000000"/>
                <w:sz w:val="20"/>
                <w:szCs w:val="20"/>
              </w:rPr>
              <w:t>0.156</w:t>
            </w:r>
          </w:p>
        </w:tc>
      </w:tr>
      <w:tr w:rsidR="008C77A2" w:rsidRPr="00B1453E" w14:paraId="2F07A3AD" w14:textId="77777777" w:rsidTr="007D612A">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7ABE6A1D" w14:textId="77777777" w:rsidR="008C77A2" w:rsidRDefault="008C77A2" w:rsidP="008C77A2">
            <w:pPr>
              <w:spacing w:line="240" w:lineRule="auto"/>
              <w:rPr>
                <w:rFonts w:eastAsia="Times New Roman" w:cs="Times New Roman"/>
                <w:i/>
                <w:iCs/>
                <w:color w:val="000000"/>
                <w:sz w:val="20"/>
                <w:szCs w:val="20"/>
              </w:rPr>
            </w:pPr>
          </w:p>
        </w:tc>
        <w:tc>
          <w:tcPr>
            <w:tcW w:w="1728" w:type="dxa"/>
            <w:tcBorders>
              <w:top w:val="nil"/>
              <w:left w:val="single" w:sz="4" w:space="0" w:color="auto"/>
              <w:bottom w:val="dashed" w:sz="4" w:space="0" w:color="auto"/>
              <w:right w:val="nil"/>
            </w:tcBorders>
            <w:shd w:val="clear" w:color="000000" w:fill="F2F2F2"/>
            <w:noWrap/>
            <w:vAlign w:val="center"/>
            <w:hideMark/>
          </w:tcPr>
          <w:p w14:paraId="75F9E4C6" w14:textId="77777777" w:rsidR="008C77A2" w:rsidRPr="00B1453E" w:rsidRDefault="008C77A2" w:rsidP="008C77A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200</w:t>
            </w:r>
          </w:p>
        </w:tc>
        <w:tc>
          <w:tcPr>
            <w:tcW w:w="720" w:type="dxa"/>
            <w:tcBorders>
              <w:top w:val="nil"/>
              <w:left w:val="nil"/>
              <w:bottom w:val="dashed" w:sz="4" w:space="0" w:color="auto"/>
              <w:right w:val="dashed" w:sz="4" w:space="0" w:color="auto"/>
            </w:tcBorders>
            <w:shd w:val="clear" w:color="000000" w:fill="F2F2F2"/>
          </w:tcPr>
          <w:p w14:paraId="0ECA8515" w14:textId="22F6E5DF" w:rsidR="008C77A2" w:rsidRPr="0045587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84</w:t>
            </w:r>
          </w:p>
        </w:tc>
        <w:tc>
          <w:tcPr>
            <w:tcW w:w="1152" w:type="dxa"/>
            <w:tcBorders>
              <w:top w:val="nil"/>
              <w:left w:val="dashed" w:sz="4" w:space="0" w:color="auto"/>
              <w:bottom w:val="dashed" w:sz="4" w:space="0" w:color="auto"/>
            </w:tcBorders>
            <w:shd w:val="clear" w:color="000000" w:fill="F2F2F2"/>
            <w:noWrap/>
            <w:vAlign w:val="center"/>
            <w:hideMark/>
          </w:tcPr>
          <w:p w14:paraId="0A602191" w14:textId="3BB9F85F" w:rsidR="008C77A2" w:rsidRPr="00B1453E" w:rsidRDefault="008C77A2" w:rsidP="008C77A2">
            <w:pPr>
              <w:spacing w:line="240" w:lineRule="auto"/>
              <w:rPr>
                <w:rFonts w:eastAsia="Times New Roman" w:cs="Times New Roman"/>
                <w:i/>
                <w:iCs/>
                <w:color w:val="000000"/>
                <w:sz w:val="20"/>
                <w:szCs w:val="20"/>
              </w:rPr>
            </w:pPr>
            <w:r w:rsidRPr="00903519">
              <w:rPr>
                <w:rFonts w:eastAsia="Times New Roman" w:cs="Times New Roman"/>
                <w:b/>
                <w:bCs/>
                <w:i/>
                <w:iCs/>
                <w:color w:val="000000"/>
                <w:sz w:val="20"/>
                <w:szCs w:val="20"/>
              </w:rPr>
              <w:t>0.020</w:t>
            </w:r>
          </w:p>
        </w:tc>
        <w:tc>
          <w:tcPr>
            <w:tcW w:w="1152" w:type="dxa"/>
            <w:tcBorders>
              <w:top w:val="nil"/>
              <w:bottom w:val="dashed" w:sz="4" w:space="0" w:color="auto"/>
              <w:right w:val="dashed" w:sz="4" w:space="0" w:color="auto"/>
            </w:tcBorders>
            <w:shd w:val="clear" w:color="000000" w:fill="F2F2F2"/>
            <w:vAlign w:val="center"/>
          </w:tcPr>
          <w:p w14:paraId="24F46E3A" w14:textId="2F34C831" w:rsidR="008C77A2" w:rsidRPr="00050F6A" w:rsidRDefault="008C77A2" w:rsidP="008C77A2">
            <w:pPr>
              <w:spacing w:line="240" w:lineRule="auto"/>
              <w:rPr>
                <w:rFonts w:eastAsia="Times New Roman" w:cs="Times New Roman"/>
                <w:b/>
                <w:bCs/>
                <w:i/>
                <w:iCs/>
                <w:color w:val="000000"/>
                <w:sz w:val="20"/>
                <w:szCs w:val="20"/>
              </w:rPr>
            </w:pPr>
            <w:r w:rsidRPr="00903519">
              <w:rPr>
                <w:rFonts w:eastAsia="Times New Roman" w:cs="Times New Roman"/>
                <w:b/>
                <w:bCs/>
                <w:i/>
                <w:iCs/>
                <w:color w:val="000000"/>
                <w:sz w:val="20"/>
                <w:szCs w:val="20"/>
              </w:rPr>
              <w:t>0.001</w:t>
            </w:r>
          </w:p>
        </w:tc>
        <w:tc>
          <w:tcPr>
            <w:tcW w:w="1152" w:type="dxa"/>
            <w:tcBorders>
              <w:top w:val="nil"/>
              <w:left w:val="dashed" w:sz="4" w:space="0" w:color="auto"/>
              <w:bottom w:val="dashed" w:sz="4" w:space="0" w:color="auto"/>
            </w:tcBorders>
            <w:shd w:val="clear" w:color="000000" w:fill="F2F2F2"/>
            <w:noWrap/>
            <w:vAlign w:val="center"/>
            <w:hideMark/>
          </w:tcPr>
          <w:p w14:paraId="50356389" w14:textId="2F61AB31" w:rsidR="008C77A2" w:rsidRPr="00B1453E" w:rsidRDefault="008C77A2" w:rsidP="008C77A2">
            <w:pPr>
              <w:spacing w:line="240" w:lineRule="auto"/>
              <w:rPr>
                <w:rFonts w:eastAsia="Times New Roman" w:cs="Times New Roman"/>
                <w:i/>
                <w:iCs/>
                <w:color w:val="000000"/>
                <w:sz w:val="20"/>
                <w:szCs w:val="20"/>
              </w:rPr>
            </w:pPr>
            <w:r w:rsidRPr="00903519">
              <w:rPr>
                <w:rFonts w:eastAsia="Times New Roman" w:cs="Times New Roman"/>
                <w:b/>
                <w:bCs/>
                <w:i/>
                <w:iCs/>
                <w:color w:val="000000"/>
                <w:sz w:val="20"/>
                <w:szCs w:val="20"/>
              </w:rPr>
              <w:t>2.309</w:t>
            </w:r>
          </w:p>
        </w:tc>
        <w:tc>
          <w:tcPr>
            <w:tcW w:w="1152" w:type="dxa"/>
            <w:tcBorders>
              <w:top w:val="nil"/>
              <w:bottom w:val="dashed" w:sz="4" w:space="0" w:color="auto"/>
            </w:tcBorders>
            <w:shd w:val="clear" w:color="000000" w:fill="F2F2F2"/>
            <w:vAlign w:val="center"/>
          </w:tcPr>
          <w:p w14:paraId="2B386F04" w14:textId="5508913D" w:rsidR="008C77A2" w:rsidRPr="00060D79" w:rsidRDefault="008C77A2" w:rsidP="008C77A2">
            <w:pPr>
              <w:spacing w:line="240" w:lineRule="auto"/>
              <w:rPr>
                <w:rFonts w:eastAsia="Times New Roman" w:cs="Times New Roman"/>
                <w:b/>
                <w:bCs/>
                <w:i/>
                <w:iCs/>
                <w:color w:val="000000"/>
                <w:sz w:val="20"/>
                <w:szCs w:val="20"/>
              </w:rPr>
            </w:pPr>
            <w:r w:rsidRPr="00903519">
              <w:rPr>
                <w:rFonts w:eastAsia="Times New Roman" w:cs="Times New Roman"/>
                <w:i/>
                <w:iCs/>
                <w:color w:val="000000"/>
                <w:sz w:val="20"/>
                <w:szCs w:val="20"/>
              </w:rPr>
              <w:t>0.159</w:t>
            </w:r>
          </w:p>
        </w:tc>
      </w:tr>
      <w:tr w:rsidR="008C77A2" w:rsidRPr="00B1453E" w14:paraId="1EAA0AFF" w14:textId="77777777" w:rsidTr="007D612A">
        <w:trPr>
          <w:trHeight w:val="300"/>
          <w:jc w:val="center"/>
        </w:trPr>
        <w:tc>
          <w:tcPr>
            <w:tcW w:w="452" w:type="dxa"/>
            <w:vMerge w:val="restart"/>
            <w:tcBorders>
              <w:top w:val="dashed" w:sz="4" w:space="0" w:color="auto"/>
              <w:bottom w:val="single" w:sz="4" w:space="0" w:color="auto"/>
              <w:right w:val="single" w:sz="4" w:space="0" w:color="auto"/>
            </w:tcBorders>
            <w:shd w:val="clear" w:color="auto" w:fill="BFBFBF" w:themeFill="background1" w:themeFillShade="BF"/>
            <w:textDirection w:val="btLr"/>
          </w:tcPr>
          <w:p w14:paraId="531EF8AA" w14:textId="77777777" w:rsidR="008C77A2" w:rsidRDefault="008C77A2" w:rsidP="008C77A2">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Niton XL3t</w:t>
            </w:r>
          </w:p>
        </w:tc>
        <w:tc>
          <w:tcPr>
            <w:tcW w:w="1728" w:type="dxa"/>
            <w:tcBorders>
              <w:top w:val="dashed" w:sz="4" w:space="0" w:color="auto"/>
              <w:left w:val="single" w:sz="4" w:space="0" w:color="auto"/>
              <w:bottom w:val="nil"/>
              <w:right w:val="nil"/>
            </w:tcBorders>
            <w:shd w:val="clear" w:color="auto" w:fill="FFFFFF" w:themeFill="background1"/>
            <w:noWrap/>
            <w:vAlign w:val="center"/>
          </w:tcPr>
          <w:p w14:paraId="66368346" w14:textId="77777777" w:rsidR="008C77A2" w:rsidRPr="00B1453E" w:rsidRDefault="008C77A2" w:rsidP="008C77A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w:t>
            </w:r>
          </w:p>
        </w:tc>
        <w:tc>
          <w:tcPr>
            <w:tcW w:w="720" w:type="dxa"/>
            <w:tcBorders>
              <w:top w:val="dashed" w:sz="4" w:space="0" w:color="auto"/>
              <w:left w:val="nil"/>
              <w:right w:val="dashed" w:sz="4" w:space="0" w:color="auto"/>
            </w:tcBorders>
            <w:shd w:val="clear" w:color="auto" w:fill="FFFFFF" w:themeFill="background1"/>
          </w:tcPr>
          <w:p w14:paraId="5456F563" w14:textId="77777777" w:rsidR="008C77A2" w:rsidRPr="0045587E" w:rsidRDefault="008C77A2" w:rsidP="008C77A2">
            <w:pPr>
              <w:spacing w:line="240" w:lineRule="auto"/>
              <w:rPr>
                <w:rFonts w:eastAsia="Times New Roman" w:cs="Times New Roman"/>
                <w:i/>
                <w:iCs/>
                <w:color w:val="000000"/>
                <w:sz w:val="20"/>
                <w:szCs w:val="20"/>
              </w:rPr>
            </w:pPr>
            <w:r w:rsidRPr="0045587E">
              <w:rPr>
                <w:rFonts w:eastAsia="Times New Roman" w:cs="Times New Roman"/>
                <w:i/>
                <w:iCs/>
                <w:color w:val="000000"/>
                <w:sz w:val="20"/>
                <w:szCs w:val="20"/>
              </w:rPr>
              <w:t>21</w:t>
            </w:r>
          </w:p>
        </w:tc>
        <w:tc>
          <w:tcPr>
            <w:tcW w:w="1152" w:type="dxa"/>
            <w:tcBorders>
              <w:top w:val="dashed" w:sz="4" w:space="0" w:color="auto"/>
              <w:left w:val="dashed" w:sz="4" w:space="0" w:color="auto"/>
            </w:tcBorders>
            <w:shd w:val="clear" w:color="auto" w:fill="FFFFFF" w:themeFill="background1"/>
            <w:noWrap/>
            <w:vAlign w:val="center"/>
          </w:tcPr>
          <w:p w14:paraId="2710B274" w14:textId="7F4DA516" w:rsidR="008C77A2" w:rsidRPr="00B1453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0.155</w:t>
            </w:r>
          </w:p>
        </w:tc>
        <w:tc>
          <w:tcPr>
            <w:tcW w:w="1152" w:type="dxa"/>
            <w:tcBorders>
              <w:top w:val="dashed" w:sz="4" w:space="0" w:color="auto"/>
              <w:right w:val="dashed" w:sz="4" w:space="0" w:color="auto"/>
            </w:tcBorders>
            <w:shd w:val="clear" w:color="auto" w:fill="FFFFFF" w:themeFill="background1"/>
            <w:vAlign w:val="center"/>
          </w:tcPr>
          <w:p w14:paraId="469ADDAA" w14:textId="3BD62715" w:rsidR="008C77A2"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0.006</w:t>
            </w:r>
          </w:p>
        </w:tc>
        <w:tc>
          <w:tcPr>
            <w:tcW w:w="1152" w:type="dxa"/>
            <w:tcBorders>
              <w:top w:val="dashed" w:sz="4" w:space="0" w:color="auto"/>
              <w:left w:val="dashed" w:sz="4" w:space="0" w:color="auto"/>
            </w:tcBorders>
            <w:shd w:val="clear" w:color="auto" w:fill="FFFFFF" w:themeFill="background1"/>
            <w:noWrap/>
            <w:vAlign w:val="center"/>
          </w:tcPr>
          <w:p w14:paraId="3E368E36" w14:textId="7F112B41" w:rsidR="008C77A2" w:rsidRPr="00B1453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1.607</w:t>
            </w:r>
          </w:p>
        </w:tc>
        <w:tc>
          <w:tcPr>
            <w:tcW w:w="1152" w:type="dxa"/>
            <w:tcBorders>
              <w:top w:val="dashed" w:sz="4" w:space="0" w:color="auto"/>
            </w:tcBorders>
            <w:shd w:val="clear" w:color="auto" w:fill="FFFFFF" w:themeFill="background1"/>
            <w:vAlign w:val="center"/>
          </w:tcPr>
          <w:p w14:paraId="4DFA8415" w14:textId="56BF863B" w:rsidR="008C77A2"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0.089</w:t>
            </w:r>
          </w:p>
        </w:tc>
      </w:tr>
      <w:tr w:rsidR="008C77A2" w:rsidRPr="00B1453E" w14:paraId="736A4251" w14:textId="77777777" w:rsidTr="007D612A">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7C74ABA7" w14:textId="77777777" w:rsidR="008C77A2" w:rsidRDefault="008C77A2" w:rsidP="008C77A2">
            <w:pPr>
              <w:spacing w:line="240" w:lineRule="auto"/>
              <w:rPr>
                <w:rFonts w:eastAsia="Times New Roman" w:cs="Times New Roman"/>
                <w:i/>
                <w:iCs/>
                <w:color w:val="000000"/>
                <w:sz w:val="20"/>
                <w:szCs w:val="20"/>
              </w:rPr>
            </w:pPr>
          </w:p>
        </w:tc>
        <w:tc>
          <w:tcPr>
            <w:tcW w:w="1728" w:type="dxa"/>
            <w:tcBorders>
              <w:top w:val="nil"/>
              <w:left w:val="single" w:sz="4" w:space="0" w:color="auto"/>
              <w:bottom w:val="nil"/>
              <w:right w:val="nil"/>
            </w:tcBorders>
            <w:shd w:val="clear" w:color="000000" w:fill="F2F2F2"/>
            <w:noWrap/>
            <w:vAlign w:val="center"/>
          </w:tcPr>
          <w:p w14:paraId="22EA2FC3" w14:textId="77777777" w:rsidR="008C77A2" w:rsidRPr="00B1453E" w:rsidRDefault="008C77A2" w:rsidP="008C77A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40</w:t>
            </w:r>
          </w:p>
        </w:tc>
        <w:tc>
          <w:tcPr>
            <w:tcW w:w="720" w:type="dxa"/>
            <w:tcBorders>
              <w:left w:val="nil"/>
              <w:right w:val="dashed" w:sz="4" w:space="0" w:color="auto"/>
            </w:tcBorders>
            <w:shd w:val="clear" w:color="000000" w:fill="F2F2F2"/>
          </w:tcPr>
          <w:p w14:paraId="0D371CB1" w14:textId="77777777" w:rsidR="008C77A2" w:rsidRPr="0045587E" w:rsidRDefault="008C77A2" w:rsidP="008C77A2">
            <w:pPr>
              <w:spacing w:line="240" w:lineRule="auto"/>
              <w:rPr>
                <w:rFonts w:eastAsia="Times New Roman" w:cs="Times New Roman"/>
                <w:i/>
                <w:iCs/>
                <w:color w:val="000000"/>
                <w:sz w:val="20"/>
                <w:szCs w:val="20"/>
              </w:rPr>
            </w:pPr>
            <w:r w:rsidRPr="0045587E">
              <w:rPr>
                <w:rFonts w:eastAsia="Times New Roman" w:cs="Times New Roman"/>
                <w:i/>
                <w:iCs/>
                <w:color w:val="000000"/>
                <w:sz w:val="20"/>
                <w:szCs w:val="20"/>
              </w:rPr>
              <w:t>21</w:t>
            </w:r>
          </w:p>
        </w:tc>
        <w:tc>
          <w:tcPr>
            <w:tcW w:w="1152" w:type="dxa"/>
            <w:tcBorders>
              <w:left w:val="dashed" w:sz="4" w:space="0" w:color="auto"/>
            </w:tcBorders>
            <w:shd w:val="clear" w:color="000000" w:fill="F2F2F2"/>
            <w:noWrap/>
            <w:vAlign w:val="center"/>
          </w:tcPr>
          <w:p w14:paraId="16546568" w14:textId="25538033" w:rsidR="008C77A2" w:rsidRPr="00B1453E" w:rsidRDefault="008C77A2" w:rsidP="008C77A2">
            <w:pPr>
              <w:spacing w:line="240" w:lineRule="auto"/>
              <w:rPr>
                <w:rFonts w:eastAsia="Times New Roman" w:cs="Times New Roman"/>
                <w:i/>
                <w:iCs/>
                <w:color w:val="000000"/>
                <w:sz w:val="20"/>
                <w:szCs w:val="20"/>
              </w:rPr>
            </w:pPr>
            <w:r w:rsidRPr="00A31270">
              <w:rPr>
                <w:rFonts w:eastAsia="Times New Roman" w:cs="Times New Roman"/>
                <w:b/>
                <w:bCs/>
                <w:i/>
                <w:iCs/>
                <w:color w:val="000000"/>
                <w:sz w:val="20"/>
                <w:szCs w:val="20"/>
              </w:rPr>
              <w:t>0.075</w:t>
            </w:r>
          </w:p>
        </w:tc>
        <w:tc>
          <w:tcPr>
            <w:tcW w:w="1152" w:type="dxa"/>
            <w:tcBorders>
              <w:right w:val="dashed" w:sz="4" w:space="0" w:color="auto"/>
            </w:tcBorders>
            <w:shd w:val="clear" w:color="000000" w:fill="F2F2F2"/>
            <w:vAlign w:val="center"/>
          </w:tcPr>
          <w:p w14:paraId="3EC2F59D" w14:textId="6E92A1DD" w:rsidR="008C77A2" w:rsidRPr="00A03DAC" w:rsidRDefault="008C77A2" w:rsidP="008C77A2">
            <w:pPr>
              <w:spacing w:line="240" w:lineRule="auto"/>
              <w:rPr>
                <w:rFonts w:eastAsia="Times New Roman" w:cs="Times New Roman"/>
                <w:i/>
                <w:iCs/>
                <w:color w:val="000000"/>
                <w:sz w:val="20"/>
                <w:szCs w:val="20"/>
              </w:rPr>
            </w:pPr>
            <w:r>
              <w:rPr>
                <w:rFonts w:eastAsia="Times New Roman" w:cs="Times New Roman"/>
                <w:b/>
                <w:bCs/>
                <w:i/>
                <w:iCs/>
                <w:color w:val="000000"/>
                <w:sz w:val="20"/>
                <w:szCs w:val="20"/>
              </w:rPr>
              <w:t>0.004</w:t>
            </w:r>
          </w:p>
        </w:tc>
        <w:tc>
          <w:tcPr>
            <w:tcW w:w="1152" w:type="dxa"/>
            <w:tcBorders>
              <w:left w:val="dashed" w:sz="4" w:space="0" w:color="auto"/>
            </w:tcBorders>
            <w:shd w:val="clear" w:color="000000" w:fill="F2F2F2"/>
            <w:noWrap/>
            <w:vAlign w:val="center"/>
          </w:tcPr>
          <w:p w14:paraId="58554FAA" w14:textId="023E1429" w:rsidR="008C77A2" w:rsidRPr="00CD3DB0" w:rsidRDefault="008C77A2" w:rsidP="008C77A2">
            <w:pPr>
              <w:spacing w:line="240" w:lineRule="auto"/>
              <w:rPr>
                <w:rFonts w:eastAsia="Times New Roman" w:cs="Times New Roman"/>
                <w:b/>
                <w:bCs/>
                <w:i/>
                <w:iCs/>
                <w:color w:val="000000"/>
                <w:sz w:val="20"/>
                <w:szCs w:val="20"/>
              </w:rPr>
            </w:pPr>
            <w:r w:rsidRPr="00A31270">
              <w:rPr>
                <w:rFonts w:eastAsia="Times New Roman" w:cs="Times New Roman"/>
                <w:i/>
                <w:iCs/>
                <w:color w:val="000000"/>
                <w:sz w:val="20"/>
                <w:szCs w:val="20"/>
              </w:rPr>
              <w:t>1.293</w:t>
            </w:r>
          </w:p>
        </w:tc>
        <w:tc>
          <w:tcPr>
            <w:tcW w:w="1152" w:type="dxa"/>
            <w:shd w:val="clear" w:color="000000" w:fill="F2F2F2"/>
            <w:vAlign w:val="center"/>
          </w:tcPr>
          <w:p w14:paraId="5BDE1F79" w14:textId="41CFCB50" w:rsidR="008C77A2" w:rsidRPr="00CD3DB0" w:rsidRDefault="008C77A2" w:rsidP="008C77A2">
            <w:pPr>
              <w:spacing w:line="240" w:lineRule="auto"/>
              <w:rPr>
                <w:rFonts w:eastAsia="Times New Roman" w:cs="Times New Roman"/>
                <w:b/>
                <w:bCs/>
                <w:i/>
                <w:iCs/>
                <w:color w:val="000000"/>
                <w:sz w:val="20"/>
                <w:szCs w:val="20"/>
              </w:rPr>
            </w:pPr>
            <w:r w:rsidRPr="00A31270">
              <w:rPr>
                <w:rFonts w:eastAsia="Times New Roman" w:cs="Times New Roman"/>
                <w:i/>
                <w:iCs/>
                <w:color w:val="000000"/>
                <w:sz w:val="20"/>
                <w:szCs w:val="20"/>
              </w:rPr>
              <w:t>0.057</w:t>
            </w:r>
          </w:p>
        </w:tc>
      </w:tr>
      <w:tr w:rsidR="008C77A2" w:rsidRPr="00B1453E" w14:paraId="25E75360" w14:textId="77777777" w:rsidTr="007D612A">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4E7F03B4" w14:textId="77777777" w:rsidR="008C77A2" w:rsidRDefault="008C77A2" w:rsidP="008C77A2">
            <w:pPr>
              <w:spacing w:line="240" w:lineRule="auto"/>
              <w:rPr>
                <w:rFonts w:eastAsia="Times New Roman" w:cs="Times New Roman"/>
                <w:i/>
                <w:iCs/>
                <w:color w:val="000000"/>
                <w:sz w:val="20"/>
                <w:szCs w:val="20"/>
              </w:rPr>
            </w:pPr>
          </w:p>
        </w:tc>
        <w:tc>
          <w:tcPr>
            <w:tcW w:w="1728" w:type="dxa"/>
            <w:tcBorders>
              <w:top w:val="nil"/>
              <w:left w:val="single" w:sz="4" w:space="0" w:color="auto"/>
              <w:bottom w:val="nil"/>
              <w:right w:val="nil"/>
            </w:tcBorders>
            <w:shd w:val="clear" w:color="auto" w:fill="FFFFFF" w:themeFill="background1"/>
            <w:noWrap/>
            <w:vAlign w:val="center"/>
          </w:tcPr>
          <w:p w14:paraId="79BDE7FB" w14:textId="77777777" w:rsidR="008C77A2" w:rsidRPr="00B1453E" w:rsidRDefault="008C77A2" w:rsidP="008C77A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100</w:t>
            </w:r>
          </w:p>
        </w:tc>
        <w:tc>
          <w:tcPr>
            <w:tcW w:w="720" w:type="dxa"/>
            <w:tcBorders>
              <w:left w:val="nil"/>
              <w:right w:val="dashed" w:sz="4" w:space="0" w:color="auto"/>
            </w:tcBorders>
            <w:shd w:val="clear" w:color="auto" w:fill="FFFFFF" w:themeFill="background1"/>
          </w:tcPr>
          <w:p w14:paraId="05796EFD" w14:textId="77777777" w:rsidR="008C77A2" w:rsidRPr="0045587E" w:rsidRDefault="008C77A2" w:rsidP="008C77A2">
            <w:pPr>
              <w:spacing w:line="240" w:lineRule="auto"/>
              <w:rPr>
                <w:rFonts w:eastAsia="Times New Roman" w:cs="Times New Roman"/>
                <w:i/>
                <w:iCs/>
                <w:color w:val="000000"/>
                <w:sz w:val="20"/>
                <w:szCs w:val="20"/>
              </w:rPr>
            </w:pPr>
            <w:r w:rsidRPr="0045587E">
              <w:rPr>
                <w:rFonts w:eastAsia="Times New Roman" w:cs="Times New Roman"/>
                <w:i/>
                <w:iCs/>
                <w:color w:val="000000"/>
                <w:sz w:val="20"/>
                <w:szCs w:val="20"/>
              </w:rPr>
              <w:t>21</w:t>
            </w:r>
          </w:p>
        </w:tc>
        <w:tc>
          <w:tcPr>
            <w:tcW w:w="1152" w:type="dxa"/>
            <w:tcBorders>
              <w:left w:val="dashed" w:sz="4" w:space="0" w:color="auto"/>
            </w:tcBorders>
            <w:shd w:val="clear" w:color="auto" w:fill="FFFFFF" w:themeFill="background1"/>
            <w:noWrap/>
            <w:vAlign w:val="center"/>
          </w:tcPr>
          <w:p w14:paraId="1EA39B7B" w14:textId="2E578112" w:rsidR="008C77A2" w:rsidRPr="00CD3DB0" w:rsidRDefault="008C77A2" w:rsidP="008C77A2">
            <w:pPr>
              <w:spacing w:line="240" w:lineRule="auto"/>
              <w:rPr>
                <w:rFonts w:eastAsia="Times New Roman" w:cs="Times New Roman"/>
                <w:b/>
                <w:bCs/>
                <w:i/>
                <w:iCs/>
                <w:color w:val="000000"/>
                <w:sz w:val="20"/>
                <w:szCs w:val="20"/>
              </w:rPr>
            </w:pPr>
            <w:r w:rsidRPr="00A31270">
              <w:rPr>
                <w:rFonts w:eastAsia="Times New Roman" w:cs="Times New Roman"/>
                <w:i/>
                <w:iCs/>
                <w:color w:val="000000"/>
                <w:sz w:val="20"/>
                <w:szCs w:val="20"/>
              </w:rPr>
              <w:t>0.135</w:t>
            </w:r>
          </w:p>
        </w:tc>
        <w:tc>
          <w:tcPr>
            <w:tcW w:w="1152" w:type="dxa"/>
            <w:tcBorders>
              <w:right w:val="dashed" w:sz="4" w:space="0" w:color="auto"/>
            </w:tcBorders>
            <w:shd w:val="clear" w:color="auto" w:fill="FFFFFF" w:themeFill="background1"/>
            <w:vAlign w:val="center"/>
          </w:tcPr>
          <w:p w14:paraId="059080AC" w14:textId="7B0A3971" w:rsidR="008C77A2" w:rsidRPr="00A03DAC" w:rsidRDefault="008C77A2" w:rsidP="008C77A2">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0.006</w:t>
            </w:r>
          </w:p>
        </w:tc>
        <w:tc>
          <w:tcPr>
            <w:tcW w:w="1152" w:type="dxa"/>
            <w:tcBorders>
              <w:left w:val="dashed" w:sz="4" w:space="0" w:color="auto"/>
            </w:tcBorders>
            <w:shd w:val="clear" w:color="auto" w:fill="FFFFFF" w:themeFill="background1"/>
            <w:noWrap/>
            <w:vAlign w:val="center"/>
          </w:tcPr>
          <w:p w14:paraId="13A508CD" w14:textId="1258BCB6" w:rsidR="008C77A2" w:rsidRPr="00B1453E" w:rsidRDefault="008C77A2" w:rsidP="008C77A2">
            <w:pPr>
              <w:spacing w:line="240" w:lineRule="auto"/>
              <w:rPr>
                <w:rFonts w:eastAsia="Times New Roman" w:cs="Times New Roman"/>
                <w:i/>
                <w:iCs/>
                <w:color w:val="000000"/>
                <w:sz w:val="20"/>
                <w:szCs w:val="20"/>
              </w:rPr>
            </w:pPr>
            <w:r w:rsidRPr="00A31270">
              <w:rPr>
                <w:rFonts w:eastAsia="Times New Roman" w:cs="Times New Roman"/>
                <w:b/>
                <w:bCs/>
                <w:i/>
                <w:iCs/>
                <w:color w:val="000000"/>
                <w:sz w:val="20"/>
                <w:szCs w:val="20"/>
              </w:rPr>
              <w:t>0.884</w:t>
            </w:r>
          </w:p>
        </w:tc>
        <w:tc>
          <w:tcPr>
            <w:tcW w:w="1152" w:type="dxa"/>
            <w:shd w:val="clear" w:color="auto" w:fill="FFFFFF" w:themeFill="background1"/>
            <w:vAlign w:val="center"/>
          </w:tcPr>
          <w:p w14:paraId="3D4F4A6F" w14:textId="17613B05" w:rsidR="008C77A2" w:rsidRDefault="008C77A2" w:rsidP="008C77A2">
            <w:pPr>
              <w:spacing w:line="240" w:lineRule="auto"/>
              <w:rPr>
                <w:rFonts w:eastAsia="Times New Roman" w:cs="Times New Roman"/>
                <w:i/>
                <w:iCs/>
                <w:color w:val="000000"/>
                <w:sz w:val="20"/>
                <w:szCs w:val="20"/>
              </w:rPr>
            </w:pPr>
            <w:r w:rsidRPr="00A31270">
              <w:rPr>
                <w:rFonts w:eastAsia="Times New Roman" w:cs="Times New Roman"/>
                <w:b/>
                <w:bCs/>
                <w:i/>
                <w:iCs/>
                <w:color w:val="000000"/>
                <w:sz w:val="20"/>
                <w:szCs w:val="20"/>
              </w:rPr>
              <w:t>0.055</w:t>
            </w:r>
          </w:p>
        </w:tc>
      </w:tr>
      <w:tr w:rsidR="008C77A2" w:rsidRPr="00B1453E" w14:paraId="1A5929F4" w14:textId="77777777" w:rsidTr="007D612A">
        <w:trPr>
          <w:trHeight w:val="300"/>
          <w:jc w:val="center"/>
        </w:trPr>
        <w:tc>
          <w:tcPr>
            <w:tcW w:w="452" w:type="dxa"/>
            <w:vMerge/>
            <w:tcBorders>
              <w:top w:val="dashed" w:sz="4" w:space="0" w:color="auto"/>
              <w:bottom w:val="single" w:sz="4" w:space="0" w:color="auto"/>
              <w:right w:val="single" w:sz="4" w:space="0" w:color="auto"/>
            </w:tcBorders>
            <w:shd w:val="clear" w:color="auto" w:fill="BFBFBF" w:themeFill="background1" w:themeFillShade="BF"/>
          </w:tcPr>
          <w:p w14:paraId="3676558E" w14:textId="77777777" w:rsidR="008C77A2" w:rsidRDefault="008C77A2" w:rsidP="008C77A2">
            <w:pPr>
              <w:spacing w:line="240" w:lineRule="auto"/>
              <w:rPr>
                <w:rFonts w:eastAsia="Times New Roman" w:cs="Times New Roman"/>
                <w:i/>
                <w:iCs/>
                <w:color w:val="000000"/>
                <w:sz w:val="20"/>
                <w:szCs w:val="20"/>
              </w:rPr>
            </w:pPr>
          </w:p>
        </w:tc>
        <w:tc>
          <w:tcPr>
            <w:tcW w:w="1728" w:type="dxa"/>
            <w:tcBorders>
              <w:top w:val="nil"/>
              <w:left w:val="single" w:sz="4" w:space="0" w:color="auto"/>
              <w:bottom w:val="single" w:sz="4" w:space="0" w:color="auto"/>
              <w:right w:val="nil"/>
            </w:tcBorders>
            <w:shd w:val="clear" w:color="000000" w:fill="F2F2F2"/>
            <w:noWrap/>
            <w:vAlign w:val="center"/>
          </w:tcPr>
          <w:p w14:paraId="74BCED98" w14:textId="77777777" w:rsidR="008C77A2" w:rsidRPr="00B1453E" w:rsidRDefault="008C77A2" w:rsidP="008C77A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200</w:t>
            </w:r>
          </w:p>
        </w:tc>
        <w:tc>
          <w:tcPr>
            <w:tcW w:w="720" w:type="dxa"/>
            <w:tcBorders>
              <w:left w:val="nil"/>
              <w:right w:val="dashed" w:sz="4" w:space="0" w:color="auto"/>
            </w:tcBorders>
            <w:shd w:val="clear" w:color="000000" w:fill="F2F2F2"/>
          </w:tcPr>
          <w:p w14:paraId="0EF3C53A" w14:textId="77777777" w:rsidR="008C77A2" w:rsidRPr="0045587E" w:rsidRDefault="008C77A2" w:rsidP="008C77A2">
            <w:pPr>
              <w:spacing w:line="240" w:lineRule="auto"/>
              <w:rPr>
                <w:rFonts w:eastAsia="Times New Roman" w:cs="Times New Roman"/>
                <w:i/>
                <w:iCs/>
                <w:color w:val="000000"/>
                <w:sz w:val="20"/>
                <w:szCs w:val="20"/>
              </w:rPr>
            </w:pPr>
            <w:r w:rsidRPr="0045587E">
              <w:rPr>
                <w:rFonts w:eastAsia="Times New Roman" w:cs="Times New Roman"/>
                <w:i/>
                <w:iCs/>
                <w:color w:val="000000"/>
                <w:sz w:val="20"/>
                <w:szCs w:val="20"/>
              </w:rPr>
              <w:t>21</w:t>
            </w:r>
          </w:p>
        </w:tc>
        <w:tc>
          <w:tcPr>
            <w:tcW w:w="1152" w:type="dxa"/>
            <w:tcBorders>
              <w:left w:val="dashed" w:sz="4" w:space="0" w:color="auto"/>
              <w:bottom w:val="single" w:sz="4" w:space="0" w:color="auto"/>
            </w:tcBorders>
            <w:shd w:val="clear" w:color="000000" w:fill="F2F2F2"/>
            <w:noWrap/>
            <w:vAlign w:val="center"/>
          </w:tcPr>
          <w:p w14:paraId="38E1EFDA" w14:textId="1A9C3EC3" w:rsidR="008C77A2" w:rsidRPr="00B1453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0.105</w:t>
            </w:r>
          </w:p>
        </w:tc>
        <w:tc>
          <w:tcPr>
            <w:tcW w:w="1152" w:type="dxa"/>
            <w:tcBorders>
              <w:bottom w:val="single" w:sz="4" w:space="0" w:color="auto"/>
              <w:right w:val="dashed" w:sz="4" w:space="0" w:color="auto"/>
            </w:tcBorders>
            <w:shd w:val="clear" w:color="000000" w:fill="F2F2F2"/>
            <w:vAlign w:val="center"/>
          </w:tcPr>
          <w:p w14:paraId="4EBB575C" w14:textId="32A0612B" w:rsidR="008C77A2"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0.006</w:t>
            </w:r>
          </w:p>
        </w:tc>
        <w:tc>
          <w:tcPr>
            <w:tcW w:w="1152" w:type="dxa"/>
            <w:tcBorders>
              <w:left w:val="dashed" w:sz="4" w:space="0" w:color="auto"/>
            </w:tcBorders>
            <w:shd w:val="clear" w:color="000000" w:fill="F2F2F2"/>
            <w:noWrap/>
            <w:vAlign w:val="center"/>
          </w:tcPr>
          <w:p w14:paraId="0413441C" w14:textId="53227BAE" w:rsidR="008C77A2" w:rsidRPr="00B1453E"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0.984</w:t>
            </w:r>
          </w:p>
        </w:tc>
        <w:tc>
          <w:tcPr>
            <w:tcW w:w="1152" w:type="dxa"/>
            <w:shd w:val="clear" w:color="000000" w:fill="F2F2F2"/>
            <w:vAlign w:val="center"/>
          </w:tcPr>
          <w:p w14:paraId="722897EC" w14:textId="3E9BB7E5" w:rsidR="008C77A2" w:rsidRDefault="008C77A2" w:rsidP="008C77A2">
            <w:pPr>
              <w:spacing w:line="240" w:lineRule="auto"/>
              <w:rPr>
                <w:rFonts w:eastAsia="Times New Roman" w:cs="Times New Roman"/>
                <w:i/>
                <w:iCs/>
                <w:color w:val="000000"/>
                <w:sz w:val="20"/>
                <w:szCs w:val="20"/>
              </w:rPr>
            </w:pPr>
            <w:r>
              <w:rPr>
                <w:rFonts w:eastAsia="Times New Roman" w:cs="Times New Roman"/>
                <w:i/>
                <w:iCs/>
                <w:color w:val="000000"/>
                <w:sz w:val="20"/>
                <w:szCs w:val="20"/>
              </w:rPr>
              <w:t>0.056</w:t>
            </w:r>
          </w:p>
        </w:tc>
      </w:tr>
    </w:tbl>
    <w:p w14:paraId="202B41BA" w14:textId="77777777" w:rsidR="008C77A2" w:rsidRPr="008C77A2" w:rsidRDefault="008C77A2" w:rsidP="008C77A2"/>
    <w:p w14:paraId="5E08C91B" w14:textId="77777777" w:rsidR="00117654" w:rsidRDefault="00117654" w:rsidP="00117654"/>
    <w:p w14:paraId="1F48DC36" w14:textId="5AA17F93" w:rsidR="003D0151" w:rsidRDefault="00F31C7B" w:rsidP="00427839">
      <w:pPr>
        <w:ind w:left="720" w:firstLine="720"/>
        <w:jc w:val="both"/>
        <w:rPr>
          <w:rFonts w:eastAsiaTheme="minorEastAsia"/>
          <w:bCs/>
        </w:rPr>
      </w:pPr>
      <w:r>
        <w:rPr>
          <w:rFonts w:eastAsiaTheme="minorEastAsia"/>
          <w:bCs/>
        </w:rPr>
        <w:t xml:space="preserve">Linear regression analyses were used to examine the statistical significance of the </w:t>
      </w:r>
      <w:r w:rsidR="00127EE9">
        <w:rPr>
          <w:rFonts w:eastAsiaTheme="minorEastAsia"/>
          <w:bCs/>
        </w:rPr>
        <w:t>effects of various</w:t>
      </w:r>
      <w:r>
        <w:rPr>
          <w:rFonts w:eastAsiaTheme="minorEastAsia"/>
          <w:bCs/>
        </w:rPr>
        <w:t xml:space="preserve"> particle sizes</w:t>
      </w:r>
      <w:r w:rsidR="00127EE9">
        <w:rPr>
          <w:rFonts w:eastAsiaTheme="minorEastAsia"/>
          <w:bCs/>
        </w:rPr>
        <w:t xml:space="preserve"> on precision and accuracy of PHXRF devices</w:t>
      </w:r>
      <w:r>
        <w:rPr>
          <w:rFonts w:eastAsiaTheme="minorEastAsia"/>
          <w:bCs/>
        </w:rPr>
        <w:t xml:space="preserve">. </w:t>
      </w:r>
      <w:r w:rsidR="00127EE9">
        <w:rPr>
          <w:rFonts w:eastAsiaTheme="minorEastAsia"/>
          <w:bCs/>
        </w:rPr>
        <w:t xml:space="preserve">The results of the OHC and SGB measurements for the S1 Titan are presented in </w:t>
      </w:r>
      <w:r w:rsidR="00127EE9">
        <w:rPr>
          <w:rFonts w:eastAsiaTheme="minorEastAsia"/>
          <w:bCs/>
        </w:rPr>
        <w:fldChar w:fldCharType="begin"/>
      </w:r>
      <w:r w:rsidR="00127EE9">
        <w:rPr>
          <w:rFonts w:eastAsiaTheme="minorEastAsia"/>
          <w:bCs/>
        </w:rPr>
        <w:instrText xml:space="preserve"> REF _Ref441946380 \h </w:instrText>
      </w:r>
      <w:r w:rsidR="00127EE9">
        <w:rPr>
          <w:rFonts w:eastAsiaTheme="minorEastAsia"/>
          <w:bCs/>
        </w:rPr>
      </w:r>
      <w:r w:rsidR="00127EE9">
        <w:rPr>
          <w:rFonts w:eastAsiaTheme="minorEastAsia"/>
          <w:bCs/>
        </w:rPr>
        <w:fldChar w:fldCharType="separate"/>
      </w:r>
      <w:r w:rsidR="00E90148">
        <w:t xml:space="preserve">Figure </w:t>
      </w:r>
      <w:r w:rsidR="00E90148">
        <w:rPr>
          <w:noProof/>
        </w:rPr>
        <w:t>22</w:t>
      </w:r>
      <w:r w:rsidR="00127EE9">
        <w:rPr>
          <w:rFonts w:eastAsiaTheme="minorEastAsia"/>
          <w:bCs/>
        </w:rPr>
        <w:fldChar w:fldCharType="end"/>
      </w:r>
      <w:r w:rsidR="00127EE9">
        <w:rPr>
          <w:rFonts w:eastAsiaTheme="minorEastAsia"/>
          <w:bCs/>
        </w:rPr>
        <w:t xml:space="preserve"> and </w:t>
      </w:r>
      <w:r w:rsidR="00127EE9">
        <w:rPr>
          <w:rFonts w:eastAsiaTheme="minorEastAsia"/>
          <w:bCs/>
        </w:rPr>
        <w:fldChar w:fldCharType="begin"/>
      </w:r>
      <w:r w:rsidR="00127EE9">
        <w:rPr>
          <w:rFonts w:eastAsiaTheme="minorEastAsia"/>
          <w:bCs/>
        </w:rPr>
        <w:instrText xml:space="preserve"> REF _Ref442978823 \h </w:instrText>
      </w:r>
      <w:r w:rsidR="00127EE9">
        <w:rPr>
          <w:rFonts w:eastAsiaTheme="minorEastAsia"/>
          <w:bCs/>
        </w:rPr>
      </w:r>
      <w:r w:rsidR="00127EE9">
        <w:rPr>
          <w:rFonts w:eastAsiaTheme="minorEastAsia"/>
          <w:bCs/>
        </w:rPr>
        <w:fldChar w:fldCharType="separate"/>
      </w:r>
      <w:r w:rsidR="00E90148">
        <w:t xml:space="preserve">Figure </w:t>
      </w:r>
      <w:r w:rsidR="00E90148">
        <w:rPr>
          <w:noProof/>
        </w:rPr>
        <w:t>24</w:t>
      </w:r>
      <w:r w:rsidR="00127EE9">
        <w:rPr>
          <w:rFonts w:eastAsiaTheme="minorEastAsia"/>
          <w:bCs/>
        </w:rPr>
        <w:fldChar w:fldCharType="end"/>
      </w:r>
      <w:r w:rsidR="00127EE9">
        <w:rPr>
          <w:rFonts w:eastAsiaTheme="minorEastAsia"/>
          <w:bCs/>
        </w:rPr>
        <w:t xml:space="preserve">, respectively; for the Niton XL3t, </w:t>
      </w:r>
      <w:r w:rsidR="00127EE9">
        <w:rPr>
          <w:rFonts w:eastAsiaTheme="minorEastAsia"/>
          <w:bCs/>
        </w:rPr>
        <w:fldChar w:fldCharType="begin"/>
      </w:r>
      <w:r w:rsidR="00127EE9">
        <w:rPr>
          <w:rFonts w:eastAsiaTheme="minorEastAsia"/>
          <w:bCs/>
        </w:rPr>
        <w:instrText xml:space="preserve"> REF _Ref442978879 \h </w:instrText>
      </w:r>
      <w:r w:rsidR="00127EE9">
        <w:rPr>
          <w:rFonts w:eastAsiaTheme="minorEastAsia"/>
          <w:bCs/>
        </w:rPr>
      </w:r>
      <w:r w:rsidR="00127EE9">
        <w:rPr>
          <w:rFonts w:eastAsiaTheme="minorEastAsia"/>
          <w:bCs/>
        </w:rPr>
        <w:fldChar w:fldCharType="separate"/>
      </w:r>
      <w:r w:rsidR="00E90148">
        <w:t xml:space="preserve">Figure </w:t>
      </w:r>
      <w:r w:rsidR="00E90148">
        <w:rPr>
          <w:noProof/>
        </w:rPr>
        <w:t>23</w:t>
      </w:r>
      <w:r w:rsidR="00127EE9">
        <w:rPr>
          <w:rFonts w:eastAsiaTheme="minorEastAsia"/>
          <w:bCs/>
        </w:rPr>
        <w:fldChar w:fldCharType="end"/>
      </w:r>
      <w:r w:rsidR="00127EE9">
        <w:rPr>
          <w:rFonts w:eastAsiaTheme="minorEastAsia"/>
          <w:bCs/>
        </w:rPr>
        <w:t xml:space="preserve"> and </w:t>
      </w:r>
      <w:r w:rsidR="00127EE9">
        <w:rPr>
          <w:rFonts w:eastAsiaTheme="minorEastAsia"/>
          <w:bCs/>
        </w:rPr>
        <w:fldChar w:fldCharType="begin"/>
      </w:r>
      <w:r w:rsidR="00127EE9">
        <w:rPr>
          <w:rFonts w:eastAsiaTheme="minorEastAsia"/>
          <w:bCs/>
        </w:rPr>
        <w:instrText xml:space="preserve"> REF _Ref442978882 \h </w:instrText>
      </w:r>
      <w:r w:rsidR="00127EE9">
        <w:rPr>
          <w:rFonts w:eastAsiaTheme="minorEastAsia"/>
          <w:bCs/>
        </w:rPr>
      </w:r>
      <w:r w:rsidR="00127EE9">
        <w:rPr>
          <w:rFonts w:eastAsiaTheme="minorEastAsia"/>
          <w:bCs/>
        </w:rPr>
        <w:fldChar w:fldCharType="separate"/>
      </w:r>
      <w:r w:rsidR="00E90148">
        <w:t xml:space="preserve">Figure </w:t>
      </w:r>
      <w:r w:rsidR="00E90148">
        <w:rPr>
          <w:noProof/>
        </w:rPr>
        <w:t>25</w:t>
      </w:r>
      <w:r w:rsidR="00127EE9">
        <w:rPr>
          <w:rFonts w:eastAsiaTheme="minorEastAsia"/>
          <w:bCs/>
        </w:rPr>
        <w:fldChar w:fldCharType="end"/>
      </w:r>
      <w:r w:rsidR="00127EE9">
        <w:rPr>
          <w:rFonts w:eastAsiaTheme="minorEastAsia"/>
          <w:bCs/>
        </w:rPr>
        <w:t>.</w:t>
      </w:r>
      <w:r>
        <w:rPr>
          <w:rFonts w:eastAsiaTheme="minorEastAsia"/>
          <w:bCs/>
        </w:rPr>
        <w:t xml:space="preserve"> Regression line (a) is produced from all </w:t>
      </w:r>
      <w:r w:rsidR="00127EE9">
        <w:rPr>
          <w:rFonts w:eastAsiaTheme="minorEastAsia"/>
          <w:bCs/>
        </w:rPr>
        <w:t>passing No. 4</w:t>
      </w:r>
      <w:r>
        <w:rPr>
          <w:rFonts w:eastAsiaTheme="minorEastAsia"/>
          <w:bCs/>
        </w:rPr>
        <w:t xml:space="preserve"> scans, (b) is produced from all </w:t>
      </w:r>
      <w:r w:rsidR="00127EE9">
        <w:rPr>
          <w:rFonts w:eastAsiaTheme="minorEastAsia"/>
          <w:bCs/>
        </w:rPr>
        <w:t>passing No. 40</w:t>
      </w:r>
      <w:r>
        <w:rPr>
          <w:rFonts w:eastAsiaTheme="minorEastAsia"/>
          <w:bCs/>
        </w:rPr>
        <w:t xml:space="preserve"> scans, etc. </w:t>
      </w:r>
      <w:r w:rsidR="00E9516F">
        <w:rPr>
          <w:rFonts w:eastAsiaTheme="minorEastAsia"/>
          <w:bCs/>
        </w:rPr>
        <w:t>In most cases as particle size decreases, the bands of both the 95% confidence interval and the 95% prediction interval tend to converge on the combined trendline and the combined trendline moves closer to the y = x line. This is caused by a decrease in the spread of each set of measurements, which indicates higher accuracy. Th</w:t>
      </w:r>
      <w:r w:rsidR="000C3D21">
        <w:rPr>
          <w:rFonts w:eastAsiaTheme="minorEastAsia"/>
          <w:bCs/>
        </w:rPr>
        <w:t xml:space="preserve">is trend is observed in the OHC samples scanned by the S1 Titan and more pronounced in the SGB samples scanned </w:t>
      </w:r>
      <w:r w:rsidR="00427839">
        <w:rPr>
          <w:rFonts w:eastAsiaTheme="minorEastAsia"/>
          <w:bCs/>
        </w:rPr>
        <w:t>by</w:t>
      </w:r>
      <w:r w:rsidR="000C3D21">
        <w:rPr>
          <w:rFonts w:eastAsiaTheme="minorEastAsia"/>
          <w:bCs/>
        </w:rPr>
        <w:t xml:space="preserve"> both devices.</w:t>
      </w:r>
      <w:r w:rsidR="006C2978">
        <w:rPr>
          <w:rFonts w:eastAsiaTheme="minorEastAsia"/>
          <w:bCs/>
        </w:rPr>
        <w:t xml:space="preserve"> </w:t>
      </w:r>
      <w:r w:rsidR="00E9516F">
        <w:rPr>
          <w:rFonts w:eastAsiaTheme="minorEastAsia"/>
          <w:bCs/>
        </w:rPr>
        <w:t>Furthermore, t</w:t>
      </w:r>
      <w:r w:rsidR="00332705">
        <w:rPr>
          <w:rFonts w:eastAsiaTheme="minorEastAsia"/>
          <w:bCs/>
        </w:rPr>
        <w:t xml:space="preserve">hese changes </w:t>
      </w:r>
      <w:r w:rsidR="000C3D21">
        <w:rPr>
          <w:rFonts w:eastAsiaTheme="minorEastAsia"/>
          <w:bCs/>
        </w:rPr>
        <w:t xml:space="preserve">are substantial enough to place the combined trendline for (a) outside of the 95% confidence bands of (b), place the combined trendline for (b) outside of the 95% confidence </w:t>
      </w:r>
      <w:r w:rsidR="000C3D21">
        <w:rPr>
          <w:rFonts w:eastAsiaTheme="minorEastAsia"/>
          <w:bCs/>
        </w:rPr>
        <w:lastRenderedPageBreak/>
        <w:t>band of (c), etc. This</w:t>
      </w:r>
      <w:r w:rsidR="00332705">
        <w:rPr>
          <w:rFonts w:eastAsiaTheme="minorEastAsia"/>
          <w:bCs/>
        </w:rPr>
        <w:t xml:space="preserve"> </w:t>
      </w:r>
      <w:r w:rsidR="00DF3CED">
        <w:rPr>
          <w:rFonts w:eastAsiaTheme="minorEastAsia"/>
          <w:bCs/>
        </w:rPr>
        <w:t xml:space="preserve">verifies that particle size is a variable of statistical significance </w:t>
      </w:r>
      <w:r w:rsidR="00332705">
        <w:rPr>
          <w:rFonts w:eastAsiaTheme="minorEastAsia"/>
          <w:bCs/>
        </w:rPr>
        <w:t xml:space="preserve">regarding PHXRF </w:t>
      </w:r>
      <w:r w:rsidR="00DF3CED">
        <w:rPr>
          <w:rFonts w:eastAsiaTheme="minorEastAsia"/>
          <w:bCs/>
        </w:rPr>
        <w:t>measurements</w:t>
      </w:r>
      <w:r w:rsidR="00332705">
        <w:rPr>
          <w:rFonts w:eastAsiaTheme="minorEastAsia"/>
          <w:bCs/>
        </w:rPr>
        <w:t>.</w:t>
      </w:r>
      <w:r w:rsidR="00ED4FAA">
        <w:rPr>
          <w:rFonts w:eastAsiaTheme="minorEastAsia"/>
          <w:bCs/>
        </w:rPr>
        <w:t xml:space="preserve"> </w:t>
      </w:r>
    </w:p>
    <w:p w14:paraId="6AB4E0B8" w14:textId="77777777" w:rsidR="000A3122" w:rsidRDefault="000A3122" w:rsidP="000A3122">
      <w:pPr>
        <w:jc w:val="both"/>
      </w:pPr>
    </w:p>
    <w:p w14:paraId="704D06C3" w14:textId="77777777" w:rsidR="00175936" w:rsidRDefault="00175936" w:rsidP="000A3122">
      <w:pPr>
        <w:jc w:val="both"/>
      </w:pPr>
    </w:p>
    <w:p w14:paraId="1BBE2F2D" w14:textId="77777777" w:rsidR="00175936" w:rsidRDefault="00175936" w:rsidP="000A3122">
      <w:pPr>
        <w:jc w:val="both"/>
      </w:pPr>
    </w:p>
    <w:p w14:paraId="6A249E72" w14:textId="77777777" w:rsidR="00175936" w:rsidRDefault="00175936" w:rsidP="000A3122">
      <w:pPr>
        <w:jc w:val="both"/>
      </w:pPr>
    </w:p>
    <w:p w14:paraId="65B981D4" w14:textId="1907C75C" w:rsidR="00C0181E" w:rsidRDefault="000A3122" w:rsidP="00D94FB3">
      <w:pPr>
        <w:jc w:val="both"/>
        <w:rPr>
          <w:rFonts w:eastAsiaTheme="minorEastAsia"/>
          <w:bCs/>
        </w:rPr>
      </w:pPr>
      <w:r>
        <w:rPr>
          <w:rFonts w:eastAsiaTheme="minorEastAsia"/>
          <w:bCs/>
          <w:noProof/>
        </w:rPr>
        <w:lastRenderedPageBreak/>
        <w:drawing>
          <wp:inline distT="0" distB="0" distL="0" distR="0" wp14:anchorId="0C5A9246" wp14:editId="70E840B8">
            <wp:extent cx="5486400" cy="6278751"/>
            <wp:effectExtent l="0" t="0" r="0" b="825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Figure 18.png"/>
                    <pic:cNvPicPr/>
                  </pic:nvPicPr>
                  <pic:blipFill>
                    <a:blip r:embed="rId35">
                      <a:extLst>
                        <a:ext uri="{28A0092B-C50C-407E-A947-70E740481C1C}">
                          <a14:useLocalDpi xmlns:a14="http://schemas.microsoft.com/office/drawing/2010/main" val="0"/>
                        </a:ext>
                      </a:extLst>
                    </a:blip>
                    <a:stretch>
                      <a:fillRect/>
                    </a:stretch>
                  </pic:blipFill>
                  <pic:spPr>
                    <a:xfrm>
                      <a:off x="0" y="0"/>
                      <a:ext cx="5486400" cy="6278751"/>
                    </a:xfrm>
                    <a:prstGeom prst="rect">
                      <a:avLst/>
                    </a:prstGeom>
                  </pic:spPr>
                </pic:pic>
              </a:graphicData>
            </a:graphic>
          </wp:inline>
        </w:drawing>
      </w:r>
    </w:p>
    <w:p w14:paraId="334654A2" w14:textId="5EDF4518" w:rsidR="001A6B93" w:rsidRDefault="000B376C" w:rsidP="00C85B5B">
      <w:pPr>
        <w:pStyle w:val="Caption"/>
        <w:spacing w:line="480" w:lineRule="auto"/>
      </w:pPr>
      <w:bookmarkStart w:id="81" w:name="_Ref441946380"/>
      <w:bookmarkStart w:id="82" w:name="_Ref441946367"/>
      <w:bookmarkStart w:id="83" w:name="_Toc447755360"/>
      <w:r>
        <w:t xml:space="preserve">Figure </w:t>
      </w:r>
      <w:r w:rsidR="00184FC2">
        <w:fldChar w:fldCharType="begin"/>
      </w:r>
      <w:r w:rsidR="00184FC2">
        <w:instrText xml:space="preserve"> SEQ Figure \* ARABIC </w:instrText>
      </w:r>
      <w:r w:rsidR="00184FC2">
        <w:fldChar w:fldCharType="separate"/>
      </w:r>
      <w:r w:rsidR="00E90148">
        <w:rPr>
          <w:noProof/>
        </w:rPr>
        <w:t>22</w:t>
      </w:r>
      <w:r w:rsidR="00184FC2">
        <w:rPr>
          <w:noProof/>
        </w:rPr>
        <w:fldChar w:fldCharType="end"/>
      </w:r>
      <w:bookmarkEnd w:id="81"/>
      <w:r>
        <w:t>: Effect</w:t>
      </w:r>
      <w:r w:rsidR="0017057B">
        <w:t>s</w:t>
      </w:r>
      <w:r>
        <w:t xml:space="preserve"> of </w:t>
      </w:r>
      <w:r w:rsidR="0017057B">
        <w:t xml:space="preserve">Various </w:t>
      </w:r>
      <w:r w:rsidR="00E55142">
        <w:t>Particle Sizes</w:t>
      </w:r>
      <w:r>
        <w:t xml:space="preserve"> on Precision and Accu</w:t>
      </w:r>
      <w:r w:rsidR="0017057B">
        <w:t>racy of S1 Titan</w:t>
      </w:r>
      <w:bookmarkEnd w:id="82"/>
      <w:r w:rsidR="0017057B">
        <w:t xml:space="preserve"> PHXRF</w:t>
      </w:r>
      <w:r w:rsidR="001A6B93">
        <w:t xml:space="preserve"> Device</w:t>
      </w:r>
      <w:r w:rsidR="0017057B">
        <w:t xml:space="preserve"> for (a) P</w:t>
      </w:r>
      <w:r>
        <w:t>assing No. 4</w:t>
      </w:r>
      <w:r w:rsidR="0017057B">
        <w:t xml:space="preserve">, (b) Passing No. 40, (c) Passing No. 100, and (d) </w:t>
      </w:r>
      <w:r w:rsidR="00C85B5B">
        <w:t>P</w:t>
      </w:r>
      <w:r w:rsidR="0017057B">
        <w:t xml:space="preserve">assing No. 200 particle size </w:t>
      </w:r>
      <w:r w:rsidR="007C5E43">
        <w:t xml:space="preserve">OHC </w:t>
      </w:r>
      <w:r w:rsidR="0017057B">
        <w:t>samples.</w:t>
      </w:r>
      <w:bookmarkEnd w:id="83"/>
    </w:p>
    <w:p w14:paraId="30BEBE72" w14:textId="6317F1BC" w:rsidR="00B02278" w:rsidRDefault="000A3122" w:rsidP="00B02278">
      <w:pPr>
        <w:jc w:val="both"/>
        <w:rPr>
          <w:rFonts w:eastAsiaTheme="minorEastAsia"/>
          <w:bCs/>
        </w:rPr>
      </w:pPr>
      <w:r>
        <w:rPr>
          <w:rFonts w:eastAsiaTheme="minorEastAsia"/>
          <w:bCs/>
          <w:noProof/>
        </w:rPr>
        <w:lastRenderedPageBreak/>
        <w:drawing>
          <wp:inline distT="0" distB="0" distL="0" distR="0" wp14:anchorId="28A1AB1D" wp14:editId="1A460818">
            <wp:extent cx="5486400" cy="6280688"/>
            <wp:effectExtent l="0" t="0" r="0" b="635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Figure 19.png"/>
                    <pic:cNvPicPr/>
                  </pic:nvPicPr>
                  <pic:blipFill>
                    <a:blip r:embed="rId36">
                      <a:extLst>
                        <a:ext uri="{28A0092B-C50C-407E-A947-70E740481C1C}">
                          <a14:useLocalDpi xmlns:a14="http://schemas.microsoft.com/office/drawing/2010/main" val="0"/>
                        </a:ext>
                      </a:extLst>
                    </a:blip>
                    <a:stretch>
                      <a:fillRect/>
                    </a:stretch>
                  </pic:blipFill>
                  <pic:spPr>
                    <a:xfrm>
                      <a:off x="0" y="0"/>
                      <a:ext cx="5486400" cy="6280688"/>
                    </a:xfrm>
                    <a:prstGeom prst="rect">
                      <a:avLst/>
                    </a:prstGeom>
                  </pic:spPr>
                </pic:pic>
              </a:graphicData>
            </a:graphic>
          </wp:inline>
        </w:drawing>
      </w:r>
    </w:p>
    <w:p w14:paraId="583C1FD1" w14:textId="0C60F359" w:rsidR="00B02278" w:rsidRDefault="00B02278" w:rsidP="00C85B5B">
      <w:pPr>
        <w:pStyle w:val="Caption"/>
        <w:spacing w:line="480" w:lineRule="auto"/>
      </w:pPr>
      <w:bookmarkStart w:id="84" w:name="_Ref442978879"/>
      <w:bookmarkStart w:id="85" w:name="_Toc447755361"/>
      <w:r>
        <w:t xml:space="preserve">Figure </w:t>
      </w:r>
      <w:r w:rsidR="00184FC2">
        <w:fldChar w:fldCharType="begin"/>
      </w:r>
      <w:r w:rsidR="00184FC2">
        <w:instrText xml:space="preserve"> SEQ Figure \* ARABIC </w:instrText>
      </w:r>
      <w:r w:rsidR="00184FC2">
        <w:fldChar w:fldCharType="separate"/>
      </w:r>
      <w:r w:rsidR="00E90148">
        <w:rPr>
          <w:noProof/>
        </w:rPr>
        <w:t>23</w:t>
      </w:r>
      <w:r w:rsidR="00184FC2">
        <w:rPr>
          <w:noProof/>
        </w:rPr>
        <w:fldChar w:fldCharType="end"/>
      </w:r>
      <w:bookmarkEnd w:id="84"/>
      <w:r>
        <w:t xml:space="preserve">: Effects of Various </w:t>
      </w:r>
      <w:r w:rsidR="00E55142">
        <w:t>Particle Sizes</w:t>
      </w:r>
      <w:r>
        <w:t xml:space="preserve"> on Precision and Accuracy of </w:t>
      </w:r>
      <w:r w:rsidR="00F41984">
        <w:t>Niton XL3t</w:t>
      </w:r>
      <w:r w:rsidR="005F3193">
        <w:t xml:space="preserve"> </w:t>
      </w:r>
      <w:r w:rsidR="00C85B5B">
        <w:t>P</w:t>
      </w:r>
      <w:r>
        <w:t>HXRF Device for (a) Passing No. 4, (b) Passing No. 40,</w:t>
      </w:r>
      <w:r w:rsidR="00C85B5B">
        <w:t xml:space="preserve"> </w:t>
      </w:r>
      <w:r w:rsidR="00ED1BD6">
        <w:t>(</w:t>
      </w:r>
      <w:r>
        <w:t>c) Passing No. 100, and (d) Passing No. 200 particle size OHC samples.</w:t>
      </w:r>
      <w:bookmarkEnd w:id="85"/>
    </w:p>
    <w:p w14:paraId="3396A3C9" w14:textId="1D413F0C" w:rsidR="00F87BB3" w:rsidRDefault="00C85B5B" w:rsidP="00C85B5B">
      <w:pPr>
        <w:pStyle w:val="Caption"/>
        <w:jc w:val="both"/>
      </w:pPr>
      <w:r>
        <w:rPr>
          <w:noProof/>
        </w:rPr>
        <w:lastRenderedPageBreak/>
        <w:drawing>
          <wp:inline distT="0" distB="0" distL="0" distR="0" wp14:anchorId="6B1C63A8" wp14:editId="6399A836">
            <wp:extent cx="5486400" cy="6296832"/>
            <wp:effectExtent l="0" t="0" r="0" b="889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Figure 20.PNG"/>
                    <pic:cNvPicPr/>
                  </pic:nvPicPr>
                  <pic:blipFill>
                    <a:blip r:embed="rId37">
                      <a:extLst>
                        <a:ext uri="{28A0092B-C50C-407E-A947-70E740481C1C}">
                          <a14:useLocalDpi xmlns:a14="http://schemas.microsoft.com/office/drawing/2010/main" val="0"/>
                        </a:ext>
                      </a:extLst>
                    </a:blip>
                    <a:stretch>
                      <a:fillRect/>
                    </a:stretch>
                  </pic:blipFill>
                  <pic:spPr>
                    <a:xfrm>
                      <a:off x="0" y="0"/>
                      <a:ext cx="5486400" cy="6296832"/>
                    </a:xfrm>
                    <a:prstGeom prst="rect">
                      <a:avLst/>
                    </a:prstGeom>
                  </pic:spPr>
                </pic:pic>
              </a:graphicData>
            </a:graphic>
          </wp:inline>
        </w:drawing>
      </w:r>
    </w:p>
    <w:p w14:paraId="64151825" w14:textId="01A901B3" w:rsidR="00F87BB3" w:rsidRDefault="00F87BB3" w:rsidP="000A3122">
      <w:pPr>
        <w:pStyle w:val="Caption"/>
        <w:spacing w:line="480" w:lineRule="auto"/>
      </w:pPr>
      <w:bookmarkStart w:id="86" w:name="_Ref442978823"/>
      <w:bookmarkStart w:id="87" w:name="_Toc447755362"/>
      <w:r>
        <w:t xml:space="preserve">Figure </w:t>
      </w:r>
      <w:r w:rsidR="00184FC2">
        <w:fldChar w:fldCharType="begin"/>
      </w:r>
      <w:r w:rsidR="00184FC2">
        <w:instrText xml:space="preserve"> SEQ Figure \* ARABIC </w:instrText>
      </w:r>
      <w:r w:rsidR="00184FC2">
        <w:fldChar w:fldCharType="separate"/>
      </w:r>
      <w:r w:rsidR="00E90148">
        <w:rPr>
          <w:noProof/>
        </w:rPr>
        <w:t>24</w:t>
      </w:r>
      <w:r w:rsidR="00184FC2">
        <w:rPr>
          <w:noProof/>
        </w:rPr>
        <w:fldChar w:fldCharType="end"/>
      </w:r>
      <w:bookmarkEnd w:id="86"/>
      <w:r>
        <w:t xml:space="preserve">: Effects of Various </w:t>
      </w:r>
      <w:r w:rsidR="00E55142">
        <w:t>Particle Sizes</w:t>
      </w:r>
      <w:r>
        <w:t xml:space="preserve"> on Precision and Accuracy of S1 Titan</w:t>
      </w:r>
      <w:r w:rsidR="000A3122">
        <w:t xml:space="preserve"> </w:t>
      </w:r>
      <w:r>
        <w:t>PHXRF Device for (a) Passing No. 4, (b) Passing No. 40,</w:t>
      </w:r>
      <w:r w:rsidR="00C85B5B">
        <w:t xml:space="preserve"> </w:t>
      </w:r>
      <w:r>
        <w:t xml:space="preserve">(c) Passing No. 100, and (d) </w:t>
      </w:r>
      <w:r w:rsidR="000A3122">
        <w:t>P</w:t>
      </w:r>
      <w:r>
        <w:t>assing No. 200 particle size SGB samples.</w:t>
      </w:r>
      <w:bookmarkEnd w:id="87"/>
    </w:p>
    <w:p w14:paraId="3128F73C" w14:textId="295E5712" w:rsidR="00D807E3" w:rsidRDefault="000A3122" w:rsidP="000A3122">
      <w:pPr>
        <w:pStyle w:val="Caption"/>
        <w:jc w:val="both"/>
      </w:pPr>
      <w:r>
        <w:rPr>
          <w:noProof/>
        </w:rPr>
        <w:lastRenderedPageBreak/>
        <w:drawing>
          <wp:inline distT="0" distB="0" distL="0" distR="0" wp14:anchorId="233F2429" wp14:editId="59234BAB">
            <wp:extent cx="5486400" cy="6311039"/>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Figure 21.PNG"/>
                    <pic:cNvPicPr/>
                  </pic:nvPicPr>
                  <pic:blipFill>
                    <a:blip r:embed="rId38">
                      <a:extLst>
                        <a:ext uri="{28A0092B-C50C-407E-A947-70E740481C1C}">
                          <a14:useLocalDpi xmlns:a14="http://schemas.microsoft.com/office/drawing/2010/main" val="0"/>
                        </a:ext>
                      </a:extLst>
                    </a:blip>
                    <a:stretch>
                      <a:fillRect/>
                    </a:stretch>
                  </pic:blipFill>
                  <pic:spPr>
                    <a:xfrm>
                      <a:off x="0" y="0"/>
                      <a:ext cx="5486400" cy="6311039"/>
                    </a:xfrm>
                    <a:prstGeom prst="rect">
                      <a:avLst/>
                    </a:prstGeom>
                  </pic:spPr>
                </pic:pic>
              </a:graphicData>
            </a:graphic>
          </wp:inline>
        </w:drawing>
      </w:r>
    </w:p>
    <w:p w14:paraId="63379873" w14:textId="7E64541A" w:rsidR="00D807E3" w:rsidRDefault="00D807E3" w:rsidP="00ED1BD6">
      <w:pPr>
        <w:pStyle w:val="Caption"/>
        <w:spacing w:line="480" w:lineRule="auto"/>
      </w:pPr>
      <w:bookmarkStart w:id="88" w:name="_Ref442978882"/>
      <w:bookmarkStart w:id="89" w:name="_Toc447755363"/>
      <w:r>
        <w:t xml:space="preserve">Figure </w:t>
      </w:r>
      <w:r w:rsidR="00184FC2">
        <w:fldChar w:fldCharType="begin"/>
      </w:r>
      <w:r w:rsidR="00184FC2">
        <w:instrText xml:space="preserve"> SEQ Figure \* ARABIC </w:instrText>
      </w:r>
      <w:r w:rsidR="00184FC2">
        <w:fldChar w:fldCharType="separate"/>
      </w:r>
      <w:r w:rsidR="00E90148">
        <w:rPr>
          <w:noProof/>
        </w:rPr>
        <w:t>25</w:t>
      </w:r>
      <w:r w:rsidR="00184FC2">
        <w:rPr>
          <w:noProof/>
        </w:rPr>
        <w:fldChar w:fldCharType="end"/>
      </w:r>
      <w:bookmarkEnd w:id="88"/>
      <w:r>
        <w:t xml:space="preserve">: Effects of Various </w:t>
      </w:r>
      <w:r w:rsidR="00E55142">
        <w:t>Particle Sizes</w:t>
      </w:r>
      <w:r>
        <w:t xml:space="preserve"> on Precision and Accuracy of Niton XL3t PHXRF Device for (a) Passing No. 4, (b) Passing No. 40, (c) Passing No. 100, and (d) Passing No. 200 particle size SGB samples.</w:t>
      </w:r>
      <w:bookmarkEnd w:id="89"/>
    </w:p>
    <w:p w14:paraId="1A78B3DE" w14:textId="77777777" w:rsidR="00B7032C" w:rsidRDefault="00B7032C" w:rsidP="00006F4D">
      <w:pPr>
        <w:jc w:val="both"/>
        <w:rPr>
          <w:rFonts w:eastAsiaTheme="minorEastAsia"/>
          <w:bCs/>
        </w:rPr>
      </w:pPr>
    </w:p>
    <w:p w14:paraId="267B2D44" w14:textId="1FA66196" w:rsidR="00AE6BD4" w:rsidRDefault="00AE6BD4" w:rsidP="00594940">
      <w:pPr>
        <w:ind w:left="720" w:firstLine="720"/>
        <w:jc w:val="both"/>
        <w:rPr>
          <w:rFonts w:eastAsiaTheme="minorEastAsia"/>
          <w:bCs/>
        </w:rPr>
      </w:pPr>
      <w:r>
        <w:rPr>
          <w:rFonts w:eastAsiaTheme="minorEastAsia"/>
          <w:bCs/>
        </w:rPr>
        <w:lastRenderedPageBreak/>
        <w:t>Theoretically, the most accurate samples</w:t>
      </w:r>
      <w:r w:rsidR="008522B2">
        <w:rPr>
          <w:rFonts w:eastAsiaTheme="minorEastAsia"/>
          <w:bCs/>
        </w:rPr>
        <w:t xml:space="preserve"> for all cases</w:t>
      </w:r>
      <w:r>
        <w:rPr>
          <w:rFonts w:eastAsiaTheme="minorEastAsia"/>
          <w:bCs/>
        </w:rPr>
        <w:t xml:space="preserve"> should </w:t>
      </w:r>
      <w:r w:rsidR="007943E7">
        <w:rPr>
          <w:rFonts w:eastAsiaTheme="minorEastAsia"/>
          <w:bCs/>
        </w:rPr>
        <w:t>have</w:t>
      </w:r>
      <w:r>
        <w:rPr>
          <w:rFonts w:eastAsiaTheme="minorEastAsia"/>
          <w:bCs/>
        </w:rPr>
        <w:t xml:space="preserve"> the smallest particle size</w:t>
      </w:r>
      <w:r w:rsidR="008522B2">
        <w:rPr>
          <w:rFonts w:eastAsiaTheme="minorEastAsia"/>
          <w:bCs/>
        </w:rPr>
        <w:t xml:space="preserve"> (i.e. passing No. 200)</w:t>
      </w:r>
      <w:r>
        <w:rPr>
          <w:rFonts w:eastAsiaTheme="minorEastAsia"/>
          <w:bCs/>
        </w:rPr>
        <w:t xml:space="preserve">. Interestingly, this principle was only observed in the SGB samples scanned by the S1 Titan. </w:t>
      </w:r>
      <w:r w:rsidR="00130528">
        <w:rPr>
          <w:rFonts w:eastAsiaTheme="minorEastAsia"/>
          <w:bCs/>
        </w:rPr>
        <w:t xml:space="preserve">A possible explanation for this deviation from theory could be the presence of oxygen during the scans. XRF laboratories and many benchtop units often flush the sample chamber with helium to improve device sensitivity for light elements such as calcium. PHXRF are rarely equipped with </w:t>
      </w:r>
      <w:r w:rsidR="00594940">
        <w:rPr>
          <w:rFonts w:eastAsiaTheme="minorEastAsia"/>
          <w:bCs/>
        </w:rPr>
        <w:t>such an</w:t>
      </w:r>
      <w:r w:rsidR="00130528">
        <w:rPr>
          <w:rFonts w:eastAsiaTheme="minorEastAsia"/>
          <w:bCs/>
        </w:rPr>
        <w:t xml:space="preserve"> option. </w:t>
      </w:r>
      <w:r>
        <w:rPr>
          <w:rFonts w:eastAsiaTheme="minorEastAsia"/>
          <w:bCs/>
        </w:rPr>
        <w:t xml:space="preserve">On average, however, the samples </w:t>
      </w:r>
      <w:r w:rsidR="008522B2">
        <w:rPr>
          <w:rFonts w:eastAsiaTheme="minorEastAsia"/>
          <w:bCs/>
        </w:rPr>
        <w:t xml:space="preserve">with particle sizes that pass the No. 100 sieve have the smallest RMSD, which is 1.446%, and samples </w:t>
      </w:r>
      <w:r>
        <w:rPr>
          <w:rFonts w:eastAsiaTheme="minorEastAsia"/>
          <w:bCs/>
        </w:rPr>
        <w:t xml:space="preserve">with </w:t>
      </w:r>
      <w:r w:rsidR="008522B2">
        <w:rPr>
          <w:rFonts w:eastAsiaTheme="minorEastAsia"/>
          <w:bCs/>
        </w:rPr>
        <w:t xml:space="preserve">the smallest </w:t>
      </w:r>
      <w:r>
        <w:rPr>
          <w:rFonts w:eastAsiaTheme="minorEastAsia"/>
          <w:bCs/>
        </w:rPr>
        <w:t>particle si</w:t>
      </w:r>
      <w:r w:rsidR="008522B2">
        <w:rPr>
          <w:rFonts w:eastAsiaTheme="minorEastAsia"/>
          <w:bCs/>
        </w:rPr>
        <w:t>ze</w:t>
      </w:r>
      <w:r>
        <w:rPr>
          <w:rFonts w:eastAsiaTheme="minorEastAsia"/>
          <w:bCs/>
        </w:rPr>
        <w:t xml:space="preserve"> have the smallest COV</w:t>
      </w:r>
      <w:r>
        <w:rPr>
          <w:rFonts w:eastAsiaTheme="minorEastAsia"/>
          <w:bCs/>
          <w:vertAlign w:val="subscript"/>
        </w:rPr>
        <w:t>RMSD</w:t>
      </w:r>
      <w:r>
        <w:rPr>
          <w:rFonts w:eastAsiaTheme="minorEastAsia"/>
          <w:bCs/>
        </w:rPr>
        <w:t xml:space="preserve">, which is 0.084. </w:t>
      </w:r>
      <w:r w:rsidR="008522B2">
        <w:rPr>
          <w:rFonts w:eastAsiaTheme="minorEastAsia"/>
          <w:bCs/>
        </w:rPr>
        <w:t>Average RMSD and COV</w:t>
      </w:r>
      <w:r w:rsidR="008522B2">
        <w:rPr>
          <w:rFonts w:eastAsiaTheme="minorEastAsia"/>
          <w:bCs/>
          <w:vertAlign w:val="subscript"/>
        </w:rPr>
        <w:t>RMSD</w:t>
      </w:r>
      <w:r w:rsidR="008522B2">
        <w:rPr>
          <w:rFonts w:eastAsiaTheme="minorEastAsia"/>
          <w:bCs/>
        </w:rPr>
        <w:t xml:space="preserve"> for all samples and both devices can be seen in </w:t>
      </w:r>
      <w:r w:rsidR="00130528">
        <w:rPr>
          <w:rFonts w:eastAsiaTheme="minorEastAsia"/>
          <w:bCs/>
        </w:rPr>
        <w:fldChar w:fldCharType="begin"/>
      </w:r>
      <w:r w:rsidR="00130528">
        <w:rPr>
          <w:rFonts w:eastAsiaTheme="minorEastAsia"/>
          <w:bCs/>
        </w:rPr>
        <w:instrText xml:space="preserve"> REF _Ref447513607 \h </w:instrText>
      </w:r>
      <w:r w:rsidR="00130528">
        <w:rPr>
          <w:rFonts w:eastAsiaTheme="minorEastAsia"/>
          <w:bCs/>
        </w:rPr>
      </w:r>
      <w:r w:rsidR="00130528">
        <w:rPr>
          <w:rFonts w:eastAsiaTheme="minorEastAsia"/>
          <w:bCs/>
        </w:rPr>
        <w:fldChar w:fldCharType="separate"/>
      </w:r>
      <w:r w:rsidR="00E90148">
        <w:t xml:space="preserve">Table </w:t>
      </w:r>
      <w:r w:rsidR="00E90148">
        <w:rPr>
          <w:noProof/>
        </w:rPr>
        <w:t>12</w:t>
      </w:r>
      <w:r w:rsidR="00130528">
        <w:rPr>
          <w:rFonts w:eastAsiaTheme="minorEastAsia"/>
          <w:bCs/>
        </w:rPr>
        <w:fldChar w:fldCharType="end"/>
      </w:r>
      <w:r w:rsidR="008522B2">
        <w:rPr>
          <w:rFonts w:eastAsiaTheme="minorEastAsia"/>
          <w:bCs/>
        </w:rPr>
        <w:t xml:space="preserve">. </w:t>
      </w:r>
    </w:p>
    <w:p w14:paraId="0CD52432" w14:textId="77777777" w:rsidR="008522B2" w:rsidRDefault="008522B2" w:rsidP="008522B2">
      <w:pPr>
        <w:jc w:val="both"/>
        <w:rPr>
          <w:rFonts w:eastAsiaTheme="minorEastAsia"/>
          <w:bCs/>
        </w:rPr>
      </w:pPr>
    </w:p>
    <w:p w14:paraId="67E344F7" w14:textId="06597ABB" w:rsidR="00130528" w:rsidRPr="00130528" w:rsidRDefault="00130528" w:rsidP="00130528">
      <w:pPr>
        <w:pStyle w:val="Caption"/>
        <w:rPr>
          <w:rFonts w:eastAsiaTheme="minorEastAsia"/>
          <w:bCs/>
        </w:rPr>
      </w:pPr>
      <w:bookmarkStart w:id="90" w:name="_Ref447513607"/>
      <w:bookmarkStart w:id="91" w:name="_Toc447755332"/>
      <w:r>
        <w:t xml:space="preserve">Table </w:t>
      </w:r>
      <w:r w:rsidR="00184FC2">
        <w:fldChar w:fldCharType="begin"/>
      </w:r>
      <w:r w:rsidR="00184FC2">
        <w:instrText xml:space="preserve"> SEQ Table \* ARABIC </w:instrText>
      </w:r>
      <w:r w:rsidR="00184FC2">
        <w:fldChar w:fldCharType="separate"/>
      </w:r>
      <w:r w:rsidR="00E90148">
        <w:rPr>
          <w:noProof/>
        </w:rPr>
        <w:t>12</w:t>
      </w:r>
      <w:r w:rsidR="00184FC2">
        <w:rPr>
          <w:noProof/>
        </w:rPr>
        <w:fldChar w:fldCharType="end"/>
      </w:r>
      <w:bookmarkEnd w:id="90"/>
      <w:r>
        <w:t xml:space="preserve">: Average RMSD and </w:t>
      </w:r>
      <w:r>
        <w:rPr>
          <w:rFonts w:eastAsiaTheme="minorEastAsia"/>
          <w:bCs/>
        </w:rPr>
        <w:t>COV</w:t>
      </w:r>
      <w:r>
        <w:rPr>
          <w:rFonts w:eastAsiaTheme="minorEastAsia"/>
          <w:bCs/>
          <w:vertAlign w:val="subscript"/>
        </w:rPr>
        <w:t>RMSD</w:t>
      </w:r>
      <w:r>
        <w:rPr>
          <w:rFonts w:eastAsiaTheme="minorEastAsia"/>
          <w:bCs/>
        </w:rPr>
        <w:t xml:space="preserve"> for All Samples and Both PHXRF Devices</w:t>
      </w:r>
      <w:bookmarkEnd w:id="91"/>
    </w:p>
    <w:tbl>
      <w:tblPr>
        <w:tblW w:w="590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720"/>
        <w:gridCol w:w="1728"/>
        <w:gridCol w:w="1728"/>
      </w:tblGrid>
      <w:tr w:rsidR="008522B2" w:rsidRPr="00B1453E" w14:paraId="415DBA24" w14:textId="77777777" w:rsidTr="00594940">
        <w:trPr>
          <w:trHeight w:val="600"/>
          <w:jc w:val="center"/>
        </w:trPr>
        <w:tc>
          <w:tcPr>
            <w:tcW w:w="1728" w:type="dxa"/>
            <w:tcBorders>
              <w:top w:val="single" w:sz="4" w:space="0" w:color="auto"/>
              <w:left w:val="single" w:sz="4" w:space="0" w:color="auto"/>
              <w:bottom w:val="single" w:sz="4" w:space="0" w:color="auto"/>
              <w:right w:val="nil"/>
            </w:tcBorders>
            <w:shd w:val="clear" w:color="000000" w:fill="BFBFBF"/>
            <w:vAlign w:val="center"/>
            <w:hideMark/>
          </w:tcPr>
          <w:p w14:paraId="6790893C" w14:textId="77777777" w:rsidR="008522B2" w:rsidRPr="00B1453E" w:rsidRDefault="008522B2" w:rsidP="006C617F">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Particle Size    (Passing)</w:t>
            </w:r>
          </w:p>
        </w:tc>
        <w:tc>
          <w:tcPr>
            <w:tcW w:w="720" w:type="dxa"/>
            <w:tcBorders>
              <w:top w:val="single" w:sz="4" w:space="0" w:color="auto"/>
              <w:left w:val="nil"/>
              <w:bottom w:val="single" w:sz="4" w:space="0" w:color="auto"/>
              <w:right w:val="nil"/>
            </w:tcBorders>
            <w:shd w:val="clear" w:color="000000" w:fill="BFBFBF"/>
            <w:vAlign w:val="center"/>
          </w:tcPr>
          <w:p w14:paraId="2EEDC2B3" w14:textId="77777777" w:rsidR="008522B2" w:rsidRDefault="008522B2" w:rsidP="00594940">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728" w:type="dxa"/>
            <w:tcBorders>
              <w:top w:val="single" w:sz="4" w:space="0" w:color="auto"/>
              <w:left w:val="nil"/>
              <w:bottom w:val="single" w:sz="4" w:space="0" w:color="auto"/>
              <w:right w:val="nil"/>
            </w:tcBorders>
            <w:shd w:val="clear" w:color="000000" w:fill="BFBFBF"/>
            <w:vAlign w:val="center"/>
            <w:hideMark/>
          </w:tcPr>
          <w:p w14:paraId="2CF8C9DE" w14:textId="210AF22F" w:rsidR="008522B2" w:rsidRPr="00B1453E" w:rsidRDefault="008522B2" w:rsidP="006C617F">
            <w:pPr>
              <w:spacing w:line="240" w:lineRule="auto"/>
              <w:rPr>
                <w:rFonts w:eastAsia="Times New Roman" w:cs="Times New Roman"/>
                <w:i/>
                <w:iCs/>
                <w:color w:val="000000"/>
                <w:sz w:val="22"/>
                <w:szCs w:val="22"/>
              </w:rPr>
            </w:pPr>
            <w:r>
              <w:rPr>
                <w:rFonts w:eastAsia="Times New Roman" w:cs="Times New Roman"/>
                <w:i/>
                <w:iCs/>
                <w:color w:val="000000"/>
                <w:sz w:val="22"/>
                <w:szCs w:val="22"/>
              </w:rPr>
              <w:t xml:space="preserve">Avg. </w:t>
            </w:r>
            <w:r w:rsidRPr="00B1453E">
              <w:rPr>
                <w:rFonts w:eastAsia="Times New Roman" w:cs="Times New Roman"/>
                <w:i/>
                <w:iCs/>
                <w:color w:val="000000"/>
                <w:sz w:val="22"/>
                <w:szCs w:val="22"/>
              </w:rPr>
              <w:t>RMSD         (%)</w:t>
            </w:r>
          </w:p>
        </w:tc>
        <w:tc>
          <w:tcPr>
            <w:tcW w:w="1728" w:type="dxa"/>
            <w:tcBorders>
              <w:top w:val="single" w:sz="4" w:space="0" w:color="auto"/>
              <w:left w:val="nil"/>
              <w:bottom w:val="single" w:sz="4" w:space="0" w:color="auto"/>
              <w:right w:val="single" w:sz="4" w:space="0" w:color="auto"/>
            </w:tcBorders>
            <w:shd w:val="clear" w:color="000000" w:fill="BFBFBF"/>
            <w:vAlign w:val="center"/>
          </w:tcPr>
          <w:p w14:paraId="5F65042A" w14:textId="3BF9BE5B" w:rsidR="008522B2" w:rsidRPr="00B1453E" w:rsidRDefault="008522B2" w:rsidP="006C617F">
            <w:pPr>
              <w:spacing w:line="240" w:lineRule="auto"/>
              <w:rPr>
                <w:rFonts w:eastAsia="Times New Roman" w:cs="Times New Roman"/>
                <w:i/>
                <w:iCs/>
                <w:color w:val="000000"/>
                <w:sz w:val="22"/>
                <w:szCs w:val="22"/>
              </w:rPr>
            </w:pPr>
            <w:r>
              <w:rPr>
                <w:rFonts w:eastAsia="Times New Roman" w:cs="Times New Roman"/>
                <w:i/>
                <w:iCs/>
                <w:color w:val="000000"/>
                <w:sz w:val="22"/>
                <w:szCs w:val="22"/>
              </w:rPr>
              <w:t>Avg. COV</w:t>
            </w:r>
            <w:r>
              <w:rPr>
                <w:rFonts w:eastAsia="Times New Roman" w:cs="Times New Roman"/>
                <w:i/>
                <w:iCs/>
                <w:color w:val="000000"/>
                <w:sz w:val="22"/>
                <w:szCs w:val="22"/>
                <w:vertAlign w:val="subscript"/>
              </w:rPr>
              <w:t>RMSD</w:t>
            </w:r>
            <w:r>
              <w:rPr>
                <w:rFonts w:eastAsia="Times New Roman" w:cs="Times New Roman"/>
                <w:i/>
                <w:iCs/>
                <w:color w:val="000000"/>
                <w:sz w:val="22"/>
                <w:szCs w:val="22"/>
              </w:rPr>
              <w:t xml:space="preserve">           </w:t>
            </w:r>
          </w:p>
        </w:tc>
      </w:tr>
      <w:tr w:rsidR="008522B2" w:rsidRPr="00B1453E" w14:paraId="426ED95C" w14:textId="77777777" w:rsidTr="008522B2">
        <w:trPr>
          <w:trHeight w:val="300"/>
          <w:jc w:val="center"/>
        </w:trPr>
        <w:tc>
          <w:tcPr>
            <w:tcW w:w="1728" w:type="dxa"/>
            <w:tcBorders>
              <w:top w:val="single" w:sz="4" w:space="0" w:color="auto"/>
              <w:left w:val="single" w:sz="4" w:space="0" w:color="auto"/>
              <w:bottom w:val="nil"/>
              <w:right w:val="nil"/>
            </w:tcBorders>
            <w:shd w:val="clear" w:color="000000" w:fill="FFFFFF"/>
            <w:noWrap/>
            <w:vAlign w:val="center"/>
            <w:hideMark/>
          </w:tcPr>
          <w:p w14:paraId="704CA048" w14:textId="77777777" w:rsidR="008522B2" w:rsidRPr="00B1453E" w:rsidRDefault="008522B2" w:rsidP="008522B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w:t>
            </w:r>
          </w:p>
        </w:tc>
        <w:tc>
          <w:tcPr>
            <w:tcW w:w="720" w:type="dxa"/>
            <w:tcBorders>
              <w:top w:val="single" w:sz="4" w:space="0" w:color="auto"/>
              <w:left w:val="nil"/>
              <w:bottom w:val="nil"/>
              <w:right w:val="dashed" w:sz="4" w:space="0" w:color="auto"/>
            </w:tcBorders>
            <w:shd w:val="clear" w:color="000000" w:fill="FFFFFF"/>
            <w:vAlign w:val="center"/>
          </w:tcPr>
          <w:p w14:paraId="46ADEA82" w14:textId="7A42714A" w:rsidR="008522B2" w:rsidRPr="0045587E"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406</w:t>
            </w:r>
          </w:p>
        </w:tc>
        <w:tc>
          <w:tcPr>
            <w:tcW w:w="1728" w:type="dxa"/>
            <w:tcBorders>
              <w:top w:val="single" w:sz="4" w:space="0" w:color="auto"/>
              <w:left w:val="dashed" w:sz="4" w:space="0" w:color="auto"/>
              <w:bottom w:val="nil"/>
            </w:tcBorders>
            <w:shd w:val="clear" w:color="000000" w:fill="FFFFFF"/>
            <w:noWrap/>
            <w:vAlign w:val="center"/>
            <w:hideMark/>
          </w:tcPr>
          <w:p w14:paraId="055DB9B2" w14:textId="40E0F84D" w:rsidR="008522B2" w:rsidRPr="00B1453E"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2.132</w:t>
            </w:r>
          </w:p>
        </w:tc>
        <w:tc>
          <w:tcPr>
            <w:tcW w:w="1728" w:type="dxa"/>
            <w:tcBorders>
              <w:top w:val="single" w:sz="4" w:space="0" w:color="auto"/>
              <w:bottom w:val="nil"/>
            </w:tcBorders>
            <w:shd w:val="clear" w:color="000000" w:fill="FFFFFF"/>
            <w:vAlign w:val="center"/>
          </w:tcPr>
          <w:p w14:paraId="77A9A6BF" w14:textId="0806CC3E" w:rsidR="008522B2" w:rsidRPr="00B1453E"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0.124</w:t>
            </w:r>
          </w:p>
        </w:tc>
      </w:tr>
      <w:tr w:rsidR="008522B2" w:rsidRPr="00B1453E" w14:paraId="49D9E7E6" w14:textId="77777777" w:rsidTr="00130528">
        <w:trPr>
          <w:trHeight w:val="300"/>
          <w:jc w:val="center"/>
        </w:trPr>
        <w:tc>
          <w:tcPr>
            <w:tcW w:w="1728" w:type="dxa"/>
            <w:tcBorders>
              <w:top w:val="nil"/>
              <w:left w:val="single" w:sz="4" w:space="0" w:color="auto"/>
              <w:bottom w:val="nil"/>
              <w:right w:val="nil"/>
            </w:tcBorders>
            <w:shd w:val="clear" w:color="000000" w:fill="F2F2F2"/>
            <w:noWrap/>
            <w:vAlign w:val="center"/>
            <w:hideMark/>
          </w:tcPr>
          <w:p w14:paraId="4CBDC4D3" w14:textId="77777777" w:rsidR="008522B2" w:rsidRPr="00B1453E" w:rsidRDefault="008522B2" w:rsidP="008522B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40</w:t>
            </w:r>
          </w:p>
        </w:tc>
        <w:tc>
          <w:tcPr>
            <w:tcW w:w="720" w:type="dxa"/>
            <w:tcBorders>
              <w:top w:val="nil"/>
              <w:left w:val="nil"/>
              <w:bottom w:val="nil"/>
              <w:right w:val="dashed" w:sz="4" w:space="0" w:color="auto"/>
            </w:tcBorders>
            <w:shd w:val="clear" w:color="000000" w:fill="F2F2F2"/>
            <w:vAlign w:val="center"/>
          </w:tcPr>
          <w:p w14:paraId="2734AAB2" w14:textId="155CDEA2" w:rsidR="008522B2" w:rsidRPr="0045587E"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406</w:t>
            </w:r>
          </w:p>
        </w:tc>
        <w:tc>
          <w:tcPr>
            <w:tcW w:w="1728" w:type="dxa"/>
            <w:tcBorders>
              <w:top w:val="nil"/>
              <w:left w:val="dashed" w:sz="4" w:space="0" w:color="auto"/>
              <w:bottom w:val="nil"/>
            </w:tcBorders>
            <w:shd w:val="clear" w:color="000000" w:fill="F2F2F2"/>
            <w:noWrap/>
            <w:vAlign w:val="center"/>
          </w:tcPr>
          <w:p w14:paraId="05A98533" w14:textId="4C69AC5C" w:rsidR="008522B2" w:rsidRPr="00130528" w:rsidRDefault="00130528" w:rsidP="008522B2">
            <w:pPr>
              <w:spacing w:line="240" w:lineRule="auto"/>
              <w:rPr>
                <w:rFonts w:eastAsia="Times New Roman" w:cs="Times New Roman"/>
                <w:i/>
                <w:iCs/>
                <w:color w:val="000000"/>
                <w:sz w:val="20"/>
                <w:szCs w:val="20"/>
              </w:rPr>
            </w:pPr>
            <w:r w:rsidRPr="00130528">
              <w:rPr>
                <w:rFonts w:eastAsia="Times New Roman" w:cs="Times New Roman"/>
                <w:i/>
                <w:iCs/>
                <w:color w:val="000000"/>
                <w:sz w:val="20"/>
                <w:szCs w:val="20"/>
              </w:rPr>
              <w:t>1.591</w:t>
            </w:r>
          </w:p>
        </w:tc>
        <w:tc>
          <w:tcPr>
            <w:tcW w:w="1728" w:type="dxa"/>
            <w:tcBorders>
              <w:top w:val="nil"/>
              <w:bottom w:val="nil"/>
            </w:tcBorders>
            <w:shd w:val="clear" w:color="000000" w:fill="F2F2F2"/>
            <w:vAlign w:val="center"/>
          </w:tcPr>
          <w:p w14:paraId="5367A2B5" w14:textId="3EC99FFA" w:rsidR="008522B2" w:rsidRPr="00B1453E"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0.093</w:t>
            </w:r>
          </w:p>
        </w:tc>
      </w:tr>
      <w:tr w:rsidR="008522B2" w:rsidRPr="00B1453E" w14:paraId="7358FAA2" w14:textId="77777777" w:rsidTr="00130528">
        <w:trPr>
          <w:trHeight w:val="300"/>
          <w:jc w:val="center"/>
        </w:trPr>
        <w:tc>
          <w:tcPr>
            <w:tcW w:w="1728" w:type="dxa"/>
            <w:tcBorders>
              <w:top w:val="nil"/>
              <w:left w:val="single" w:sz="4" w:space="0" w:color="auto"/>
              <w:bottom w:val="nil"/>
              <w:right w:val="nil"/>
            </w:tcBorders>
            <w:shd w:val="clear" w:color="000000" w:fill="FFFFFF"/>
            <w:noWrap/>
            <w:vAlign w:val="center"/>
            <w:hideMark/>
          </w:tcPr>
          <w:p w14:paraId="3604FF97" w14:textId="77777777" w:rsidR="008522B2" w:rsidRPr="00B1453E" w:rsidRDefault="008522B2" w:rsidP="008522B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100</w:t>
            </w:r>
          </w:p>
        </w:tc>
        <w:tc>
          <w:tcPr>
            <w:tcW w:w="720" w:type="dxa"/>
            <w:tcBorders>
              <w:top w:val="nil"/>
              <w:left w:val="nil"/>
              <w:bottom w:val="nil"/>
              <w:right w:val="dashed" w:sz="4" w:space="0" w:color="auto"/>
            </w:tcBorders>
            <w:shd w:val="clear" w:color="000000" w:fill="FFFFFF"/>
            <w:vAlign w:val="center"/>
          </w:tcPr>
          <w:p w14:paraId="78CE0484" w14:textId="15F814C8" w:rsidR="008522B2" w:rsidRPr="0045587E"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406</w:t>
            </w:r>
          </w:p>
        </w:tc>
        <w:tc>
          <w:tcPr>
            <w:tcW w:w="1728" w:type="dxa"/>
            <w:tcBorders>
              <w:top w:val="nil"/>
              <w:left w:val="dashed" w:sz="4" w:space="0" w:color="auto"/>
              <w:bottom w:val="nil"/>
            </w:tcBorders>
            <w:shd w:val="clear" w:color="000000" w:fill="FFFFFF"/>
            <w:noWrap/>
            <w:vAlign w:val="center"/>
          </w:tcPr>
          <w:p w14:paraId="36F95BB0" w14:textId="0D0617FF" w:rsidR="008522B2" w:rsidRPr="00130528" w:rsidRDefault="00130528" w:rsidP="008522B2">
            <w:pPr>
              <w:spacing w:line="240" w:lineRule="auto"/>
              <w:rPr>
                <w:rFonts w:eastAsia="Times New Roman" w:cs="Times New Roman"/>
                <w:b/>
                <w:bCs/>
                <w:i/>
                <w:iCs/>
                <w:color w:val="000000"/>
                <w:sz w:val="20"/>
                <w:szCs w:val="20"/>
              </w:rPr>
            </w:pPr>
            <w:r w:rsidRPr="00130528">
              <w:rPr>
                <w:rFonts w:eastAsia="Times New Roman" w:cs="Times New Roman"/>
                <w:b/>
                <w:bCs/>
                <w:i/>
                <w:iCs/>
                <w:color w:val="000000"/>
                <w:sz w:val="20"/>
                <w:szCs w:val="20"/>
              </w:rPr>
              <w:t>1.446</w:t>
            </w:r>
          </w:p>
        </w:tc>
        <w:tc>
          <w:tcPr>
            <w:tcW w:w="1728" w:type="dxa"/>
            <w:tcBorders>
              <w:top w:val="nil"/>
              <w:bottom w:val="nil"/>
            </w:tcBorders>
            <w:shd w:val="clear" w:color="000000" w:fill="FFFFFF"/>
            <w:vAlign w:val="center"/>
          </w:tcPr>
          <w:p w14:paraId="173F52D2" w14:textId="67A9D45E" w:rsidR="008522B2" w:rsidRPr="00060D79"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0.088</w:t>
            </w:r>
          </w:p>
        </w:tc>
      </w:tr>
      <w:tr w:rsidR="008522B2" w:rsidRPr="00B1453E" w14:paraId="6029CDB4" w14:textId="77777777" w:rsidTr="00130528">
        <w:trPr>
          <w:trHeight w:val="300"/>
          <w:jc w:val="center"/>
        </w:trPr>
        <w:tc>
          <w:tcPr>
            <w:tcW w:w="1728" w:type="dxa"/>
            <w:tcBorders>
              <w:top w:val="nil"/>
              <w:left w:val="single" w:sz="4" w:space="0" w:color="auto"/>
              <w:bottom w:val="single" w:sz="4" w:space="0" w:color="auto"/>
              <w:right w:val="nil"/>
            </w:tcBorders>
            <w:shd w:val="clear" w:color="000000" w:fill="F2F2F2"/>
            <w:noWrap/>
            <w:vAlign w:val="center"/>
            <w:hideMark/>
          </w:tcPr>
          <w:p w14:paraId="453C1ABC" w14:textId="77777777" w:rsidR="008522B2" w:rsidRPr="00B1453E" w:rsidRDefault="008522B2" w:rsidP="008522B2">
            <w:pPr>
              <w:spacing w:line="240" w:lineRule="auto"/>
              <w:rPr>
                <w:rFonts w:eastAsia="Times New Roman" w:cs="Times New Roman"/>
                <w:i/>
                <w:iCs/>
                <w:color w:val="000000"/>
                <w:sz w:val="20"/>
                <w:szCs w:val="20"/>
              </w:rPr>
            </w:pPr>
            <w:r w:rsidRPr="00B1453E">
              <w:rPr>
                <w:rFonts w:eastAsia="Times New Roman" w:cs="Times New Roman"/>
                <w:i/>
                <w:iCs/>
                <w:color w:val="000000"/>
                <w:sz w:val="20"/>
                <w:szCs w:val="20"/>
              </w:rPr>
              <w:t>No. 200</w:t>
            </w:r>
          </w:p>
        </w:tc>
        <w:tc>
          <w:tcPr>
            <w:tcW w:w="720" w:type="dxa"/>
            <w:tcBorders>
              <w:top w:val="nil"/>
              <w:left w:val="nil"/>
              <w:bottom w:val="single" w:sz="4" w:space="0" w:color="auto"/>
              <w:right w:val="dashed" w:sz="4" w:space="0" w:color="auto"/>
            </w:tcBorders>
            <w:shd w:val="clear" w:color="000000" w:fill="F2F2F2"/>
            <w:vAlign w:val="center"/>
          </w:tcPr>
          <w:p w14:paraId="2DDA657B" w14:textId="25DC0987" w:rsidR="008522B2" w:rsidRPr="0045587E"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363</w:t>
            </w:r>
          </w:p>
        </w:tc>
        <w:tc>
          <w:tcPr>
            <w:tcW w:w="1728" w:type="dxa"/>
            <w:tcBorders>
              <w:top w:val="nil"/>
              <w:left w:val="dashed" w:sz="4" w:space="0" w:color="auto"/>
              <w:bottom w:val="single" w:sz="4" w:space="0" w:color="auto"/>
            </w:tcBorders>
            <w:shd w:val="clear" w:color="000000" w:fill="F2F2F2"/>
            <w:noWrap/>
            <w:vAlign w:val="center"/>
          </w:tcPr>
          <w:p w14:paraId="5CEBE9CB" w14:textId="3DD34B8F" w:rsidR="008522B2" w:rsidRPr="00B1453E" w:rsidRDefault="00130528" w:rsidP="008522B2">
            <w:pPr>
              <w:spacing w:line="240" w:lineRule="auto"/>
              <w:rPr>
                <w:rFonts w:eastAsia="Times New Roman" w:cs="Times New Roman"/>
                <w:i/>
                <w:iCs/>
                <w:color w:val="000000"/>
                <w:sz w:val="20"/>
                <w:szCs w:val="20"/>
              </w:rPr>
            </w:pPr>
            <w:r>
              <w:rPr>
                <w:rFonts w:eastAsia="Times New Roman" w:cs="Times New Roman"/>
                <w:i/>
                <w:iCs/>
                <w:color w:val="000000"/>
                <w:sz w:val="20"/>
                <w:szCs w:val="20"/>
              </w:rPr>
              <w:t>1.498</w:t>
            </w:r>
          </w:p>
        </w:tc>
        <w:tc>
          <w:tcPr>
            <w:tcW w:w="1728" w:type="dxa"/>
            <w:tcBorders>
              <w:top w:val="nil"/>
              <w:bottom w:val="single" w:sz="4" w:space="0" w:color="auto"/>
            </w:tcBorders>
            <w:shd w:val="clear" w:color="000000" w:fill="F2F2F2"/>
            <w:vAlign w:val="center"/>
          </w:tcPr>
          <w:p w14:paraId="6174FD64" w14:textId="79450525" w:rsidR="008522B2" w:rsidRPr="00060D79" w:rsidRDefault="00130528" w:rsidP="00130528">
            <w:pPr>
              <w:spacing w:line="240" w:lineRule="auto"/>
              <w:rPr>
                <w:rFonts w:eastAsia="Times New Roman" w:cs="Times New Roman"/>
                <w:b/>
                <w:bCs/>
                <w:i/>
                <w:iCs/>
                <w:color w:val="000000"/>
                <w:sz w:val="20"/>
                <w:szCs w:val="20"/>
              </w:rPr>
            </w:pPr>
            <w:r>
              <w:rPr>
                <w:rFonts w:eastAsia="Times New Roman" w:cs="Times New Roman"/>
                <w:b/>
                <w:bCs/>
                <w:i/>
                <w:iCs/>
                <w:color w:val="000000"/>
                <w:sz w:val="20"/>
                <w:szCs w:val="20"/>
              </w:rPr>
              <w:t>0.084</w:t>
            </w:r>
          </w:p>
        </w:tc>
      </w:tr>
    </w:tbl>
    <w:p w14:paraId="67DA378D" w14:textId="77777777" w:rsidR="008522B2" w:rsidRDefault="008522B2" w:rsidP="008522B2">
      <w:pPr>
        <w:jc w:val="both"/>
        <w:rPr>
          <w:rFonts w:eastAsiaTheme="minorEastAsia"/>
          <w:bCs/>
        </w:rPr>
      </w:pPr>
    </w:p>
    <w:p w14:paraId="7B05B317" w14:textId="77777777" w:rsidR="00DF1040" w:rsidRDefault="00DF1040" w:rsidP="008522B2">
      <w:pPr>
        <w:jc w:val="both"/>
        <w:rPr>
          <w:rFonts w:eastAsiaTheme="minorEastAsia"/>
          <w:bCs/>
        </w:rPr>
      </w:pPr>
    </w:p>
    <w:p w14:paraId="71E62DE2" w14:textId="0401F2A2" w:rsidR="00AE6BD4" w:rsidRDefault="00DF1040" w:rsidP="00427839">
      <w:pPr>
        <w:ind w:left="720" w:firstLine="720"/>
        <w:jc w:val="both"/>
        <w:rPr>
          <w:rFonts w:eastAsiaTheme="minorEastAsia"/>
          <w:bCs/>
        </w:rPr>
      </w:pPr>
      <w:r>
        <w:rPr>
          <w:rFonts w:eastAsiaTheme="minorEastAsia"/>
          <w:bCs/>
        </w:rPr>
        <w:t xml:space="preserve">In terms of field feasibility, milling samples </w:t>
      </w:r>
      <w:r w:rsidR="00427839">
        <w:rPr>
          <w:rFonts w:eastAsiaTheme="minorEastAsia"/>
          <w:bCs/>
        </w:rPr>
        <w:t>to pass</w:t>
      </w:r>
      <w:r>
        <w:rPr>
          <w:rFonts w:eastAsiaTheme="minorEastAsia"/>
          <w:bCs/>
        </w:rPr>
        <w:t xml:space="preserve"> the No. 100 and No. </w:t>
      </w:r>
      <w:r w:rsidR="00427839">
        <w:rPr>
          <w:rFonts w:eastAsiaTheme="minorEastAsia"/>
          <w:bCs/>
        </w:rPr>
        <w:t>200 sieves is a</w:t>
      </w:r>
      <w:r>
        <w:rPr>
          <w:rFonts w:eastAsiaTheme="minorEastAsia"/>
          <w:bCs/>
        </w:rPr>
        <w:t xml:space="preserve"> labori</w:t>
      </w:r>
      <w:r w:rsidR="00427839">
        <w:rPr>
          <w:rFonts w:eastAsiaTheme="minorEastAsia"/>
          <w:bCs/>
        </w:rPr>
        <w:t>ous and time consuming endeavor</w:t>
      </w:r>
      <w:r>
        <w:rPr>
          <w:rFonts w:eastAsiaTheme="minorEastAsia"/>
          <w:bCs/>
        </w:rPr>
        <w:t xml:space="preserve">. This degree of preparation rigor is not practical on site. It may be more conducive to limit milling to passing the No. 40 sieve. As seen in </w:t>
      </w:r>
      <w:r>
        <w:rPr>
          <w:rFonts w:eastAsiaTheme="minorEastAsia"/>
          <w:bCs/>
        </w:rPr>
        <w:fldChar w:fldCharType="begin"/>
      </w:r>
      <w:r>
        <w:rPr>
          <w:rFonts w:eastAsiaTheme="minorEastAsia"/>
          <w:bCs/>
        </w:rPr>
        <w:instrText xml:space="preserve"> REF _Ref447515414 \h </w:instrText>
      </w:r>
      <w:r>
        <w:rPr>
          <w:rFonts w:eastAsiaTheme="minorEastAsia"/>
          <w:bCs/>
        </w:rPr>
      </w:r>
      <w:r>
        <w:rPr>
          <w:rFonts w:eastAsiaTheme="minorEastAsia"/>
          <w:bCs/>
        </w:rPr>
        <w:fldChar w:fldCharType="separate"/>
      </w:r>
      <w:r w:rsidR="00E90148">
        <w:t xml:space="preserve">Figure </w:t>
      </w:r>
      <w:r w:rsidR="00E90148">
        <w:rPr>
          <w:noProof/>
        </w:rPr>
        <w:t>26</w:t>
      </w:r>
      <w:r>
        <w:rPr>
          <w:rFonts w:eastAsiaTheme="minorEastAsia"/>
          <w:bCs/>
        </w:rPr>
        <w:fldChar w:fldCharType="end"/>
      </w:r>
      <w:r w:rsidR="00427839">
        <w:rPr>
          <w:rFonts w:eastAsiaTheme="minorEastAsia"/>
          <w:bCs/>
        </w:rPr>
        <w:t>, benefits to</w:t>
      </w:r>
      <w:r>
        <w:rPr>
          <w:rFonts w:eastAsiaTheme="minorEastAsia"/>
          <w:bCs/>
        </w:rPr>
        <w:t xml:space="preserve"> PHXRF accuracy</w:t>
      </w:r>
      <w:r w:rsidR="00427839">
        <w:rPr>
          <w:rFonts w:eastAsiaTheme="minorEastAsia"/>
          <w:bCs/>
        </w:rPr>
        <w:t>,</w:t>
      </w:r>
      <w:r>
        <w:rPr>
          <w:rFonts w:eastAsiaTheme="minorEastAsia"/>
          <w:bCs/>
        </w:rPr>
        <w:t xml:space="preserve"> both in terms of RMSD and COV</w:t>
      </w:r>
      <w:r>
        <w:rPr>
          <w:rFonts w:eastAsiaTheme="minorEastAsia"/>
          <w:bCs/>
          <w:vertAlign w:val="subscript"/>
        </w:rPr>
        <w:t>RMSD</w:t>
      </w:r>
      <w:r w:rsidR="00427839">
        <w:rPr>
          <w:rFonts w:eastAsiaTheme="minorEastAsia"/>
          <w:bCs/>
        </w:rPr>
        <w:t>,</w:t>
      </w:r>
      <w:r>
        <w:rPr>
          <w:rFonts w:eastAsiaTheme="minorEastAsia"/>
          <w:bCs/>
        </w:rPr>
        <w:t xml:space="preserve"> begin to level off once a sample particle size is reduced </w:t>
      </w:r>
      <w:r>
        <w:rPr>
          <w:rFonts w:eastAsiaTheme="minorEastAsia"/>
          <w:bCs/>
        </w:rPr>
        <w:lastRenderedPageBreak/>
        <w:t xml:space="preserve">passed the No. 40 sieve. For this reason and for the sake of time and cost, </w:t>
      </w:r>
      <w:r w:rsidR="00427839">
        <w:rPr>
          <w:rFonts w:eastAsiaTheme="minorEastAsia"/>
          <w:bCs/>
        </w:rPr>
        <w:t>it was decided that all field samples would be</w:t>
      </w:r>
      <w:r>
        <w:rPr>
          <w:rFonts w:eastAsiaTheme="minorEastAsia"/>
          <w:bCs/>
        </w:rPr>
        <w:t xml:space="preserve"> milled to pass the No. 40 sieve.</w:t>
      </w:r>
    </w:p>
    <w:p w14:paraId="04B698FC" w14:textId="77777777" w:rsidR="00DF1040" w:rsidRDefault="00DF1040" w:rsidP="00DF1040">
      <w:pPr>
        <w:ind w:left="720" w:firstLine="720"/>
        <w:jc w:val="both"/>
        <w:rPr>
          <w:rFonts w:eastAsiaTheme="minorEastAsia"/>
          <w:bCs/>
        </w:rPr>
      </w:pPr>
    </w:p>
    <w:p w14:paraId="1CA42A74" w14:textId="49748F4D" w:rsidR="00DF1040" w:rsidRDefault="00DF1040" w:rsidP="00427839">
      <w:pPr>
        <w:rPr>
          <w:rFonts w:eastAsiaTheme="minorEastAsia"/>
          <w:bCs/>
        </w:rPr>
      </w:pPr>
      <w:r>
        <w:rPr>
          <w:rFonts w:eastAsiaTheme="minorEastAsia"/>
          <w:bCs/>
          <w:noProof/>
        </w:rPr>
        <w:drawing>
          <wp:inline distT="0" distB="0" distL="0" distR="0" wp14:anchorId="17AA559E" wp14:editId="1D73A7F0">
            <wp:extent cx="4993057" cy="2749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39">
                      <a:extLst>
                        <a:ext uri="{28A0092B-C50C-407E-A947-70E740481C1C}">
                          <a14:useLocalDpi xmlns:a14="http://schemas.microsoft.com/office/drawing/2010/main" val="0"/>
                        </a:ext>
                      </a:extLst>
                    </a:blip>
                    <a:stretch>
                      <a:fillRect/>
                    </a:stretch>
                  </pic:blipFill>
                  <pic:spPr>
                    <a:xfrm>
                      <a:off x="0" y="0"/>
                      <a:ext cx="4993057" cy="2749534"/>
                    </a:xfrm>
                    <a:prstGeom prst="rect">
                      <a:avLst/>
                    </a:prstGeom>
                  </pic:spPr>
                </pic:pic>
              </a:graphicData>
            </a:graphic>
          </wp:inline>
        </w:drawing>
      </w:r>
    </w:p>
    <w:p w14:paraId="60FD70B7" w14:textId="202BC61B" w:rsidR="00DF1040" w:rsidRDefault="00DF1040" w:rsidP="00DF1040">
      <w:pPr>
        <w:pStyle w:val="Caption"/>
        <w:rPr>
          <w:rFonts w:eastAsiaTheme="minorEastAsia"/>
          <w:bCs/>
        </w:rPr>
      </w:pPr>
      <w:bookmarkStart w:id="92" w:name="_Ref447515414"/>
      <w:bookmarkStart w:id="93" w:name="_Toc447755364"/>
      <w:r>
        <w:t xml:space="preserve">Figure </w:t>
      </w:r>
      <w:r w:rsidR="00184FC2">
        <w:fldChar w:fldCharType="begin"/>
      </w:r>
      <w:r w:rsidR="00184FC2">
        <w:instrText xml:space="preserve"> SEQ Figure \* ARABIC </w:instrText>
      </w:r>
      <w:r w:rsidR="00184FC2">
        <w:fldChar w:fldCharType="separate"/>
      </w:r>
      <w:r w:rsidR="00E90148">
        <w:rPr>
          <w:noProof/>
        </w:rPr>
        <w:t>26</w:t>
      </w:r>
      <w:r w:rsidR="00184FC2">
        <w:rPr>
          <w:noProof/>
        </w:rPr>
        <w:fldChar w:fldCharType="end"/>
      </w:r>
      <w:bookmarkEnd w:id="92"/>
      <w:r>
        <w:rPr>
          <w:noProof/>
        </w:rPr>
        <w:t xml:space="preserve">: Average RMSD and Average </w:t>
      </w:r>
      <w:r>
        <w:rPr>
          <w:rFonts w:eastAsiaTheme="minorEastAsia"/>
          <w:bCs/>
        </w:rPr>
        <w:t>COV</w:t>
      </w:r>
      <w:r>
        <w:rPr>
          <w:rFonts w:eastAsiaTheme="minorEastAsia"/>
          <w:bCs/>
          <w:vertAlign w:val="subscript"/>
        </w:rPr>
        <w:t>RMSD</w:t>
      </w:r>
      <w:r>
        <w:rPr>
          <w:rFonts w:eastAsiaTheme="minorEastAsia"/>
          <w:bCs/>
        </w:rPr>
        <w:t xml:space="preserve"> as a Function of Particle Size</w:t>
      </w:r>
      <w:bookmarkEnd w:id="93"/>
    </w:p>
    <w:p w14:paraId="73BC76F0" w14:textId="77777777" w:rsidR="00DF1040" w:rsidRPr="00DF1040" w:rsidRDefault="00DF1040" w:rsidP="00DF1040"/>
    <w:p w14:paraId="2330BA63" w14:textId="1F6B2A21" w:rsidR="002C0489" w:rsidRDefault="002C0489" w:rsidP="00830157">
      <w:pPr>
        <w:ind w:firstLine="720"/>
        <w:jc w:val="both"/>
        <w:rPr>
          <w:rFonts w:eastAsiaTheme="minorEastAsia"/>
          <w:b/>
        </w:rPr>
      </w:pPr>
      <w:r>
        <w:rPr>
          <w:rFonts w:eastAsiaTheme="minorEastAsia"/>
          <w:b/>
        </w:rPr>
        <w:t>4.2.3 Sample Type</w:t>
      </w:r>
    </w:p>
    <w:p w14:paraId="1C8E405E" w14:textId="005E51D7" w:rsidR="001706A5" w:rsidRDefault="00696A43" w:rsidP="001528E7">
      <w:pPr>
        <w:ind w:left="720" w:firstLine="720"/>
        <w:jc w:val="both"/>
        <w:rPr>
          <w:rFonts w:eastAsiaTheme="minorEastAsia"/>
          <w:bCs/>
        </w:rPr>
      </w:pPr>
      <w:r>
        <w:rPr>
          <w:rFonts w:eastAsiaTheme="minorEastAsia"/>
          <w:bCs/>
        </w:rPr>
        <w:t>The sample types used in this research were pressed pellet</w:t>
      </w:r>
      <w:r w:rsidR="00A7089E">
        <w:rPr>
          <w:rFonts w:eastAsiaTheme="minorEastAsia"/>
          <w:bCs/>
        </w:rPr>
        <w:t>s</w:t>
      </w:r>
      <w:r>
        <w:rPr>
          <w:rFonts w:eastAsiaTheme="minorEastAsia"/>
          <w:bCs/>
        </w:rPr>
        <w:t xml:space="preserve"> and powder</w:t>
      </w:r>
      <w:r w:rsidR="00A7089E">
        <w:rPr>
          <w:rFonts w:eastAsiaTheme="minorEastAsia"/>
          <w:bCs/>
        </w:rPr>
        <w:t xml:space="preserve"> samples</w:t>
      </w:r>
      <w:r>
        <w:rPr>
          <w:rFonts w:eastAsiaTheme="minorEastAsia"/>
          <w:bCs/>
        </w:rPr>
        <w:t xml:space="preserve">.  </w:t>
      </w:r>
      <w:r w:rsidR="007A0391">
        <w:rPr>
          <w:rFonts w:eastAsiaTheme="minorEastAsia"/>
          <w:bCs/>
        </w:rPr>
        <w:t xml:space="preserve">The role that sample type plays in the precision and accuracy of PHXRF </w:t>
      </w:r>
      <m:oMath>
        <m:r>
          <w:rPr>
            <w:rFonts w:ascii="Cambria Math" w:eastAsiaTheme="minorEastAsia" w:hAnsi="Cambria Math"/>
          </w:rPr>
          <m:t>SC</m:t>
        </m:r>
      </m:oMath>
      <w:r w:rsidR="007A0391">
        <w:rPr>
          <w:rFonts w:eastAsiaTheme="minorEastAsia"/>
          <w:bCs/>
        </w:rPr>
        <w:t xml:space="preserve"> measurements is inconclusive. PHXRF precision appears to </w:t>
      </w:r>
      <w:r w:rsidR="001528E7">
        <w:rPr>
          <w:rFonts w:eastAsiaTheme="minorEastAsia"/>
          <w:bCs/>
        </w:rPr>
        <w:t>be independent of sample type; meanwhile</w:t>
      </w:r>
      <w:r w:rsidR="007A0391">
        <w:rPr>
          <w:rFonts w:eastAsiaTheme="minorEastAsia"/>
          <w:bCs/>
        </w:rPr>
        <w:t xml:space="preserve">, equitable gains in accuracy are observed when a sample is prepared into a pellet </w:t>
      </w:r>
      <w:r w:rsidR="001528E7">
        <w:rPr>
          <w:rFonts w:eastAsiaTheme="minorEastAsia"/>
          <w:bCs/>
        </w:rPr>
        <w:t>for the OHC soil type,</w:t>
      </w:r>
      <w:r w:rsidR="007A0391">
        <w:rPr>
          <w:rFonts w:eastAsiaTheme="minorEastAsia"/>
          <w:bCs/>
        </w:rPr>
        <w:t xml:space="preserve"> </w:t>
      </w:r>
      <w:r w:rsidR="001528E7">
        <w:rPr>
          <w:rFonts w:eastAsiaTheme="minorEastAsia"/>
          <w:bCs/>
        </w:rPr>
        <w:t>but</w:t>
      </w:r>
      <w:r w:rsidR="007A0391">
        <w:rPr>
          <w:rFonts w:eastAsiaTheme="minorEastAsia"/>
          <w:bCs/>
        </w:rPr>
        <w:t xml:space="preserve"> the opposite is observed in the SGB ones</w:t>
      </w:r>
      <w:r w:rsidR="006B2AC1">
        <w:rPr>
          <w:rFonts w:eastAsiaTheme="minorEastAsia"/>
          <w:bCs/>
        </w:rPr>
        <w:t xml:space="preserve">. </w:t>
      </w:r>
    </w:p>
    <w:p w14:paraId="4A60F337" w14:textId="425E0B7E" w:rsidR="00810C03" w:rsidRDefault="00A9766C" w:rsidP="00E213DE">
      <w:pPr>
        <w:ind w:left="720" w:firstLine="720"/>
        <w:jc w:val="both"/>
        <w:rPr>
          <w:rFonts w:eastAsiaTheme="minorEastAsia"/>
          <w:bCs/>
        </w:rPr>
      </w:pPr>
      <w:r>
        <w:rPr>
          <w:rFonts w:eastAsiaTheme="minorEastAsia"/>
          <w:bCs/>
        </w:rPr>
        <w:t xml:space="preserve">As seen in </w:t>
      </w:r>
      <w:r>
        <w:rPr>
          <w:rFonts w:eastAsiaTheme="minorEastAsia"/>
          <w:bCs/>
        </w:rPr>
        <w:fldChar w:fldCharType="begin"/>
      </w:r>
      <w:r>
        <w:rPr>
          <w:rFonts w:eastAsiaTheme="minorEastAsia"/>
          <w:bCs/>
        </w:rPr>
        <w:instrText xml:space="preserve"> REF _Ref443233605 \h </w:instrText>
      </w:r>
      <w:r>
        <w:rPr>
          <w:rFonts w:eastAsiaTheme="minorEastAsia"/>
          <w:bCs/>
        </w:rPr>
      </w:r>
      <w:r>
        <w:rPr>
          <w:rFonts w:eastAsiaTheme="minorEastAsia"/>
          <w:bCs/>
        </w:rPr>
        <w:fldChar w:fldCharType="separate"/>
      </w:r>
      <w:r w:rsidR="00E90148">
        <w:t xml:space="preserve">Table </w:t>
      </w:r>
      <w:r w:rsidR="00E90148">
        <w:rPr>
          <w:noProof/>
        </w:rPr>
        <w:t>13</w:t>
      </w:r>
      <w:r>
        <w:rPr>
          <w:rFonts w:eastAsiaTheme="minorEastAsia"/>
          <w:bCs/>
        </w:rPr>
        <w:fldChar w:fldCharType="end"/>
      </w:r>
      <w:r w:rsidR="00895BFD">
        <w:rPr>
          <w:rFonts w:eastAsiaTheme="minorEastAsia"/>
          <w:bCs/>
        </w:rPr>
        <w:t xml:space="preserve">, </w:t>
      </w:r>
      <w:r w:rsidR="00053085">
        <w:rPr>
          <w:rFonts w:eastAsiaTheme="minorEastAsia"/>
          <w:bCs/>
        </w:rPr>
        <w:t xml:space="preserve">precision varies randomly. </w:t>
      </w:r>
      <w:r w:rsidR="001528E7">
        <w:rPr>
          <w:rFonts w:eastAsiaTheme="minorEastAsia"/>
          <w:bCs/>
        </w:rPr>
        <w:t>Ultimat</w:t>
      </w:r>
      <w:r w:rsidR="00940B7B">
        <w:rPr>
          <w:rFonts w:eastAsiaTheme="minorEastAsia"/>
          <w:bCs/>
        </w:rPr>
        <w:t>ely, this is of little concern,</w:t>
      </w:r>
      <w:r w:rsidR="001528E7">
        <w:rPr>
          <w:rFonts w:eastAsiaTheme="minorEastAsia"/>
          <w:bCs/>
        </w:rPr>
        <w:t xml:space="preserve"> </w:t>
      </w:r>
      <w:r w:rsidR="00053085">
        <w:rPr>
          <w:rFonts w:eastAsiaTheme="minorEastAsia"/>
          <w:bCs/>
        </w:rPr>
        <w:t>as is indicated by the nearly unaffected COV</w:t>
      </w:r>
      <w:r w:rsidR="00053085">
        <w:rPr>
          <w:rFonts w:eastAsiaTheme="minorEastAsia"/>
          <w:bCs/>
          <w:vertAlign w:val="subscript"/>
        </w:rPr>
        <w:t>STDEV</w:t>
      </w:r>
      <w:r w:rsidR="00053085">
        <w:rPr>
          <w:rFonts w:eastAsiaTheme="minorEastAsia"/>
          <w:bCs/>
        </w:rPr>
        <w:t xml:space="preserve"> for both devices. This suggests that sample type does not influence the precision of PHXRF </w:t>
      </w:r>
      <m:oMath>
        <m:r>
          <w:rPr>
            <w:rFonts w:ascii="Cambria Math" w:hAnsi="Cambria Math"/>
          </w:rPr>
          <m:t>SC</m:t>
        </m:r>
      </m:oMath>
      <w:r w:rsidR="00053085">
        <w:rPr>
          <w:rFonts w:eastAsiaTheme="minorEastAsia"/>
          <w:bCs/>
        </w:rPr>
        <w:t xml:space="preserve"> </w:t>
      </w:r>
      <w:r w:rsidR="00053085">
        <w:rPr>
          <w:rFonts w:eastAsiaTheme="minorEastAsia"/>
          <w:bCs/>
        </w:rPr>
        <w:lastRenderedPageBreak/>
        <w:t xml:space="preserve">measurements. The same cannot be said for accuracy. Deviations </w:t>
      </w:r>
      <w:r w:rsidR="001528E7">
        <w:rPr>
          <w:rFonts w:eastAsiaTheme="minorEastAsia"/>
          <w:bCs/>
        </w:rPr>
        <w:t xml:space="preserve">in PHXRF </w:t>
      </w:r>
      <m:oMath>
        <m:r>
          <w:rPr>
            <w:rFonts w:ascii="Cambria Math" w:eastAsiaTheme="minorEastAsia" w:hAnsi="Cambria Math"/>
          </w:rPr>
          <m:t>SC</m:t>
        </m:r>
      </m:oMath>
      <w:r w:rsidR="001528E7">
        <w:rPr>
          <w:rFonts w:eastAsiaTheme="minorEastAsia"/>
          <w:bCs/>
        </w:rPr>
        <w:t xml:space="preserve"> measurements </w:t>
      </w:r>
      <w:r w:rsidR="00053085">
        <w:rPr>
          <w:rFonts w:eastAsiaTheme="minorEastAsia"/>
          <w:bCs/>
        </w:rPr>
        <w:t xml:space="preserve">from the true </w:t>
      </w:r>
      <m:oMath>
        <m:r>
          <w:rPr>
            <w:rFonts w:ascii="Cambria Math" w:hAnsi="Cambria Math"/>
          </w:rPr>
          <m:t>SC</m:t>
        </m:r>
      </m:oMath>
      <w:r w:rsidR="00053085">
        <w:rPr>
          <w:rFonts w:eastAsiaTheme="minorEastAsia"/>
          <w:bCs/>
        </w:rPr>
        <w:t xml:space="preserve"> of the </w:t>
      </w:r>
      <w:r w:rsidR="001528E7">
        <w:rPr>
          <w:rFonts w:eastAsiaTheme="minorEastAsia"/>
          <w:bCs/>
        </w:rPr>
        <w:t xml:space="preserve">OHC </w:t>
      </w:r>
      <w:r w:rsidR="00053085">
        <w:rPr>
          <w:rFonts w:eastAsiaTheme="minorEastAsia"/>
          <w:bCs/>
        </w:rPr>
        <w:t>samples are greatly increased when using powder samples. The devia</w:t>
      </w:r>
      <w:r w:rsidR="001528E7">
        <w:rPr>
          <w:rFonts w:eastAsiaTheme="minorEastAsia"/>
          <w:bCs/>
        </w:rPr>
        <w:t>tions for the S1 Titan and Niton XL3t increase</w:t>
      </w:r>
      <w:r w:rsidR="00053085">
        <w:rPr>
          <w:rFonts w:eastAsiaTheme="minorEastAsia"/>
          <w:bCs/>
        </w:rPr>
        <w:t xml:space="preserve"> by as much as 1.248%</w:t>
      </w:r>
      <w:r w:rsidR="00563762">
        <w:rPr>
          <w:rFonts w:eastAsiaTheme="minorEastAsia"/>
          <w:bCs/>
        </w:rPr>
        <w:t xml:space="preserve"> and 1.006%</w:t>
      </w:r>
      <w:r w:rsidR="001528E7">
        <w:rPr>
          <w:rFonts w:eastAsiaTheme="minorEastAsia"/>
          <w:bCs/>
        </w:rPr>
        <w:t>, respectively</w:t>
      </w:r>
      <w:r w:rsidR="00563762">
        <w:rPr>
          <w:rFonts w:eastAsiaTheme="minorEastAsia"/>
          <w:bCs/>
        </w:rPr>
        <w:t>. The significance of these changes is verified by the large changes in</w:t>
      </w:r>
      <w:r w:rsidR="00053085">
        <w:rPr>
          <w:rFonts w:eastAsiaTheme="minorEastAsia"/>
          <w:bCs/>
        </w:rPr>
        <w:t xml:space="preserve"> </w:t>
      </w:r>
      <w:r w:rsidR="00563762">
        <w:rPr>
          <w:rFonts w:eastAsiaTheme="minorEastAsia"/>
          <w:bCs/>
        </w:rPr>
        <w:t>COV</w:t>
      </w:r>
      <w:r w:rsidR="00563762">
        <w:rPr>
          <w:rFonts w:eastAsiaTheme="minorEastAsia"/>
          <w:bCs/>
          <w:vertAlign w:val="subscript"/>
        </w:rPr>
        <w:t>RMSD</w:t>
      </w:r>
      <w:r w:rsidR="00563762">
        <w:rPr>
          <w:rFonts w:eastAsiaTheme="minorEastAsia"/>
          <w:bCs/>
        </w:rPr>
        <w:t xml:space="preserve"> for both devices. The scatter of the </w:t>
      </w:r>
      <w:r w:rsidR="001528E7">
        <w:rPr>
          <w:rFonts w:eastAsiaTheme="minorEastAsia"/>
          <w:bCs/>
        </w:rPr>
        <w:t xml:space="preserve">PHXRF </w:t>
      </w:r>
      <m:oMath>
        <m:r>
          <w:rPr>
            <w:rFonts w:ascii="Cambria Math" w:eastAsiaTheme="minorEastAsia" w:hAnsi="Cambria Math"/>
          </w:rPr>
          <m:t>SC</m:t>
        </m:r>
      </m:oMath>
      <w:r w:rsidR="001528E7">
        <w:rPr>
          <w:rFonts w:eastAsiaTheme="minorEastAsia"/>
          <w:bCs/>
        </w:rPr>
        <w:t xml:space="preserve"> </w:t>
      </w:r>
      <w:r w:rsidR="00563762">
        <w:rPr>
          <w:rFonts w:eastAsiaTheme="minorEastAsia"/>
          <w:bCs/>
        </w:rPr>
        <w:t xml:space="preserve">measurements relative to the true </w:t>
      </w:r>
      <m:oMath>
        <m:r>
          <w:rPr>
            <w:rFonts w:ascii="Cambria Math" w:hAnsi="Cambria Math"/>
          </w:rPr>
          <m:t>SC</m:t>
        </m:r>
      </m:oMath>
      <w:r w:rsidR="001528E7">
        <w:rPr>
          <w:rFonts w:eastAsiaTheme="minorEastAsia"/>
          <w:bCs/>
        </w:rPr>
        <w:t xml:space="preserve"> jumps from 0.056 to 0.133 for the S1 Titan</w:t>
      </w:r>
      <w:r w:rsidR="00563762">
        <w:rPr>
          <w:rFonts w:eastAsiaTheme="minorEastAsia"/>
          <w:bCs/>
        </w:rPr>
        <w:t xml:space="preserve"> and 0.066 </w:t>
      </w:r>
      <w:r w:rsidR="001528E7">
        <w:rPr>
          <w:rFonts w:eastAsiaTheme="minorEastAsia"/>
          <w:bCs/>
        </w:rPr>
        <w:t>to 0.096 for the Niton XL3t</w:t>
      </w:r>
      <w:r w:rsidR="00563762">
        <w:rPr>
          <w:rFonts w:eastAsiaTheme="minorEastAsia"/>
          <w:bCs/>
        </w:rPr>
        <w:t xml:space="preserve">. The results of both devices </w:t>
      </w:r>
      <w:r w:rsidR="00E213DE">
        <w:rPr>
          <w:rFonts w:eastAsiaTheme="minorEastAsia"/>
          <w:bCs/>
        </w:rPr>
        <w:t>suggest</w:t>
      </w:r>
      <w:r w:rsidR="00563762">
        <w:rPr>
          <w:rFonts w:eastAsiaTheme="minorEastAsia"/>
          <w:bCs/>
        </w:rPr>
        <w:t xml:space="preserve"> that pressed pellets produce significantly more accurate results than their powder sample counterparts.</w:t>
      </w:r>
    </w:p>
    <w:p w14:paraId="5F4A4AEB" w14:textId="77777777" w:rsidR="00922A9D" w:rsidRDefault="00922A9D" w:rsidP="00922A9D">
      <w:pPr>
        <w:jc w:val="both"/>
        <w:rPr>
          <w:rFonts w:eastAsiaTheme="minorEastAsia"/>
          <w:bCs/>
        </w:rPr>
      </w:pPr>
    </w:p>
    <w:p w14:paraId="021D8138" w14:textId="7F76A8AB" w:rsidR="00922A9D" w:rsidRDefault="00922A9D" w:rsidP="00ED1BD6">
      <w:pPr>
        <w:pStyle w:val="Caption"/>
        <w:spacing w:line="480" w:lineRule="auto"/>
        <w:ind w:left="1080" w:right="936"/>
      </w:pPr>
      <w:bookmarkStart w:id="94" w:name="_Ref443233605"/>
      <w:bookmarkStart w:id="95" w:name="_Toc447755333"/>
      <w:r>
        <w:t xml:space="preserve">Table </w:t>
      </w:r>
      <w:r w:rsidR="00184FC2">
        <w:fldChar w:fldCharType="begin"/>
      </w:r>
      <w:r w:rsidR="00184FC2">
        <w:instrText xml:space="preserve"> SEQ Table \* ARABIC </w:instrText>
      </w:r>
      <w:r w:rsidR="00184FC2">
        <w:fldChar w:fldCharType="separate"/>
      </w:r>
      <w:r w:rsidR="00E90148">
        <w:rPr>
          <w:noProof/>
        </w:rPr>
        <w:t>13</w:t>
      </w:r>
      <w:r w:rsidR="00184FC2">
        <w:rPr>
          <w:noProof/>
        </w:rPr>
        <w:fldChar w:fldCharType="end"/>
      </w:r>
      <w:bookmarkEnd w:id="94"/>
      <w:r>
        <w:t>: Effects of Sample Type on STDEV, COV</w:t>
      </w:r>
      <w:r>
        <w:rPr>
          <w:vertAlign w:val="subscript"/>
        </w:rPr>
        <w:t>STDEV</w:t>
      </w:r>
      <w:r>
        <w:t>, RMSD, and COV</w:t>
      </w:r>
      <w:r>
        <w:rPr>
          <w:vertAlign w:val="subscript"/>
        </w:rPr>
        <w:t>RMSD</w:t>
      </w:r>
      <w:r>
        <w:t xml:space="preserve"> for OHC Samples</w:t>
      </w:r>
      <w:bookmarkEnd w:id="95"/>
    </w:p>
    <w:tbl>
      <w:tblPr>
        <w:tblW w:w="750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2"/>
        <w:gridCol w:w="1728"/>
        <w:gridCol w:w="720"/>
        <w:gridCol w:w="1152"/>
        <w:gridCol w:w="1152"/>
        <w:gridCol w:w="1152"/>
        <w:gridCol w:w="1152"/>
      </w:tblGrid>
      <w:tr w:rsidR="00A45898" w:rsidRPr="00B1453E" w14:paraId="06CC6F94" w14:textId="77777777" w:rsidTr="00A45898">
        <w:trPr>
          <w:trHeight w:val="600"/>
          <w:jc w:val="center"/>
        </w:trPr>
        <w:tc>
          <w:tcPr>
            <w:tcW w:w="452" w:type="dxa"/>
            <w:tcBorders>
              <w:top w:val="nil"/>
              <w:left w:val="nil"/>
              <w:bottom w:val="single" w:sz="4" w:space="0" w:color="auto"/>
              <w:right w:val="single" w:sz="4" w:space="0" w:color="auto"/>
            </w:tcBorders>
            <w:shd w:val="clear" w:color="auto" w:fill="auto"/>
            <w:vAlign w:val="center"/>
          </w:tcPr>
          <w:p w14:paraId="43003577" w14:textId="024F7DE5" w:rsidR="00A45898" w:rsidRPr="00B1453E" w:rsidRDefault="00A45898" w:rsidP="00895BFD">
            <w:pPr>
              <w:spacing w:line="240" w:lineRule="auto"/>
              <w:rPr>
                <w:rFonts w:eastAsia="Times New Roman" w:cs="Times New Roman"/>
                <w:i/>
                <w:iCs/>
                <w:color w:val="000000"/>
                <w:sz w:val="22"/>
                <w:szCs w:val="22"/>
              </w:rPr>
            </w:pPr>
          </w:p>
        </w:tc>
        <w:tc>
          <w:tcPr>
            <w:tcW w:w="172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A0FE919" w14:textId="21B311FD" w:rsidR="00A45898" w:rsidRPr="00B1453E" w:rsidRDefault="00A45898" w:rsidP="00895BFD">
            <w:pPr>
              <w:spacing w:line="240" w:lineRule="auto"/>
              <w:rPr>
                <w:rFonts w:eastAsia="Times New Roman" w:cs="Times New Roman"/>
                <w:i/>
                <w:iCs/>
                <w:color w:val="000000"/>
                <w:sz w:val="22"/>
                <w:szCs w:val="22"/>
              </w:rPr>
            </w:pPr>
            <w:r>
              <w:rPr>
                <w:rFonts w:eastAsia="Times New Roman" w:cs="Times New Roman"/>
                <w:i/>
                <w:iCs/>
                <w:color w:val="000000"/>
                <w:sz w:val="22"/>
                <w:szCs w:val="22"/>
              </w:rPr>
              <w:t>Sample Type</w:t>
            </w:r>
          </w:p>
        </w:tc>
        <w:tc>
          <w:tcPr>
            <w:tcW w:w="720" w:type="dxa"/>
            <w:tcBorders>
              <w:top w:val="single" w:sz="4" w:space="0" w:color="auto"/>
              <w:left w:val="nil"/>
              <w:bottom w:val="single" w:sz="4" w:space="0" w:color="auto"/>
              <w:right w:val="nil"/>
            </w:tcBorders>
            <w:shd w:val="clear" w:color="auto" w:fill="BFBFBF" w:themeFill="background1" w:themeFillShade="BF"/>
            <w:vAlign w:val="center"/>
          </w:tcPr>
          <w:p w14:paraId="101129D6" w14:textId="12331B22" w:rsidR="00A45898" w:rsidRDefault="00A45898" w:rsidP="00A45898">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4F6E603D" w14:textId="05BF1EE7" w:rsidR="00A45898" w:rsidRPr="00B1453E" w:rsidRDefault="00A45898" w:rsidP="00895BFD">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B1453E">
              <w:rPr>
                <w:rFonts w:eastAsia="Times New Roman" w:cs="Times New Roman"/>
                <w:i/>
                <w:iCs/>
                <w:color w:val="000000"/>
                <w:sz w:val="22"/>
                <w:szCs w:val="22"/>
              </w:rPr>
              <w:t xml:space="preserve">    </w:t>
            </w:r>
            <w:r>
              <w:rPr>
                <w:rFonts w:eastAsia="Times New Roman" w:cs="Times New Roman"/>
                <w:i/>
                <w:iCs/>
                <w:color w:val="000000"/>
                <w:sz w:val="22"/>
                <w:szCs w:val="22"/>
              </w:rPr>
              <w:t xml:space="preserve">              </w:t>
            </w:r>
            <w:r w:rsidRPr="00B1453E">
              <w:rPr>
                <w:rFonts w:eastAsia="Times New Roman" w:cs="Times New Roman"/>
                <w:i/>
                <w:iCs/>
                <w:color w:val="000000"/>
                <w:sz w:val="22"/>
                <w:szCs w:val="22"/>
              </w:rPr>
              <w:t>(%)</w:t>
            </w:r>
          </w:p>
        </w:tc>
        <w:tc>
          <w:tcPr>
            <w:tcW w:w="1152" w:type="dxa"/>
            <w:tcBorders>
              <w:top w:val="single" w:sz="4" w:space="0" w:color="auto"/>
              <w:left w:val="nil"/>
              <w:bottom w:val="single" w:sz="4" w:space="0" w:color="auto"/>
              <w:right w:val="nil"/>
            </w:tcBorders>
            <w:shd w:val="clear" w:color="auto" w:fill="BFBFBF" w:themeFill="background1" w:themeFillShade="BF"/>
            <w:vAlign w:val="center"/>
          </w:tcPr>
          <w:p w14:paraId="586EDD40" w14:textId="30198A2D" w:rsidR="00A45898" w:rsidRPr="00B1453E" w:rsidRDefault="00A45898" w:rsidP="00202728">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302AB8F7" w14:textId="77777777" w:rsidR="00A45898" w:rsidRPr="00B1453E" w:rsidRDefault="00A45898" w:rsidP="00895BFD">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RMSD         (%)</w:t>
            </w:r>
          </w:p>
        </w:tc>
        <w:tc>
          <w:tcPr>
            <w:tcW w:w="115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206B7F7" w14:textId="4AA65F1C" w:rsidR="00A45898" w:rsidRPr="00B1453E" w:rsidRDefault="00A45898" w:rsidP="00202728">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p>
        </w:tc>
      </w:tr>
      <w:tr w:rsidR="00A45898" w:rsidRPr="00B1453E" w14:paraId="2A400DD3" w14:textId="77777777" w:rsidTr="00654A37">
        <w:trPr>
          <w:cantSplit/>
          <w:trHeight w:val="590"/>
          <w:jc w:val="center"/>
        </w:trPr>
        <w:tc>
          <w:tcPr>
            <w:tcW w:w="4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6BE12328" w14:textId="65EB77CE" w:rsidR="00A45898" w:rsidRPr="00B1453E" w:rsidRDefault="00A45898" w:rsidP="00A45898">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S1 Titan</w:t>
            </w:r>
          </w:p>
        </w:tc>
        <w:tc>
          <w:tcPr>
            <w:tcW w:w="1728" w:type="dxa"/>
            <w:tcBorders>
              <w:top w:val="single" w:sz="4" w:space="0" w:color="auto"/>
              <w:left w:val="single" w:sz="4" w:space="0" w:color="auto"/>
              <w:bottom w:val="nil"/>
              <w:right w:val="nil"/>
            </w:tcBorders>
            <w:shd w:val="clear" w:color="auto" w:fill="auto"/>
            <w:noWrap/>
            <w:vAlign w:val="center"/>
            <w:hideMark/>
          </w:tcPr>
          <w:p w14:paraId="370E9DAF" w14:textId="48EF8B68"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Pellet</w:t>
            </w:r>
          </w:p>
        </w:tc>
        <w:tc>
          <w:tcPr>
            <w:tcW w:w="720" w:type="dxa"/>
            <w:tcBorders>
              <w:top w:val="single" w:sz="4" w:space="0" w:color="auto"/>
              <w:left w:val="nil"/>
              <w:bottom w:val="nil"/>
              <w:right w:val="dashed" w:sz="4" w:space="0" w:color="auto"/>
            </w:tcBorders>
            <w:vAlign w:val="center"/>
          </w:tcPr>
          <w:p w14:paraId="7ED0BDF6" w14:textId="4DA49309" w:rsidR="00A45898" w:rsidRPr="00A45898" w:rsidRDefault="00A45898" w:rsidP="00A45898">
            <w:pPr>
              <w:spacing w:line="240" w:lineRule="auto"/>
              <w:rPr>
                <w:rFonts w:eastAsia="Times New Roman" w:cs="Times New Roman"/>
                <w:i/>
                <w:iCs/>
                <w:color w:val="000000"/>
                <w:sz w:val="20"/>
                <w:szCs w:val="20"/>
              </w:rPr>
            </w:pPr>
            <w:r w:rsidRPr="00A45898">
              <w:rPr>
                <w:rFonts w:eastAsia="Times New Roman" w:cs="Times New Roman"/>
                <w:i/>
                <w:iCs/>
                <w:color w:val="000000"/>
                <w:sz w:val="20"/>
                <w:szCs w:val="20"/>
              </w:rPr>
              <w:t>240</w:t>
            </w:r>
          </w:p>
        </w:tc>
        <w:tc>
          <w:tcPr>
            <w:tcW w:w="1152" w:type="dxa"/>
            <w:tcBorders>
              <w:top w:val="single" w:sz="4" w:space="0" w:color="auto"/>
              <w:left w:val="dashed" w:sz="4" w:space="0" w:color="auto"/>
              <w:bottom w:val="nil"/>
            </w:tcBorders>
            <w:shd w:val="clear" w:color="auto" w:fill="auto"/>
            <w:noWrap/>
            <w:vAlign w:val="center"/>
            <w:hideMark/>
          </w:tcPr>
          <w:p w14:paraId="46C408A2" w14:textId="7D7EA6C5"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0.036</w:t>
            </w:r>
          </w:p>
        </w:tc>
        <w:tc>
          <w:tcPr>
            <w:tcW w:w="1152" w:type="dxa"/>
            <w:tcBorders>
              <w:top w:val="single" w:sz="4" w:space="0" w:color="auto"/>
              <w:bottom w:val="nil"/>
              <w:right w:val="dashed" w:sz="4" w:space="0" w:color="auto"/>
            </w:tcBorders>
            <w:shd w:val="clear" w:color="auto" w:fill="auto"/>
            <w:vAlign w:val="center"/>
          </w:tcPr>
          <w:p w14:paraId="698C0252" w14:textId="77777777" w:rsidR="00A45898" w:rsidRPr="008E61F5" w:rsidRDefault="00A45898" w:rsidP="00A45898">
            <w:pPr>
              <w:spacing w:line="240" w:lineRule="auto"/>
              <w:rPr>
                <w:rFonts w:eastAsia="Times New Roman" w:cs="Times New Roman"/>
                <w:b/>
                <w:bCs/>
                <w:i/>
                <w:iCs/>
                <w:color w:val="000000"/>
                <w:sz w:val="20"/>
                <w:szCs w:val="20"/>
              </w:rPr>
            </w:pPr>
            <w:r w:rsidRPr="008E61F5">
              <w:rPr>
                <w:rFonts w:eastAsia="Times New Roman" w:cs="Times New Roman"/>
                <w:b/>
                <w:bCs/>
                <w:i/>
                <w:iCs/>
                <w:color w:val="000000"/>
                <w:sz w:val="20"/>
                <w:szCs w:val="20"/>
              </w:rPr>
              <w:t>0.001</w:t>
            </w:r>
          </w:p>
        </w:tc>
        <w:tc>
          <w:tcPr>
            <w:tcW w:w="1152" w:type="dxa"/>
            <w:tcBorders>
              <w:top w:val="single" w:sz="4" w:space="0" w:color="auto"/>
              <w:left w:val="dashed" w:sz="4" w:space="0" w:color="auto"/>
              <w:bottom w:val="nil"/>
            </w:tcBorders>
            <w:shd w:val="clear" w:color="auto" w:fill="auto"/>
            <w:noWrap/>
            <w:vAlign w:val="center"/>
            <w:hideMark/>
          </w:tcPr>
          <w:p w14:paraId="3B41EAF7" w14:textId="322D2524" w:rsidR="00A45898" w:rsidRPr="008E61F5" w:rsidRDefault="00A45898" w:rsidP="00A45898">
            <w:pPr>
              <w:spacing w:line="240" w:lineRule="auto"/>
              <w:rPr>
                <w:rFonts w:eastAsia="Times New Roman" w:cs="Times New Roman"/>
                <w:b/>
                <w:bCs/>
                <w:i/>
                <w:iCs/>
                <w:color w:val="000000"/>
                <w:sz w:val="20"/>
                <w:szCs w:val="20"/>
              </w:rPr>
            </w:pPr>
            <w:r w:rsidRPr="008E61F5">
              <w:rPr>
                <w:rFonts w:eastAsia="Times New Roman" w:cs="Times New Roman"/>
                <w:b/>
                <w:bCs/>
                <w:i/>
                <w:iCs/>
                <w:color w:val="000000"/>
                <w:sz w:val="20"/>
                <w:szCs w:val="20"/>
              </w:rPr>
              <w:t>0.905</w:t>
            </w:r>
          </w:p>
        </w:tc>
        <w:tc>
          <w:tcPr>
            <w:tcW w:w="1152" w:type="dxa"/>
            <w:tcBorders>
              <w:top w:val="single" w:sz="4" w:space="0" w:color="auto"/>
              <w:bottom w:val="nil"/>
            </w:tcBorders>
            <w:shd w:val="clear" w:color="auto" w:fill="auto"/>
            <w:vAlign w:val="center"/>
          </w:tcPr>
          <w:p w14:paraId="6ADFE423" w14:textId="29F04B2D" w:rsidR="00A45898" w:rsidRPr="008E61F5" w:rsidRDefault="00A45898" w:rsidP="00A45898">
            <w:pPr>
              <w:spacing w:line="240" w:lineRule="auto"/>
              <w:rPr>
                <w:rFonts w:eastAsia="Times New Roman" w:cs="Times New Roman"/>
                <w:b/>
                <w:bCs/>
                <w:i/>
                <w:iCs/>
                <w:color w:val="000000"/>
                <w:sz w:val="20"/>
                <w:szCs w:val="20"/>
              </w:rPr>
            </w:pPr>
            <w:r w:rsidRPr="008E61F5">
              <w:rPr>
                <w:rFonts w:eastAsia="Times New Roman" w:cs="Times New Roman"/>
                <w:b/>
                <w:bCs/>
                <w:i/>
                <w:iCs/>
                <w:color w:val="000000"/>
                <w:sz w:val="20"/>
                <w:szCs w:val="20"/>
              </w:rPr>
              <w:t>0.056</w:t>
            </w:r>
          </w:p>
        </w:tc>
      </w:tr>
      <w:tr w:rsidR="00A45898" w:rsidRPr="00B1453E" w14:paraId="47B4D6CF" w14:textId="77777777" w:rsidTr="00654A37">
        <w:trPr>
          <w:trHeight w:val="590"/>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765F1BE9" w14:textId="04C1B242" w:rsidR="00A45898" w:rsidRPr="00B1453E" w:rsidRDefault="00A45898" w:rsidP="00895BFD">
            <w:pPr>
              <w:spacing w:line="240" w:lineRule="auto"/>
              <w:rPr>
                <w:rFonts w:eastAsia="Times New Roman" w:cs="Times New Roman"/>
                <w:i/>
                <w:iCs/>
                <w:color w:val="000000"/>
                <w:sz w:val="20"/>
                <w:szCs w:val="20"/>
              </w:rPr>
            </w:pPr>
          </w:p>
        </w:tc>
        <w:tc>
          <w:tcPr>
            <w:tcW w:w="1728" w:type="dxa"/>
            <w:tcBorders>
              <w:top w:val="nil"/>
              <w:left w:val="single" w:sz="4" w:space="0" w:color="auto"/>
              <w:bottom w:val="dashed" w:sz="4" w:space="0" w:color="auto"/>
              <w:right w:val="nil"/>
            </w:tcBorders>
            <w:shd w:val="clear" w:color="auto" w:fill="F2F2F2" w:themeFill="background1" w:themeFillShade="F2"/>
            <w:noWrap/>
            <w:vAlign w:val="center"/>
            <w:hideMark/>
          </w:tcPr>
          <w:p w14:paraId="39BEA5B1" w14:textId="77D553F6"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Powder</w:t>
            </w:r>
          </w:p>
        </w:tc>
        <w:tc>
          <w:tcPr>
            <w:tcW w:w="720" w:type="dxa"/>
            <w:tcBorders>
              <w:top w:val="nil"/>
              <w:left w:val="nil"/>
              <w:bottom w:val="dashed" w:sz="4" w:space="0" w:color="auto"/>
              <w:right w:val="dashed" w:sz="4" w:space="0" w:color="auto"/>
            </w:tcBorders>
            <w:shd w:val="clear" w:color="auto" w:fill="F2F2F2" w:themeFill="background1" w:themeFillShade="F2"/>
            <w:vAlign w:val="center"/>
          </w:tcPr>
          <w:p w14:paraId="1313E572" w14:textId="3DA99623" w:rsidR="00A45898" w:rsidRPr="00A45898" w:rsidRDefault="00A45898" w:rsidP="00A45898">
            <w:pPr>
              <w:spacing w:line="240" w:lineRule="auto"/>
              <w:rPr>
                <w:rFonts w:eastAsia="Times New Roman" w:cs="Times New Roman"/>
                <w:i/>
                <w:iCs/>
                <w:color w:val="000000"/>
                <w:sz w:val="20"/>
                <w:szCs w:val="20"/>
              </w:rPr>
            </w:pPr>
            <w:r w:rsidRPr="00A45898">
              <w:rPr>
                <w:rFonts w:eastAsia="Times New Roman" w:cs="Times New Roman"/>
                <w:i/>
                <w:iCs/>
                <w:color w:val="000000"/>
                <w:sz w:val="20"/>
                <w:szCs w:val="20"/>
              </w:rPr>
              <w:t>240</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61E74E71" w14:textId="291483E0" w:rsidR="00A45898" w:rsidRPr="008E61F5" w:rsidRDefault="00A45898" w:rsidP="00A45898">
            <w:pPr>
              <w:spacing w:line="240" w:lineRule="auto"/>
              <w:rPr>
                <w:rFonts w:eastAsia="Times New Roman" w:cs="Times New Roman"/>
                <w:b/>
                <w:bCs/>
                <w:i/>
                <w:iCs/>
                <w:color w:val="000000"/>
                <w:sz w:val="20"/>
                <w:szCs w:val="20"/>
              </w:rPr>
            </w:pPr>
            <w:r w:rsidRPr="008E61F5">
              <w:rPr>
                <w:rFonts w:eastAsia="Times New Roman" w:cs="Times New Roman"/>
                <w:b/>
                <w:bCs/>
                <w:i/>
                <w:iCs/>
                <w:color w:val="000000"/>
                <w:sz w:val="20"/>
                <w:szCs w:val="20"/>
              </w:rPr>
              <w:t>0.029</w:t>
            </w:r>
          </w:p>
        </w:tc>
        <w:tc>
          <w:tcPr>
            <w:tcW w:w="1152" w:type="dxa"/>
            <w:tcBorders>
              <w:top w:val="nil"/>
              <w:bottom w:val="dashed" w:sz="4" w:space="0" w:color="auto"/>
              <w:right w:val="dashed" w:sz="4" w:space="0" w:color="auto"/>
            </w:tcBorders>
            <w:shd w:val="clear" w:color="auto" w:fill="F2F2F2" w:themeFill="background1" w:themeFillShade="F2"/>
            <w:vAlign w:val="center"/>
          </w:tcPr>
          <w:p w14:paraId="01B92869" w14:textId="77777777" w:rsidR="00A45898" w:rsidRPr="00050F6A" w:rsidRDefault="00A45898" w:rsidP="00A45898">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374FF214" w14:textId="74D1C371" w:rsidR="00A45898" w:rsidRPr="008E61F5" w:rsidRDefault="00A45898" w:rsidP="00A45898">
            <w:pPr>
              <w:spacing w:line="240" w:lineRule="auto"/>
              <w:rPr>
                <w:rFonts w:eastAsia="Times New Roman" w:cs="Times New Roman"/>
                <w:i/>
                <w:iCs/>
                <w:color w:val="000000"/>
                <w:sz w:val="20"/>
                <w:szCs w:val="20"/>
              </w:rPr>
            </w:pPr>
            <w:r w:rsidRPr="008E61F5">
              <w:rPr>
                <w:rFonts w:eastAsia="Times New Roman" w:cs="Times New Roman"/>
                <w:i/>
                <w:iCs/>
                <w:color w:val="000000"/>
                <w:sz w:val="20"/>
                <w:szCs w:val="20"/>
              </w:rPr>
              <w:t>2.153</w:t>
            </w:r>
          </w:p>
        </w:tc>
        <w:tc>
          <w:tcPr>
            <w:tcW w:w="1152" w:type="dxa"/>
            <w:tcBorders>
              <w:top w:val="nil"/>
              <w:bottom w:val="dashed" w:sz="4" w:space="0" w:color="auto"/>
            </w:tcBorders>
            <w:shd w:val="clear" w:color="auto" w:fill="F2F2F2" w:themeFill="background1" w:themeFillShade="F2"/>
            <w:vAlign w:val="center"/>
          </w:tcPr>
          <w:p w14:paraId="1106AA02" w14:textId="33DCF0FC"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0.133</w:t>
            </w:r>
          </w:p>
        </w:tc>
      </w:tr>
      <w:tr w:rsidR="00A45898" w:rsidRPr="00B1453E" w14:paraId="7A0CED9E" w14:textId="77777777" w:rsidTr="00654A37">
        <w:trPr>
          <w:cantSplit/>
          <w:trHeight w:val="590"/>
          <w:jc w:val="center"/>
        </w:trPr>
        <w:tc>
          <w:tcPr>
            <w:tcW w:w="452" w:type="dxa"/>
            <w:vMerge w:val="restart"/>
            <w:tcBorders>
              <w:top w:val="dashed"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49F87554" w14:textId="2392B2BB" w:rsidR="00A45898" w:rsidRPr="00B1453E" w:rsidRDefault="00A45898" w:rsidP="00A45898">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Niton XL3t</w:t>
            </w:r>
          </w:p>
        </w:tc>
        <w:tc>
          <w:tcPr>
            <w:tcW w:w="1728" w:type="dxa"/>
            <w:tcBorders>
              <w:top w:val="dashed" w:sz="4" w:space="0" w:color="auto"/>
              <w:left w:val="single" w:sz="4" w:space="0" w:color="auto"/>
              <w:bottom w:val="nil"/>
              <w:right w:val="nil"/>
            </w:tcBorders>
            <w:shd w:val="clear" w:color="auto" w:fill="auto"/>
            <w:noWrap/>
            <w:vAlign w:val="center"/>
          </w:tcPr>
          <w:p w14:paraId="5BBA05E2" w14:textId="69D02ABB"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Pellet</w:t>
            </w:r>
          </w:p>
        </w:tc>
        <w:tc>
          <w:tcPr>
            <w:tcW w:w="720" w:type="dxa"/>
            <w:tcBorders>
              <w:top w:val="dashed" w:sz="4" w:space="0" w:color="auto"/>
              <w:left w:val="nil"/>
              <w:right w:val="dashed" w:sz="4" w:space="0" w:color="auto"/>
            </w:tcBorders>
            <w:vAlign w:val="center"/>
          </w:tcPr>
          <w:p w14:paraId="66970F0A" w14:textId="2DF19CB3" w:rsidR="00A45898" w:rsidRPr="00A45898" w:rsidRDefault="00A45898" w:rsidP="00A45898">
            <w:pPr>
              <w:spacing w:line="240" w:lineRule="auto"/>
              <w:rPr>
                <w:rFonts w:eastAsia="Times New Roman" w:cs="Times New Roman"/>
                <w:i/>
                <w:iCs/>
                <w:color w:val="000000"/>
                <w:sz w:val="20"/>
                <w:szCs w:val="20"/>
              </w:rPr>
            </w:pPr>
            <w:r w:rsidRPr="00A45898">
              <w:rPr>
                <w:rFonts w:eastAsia="Times New Roman" w:cs="Times New Roman"/>
                <w:i/>
                <w:iCs/>
                <w:color w:val="000000"/>
                <w:sz w:val="20"/>
                <w:szCs w:val="20"/>
              </w:rPr>
              <w:t>18</w:t>
            </w:r>
          </w:p>
        </w:tc>
        <w:tc>
          <w:tcPr>
            <w:tcW w:w="1152" w:type="dxa"/>
            <w:tcBorders>
              <w:top w:val="dashed" w:sz="4" w:space="0" w:color="auto"/>
              <w:left w:val="dashed" w:sz="4" w:space="0" w:color="auto"/>
            </w:tcBorders>
            <w:shd w:val="clear" w:color="auto" w:fill="auto"/>
            <w:noWrap/>
            <w:vAlign w:val="center"/>
          </w:tcPr>
          <w:p w14:paraId="0A809E4C" w14:textId="7D55FB4F" w:rsidR="00A45898" w:rsidRPr="008E61F5" w:rsidRDefault="00A45898" w:rsidP="00A45898">
            <w:pPr>
              <w:spacing w:line="240" w:lineRule="auto"/>
              <w:rPr>
                <w:rFonts w:eastAsia="Times New Roman" w:cs="Times New Roman"/>
                <w:b/>
                <w:bCs/>
                <w:i/>
                <w:iCs/>
                <w:color w:val="000000"/>
                <w:sz w:val="20"/>
                <w:szCs w:val="20"/>
              </w:rPr>
            </w:pPr>
            <w:r w:rsidRPr="008E61F5">
              <w:rPr>
                <w:rFonts w:eastAsia="Times New Roman" w:cs="Times New Roman"/>
                <w:b/>
                <w:bCs/>
                <w:i/>
                <w:iCs/>
                <w:color w:val="000000"/>
                <w:sz w:val="20"/>
                <w:szCs w:val="20"/>
              </w:rPr>
              <w:t>0.064</w:t>
            </w:r>
          </w:p>
        </w:tc>
        <w:tc>
          <w:tcPr>
            <w:tcW w:w="1152" w:type="dxa"/>
            <w:tcBorders>
              <w:top w:val="dashed" w:sz="4" w:space="0" w:color="auto"/>
              <w:right w:val="dashed" w:sz="4" w:space="0" w:color="auto"/>
            </w:tcBorders>
            <w:shd w:val="clear" w:color="auto" w:fill="auto"/>
            <w:vAlign w:val="center"/>
          </w:tcPr>
          <w:p w14:paraId="0345925E" w14:textId="09B50708" w:rsidR="00A45898" w:rsidRPr="008E61F5" w:rsidRDefault="00A45898" w:rsidP="00A45898">
            <w:pPr>
              <w:spacing w:line="240" w:lineRule="auto"/>
              <w:rPr>
                <w:rFonts w:eastAsia="Times New Roman" w:cs="Times New Roman"/>
                <w:b/>
                <w:bCs/>
                <w:i/>
                <w:iCs/>
                <w:color w:val="000000"/>
                <w:sz w:val="20"/>
                <w:szCs w:val="20"/>
              </w:rPr>
            </w:pPr>
            <w:r w:rsidRPr="008E61F5">
              <w:rPr>
                <w:rFonts w:eastAsia="Times New Roman" w:cs="Times New Roman"/>
                <w:b/>
                <w:bCs/>
                <w:i/>
                <w:iCs/>
                <w:color w:val="000000"/>
                <w:sz w:val="20"/>
                <w:szCs w:val="20"/>
              </w:rPr>
              <w:t>0.003</w:t>
            </w:r>
          </w:p>
        </w:tc>
        <w:tc>
          <w:tcPr>
            <w:tcW w:w="1152" w:type="dxa"/>
            <w:tcBorders>
              <w:top w:val="dashed" w:sz="4" w:space="0" w:color="auto"/>
              <w:left w:val="dashed" w:sz="4" w:space="0" w:color="auto"/>
            </w:tcBorders>
            <w:shd w:val="clear" w:color="auto" w:fill="auto"/>
            <w:noWrap/>
            <w:vAlign w:val="center"/>
          </w:tcPr>
          <w:p w14:paraId="1F0CE1F0" w14:textId="01F3BD44" w:rsidR="00A45898" w:rsidRPr="008E61F5" w:rsidRDefault="00A45898" w:rsidP="00A45898">
            <w:pPr>
              <w:spacing w:line="240" w:lineRule="auto"/>
              <w:rPr>
                <w:rFonts w:eastAsia="Times New Roman" w:cs="Times New Roman"/>
                <w:b/>
                <w:bCs/>
                <w:i/>
                <w:iCs/>
                <w:color w:val="000000"/>
                <w:sz w:val="20"/>
                <w:szCs w:val="20"/>
              </w:rPr>
            </w:pPr>
            <w:r w:rsidRPr="008E61F5">
              <w:rPr>
                <w:rFonts w:eastAsia="Times New Roman" w:cs="Times New Roman"/>
                <w:b/>
                <w:bCs/>
                <w:i/>
                <w:iCs/>
                <w:color w:val="000000"/>
                <w:sz w:val="20"/>
                <w:szCs w:val="20"/>
              </w:rPr>
              <w:t>1.794</w:t>
            </w:r>
          </w:p>
        </w:tc>
        <w:tc>
          <w:tcPr>
            <w:tcW w:w="1152" w:type="dxa"/>
            <w:tcBorders>
              <w:top w:val="dashed" w:sz="4" w:space="0" w:color="auto"/>
            </w:tcBorders>
            <w:shd w:val="clear" w:color="auto" w:fill="auto"/>
            <w:vAlign w:val="center"/>
          </w:tcPr>
          <w:p w14:paraId="4C447A19" w14:textId="28F76D5D" w:rsidR="00A45898" w:rsidRPr="008E61F5" w:rsidRDefault="00A45898" w:rsidP="00A45898">
            <w:pPr>
              <w:spacing w:line="240" w:lineRule="auto"/>
              <w:rPr>
                <w:rFonts w:eastAsia="Times New Roman" w:cs="Times New Roman"/>
                <w:b/>
                <w:bCs/>
                <w:i/>
                <w:iCs/>
                <w:color w:val="000000"/>
                <w:sz w:val="20"/>
                <w:szCs w:val="20"/>
              </w:rPr>
            </w:pPr>
            <w:r w:rsidRPr="008E61F5">
              <w:rPr>
                <w:rFonts w:eastAsia="Times New Roman" w:cs="Times New Roman"/>
                <w:b/>
                <w:bCs/>
                <w:i/>
                <w:iCs/>
                <w:color w:val="000000"/>
                <w:sz w:val="20"/>
                <w:szCs w:val="20"/>
              </w:rPr>
              <w:t>0.066</w:t>
            </w:r>
          </w:p>
        </w:tc>
      </w:tr>
      <w:tr w:rsidR="00A45898" w:rsidRPr="00B1453E" w14:paraId="28C587B4" w14:textId="77777777" w:rsidTr="00A45898">
        <w:trPr>
          <w:trHeight w:val="590"/>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5D04ACC0" w14:textId="31B30B0F" w:rsidR="00A45898" w:rsidRPr="00B1453E" w:rsidRDefault="00A45898" w:rsidP="00922A9D">
            <w:pPr>
              <w:spacing w:line="240" w:lineRule="auto"/>
              <w:rPr>
                <w:rFonts w:eastAsia="Times New Roman" w:cs="Times New Roman"/>
                <w:i/>
                <w:iCs/>
                <w:color w:val="000000"/>
                <w:sz w:val="20"/>
                <w:szCs w:val="20"/>
              </w:rPr>
            </w:pPr>
          </w:p>
        </w:tc>
        <w:tc>
          <w:tcPr>
            <w:tcW w:w="1728" w:type="dxa"/>
            <w:tcBorders>
              <w:top w:val="nil"/>
              <w:left w:val="single" w:sz="4" w:space="0" w:color="auto"/>
              <w:bottom w:val="single" w:sz="4" w:space="0" w:color="auto"/>
              <w:right w:val="nil"/>
            </w:tcBorders>
            <w:shd w:val="clear" w:color="auto" w:fill="F2F2F2" w:themeFill="background1" w:themeFillShade="F2"/>
            <w:noWrap/>
            <w:vAlign w:val="center"/>
          </w:tcPr>
          <w:p w14:paraId="17642063" w14:textId="2605FE48"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Powder</w:t>
            </w:r>
          </w:p>
        </w:tc>
        <w:tc>
          <w:tcPr>
            <w:tcW w:w="720" w:type="dxa"/>
            <w:tcBorders>
              <w:left w:val="nil"/>
              <w:bottom w:val="single" w:sz="4" w:space="0" w:color="auto"/>
              <w:right w:val="dashed" w:sz="4" w:space="0" w:color="auto"/>
            </w:tcBorders>
            <w:shd w:val="clear" w:color="auto" w:fill="F2F2F2" w:themeFill="background1" w:themeFillShade="F2"/>
            <w:vAlign w:val="center"/>
          </w:tcPr>
          <w:p w14:paraId="59AE10C6" w14:textId="29154CA8" w:rsidR="00A45898" w:rsidRPr="00A45898" w:rsidRDefault="00A45898" w:rsidP="00A45898">
            <w:pPr>
              <w:spacing w:line="240" w:lineRule="auto"/>
              <w:rPr>
                <w:rFonts w:eastAsia="Times New Roman" w:cs="Times New Roman"/>
                <w:i/>
                <w:iCs/>
                <w:color w:val="000000"/>
                <w:sz w:val="20"/>
                <w:szCs w:val="20"/>
              </w:rPr>
            </w:pPr>
            <w:r w:rsidRPr="00A45898">
              <w:rPr>
                <w:rFonts w:eastAsia="Times New Roman" w:cs="Times New Roman"/>
                <w:i/>
                <w:iCs/>
                <w:color w:val="000000"/>
                <w:sz w:val="20"/>
                <w:szCs w:val="20"/>
              </w:rPr>
              <w:t>18</w:t>
            </w:r>
          </w:p>
        </w:tc>
        <w:tc>
          <w:tcPr>
            <w:tcW w:w="1152" w:type="dxa"/>
            <w:tcBorders>
              <w:left w:val="dashed" w:sz="4" w:space="0" w:color="auto"/>
              <w:bottom w:val="single" w:sz="4" w:space="0" w:color="auto"/>
            </w:tcBorders>
            <w:shd w:val="clear" w:color="auto" w:fill="F2F2F2" w:themeFill="background1" w:themeFillShade="F2"/>
            <w:noWrap/>
            <w:vAlign w:val="center"/>
          </w:tcPr>
          <w:p w14:paraId="773B393F" w14:textId="4C28F0E3"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0.099</w:t>
            </w:r>
          </w:p>
        </w:tc>
        <w:tc>
          <w:tcPr>
            <w:tcW w:w="1152" w:type="dxa"/>
            <w:tcBorders>
              <w:bottom w:val="single" w:sz="4" w:space="0" w:color="auto"/>
              <w:right w:val="dashed" w:sz="4" w:space="0" w:color="auto"/>
            </w:tcBorders>
            <w:shd w:val="clear" w:color="auto" w:fill="F2F2F2" w:themeFill="background1" w:themeFillShade="F2"/>
            <w:vAlign w:val="center"/>
          </w:tcPr>
          <w:p w14:paraId="36102A70" w14:textId="56A8713F" w:rsidR="00A45898" w:rsidRPr="00A03DAC"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0.005</w:t>
            </w:r>
          </w:p>
        </w:tc>
        <w:tc>
          <w:tcPr>
            <w:tcW w:w="1152" w:type="dxa"/>
            <w:tcBorders>
              <w:left w:val="dashed" w:sz="4" w:space="0" w:color="auto"/>
              <w:bottom w:val="single" w:sz="4" w:space="0" w:color="auto"/>
            </w:tcBorders>
            <w:shd w:val="clear" w:color="auto" w:fill="F2F2F2" w:themeFill="background1" w:themeFillShade="F2"/>
            <w:noWrap/>
            <w:vAlign w:val="center"/>
          </w:tcPr>
          <w:p w14:paraId="2538CA9A" w14:textId="0C3A3CEB" w:rsidR="00A45898" w:rsidRPr="008E61F5" w:rsidRDefault="00A45898" w:rsidP="00A45898">
            <w:pPr>
              <w:spacing w:line="240" w:lineRule="auto"/>
              <w:rPr>
                <w:rFonts w:eastAsia="Times New Roman" w:cs="Times New Roman"/>
                <w:i/>
                <w:iCs/>
                <w:color w:val="000000"/>
                <w:sz w:val="20"/>
                <w:szCs w:val="20"/>
              </w:rPr>
            </w:pPr>
            <w:r w:rsidRPr="008E61F5">
              <w:rPr>
                <w:rFonts w:eastAsia="Times New Roman" w:cs="Times New Roman"/>
                <w:i/>
                <w:iCs/>
                <w:color w:val="000000"/>
                <w:sz w:val="20"/>
                <w:szCs w:val="20"/>
              </w:rPr>
              <w:t>2.800</w:t>
            </w:r>
          </w:p>
        </w:tc>
        <w:tc>
          <w:tcPr>
            <w:tcW w:w="1152" w:type="dxa"/>
            <w:tcBorders>
              <w:bottom w:val="single" w:sz="4" w:space="0" w:color="auto"/>
            </w:tcBorders>
            <w:shd w:val="clear" w:color="auto" w:fill="F2F2F2" w:themeFill="background1" w:themeFillShade="F2"/>
            <w:vAlign w:val="center"/>
          </w:tcPr>
          <w:p w14:paraId="0EC14D77" w14:textId="30DED526" w:rsidR="00A45898" w:rsidRPr="008E61F5" w:rsidRDefault="00A45898" w:rsidP="00A45898">
            <w:pPr>
              <w:spacing w:line="240" w:lineRule="auto"/>
              <w:rPr>
                <w:rFonts w:eastAsia="Times New Roman" w:cs="Times New Roman"/>
                <w:i/>
                <w:iCs/>
                <w:color w:val="000000"/>
                <w:sz w:val="20"/>
                <w:szCs w:val="20"/>
              </w:rPr>
            </w:pPr>
            <w:r w:rsidRPr="008E61F5">
              <w:rPr>
                <w:rFonts w:eastAsia="Times New Roman" w:cs="Times New Roman"/>
                <w:i/>
                <w:iCs/>
                <w:color w:val="000000"/>
                <w:sz w:val="20"/>
                <w:szCs w:val="20"/>
              </w:rPr>
              <w:t>0.096</w:t>
            </w:r>
          </w:p>
        </w:tc>
      </w:tr>
    </w:tbl>
    <w:p w14:paraId="40290E7C" w14:textId="77777777" w:rsidR="00922A9D" w:rsidRDefault="00922A9D" w:rsidP="00922A9D">
      <w:pPr>
        <w:jc w:val="both"/>
        <w:rPr>
          <w:rFonts w:eastAsiaTheme="minorEastAsia"/>
          <w:b/>
        </w:rPr>
      </w:pPr>
    </w:p>
    <w:p w14:paraId="2A416F01" w14:textId="77777777" w:rsidR="00A45898" w:rsidRDefault="00A45898" w:rsidP="00922A9D">
      <w:pPr>
        <w:jc w:val="both"/>
        <w:rPr>
          <w:rFonts w:eastAsiaTheme="minorEastAsia"/>
          <w:b/>
        </w:rPr>
      </w:pPr>
    </w:p>
    <w:p w14:paraId="26B8A4F7" w14:textId="6C4EAF95" w:rsidR="00D148B5" w:rsidRDefault="001528E7" w:rsidP="00E213DE">
      <w:pPr>
        <w:ind w:left="720" w:firstLine="720"/>
        <w:jc w:val="both"/>
        <w:rPr>
          <w:rFonts w:eastAsiaTheme="minorEastAsia"/>
          <w:bCs/>
        </w:rPr>
      </w:pPr>
      <w:r>
        <w:rPr>
          <w:rFonts w:eastAsiaTheme="minorEastAsia"/>
          <w:bCs/>
        </w:rPr>
        <w:t>The results from the SGB analysis</w:t>
      </w:r>
      <w:r w:rsidR="00305D31">
        <w:rPr>
          <w:rFonts w:eastAsiaTheme="minorEastAsia"/>
          <w:bCs/>
        </w:rPr>
        <w:t xml:space="preserve"> sharply</w:t>
      </w:r>
      <w:r w:rsidR="00563762">
        <w:rPr>
          <w:rFonts w:eastAsiaTheme="minorEastAsia"/>
          <w:bCs/>
        </w:rPr>
        <w:t xml:space="preserve"> </w:t>
      </w:r>
      <w:r w:rsidR="00305D31">
        <w:rPr>
          <w:rFonts w:eastAsiaTheme="minorEastAsia"/>
          <w:bCs/>
        </w:rPr>
        <w:t>contrast</w:t>
      </w:r>
      <w:r>
        <w:rPr>
          <w:rFonts w:eastAsiaTheme="minorEastAsia"/>
          <w:bCs/>
        </w:rPr>
        <w:t>s</w:t>
      </w:r>
      <w:r w:rsidR="008606CC">
        <w:rPr>
          <w:rFonts w:eastAsiaTheme="minorEastAsia"/>
          <w:bCs/>
        </w:rPr>
        <w:t xml:space="preserve"> those of the OHC samples</w:t>
      </w:r>
      <w:r w:rsidR="00305D31">
        <w:rPr>
          <w:rFonts w:eastAsiaTheme="minorEastAsia"/>
          <w:bCs/>
        </w:rPr>
        <w:t xml:space="preserve"> in terms of</w:t>
      </w:r>
      <w:r w:rsidR="00563762">
        <w:rPr>
          <w:rFonts w:eastAsiaTheme="minorEastAsia"/>
          <w:bCs/>
        </w:rPr>
        <w:t xml:space="preserve"> accuracy.</w:t>
      </w:r>
      <w:r w:rsidR="008606CC">
        <w:rPr>
          <w:rFonts w:eastAsiaTheme="minorEastAsia"/>
          <w:bCs/>
        </w:rPr>
        <w:t xml:space="preserve"> </w:t>
      </w:r>
      <w:r w:rsidR="00305D31">
        <w:rPr>
          <w:rFonts w:eastAsiaTheme="minorEastAsia"/>
          <w:bCs/>
        </w:rPr>
        <w:t xml:space="preserve">They agree, however, regarding precision. These results can be seen in </w:t>
      </w:r>
      <w:r w:rsidR="00305D31">
        <w:rPr>
          <w:rFonts w:eastAsiaTheme="minorEastAsia"/>
          <w:bCs/>
        </w:rPr>
        <w:fldChar w:fldCharType="begin"/>
      </w:r>
      <w:r w:rsidR="00305D31">
        <w:rPr>
          <w:rFonts w:eastAsiaTheme="minorEastAsia"/>
          <w:bCs/>
        </w:rPr>
        <w:instrText xml:space="preserve"> REF _Ref443235830 \h </w:instrText>
      </w:r>
      <w:r w:rsidR="00305D31">
        <w:rPr>
          <w:rFonts w:eastAsiaTheme="minorEastAsia"/>
          <w:bCs/>
        </w:rPr>
      </w:r>
      <w:r w:rsidR="00305D31">
        <w:rPr>
          <w:rFonts w:eastAsiaTheme="minorEastAsia"/>
          <w:bCs/>
        </w:rPr>
        <w:fldChar w:fldCharType="separate"/>
      </w:r>
      <w:r w:rsidR="00E90148">
        <w:t xml:space="preserve">Table </w:t>
      </w:r>
      <w:r w:rsidR="00E90148">
        <w:rPr>
          <w:noProof/>
        </w:rPr>
        <w:t>14</w:t>
      </w:r>
      <w:r w:rsidR="00305D31">
        <w:rPr>
          <w:rFonts w:eastAsiaTheme="minorEastAsia"/>
          <w:bCs/>
        </w:rPr>
        <w:fldChar w:fldCharType="end"/>
      </w:r>
      <w:r w:rsidR="00305D31">
        <w:rPr>
          <w:rFonts w:eastAsiaTheme="minorEastAsia"/>
          <w:bCs/>
        </w:rPr>
        <w:t>. The negligible changes in COV</w:t>
      </w:r>
      <w:r w:rsidR="00305D31">
        <w:rPr>
          <w:rFonts w:eastAsiaTheme="minorEastAsia"/>
          <w:bCs/>
          <w:vertAlign w:val="subscript"/>
        </w:rPr>
        <w:t>STDEV</w:t>
      </w:r>
      <w:r w:rsidR="00305D31">
        <w:rPr>
          <w:rFonts w:eastAsiaTheme="minorEastAsia"/>
          <w:bCs/>
        </w:rPr>
        <w:t xml:space="preserve"> for both instruments once again confirm that sample type plays little to no role in the </w:t>
      </w:r>
      <w:r w:rsidR="00305D31">
        <w:rPr>
          <w:rFonts w:eastAsiaTheme="minorEastAsia"/>
          <w:bCs/>
        </w:rPr>
        <w:lastRenderedPageBreak/>
        <w:t xml:space="preserve">precision of the PHXRF instruments. The conflict in results occurs in the </w:t>
      </w:r>
      <w:r w:rsidR="00672100">
        <w:rPr>
          <w:rFonts w:eastAsiaTheme="minorEastAsia"/>
          <w:bCs/>
        </w:rPr>
        <w:t>RMSD</w:t>
      </w:r>
      <w:r w:rsidR="00305D31">
        <w:rPr>
          <w:rFonts w:eastAsiaTheme="minorEastAsia"/>
          <w:bCs/>
        </w:rPr>
        <w:t xml:space="preserve"> and </w:t>
      </w:r>
      <w:r w:rsidR="00672100">
        <w:rPr>
          <w:rFonts w:eastAsiaTheme="minorEastAsia"/>
          <w:bCs/>
        </w:rPr>
        <w:t>COV</w:t>
      </w:r>
      <w:r w:rsidR="00672100">
        <w:rPr>
          <w:rFonts w:eastAsiaTheme="minorEastAsia"/>
          <w:bCs/>
          <w:vertAlign w:val="subscript"/>
        </w:rPr>
        <w:t>RMSD</w:t>
      </w:r>
      <w:r w:rsidR="00672100">
        <w:rPr>
          <w:rFonts w:eastAsiaTheme="minorEastAsia"/>
          <w:bCs/>
        </w:rPr>
        <w:t xml:space="preserve"> for bo</w:t>
      </w:r>
      <w:r w:rsidR="004E49BA">
        <w:rPr>
          <w:rFonts w:eastAsiaTheme="minorEastAsia"/>
          <w:bCs/>
        </w:rPr>
        <w:t>th instruments</w:t>
      </w:r>
      <w:r w:rsidR="00305D31">
        <w:rPr>
          <w:rFonts w:eastAsiaTheme="minorEastAsia"/>
          <w:bCs/>
        </w:rPr>
        <w:t xml:space="preserve">. </w:t>
      </w:r>
      <w:r>
        <w:rPr>
          <w:rFonts w:eastAsiaTheme="minorEastAsia"/>
          <w:bCs/>
        </w:rPr>
        <w:t>For the SGB samples, accuracy is improved when using powder samples</w:t>
      </w:r>
      <w:r w:rsidR="00D148B5">
        <w:rPr>
          <w:rFonts w:eastAsiaTheme="minorEastAsia"/>
          <w:bCs/>
        </w:rPr>
        <w:t>, as is indicated by the decrease in RMSD and COV</w:t>
      </w:r>
      <w:r w:rsidR="00D148B5">
        <w:rPr>
          <w:rFonts w:eastAsiaTheme="minorEastAsia"/>
          <w:bCs/>
          <w:vertAlign w:val="subscript"/>
        </w:rPr>
        <w:t>RMSD</w:t>
      </w:r>
      <w:r w:rsidR="00D148B5">
        <w:rPr>
          <w:rFonts w:eastAsiaTheme="minorEastAsia"/>
          <w:bCs/>
        </w:rPr>
        <w:t>.</w:t>
      </w:r>
      <w:r w:rsidR="00F31DF8">
        <w:rPr>
          <w:rFonts w:eastAsiaTheme="minorEastAsia"/>
          <w:bCs/>
        </w:rPr>
        <w:t xml:space="preserve"> </w:t>
      </w:r>
      <w:r w:rsidR="00D148B5">
        <w:rPr>
          <w:rFonts w:eastAsiaTheme="minorEastAsia"/>
          <w:bCs/>
        </w:rPr>
        <w:t xml:space="preserve">The results of both devices </w:t>
      </w:r>
      <w:r w:rsidR="00696A43">
        <w:rPr>
          <w:rFonts w:eastAsiaTheme="minorEastAsia"/>
          <w:bCs/>
        </w:rPr>
        <w:t xml:space="preserve">on the SGB samples </w:t>
      </w:r>
      <w:r w:rsidR="00E213DE">
        <w:rPr>
          <w:rFonts w:eastAsiaTheme="minorEastAsia"/>
          <w:bCs/>
        </w:rPr>
        <w:t>suggest</w:t>
      </w:r>
      <w:r w:rsidR="00D148B5">
        <w:rPr>
          <w:rFonts w:eastAsiaTheme="minorEastAsia"/>
          <w:bCs/>
        </w:rPr>
        <w:t xml:space="preserve"> that powder samples produce more accurate results than their pressed pellet counterparts, again conflicting with the OHC results and the literature.</w:t>
      </w:r>
    </w:p>
    <w:p w14:paraId="47844385" w14:textId="77777777" w:rsidR="00803601" w:rsidRDefault="00803601" w:rsidP="006B7989">
      <w:pPr>
        <w:ind w:left="720" w:firstLine="720"/>
        <w:jc w:val="both"/>
        <w:rPr>
          <w:rFonts w:eastAsiaTheme="minorEastAsia"/>
          <w:bCs/>
        </w:rPr>
      </w:pPr>
    </w:p>
    <w:p w14:paraId="2D32088D" w14:textId="334AFA36" w:rsidR="00922A9D" w:rsidRDefault="00922A9D" w:rsidP="00ED1BD6">
      <w:pPr>
        <w:pStyle w:val="Caption"/>
        <w:spacing w:line="480" w:lineRule="auto"/>
        <w:ind w:left="1080" w:right="936"/>
      </w:pPr>
      <w:bookmarkStart w:id="96" w:name="_Ref443235830"/>
      <w:bookmarkStart w:id="97" w:name="_Toc447755334"/>
      <w:r>
        <w:t xml:space="preserve">Table </w:t>
      </w:r>
      <w:r w:rsidR="00184FC2">
        <w:fldChar w:fldCharType="begin"/>
      </w:r>
      <w:r w:rsidR="00184FC2">
        <w:instrText xml:space="preserve"> SEQ Table \* ARABIC </w:instrText>
      </w:r>
      <w:r w:rsidR="00184FC2">
        <w:fldChar w:fldCharType="separate"/>
      </w:r>
      <w:r w:rsidR="00E90148">
        <w:rPr>
          <w:noProof/>
        </w:rPr>
        <w:t>14</w:t>
      </w:r>
      <w:r w:rsidR="00184FC2">
        <w:rPr>
          <w:noProof/>
        </w:rPr>
        <w:fldChar w:fldCharType="end"/>
      </w:r>
      <w:bookmarkEnd w:id="96"/>
      <w:r>
        <w:t>: Effects of Sample Type on STDEV, COV</w:t>
      </w:r>
      <w:r>
        <w:rPr>
          <w:vertAlign w:val="subscript"/>
        </w:rPr>
        <w:t>STDEV</w:t>
      </w:r>
      <w:r>
        <w:t>,</w:t>
      </w:r>
      <w:r w:rsidR="00ED1BD6">
        <w:t xml:space="preserve"> </w:t>
      </w:r>
      <w:r>
        <w:t>RMSD, and COV</w:t>
      </w:r>
      <w:r>
        <w:rPr>
          <w:vertAlign w:val="subscript"/>
        </w:rPr>
        <w:t>RMSD</w:t>
      </w:r>
      <w:r>
        <w:t xml:space="preserve"> for SGB Samples</w:t>
      </w:r>
      <w:bookmarkEnd w:id="97"/>
    </w:p>
    <w:tbl>
      <w:tblPr>
        <w:tblW w:w="750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2"/>
        <w:gridCol w:w="1728"/>
        <w:gridCol w:w="720"/>
        <w:gridCol w:w="1152"/>
        <w:gridCol w:w="1152"/>
        <w:gridCol w:w="1152"/>
        <w:gridCol w:w="1152"/>
      </w:tblGrid>
      <w:tr w:rsidR="00A45898" w:rsidRPr="00B1453E" w14:paraId="31756346" w14:textId="77777777" w:rsidTr="007D612A">
        <w:trPr>
          <w:trHeight w:val="600"/>
          <w:jc w:val="center"/>
        </w:trPr>
        <w:tc>
          <w:tcPr>
            <w:tcW w:w="452" w:type="dxa"/>
            <w:tcBorders>
              <w:top w:val="nil"/>
              <w:left w:val="nil"/>
              <w:bottom w:val="single" w:sz="4" w:space="0" w:color="auto"/>
              <w:right w:val="single" w:sz="4" w:space="0" w:color="auto"/>
            </w:tcBorders>
            <w:shd w:val="clear" w:color="auto" w:fill="auto"/>
            <w:vAlign w:val="center"/>
          </w:tcPr>
          <w:p w14:paraId="28DE3D75" w14:textId="77777777" w:rsidR="00A45898" w:rsidRPr="00B1453E" w:rsidRDefault="00A45898" w:rsidP="007D612A">
            <w:pPr>
              <w:spacing w:line="240" w:lineRule="auto"/>
              <w:rPr>
                <w:rFonts w:eastAsia="Times New Roman" w:cs="Times New Roman"/>
                <w:i/>
                <w:iCs/>
                <w:color w:val="000000"/>
                <w:sz w:val="22"/>
                <w:szCs w:val="22"/>
              </w:rPr>
            </w:pPr>
          </w:p>
        </w:tc>
        <w:tc>
          <w:tcPr>
            <w:tcW w:w="172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0E87B9B" w14:textId="77777777" w:rsidR="00A45898" w:rsidRPr="00B1453E" w:rsidRDefault="00A45898"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Sample Type</w:t>
            </w:r>
          </w:p>
        </w:tc>
        <w:tc>
          <w:tcPr>
            <w:tcW w:w="720" w:type="dxa"/>
            <w:tcBorders>
              <w:top w:val="single" w:sz="4" w:space="0" w:color="auto"/>
              <w:left w:val="nil"/>
              <w:bottom w:val="single" w:sz="4" w:space="0" w:color="auto"/>
              <w:right w:val="nil"/>
            </w:tcBorders>
            <w:shd w:val="clear" w:color="auto" w:fill="BFBFBF" w:themeFill="background1" w:themeFillShade="BF"/>
            <w:vAlign w:val="center"/>
          </w:tcPr>
          <w:p w14:paraId="21DADBCD" w14:textId="77777777" w:rsidR="00A45898" w:rsidRDefault="00A45898"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642F0FED" w14:textId="77777777" w:rsidR="00A45898" w:rsidRPr="00B1453E" w:rsidRDefault="00A45898"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B1453E">
              <w:rPr>
                <w:rFonts w:eastAsia="Times New Roman" w:cs="Times New Roman"/>
                <w:i/>
                <w:iCs/>
                <w:color w:val="000000"/>
                <w:sz w:val="22"/>
                <w:szCs w:val="22"/>
              </w:rPr>
              <w:t xml:space="preserve">    </w:t>
            </w:r>
            <w:r>
              <w:rPr>
                <w:rFonts w:eastAsia="Times New Roman" w:cs="Times New Roman"/>
                <w:i/>
                <w:iCs/>
                <w:color w:val="000000"/>
                <w:sz w:val="22"/>
                <w:szCs w:val="22"/>
              </w:rPr>
              <w:t xml:space="preserve">              </w:t>
            </w:r>
            <w:r w:rsidRPr="00B1453E">
              <w:rPr>
                <w:rFonts w:eastAsia="Times New Roman" w:cs="Times New Roman"/>
                <w:i/>
                <w:iCs/>
                <w:color w:val="000000"/>
                <w:sz w:val="22"/>
                <w:szCs w:val="22"/>
              </w:rPr>
              <w:t>(%)</w:t>
            </w:r>
          </w:p>
        </w:tc>
        <w:tc>
          <w:tcPr>
            <w:tcW w:w="1152" w:type="dxa"/>
            <w:tcBorders>
              <w:top w:val="single" w:sz="4" w:space="0" w:color="auto"/>
              <w:left w:val="nil"/>
              <w:bottom w:val="single" w:sz="4" w:space="0" w:color="auto"/>
              <w:right w:val="nil"/>
            </w:tcBorders>
            <w:shd w:val="clear" w:color="auto" w:fill="BFBFBF" w:themeFill="background1" w:themeFillShade="BF"/>
            <w:vAlign w:val="center"/>
          </w:tcPr>
          <w:p w14:paraId="7C82E9BC" w14:textId="77777777" w:rsidR="00A45898" w:rsidRPr="00B1453E" w:rsidRDefault="00A45898"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454DCE0D" w14:textId="77777777" w:rsidR="00A45898" w:rsidRPr="00B1453E" w:rsidRDefault="00A45898" w:rsidP="007D612A">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RMSD         (%)</w:t>
            </w:r>
          </w:p>
        </w:tc>
        <w:tc>
          <w:tcPr>
            <w:tcW w:w="115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E6B332" w14:textId="77777777" w:rsidR="00A45898" w:rsidRPr="00B1453E" w:rsidRDefault="00A45898"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p>
        </w:tc>
      </w:tr>
      <w:tr w:rsidR="00A45898" w:rsidRPr="00B1453E" w14:paraId="34D90C6B" w14:textId="77777777" w:rsidTr="00654A37">
        <w:trPr>
          <w:cantSplit/>
          <w:trHeight w:val="590"/>
          <w:jc w:val="center"/>
        </w:trPr>
        <w:tc>
          <w:tcPr>
            <w:tcW w:w="4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7F6E53A9" w14:textId="77777777" w:rsidR="00A45898" w:rsidRPr="00B1453E" w:rsidRDefault="00A45898" w:rsidP="00A45898">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S1 Titan</w:t>
            </w:r>
          </w:p>
        </w:tc>
        <w:tc>
          <w:tcPr>
            <w:tcW w:w="1728" w:type="dxa"/>
            <w:tcBorders>
              <w:top w:val="single" w:sz="4" w:space="0" w:color="auto"/>
              <w:left w:val="single" w:sz="4" w:space="0" w:color="auto"/>
              <w:bottom w:val="nil"/>
              <w:right w:val="nil"/>
            </w:tcBorders>
            <w:shd w:val="clear" w:color="auto" w:fill="auto"/>
            <w:noWrap/>
            <w:vAlign w:val="center"/>
            <w:hideMark/>
          </w:tcPr>
          <w:p w14:paraId="468C756D" w14:textId="77777777"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Pellet</w:t>
            </w:r>
          </w:p>
        </w:tc>
        <w:tc>
          <w:tcPr>
            <w:tcW w:w="720" w:type="dxa"/>
            <w:tcBorders>
              <w:top w:val="single" w:sz="4" w:space="0" w:color="auto"/>
              <w:left w:val="nil"/>
              <w:bottom w:val="nil"/>
              <w:right w:val="dashed" w:sz="4" w:space="0" w:color="auto"/>
            </w:tcBorders>
            <w:vAlign w:val="center"/>
          </w:tcPr>
          <w:p w14:paraId="1581BA55" w14:textId="0402AEA2" w:rsidR="00A45898" w:rsidRPr="00A45898"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280</w:t>
            </w:r>
          </w:p>
        </w:tc>
        <w:tc>
          <w:tcPr>
            <w:tcW w:w="1152" w:type="dxa"/>
            <w:tcBorders>
              <w:top w:val="single" w:sz="4" w:space="0" w:color="auto"/>
              <w:left w:val="dashed" w:sz="4" w:space="0" w:color="auto"/>
              <w:bottom w:val="nil"/>
            </w:tcBorders>
            <w:shd w:val="clear" w:color="auto" w:fill="auto"/>
            <w:noWrap/>
            <w:vAlign w:val="center"/>
            <w:hideMark/>
          </w:tcPr>
          <w:p w14:paraId="2CD5F94A" w14:textId="57A477F5" w:rsidR="00A45898" w:rsidRPr="00B1453E" w:rsidRDefault="00A45898" w:rsidP="00A45898">
            <w:pPr>
              <w:spacing w:line="240" w:lineRule="auto"/>
              <w:rPr>
                <w:rFonts w:eastAsia="Times New Roman" w:cs="Times New Roman"/>
                <w:i/>
                <w:iCs/>
                <w:color w:val="000000"/>
                <w:sz w:val="20"/>
                <w:szCs w:val="20"/>
              </w:rPr>
            </w:pPr>
            <w:r w:rsidRPr="008E61F5">
              <w:rPr>
                <w:rFonts w:eastAsia="Times New Roman" w:cs="Times New Roman"/>
                <w:b/>
                <w:bCs/>
                <w:i/>
                <w:iCs/>
                <w:color w:val="000000"/>
                <w:sz w:val="20"/>
                <w:szCs w:val="20"/>
              </w:rPr>
              <w:t>0.020</w:t>
            </w:r>
          </w:p>
        </w:tc>
        <w:tc>
          <w:tcPr>
            <w:tcW w:w="1152" w:type="dxa"/>
            <w:tcBorders>
              <w:top w:val="single" w:sz="4" w:space="0" w:color="auto"/>
              <w:bottom w:val="nil"/>
              <w:right w:val="dashed" w:sz="4" w:space="0" w:color="auto"/>
            </w:tcBorders>
            <w:shd w:val="clear" w:color="auto" w:fill="auto"/>
            <w:vAlign w:val="center"/>
          </w:tcPr>
          <w:p w14:paraId="27C95E61" w14:textId="5CCD0C2A" w:rsidR="00A45898" w:rsidRPr="008E61F5" w:rsidRDefault="00A45898" w:rsidP="00A45898">
            <w:pPr>
              <w:spacing w:line="240" w:lineRule="auto"/>
              <w:rPr>
                <w:rFonts w:eastAsia="Times New Roman" w:cs="Times New Roman"/>
                <w:b/>
                <w:bCs/>
                <w:i/>
                <w:iCs/>
                <w:color w:val="000000"/>
                <w:sz w:val="20"/>
                <w:szCs w:val="20"/>
              </w:rPr>
            </w:pPr>
            <w:r w:rsidRPr="00050F6A">
              <w:rPr>
                <w:rFonts w:eastAsia="Times New Roman" w:cs="Times New Roman"/>
                <w:b/>
                <w:bCs/>
                <w:i/>
                <w:iCs/>
                <w:color w:val="000000"/>
                <w:sz w:val="20"/>
                <w:szCs w:val="20"/>
              </w:rPr>
              <w:t>0.001</w:t>
            </w:r>
          </w:p>
        </w:tc>
        <w:tc>
          <w:tcPr>
            <w:tcW w:w="1152" w:type="dxa"/>
            <w:tcBorders>
              <w:top w:val="single" w:sz="4" w:space="0" w:color="auto"/>
              <w:left w:val="dashed" w:sz="4" w:space="0" w:color="auto"/>
              <w:bottom w:val="nil"/>
            </w:tcBorders>
            <w:shd w:val="clear" w:color="auto" w:fill="auto"/>
            <w:noWrap/>
            <w:vAlign w:val="center"/>
            <w:hideMark/>
          </w:tcPr>
          <w:p w14:paraId="7336888D" w14:textId="7E572B7B" w:rsidR="00A45898" w:rsidRPr="008E61F5" w:rsidRDefault="00A45898" w:rsidP="00A45898">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2.309</w:t>
            </w:r>
          </w:p>
        </w:tc>
        <w:tc>
          <w:tcPr>
            <w:tcW w:w="1152" w:type="dxa"/>
            <w:tcBorders>
              <w:top w:val="single" w:sz="4" w:space="0" w:color="auto"/>
              <w:bottom w:val="nil"/>
            </w:tcBorders>
            <w:shd w:val="clear" w:color="auto" w:fill="auto"/>
            <w:vAlign w:val="center"/>
          </w:tcPr>
          <w:p w14:paraId="0E2176D9" w14:textId="3F5D4EF9" w:rsidR="00A45898" w:rsidRPr="008E61F5" w:rsidRDefault="00A45898" w:rsidP="00A45898">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0.159</w:t>
            </w:r>
          </w:p>
        </w:tc>
      </w:tr>
      <w:tr w:rsidR="00A45898" w:rsidRPr="00B1453E" w14:paraId="17F4F6CC" w14:textId="77777777" w:rsidTr="00654A37">
        <w:trPr>
          <w:trHeight w:val="590"/>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05BE3772" w14:textId="77777777" w:rsidR="00A45898" w:rsidRPr="00B1453E" w:rsidRDefault="00A45898" w:rsidP="00A45898">
            <w:pPr>
              <w:spacing w:line="240" w:lineRule="auto"/>
              <w:rPr>
                <w:rFonts w:eastAsia="Times New Roman" w:cs="Times New Roman"/>
                <w:i/>
                <w:iCs/>
                <w:color w:val="000000"/>
                <w:sz w:val="20"/>
                <w:szCs w:val="20"/>
              </w:rPr>
            </w:pPr>
          </w:p>
        </w:tc>
        <w:tc>
          <w:tcPr>
            <w:tcW w:w="1728" w:type="dxa"/>
            <w:tcBorders>
              <w:top w:val="nil"/>
              <w:left w:val="single" w:sz="4" w:space="0" w:color="auto"/>
              <w:bottom w:val="dashed" w:sz="4" w:space="0" w:color="auto"/>
              <w:right w:val="nil"/>
            </w:tcBorders>
            <w:shd w:val="clear" w:color="auto" w:fill="F2F2F2" w:themeFill="background1" w:themeFillShade="F2"/>
            <w:noWrap/>
            <w:vAlign w:val="center"/>
            <w:hideMark/>
          </w:tcPr>
          <w:p w14:paraId="6D61CA55" w14:textId="77777777"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Powder</w:t>
            </w:r>
          </w:p>
        </w:tc>
        <w:tc>
          <w:tcPr>
            <w:tcW w:w="720" w:type="dxa"/>
            <w:tcBorders>
              <w:top w:val="nil"/>
              <w:left w:val="nil"/>
              <w:bottom w:val="dashed" w:sz="4" w:space="0" w:color="auto"/>
              <w:right w:val="dashed" w:sz="4" w:space="0" w:color="auto"/>
            </w:tcBorders>
            <w:shd w:val="clear" w:color="auto" w:fill="F2F2F2" w:themeFill="background1" w:themeFillShade="F2"/>
            <w:vAlign w:val="center"/>
          </w:tcPr>
          <w:p w14:paraId="5B9C0860" w14:textId="26450B05" w:rsidR="00A45898" w:rsidRPr="00A45898"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28</w:t>
            </w:r>
            <w:r w:rsidRPr="00A45898">
              <w:rPr>
                <w:rFonts w:eastAsia="Times New Roman" w:cs="Times New Roman"/>
                <w:i/>
                <w:iCs/>
                <w:color w:val="000000"/>
                <w:sz w:val="20"/>
                <w:szCs w:val="20"/>
              </w:rPr>
              <w:t>0</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0BFA417D" w14:textId="4182CB02" w:rsidR="00A45898" w:rsidRPr="008E61F5" w:rsidRDefault="00A45898" w:rsidP="00A45898">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0.035</w:t>
            </w:r>
          </w:p>
        </w:tc>
        <w:tc>
          <w:tcPr>
            <w:tcW w:w="1152" w:type="dxa"/>
            <w:tcBorders>
              <w:top w:val="nil"/>
              <w:bottom w:val="dashed" w:sz="4" w:space="0" w:color="auto"/>
              <w:right w:val="dashed" w:sz="4" w:space="0" w:color="auto"/>
            </w:tcBorders>
            <w:shd w:val="clear" w:color="auto" w:fill="F2F2F2" w:themeFill="background1" w:themeFillShade="F2"/>
            <w:vAlign w:val="center"/>
          </w:tcPr>
          <w:p w14:paraId="1AAF207E" w14:textId="57573AC3" w:rsidR="00A45898" w:rsidRPr="00050F6A" w:rsidRDefault="00A45898" w:rsidP="00A45898">
            <w:pPr>
              <w:spacing w:line="240" w:lineRule="auto"/>
              <w:rPr>
                <w:rFonts w:eastAsia="Times New Roman" w:cs="Times New Roman"/>
                <w:b/>
                <w:bCs/>
                <w:i/>
                <w:iCs/>
                <w:color w:val="000000"/>
                <w:sz w:val="20"/>
                <w:szCs w:val="20"/>
              </w:rPr>
            </w:pPr>
            <w:r w:rsidRPr="008E61F5">
              <w:rPr>
                <w:rFonts w:eastAsia="Times New Roman" w:cs="Times New Roman"/>
                <w:i/>
                <w:iCs/>
                <w:color w:val="000000"/>
                <w:sz w:val="20"/>
                <w:szCs w:val="20"/>
              </w:rPr>
              <w:t>0.003</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4B7E5192" w14:textId="767E437C" w:rsidR="00A45898" w:rsidRPr="008E61F5" w:rsidRDefault="00A45898" w:rsidP="00A45898">
            <w:pPr>
              <w:spacing w:line="240" w:lineRule="auto"/>
              <w:rPr>
                <w:rFonts w:eastAsia="Times New Roman" w:cs="Times New Roman"/>
                <w:i/>
                <w:iCs/>
                <w:color w:val="000000"/>
                <w:sz w:val="20"/>
                <w:szCs w:val="20"/>
              </w:rPr>
            </w:pPr>
            <w:r>
              <w:rPr>
                <w:rFonts w:eastAsia="Times New Roman" w:cs="Times New Roman"/>
                <w:b/>
                <w:bCs/>
                <w:i/>
                <w:iCs/>
                <w:color w:val="000000"/>
                <w:sz w:val="20"/>
                <w:szCs w:val="20"/>
              </w:rPr>
              <w:t>1.808</w:t>
            </w:r>
          </w:p>
        </w:tc>
        <w:tc>
          <w:tcPr>
            <w:tcW w:w="1152" w:type="dxa"/>
            <w:tcBorders>
              <w:top w:val="nil"/>
              <w:bottom w:val="dashed" w:sz="4" w:space="0" w:color="auto"/>
            </w:tcBorders>
            <w:shd w:val="clear" w:color="auto" w:fill="F2F2F2" w:themeFill="background1" w:themeFillShade="F2"/>
            <w:vAlign w:val="center"/>
          </w:tcPr>
          <w:p w14:paraId="480C3909" w14:textId="621C3272" w:rsidR="00A45898" w:rsidRPr="00B1453E" w:rsidRDefault="00A45898" w:rsidP="00A45898">
            <w:pPr>
              <w:spacing w:line="240" w:lineRule="auto"/>
              <w:rPr>
                <w:rFonts w:eastAsia="Times New Roman" w:cs="Times New Roman"/>
                <w:i/>
                <w:iCs/>
                <w:color w:val="000000"/>
                <w:sz w:val="20"/>
                <w:szCs w:val="20"/>
              </w:rPr>
            </w:pPr>
            <w:r w:rsidRPr="008E61F5">
              <w:rPr>
                <w:rFonts w:eastAsia="Times New Roman" w:cs="Times New Roman"/>
                <w:b/>
                <w:bCs/>
                <w:i/>
                <w:iCs/>
                <w:color w:val="000000"/>
                <w:sz w:val="20"/>
                <w:szCs w:val="20"/>
              </w:rPr>
              <w:t>0.145</w:t>
            </w:r>
          </w:p>
        </w:tc>
      </w:tr>
      <w:tr w:rsidR="00A45898" w:rsidRPr="00B1453E" w14:paraId="3C512231" w14:textId="77777777" w:rsidTr="00654A37">
        <w:trPr>
          <w:cantSplit/>
          <w:trHeight w:val="590"/>
          <w:jc w:val="center"/>
        </w:trPr>
        <w:tc>
          <w:tcPr>
            <w:tcW w:w="452" w:type="dxa"/>
            <w:vMerge w:val="restart"/>
            <w:tcBorders>
              <w:top w:val="dashed"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2BACB27F" w14:textId="77777777" w:rsidR="00A45898" w:rsidRPr="00B1453E" w:rsidRDefault="00A45898" w:rsidP="00A45898">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Niton XL3t</w:t>
            </w:r>
          </w:p>
        </w:tc>
        <w:tc>
          <w:tcPr>
            <w:tcW w:w="1728" w:type="dxa"/>
            <w:tcBorders>
              <w:top w:val="dashed" w:sz="4" w:space="0" w:color="auto"/>
              <w:left w:val="single" w:sz="4" w:space="0" w:color="auto"/>
              <w:bottom w:val="nil"/>
              <w:right w:val="nil"/>
            </w:tcBorders>
            <w:shd w:val="clear" w:color="auto" w:fill="auto"/>
            <w:noWrap/>
            <w:vAlign w:val="center"/>
          </w:tcPr>
          <w:p w14:paraId="1B48896E" w14:textId="77777777"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Pellet</w:t>
            </w:r>
          </w:p>
        </w:tc>
        <w:tc>
          <w:tcPr>
            <w:tcW w:w="720" w:type="dxa"/>
            <w:tcBorders>
              <w:top w:val="dashed" w:sz="4" w:space="0" w:color="auto"/>
              <w:left w:val="nil"/>
              <w:right w:val="dashed" w:sz="4" w:space="0" w:color="auto"/>
            </w:tcBorders>
            <w:vAlign w:val="center"/>
          </w:tcPr>
          <w:p w14:paraId="48CD0BE4" w14:textId="194E2B70" w:rsidR="00A45898" w:rsidRPr="00A45898"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21</w:t>
            </w:r>
          </w:p>
        </w:tc>
        <w:tc>
          <w:tcPr>
            <w:tcW w:w="1152" w:type="dxa"/>
            <w:tcBorders>
              <w:top w:val="dashed" w:sz="4" w:space="0" w:color="auto"/>
              <w:left w:val="dashed" w:sz="4" w:space="0" w:color="auto"/>
            </w:tcBorders>
            <w:shd w:val="clear" w:color="auto" w:fill="auto"/>
            <w:noWrap/>
            <w:vAlign w:val="center"/>
          </w:tcPr>
          <w:p w14:paraId="7D4DF5E0" w14:textId="0F74ADA8" w:rsidR="00A45898" w:rsidRPr="008E61F5" w:rsidRDefault="00A45898" w:rsidP="00A45898">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0.105</w:t>
            </w:r>
          </w:p>
        </w:tc>
        <w:tc>
          <w:tcPr>
            <w:tcW w:w="1152" w:type="dxa"/>
            <w:tcBorders>
              <w:top w:val="dashed" w:sz="4" w:space="0" w:color="auto"/>
              <w:right w:val="dashed" w:sz="4" w:space="0" w:color="auto"/>
            </w:tcBorders>
            <w:shd w:val="clear" w:color="auto" w:fill="auto"/>
            <w:vAlign w:val="center"/>
          </w:tcPr>
          <w:p w14:paraId="32DEA097" w14:textId="71913539" w:rsidR="00A45898" w:rsidRPr="008E61F5" w:rsidRDefault="00A45898" w:rsidP="00A45898">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0.006</w:t>
            </w:r>
          </w:p>
        </w:tc>
        <w:tc>
          <w:tcPr>
            <w:tcW w:w="1152" w:type="dxa"/>
            <w:tcBorders>
              <w:top w:val="dashed" w:sz="4" w:space="0" w:color="auto"/>
              <w:left w:val="dashed" w:sz="4" w:space="0" w:color="auto"/>
            </w:tcBorders>
            <w:shd w:val="clear" w:color="auto" w:fill="auto"/>
            <w:noWrap/>
            <w:vAlign w:val="center"/>
          </w:tcPr>
          <w:p w14:paraId="21C39168" w14:textId="0B891F17" w:rsidR="00A45898" w:rsidRPr="008E61F5" w:rsidRDefault="00A45898" w:rsidP="00A45898">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0.984</w:t>
            </w:r>
          </w:p>
        </w:tc>
        <w:tc>
          <w:tcPr>
            <w:tcW w:w="1152" w:type="dxa"/>
            <w:tcBorders>
              <w:top w:val="dashed" w:sz="4" w:space="0" w:color="auto"/>
            </w:tcBorders>
            <w:shd w:val="clear" w:color="auto" w:fill="auto"/>
            <w:vAlign w:val="center"/>
          </w:tcPr>
          <w:p w14:paraId="66AE005F" w14:textId="40093114" w:rsidR="00A45898" w:rsidRPr="008E61F5" w:rsidRDefault="00A45898" w:rsidP="00A45898">
            <w:pPr>
              <w:spacing w:line="240" w:lineRule="auto"/>
              <w:rPr>
                <w:rFonts w:eastAsia="Times New Roman" w:cs="Times New Roman"/>
                <w:b/>
                <w:bCs/>
                <w:i/>
                <w:iCs/>
                <w:color w:val="000000"/>
                <w:sz w:val="20"/>
                <w:szCs w:val="20"/>
              </w:rPr>
            </w:pPr>
            <w:r>
              <w:rPr>
                <w:rFonts w:eastAsia="Times New Roman" w:cs="Times New Roman"/>
                <w:i/>
                <w:iCs/>
                <w:color w:val="000000"/>
                <w:sz w:val="20"/>
                <w:szCs w:val="20"/>
              </w:rPr>
              <w:t>0.056</w:t>
            </w:r>
          </w:p>
        </w:tc>
      </w:tr>
      <w:tr w:rsidR="00A45898" w:rsidRPr="00B1453E" w14:paraId="7C8876F3" w14:textId="77777777" w:rsidTr="007D612A">
        <w:trPr>
          <w:trHeight w:val="590"/>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0F9977F0" w14:textId="77777777" w:rsidR="00A45898" w:rsidRPr="00B1453E" w:rsidRDefault="00A45898" w:rsidP="00A45898">
            <w:pPr>
              <w:spacing w:line="240" w:lineRule="auto"/>
              <w:rPr>
                <w:rFonts w:eastAsia="Times New Roman" w:cs="Times New Roman"/>
                <w:i/>
                <w:iCs/>
                <w:color w:val="000000"/>
                <w:sz w:val="20"/>
                <w:szCs w:val="20"/>
              </w:rPr>
            </w:pPr>
          </w:p>
        </w:tc>
        <w:tc>
          <w:tcPr>
            <w:tcW w:w="1728" w:type="dxa"/>
            <w:tcBorders>
              <w:top w:val="nil"/>
              <w:left w:val="single" w:sz="4" w:space="0" w:color="auto"/>
              <w:bottom w:val="single" w:sz="4" w:space="0" w:color="auto"/>
              <w:right w:val="nil"/>
            </w:tcBorders>
            <w:shd w:val="clear" w:color="auto" w:fill="F2F2F2" w:themeFill="background1" w:themeFillShade="F2"/>
            <w:noWrap/>
            <w:vAlign w:val="center"/>
          </w:tcPr>
          <w:p w14:paraId="0D9AE644" w14:textId="77777777" w:rsidR="00A45898" w:rsidRPr="00B1453E"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Powder</w:t>
            </w:r>
          </w:p>
        </w:tc>
        <w:tc>
          <w:tcPr>
            <w:tcW w:w="720" w:type="dxa"/>
            <w:tcBorders>
              <w:left w:val="nil"/>
              <w:bottom w:val="single" w:sz="4" w:space="0" w:color="auto"/>
              <w:right w:val="dashed" w:sz="4" w:space="0" w:color="auto"/>
            </w:tcBorders>
            <w:shd w:val="clear" w:color="auto" w:fill="F2F2F2" w:themeFill="background1" w:themeFillShade="F2"/>
            <w:vAlign w:val="center"/>
          </w:tcPr>
          <w:p w14:paraId="0A807B66" w14:textId="698EE704" w:rsidR="00A45898" w:rsidRPr="00A45898" w:rsidRDefault="00A45898" w:rsidP="00A45898">
            <w:pPr>
              <w:spacing w:line="240" w:lineRule="auto"/>
              <w:rPr>
                <w:rFonts w:eastAsia="Times New Roman" w:cs="Times New Roman"/>
                <w:i/>
                <w:iCs/>
                <w:color w:val="000000"/>
                <w:sz w:val="20"/>
                <w:szCs w:val="20"/>
              </w:rPr>
            </w:pPr>
            <w:r>
              <w:rPr>
                <w:rFonts w:eastAsia="Times New Roman" w:cs="Times New Roman"/>
                <w:i/>
                <w:iCs/>
                <w:color w:val="000000"/>
                <w:sz w:val="20"/>
                <w:szCs w:val="20"/>
              </w:rPr>
              <w:t>21</w:t>
            </w:r>
          </w:p>
        </w:tc>
        <w:tc>
          <w:tcPr>
            <w:tcW w:w="1152" w:type="dxa"/>
            <w:tcBorders>
              <w:left w:val="dashed" w:sz="4" w:space="0" w:color="auto"/>
              <w:bottom w:val="single" w:sz="4" w:space="0" w:color="auto"/>
            </w:tcBorders>
            <w:shd w:val="clear" w:color="auto" w:fill="F2F2F2" w:themeFill="background1" w:themeFillShade="F2"/>
            <w:noWrap/>
            <w:vAlign w:val="center"/>
          </w:tcPr>
          <w:p w14:paraId="7E0AB079" w14:textId="694D8CE7" w:rsidR="00A45898" w:rsidRPr="00B1453E" w:rsidRDefault="00A45898" w:rsidP="00A45898">
            <w:pPr>
              <w:spacing w:line="240" w:lineRule="auto"/>
              <w:rPr>
                <w:rFonts w:eastAsia="Times New Roman" w:cs="Times New Roman"/>
                <w:i/>
                <w:iCs/>
                <w:color w:val="000000"/>
                <w:sz w:val="20"/>
                <w:szCs w:val="20"/>
              </w:rPr>
            </w:pPr>
            <w:r w:rsidRPr="008E61F5">
              <w:rPr>
                <w:rFonts w:eastAsia="Times New Roman" w:cs="Times New Roman"/>
                <w:b/>
                <w:bCs/>
                <w:i/>
                <w:iCs/>
                <w:color w:val="000000"/>
                <w:sz w:val="20"/>
                <w:szCs w:val="20"/>
              </w:rPr>
              <w:t>0.068</w:t>
            </w:r>
          </w:p>
        </w:tc>
        <w:tc>
          <w:tcPr>
            <w:tcW w:w="1152" w:type="dxa"/>
            <w:tcBorders>
              <w:bottom w:val="single" w:sz="4" w:space="0" w:color="auto"/>
              <w:right w:val="dashed" w:sz="4" w:space="0" w:color="auto"/>
            </w:tcBorders>
            <w:shd w:val="clear" w:color="auto" w:fill="F2F2F2" w:themeFill="background1" w:themeFillShade="F2"/>
            <w:vAlign w:val="center"/>
          </w:tcPr>
          <w:p w14:paraId="7B21098A" w14:textId="6A4B1FE5" w:rsidR="00A45898" w:rsidRPr="00A03DAC" w:rsidRDefault="00A45898" w:rsidP="00A45898">
            <w:pPr>
              <w:spacing w:line="240" w:lineRule="auto"/>
              <w:rPr>
                <w:rFonts w:eastAsia="Times New Roman" w:cs="Times New Roman"/>
                <w:i/>
                <w:iCs/>
                <w:color w:val="000000"/>
                <w:sz w:val="20"/>
                <w:szCs w:val="20"/>
              </w:rPr>
            </w:pPr>
            <w:r w:rsidRPr="008E61F5">
              <w:rPr>
                <w:rFonts w:eastAsia="Times New Roman" w:cs="Times New Roman"/>
                <w:b/>
                <w:bCs/>
                <w:i/>
                <w:iCs/>
                <w:color w:val="000000"/>
                <w:sz w:val="20"/>
                <w:szCs w:val="20"/>
              </w:rPr>
              <w:t>0.004</w:t>
            </w:r>
          </w:p>
        </w:tc>
        <w:tc>
          <w:tcPr>
            <w:tcW w:w="1152" w:type="dxa"/>
            <w:tcBorders>
              <w:left w:val="dashed" w:sz="4" w:space="0" w:color="auto"/>
              <w:bottom w:val="single" w:sz="4" w:space="0" w:color="auto"/>
            </w:tcBorders>
            <w:shd w:val="clear" w:color="auto" w:fill="F2F2F2" w:themeFill="background1" w:themeFillShade="F2"/>
            <w:noWrap/>
            <w:vAlign w:val="center"/>
          </w:tcPr>
          <w:p w14:paraId="3D77EF70" w14:textId="0B22B009" w:rsidR="00A45898" w:rsidRPr="008E61F5" w:rsidRDefault="00A45898" w:rsidP="00A45898">
            <w:pPr>
              <w:spacing w:line="240" w:lineRule="auto"/>
              <w:rPr>
                <w:rFonts w:eastAsia="Times New Roman" w:cs="Times New Roman"/>
                <w:i/>
                <w:iCs/>
                <w:color w:val="000000"/>
                <w:sz w:val="20"/>
                <w:szCs w:val="20"/>
              </w:rPr>
            </w:pPr>
            <w:r>
              <w:rPr>
                <w:rFonts w:eastAsia="Times New Roman" w:cs="Times New Roman"/>
                <w:b/>
                <w:bCs/>
                <w:i/>
                <w:iCs/>
                <w:color w:val="000000"/>
                <w:sz w:val="20"/>
                <w:szCs w:val="20"/>
              </w:rPr>
              <w:t>0.980</w:t>
            </w:r>
          </w:p>
        </w:tc>
        <w:tc>
          <w:tcPr>
            <w:tcW w:w="1152" w:type="dxa"/>
            <w:tcBorders>
              <w:bottom w:val="single" w:sz="4" w:space="0" w:color="auto"/>
            </w:tcBorders>
            <w:shd w:val="clear" w:color="auto" w:fill="F2F2F2" w:themeFill="background1" w:themeFillShade="F2"/>
            <w:vAlign w:val="center"/>
          </w:tcPr>
          <w:p w14:paraId="3D2982B7" w14:textId="2D2FB478" w:rsidR="00A45898" w:rsidRPr="008E61F5" w:rsidRDefault="00A45898" w:rsidP="00A45898">
            <w:pPr>
              <w:spacing w:line="240" w:lineRule="auto"/>
              <w:rPr>
                <w:rFonts w:eastAsia="Times New Roman" w:cs="Times New Roman"/>
                <w:i/>
                <w:iCs/>
                <w:color w:val="000000"/>
                <w:sz w:val="20"/>
                <w:szCs w:val="20"/>
              </w:rPr>
            </w:pPr>
            <w:r>
              <w:rPr>
                <w:rFonts w:eastAsia="Times New Roman" w:cs="Times New Roman"/>
                <w:b/>
                <w:bCs/>
                <w:i/>
                <w:iCs/>
                <w:color w:val="000000"/>
                <w:sz w:val="20"/>
                <w:szCs w:val="20"/>
              </w:rPr>
              <w:t>0.051</w:t>
            </w:r>
          </w:p>
        </w:tc>
      </w:tr>
    </w:tbl>
    <w:p w14:paraId="64B5ADED" w14:textId="77777777" w:rsidR="00A45898" w:rsidRPr="00A45898" w:rsidRDefault="00A45898" w:rsidP="00A45898"/>
    <w:p w14:paraId="0D0F01CA" w14:textId="77777777" w:rsidR="0038192F" w:rsidRDefault="0038192F" w:rsidP="009901BC">
      <w:pPr>
        <w:ind w:left="720" w:firstLine="720"/>
        <w:jc w:val="both"/>
        <w:rPr>
          <w:rFonts w:eastAsiaTheme="minorEastAsia"/>
          <w:bCs/>
        </w:rPr>
      </w:pPr>
    </w:p>
    <w:p w14:paraId="665A569D" w14:textId="648239F9" w:rsidR="006A4B89" w:rsidRDefault="00D148B5" w:rsidP="00851F6C">
      <w:pPr>
        <w:ind w:left="720" w:firstLine="720"/>
        <w:jc w:val="both"/>
        <w:rPr>
          <w:rFonts w:eastAsiaTheme="minorEastAsia"/>
          <w:bCs/>
        </w:rPr>
      </w:pPr>
      <w:r>
        <w:rPr>
          <w:rFonts w:eastAsiaTheme="minorEastAsia"/>
          <w:bCs/>
        </w:rPr>
        <w:t xml:space="preserve">Regardless, the question of statistical significance still remains. Are the </w:t>
      </w:r>
      <w:r w:rsidR="00A7089E">
        <w:rPr>
          <w:rFonts w:eastAsiaTheme="minorEastAsia"/>
          <w:bCs/>
        </w:rPr>
        <w:t xml:space="preserve">accuracy </w:t>
      </w:r>
      <w:r>
        <w:rPr>
          <w:rFonts w:eastAsiaTheme="minorEastAsia"/>
          <w:bCs/>
        </w:rPr>
        <w:t xml:space="preserve">benefits observed in the OHC results significant enough to prove that pressed pellets are the better option? </w:t>
      </w:r>
      <w:r w:rsidR="00A7089E">
        <w:rPr>
          <w:rFonts w:eastAsiaTheme="minorEastAsia"/>
          <w:bCs/>
        </w:rPr>
        <w:t>On the other hand, a</w:t>
      </w:r>
      <w:r>
        <w:rPr>
          <w:rFonts w:eastAsiaTheme="minorEastAsia"/>
          <w:bCs/>
        </w:rPr>
        <w:t xml:space="preserve">re the </w:t>
      </w:r>
      <w:r w:rsidR="00A7089E">
        <w:rPr>
          <w:rFonts w:eastAsiaTheme="minorEastAsia"/>
          <w:bCs/>
        </w:rPr>
        <w:t xml:space="preserve">accuracy </w:t>
      </w:r>
      <w:r>
        <w:rPr>
          <w:rFonts w:eastAsiaTheme="minorEastAsia"/>
          <w:bCs/>
        </w:rPr>
        <w:t xml:space="preserve">detriments observed in the SGB results significant enough to prove that powder samples are the better option? Interestingly, </w:t>
      </w:r>
      <w:r w:rsidR="006A4B89">
        <w:rPr>
          <w:rFonts w:eastAsiaTheme="minorEastAsia"/>
          <w:bCs/>
        </w:rPr>
        <w:t xml:space="preserve">linear regression analyses verify </w:t>
      </w:r>
      <w:r>
        <w:rPr>
          <w:rFonts w:eastAsiaTheme="minorEastAsia"/>
          <w:bCs/>
        </w:rPr>
        <w:t xml:space="preserve">both. </w:t>
      </w:r>
      <w:r w:rsidR="006A4B89">
        <w:rPr>
          <w:rFonts w:eastAsiaTheme="minorEastAsia"/>
          <w:bCs/>
        </w:rPr>
        <w:t xml:space="preserve">The results of the OHC and SGB measurements for the S1 Titan are illustrated in </w:t>
      </w:r>
      <w:r w:rsidR="00803601">
        <w:rPr>
          <w:rFonts w:eastAsiaTheme="minorEastAsia"/>
          <w:bCs/>
        </w:rPr>
        <w:fldChar w:fldCharType="begin"/>
      </w:r>
      <w:r w:rsidR="00803601">
        <w:rPr>
          <w:rFonts w:eastAsiaTheme="minorEastAsia"/>
          <w:bCs/>
        </w:rPr>
        <w:instrText xml:space="preserve"> REF _Ref446943537 \h </w:instrText>
      </w:r>
      <w:r w:rsidR="00803601">
        <w:rPr>
          <w:rFonts w:eastAsiaTheme="minorEastAsia"/>
          <w:bCs/>
        </w:rPr>
      </w:r>
      <w:r w:rsidR="00803601">
        <w:rPr>
          <w:rFonts w:eastAsiaTheme="minorEastAsia"/>
          <w:bCs/>
        </w:rPr>
        <w:fldChar w:fldCharType="separate"/>
      </w:r>
      <w:r w:rsidR="00E90148">
        <w:t xml:space="preserve">Figure </w:t>
      </w:r>
      <w:r w:rsidR="00E90148">
        <w:rPr>
          <w:noProof/>
        </w:rPr>
        <w:t>27</w:t>
      </w:r>
      <w:r w:rsidR="00803601">
        <w:rPr>
          <w:rFonts w:eastAsiaTheme="minorEastAsia"/>
          <w:bCs/>
        </w:rPr>
        <w:fldChar w:fldCharType="end"/>
      </w:r>
      <w:r w:rsidR="00803601">
        <w:rPr>
          <w:rFonts w:eastAsiaTheme="minorEastAsia"/>
          <w:bCs/>
        </w:rPr>
        <w:t xml:space="preserve"> </w:t>
      </w:r>
      <w:r w:rsidR="006A4B89">
        <w:rPr>
          <w:rFonts w:eastAsiaTheme="minorEastAsia"/>
          <w:bCs/>
        </w:rPr>
        <w:t xml:space="preserve">and </w:t>
      </w:r>
      <w:r w:rsidR="006A4B89">
        <w:rPr>
          <w:rFonts w:eastAsiaTheme="minorEastAsia"/>
          <w:bCs/>
        </w:rPr>
        <w:fldChar w:fldCharType="begin"/>
      </w:r>
      <w:r w:rsidR="006A4B89">
        <w:rPr>
          <w:rFonts w:eastAsiaTheme="minorEastAsia"/>
          <w:bCs/>
        </w:rPr>
        <w:instrText xml:space="preserve"> REF _Ref443239075 \h </w:instrText>
      </w:r>
      <w:r w:rsidR="006A4B89">
        <w:rPr>
          <w:rFonts w:eastAsiaTheme="minorEastAsia"/>
          <w:bCs/>
        </w:rPr>
      </w:r>
      <w:r w:rsidR="006A4B89">
        <w:rPr>
          <w:rFonts w:eastAsiaTheme="minorEastAsia"/>
          <w:bCs/>
        </w:rPr>
        <w:fldChar w:fldCharType="separate"/>
      </w:r>
      <w:r w:rsidR="00E90148">
        <w:t xml:space="preserve">Figure </w:t>
      </w:r>
      <w:r w:rsidR="00E90148">
        <w:rPr>
          <w:noProof/>
        </w:rPr>
        <w:t>29</w:t>
      </w:r>
      <w:r w:rsidR="006A4B89">
        <w:rPr>
          <w:rFonts w:eastAsiaTheme="minorEastAsia"/>
          <w:bCs/>
        </w:rPr>
        <w:fldChar w:fldCharType="end"/>
      </w:r>
      <w:r w:rsidR="006A4B89">
        <w:rPr>
          <w:rFonts w:eastAsiaTheme="minorEastAsia"/>
          <w:bCs/>
        </w:rPr>
        <w:t xml:space="preserve">, respectively; for the Niton XL3t, </w:t>
      </w:r>
      <w:r w:rsidR="006A4B89">
        <w:rPr>
          <w:rFonts w:eastAsiaTheme="minorEastAsia"/>
          <w:bCs/>
        </w:rPr>
        <w:fldChar w:fldCharType="begin"/>
      </w:r>
      <w:r w:rsidR="006A4B89">
        <w:rPr>
          <w:rFonts w:eastAsiaTheme="minorEastAsia"/>
          <w:bCs/>
        </w:rPr>
        <w:instrText xml:space="preserve"> REF _Ref443239097 \h </w:instrText>
      </w:r>
      <w:r w:rsidR="006A4B89">
        <w:rPr>
          <w:rFonts w:eastAsiaTheme="minorEastAsia"/>
          <w:bCs/>
        </w:rPr>
      </w:r>
      <w:r w:rsidR="006A4B89">
        <w:rPr>
          <w:rFonts w:eastAsiaTheme="minorEastAsia"/>
          <w:bCs/>
        </w:rPr>
        <w:fldChar w:fldCharType="separate"/>
      </w:r>
      <w:r w:rsidR="00E90148">
        <w:t xml:space="preserve">Figure </w:t>
      </w:r>
      <w:r w:rsidR="00E90148">
        <w:rPr>
          <w:noProof/>
        </w:rPr>
        <w:t>28</w:t>
      </w:r>
      <w:r w:rsidR="006A4B89">
        <w:rPr>
          <w:rFonts w:eastAsiaTheme="minorEastAsia"/>
          <w:bCs/>
        </w:rPr>
        <w:fldChar w:fldCharType="end"/>
      </w:r>
      <w:r w:rsidR="009901BC">
        <w:rPr>
          <w:rFonts w:eastAsiaTheme="minorEastAsia"/>
          <w:bCs/>
        </w:rPr>
        <w:t xml:space="preserve"> </w:t>
      </w:r>
      <w:r w:rsidR="006A4B89">
        <w:rPr>
          <w:rFonts w:eastAsiaTheme="minorEastAsia"/>
          <w:bCs/>
        </w:rPr>
        <w:t>and</w:t>
      </w:r>
      <w:r w:rsidR="004C73EB">
        <w:rPr>
          <w:rFonts w:eastAsiaTheme="minorEastAsia"/>
          <w:bCs/>
        </w:rPr>
        <w:t xml:space="preserve"> </w:t>
      </w:r>
      <w:r w:rsidR="006A4B89">
        <w:rPr>
          <w:rFonts w:eastAsiaTheme="minorEastAsia"/>
          <w:bCs/>
        </w:rPr>
        <w:fldChar w:fldCharType="begin"/>
      </w:r>
      <w:r w:rsidR="006A4B89">
        <w:rPr>
          <w:rFonts w:eastAsiaTheme="minorEastAsia"/>
          <w:bCs/>
        </w:rPr>
        <w:instrText xml:space="preserve"> REF _Ref443239106 \h </w:instrText>
      </w:r>
      <w:r w:rsidR="006A4B89">
        <w:rPr>
          <w:rFonts w:eastAsiaTheme="minorEastAsia"/>
          <w:bCs/>
        </w:rPr>
      </w:r>
      <w:r w:rsidR="006A4B89">
        <w:rPr>
          <w:rFonts w:eastAsiaTheme="minorEastAsia"/>
          <w:bCs/>
        </w:rPr>
        <w:fldChar w:fldCharType="separate"/>
      </w:r>
      <w:r w:rsidR="00E90148">
        <w:t xml:space="preserve">Figure </w:t>
      </w:r>
      <w:r w:rsidR="00E90148">
        <w:rPr>
          <w:noProof/>
        </w:rPr>
        <w:lastRenderedPageBreak/>
        <w:t>30</w:t>
      </w:r>
      <w:r w:rsidR="006A4B89">
        <w:rPr>
          <w:rFonts w:eastAsiaTheme="minorEastAsia"/>
          <w:bCs/>
        </w:rPr>
        <w:fldChar w:fldCharType="end"/>
      </w:r>
      <w:r w:rsidR="006A4B89">
        <w:rPr>
          <w:rFonts w:eastAsiaTheme="minorEastAsia"/>
          <w:bCs/>
        </w:rPr>
        <w:t xml:space="preserve">. </w:t>
      </w:r>
      <w:r w:rsidR="00AC69BB">
        <w:rPr>
          <w:rFonts w:eastAsiaTheme="minorEastAsia"/>
          <w:bCs/>
        </w:rPr>
        <w:fldChar w:fldCharType="begin"/>
      </w:r>
      <w:r w:rsidR="00AC69BB">
        <w:rPr>
          <w:rFonts w:eastAsiaTheme="minorEastAsia"/>
          <w:bCs/>
        </w:rPr>
        <w:instrText xml:space="preserve"> REF _Ref446943537 \h </w:instrText>
      </w:r>
      <w:r w:rsidR="00AC69BB">
        <w:rPr>
          <w:rFonts w:eastAsiaTheme="minorEastAsia"/>
          <w:bCs/>
        </w:rPr>
      </w:r>
      <w:r w:rsidR="00AC69BB">
        <w:rPr>
          <w:rFonts w:eastAsiaTheme="minorEastAsia"/>
          <w:bCs/>
        </w:rPr>
        <w:fldChar w:fldCharType="separate"/>
      </w:r>
      <w:r w:rsidR="00E90148">
        <w:t xml:space="preserve">Figure </w:t>
      </w:r>
      <w:r w:rsidR="00E90148">
        <w:rPr>
          <w:noProof/>
        </w:rPr>
        <w:t>27</w:t>
      </w:r>
      <w:r w:rsidR="00AC69BB">
        <w:rPr>
          <w:rFonts w:eastAsiaTheme="minorEastAsia"/>
          <w:bCs/>
        </w:rPr>
        <w:fldChar w:fldCharType="end"/>
      </w:r>
      <w:r w:rsidR="00AC69BB">
        <w:rPr>
          <w:rFonts w:eastAsiaTheme="minorEastAsia"/>
          <w:bCs/>
        </w:rPr>
        <w:t xml:space="preserve"> and </w:t>
      </w:r>
      <w:r w:rsidR="00AC69BB">
        <w:rPr>
          <w:rFonts w:eastAsiaTheme="minorEastAsia"/>
          <w:bCs/>
        </w:rPr>
        <w:fldChar w:fldCharType="begin"/>
      </w:r>
      <w:r w:rsidR="00AC69BB">
        <w:rPr>
          <w:rFonts w:eastAsiaTheme="minorEastAsia"/>
          <w:bCs/>
        </w:rPr>
        <w:instrText xml:space="preserve"> REF _Ref443239097 \h </w:instrText>
      </w:r>
      <w:r w:rsidR="00AC69BB">
        <w:rPr>
          <w:rFonts w:eastAsiaTheme="minorEastAsia"/>
          <w:bCs/>
        </w:rPr>
      </w:r>
      <w:r w:rsidR="00AC69BB">
        <w:rPr>
          <w:rFonts w:eastAsiaTheme="minorEastAsia"/>
          <w:bCs/>
        </w:rPr>
        <w:fldChar w:fldCharType="separate"/>
      </w:r>
      <w:r w:rsidR="00E90148">
        <w:t xml:space="preserve">Figure </w:t>
      </w:r>
      <w:r w:rsidR="00E90148">
        <w:rPr>
          <w:noProof/>
        </w:rPr>
        <w:t>28</w:t>
      </w:r>
      <w:r w:rsidR="00AC69BB">
        <w:rPr>
          <w:rFonts w:eastAsiaTheme="minorEastAsia"/>
          <w:bCs/>
        </w:rPr>
        <w:fldChar w:fldCharType="end"/>
      </w:r>
      <w:r w:rsidR="00AC69BB">
        <w:rPr>
          <w:rFonts w:eastAsiaTheme="minorEastAsia"/>
          <w:bCs/>
        </w:rPr>
        <w:t xml:space="preserve"> support the case that pressed pellets are the better option. </w:t>
      </w:r>
      <w:r w:rsidR="006A4B89">
        <w:rPr>
          <w:rFonts w:eastAsiaTheme="minorEastAsia"/>
          <w:bCs/>
        </w:rPr>
        <w:t xml:space="preserve">The variations </w:t>
      </w:r>
      <w:r w:rsidR="00AC69BB">
        <w:rPr>
          <w:rFonts w:eastAsiaTheme="minorEastAsia"/>
          <w:bCs/>
        </w:rPr>
        <w:t xml:space="preserve">in slopes and y-intercepts </w:t>
      </w:r>
      <w:r w:rsidR="009901BC">
        <w:rPr>
          <w:rFonts w:eastAsiaTheme="minorEastAsia"/>
          <w:bCs/>
        </w:rPr>
        <w:t>are large</w:t>
      </w:r>
      <w:r w:rsidR="006A4B89">
        <w:rPr>
          <w:rFonts w:eastAsiaTheme="minorEastAsia"/>
          <w:bCs/>
        </w:rPr>
        <w:t xml:space="preserve"> enough to place the c</w:t>
      </w:r>
      <w:r w:rsidR="00AC69BB">
        <w:rPr>
          <w:rFonts w:eastAsiaTheme="minorEastAsia"/>
          <w:bCs/>
        </w:rPr>
        <w:t xml:space="preserve">ombined trendlines outside of the 95% confidence intervals of the corresponding graphs. </w:t>
      </w:r>
      <w:r w:rsidR="006A4B89">
        <w:rPr>
          <w:rFonts w:eastAsiaTheme="minorEastAsia"/>
          <w:bCs/>
        </w:rPr>
        <w:t xml:space="preserve">This </w:t>
      </w:r>
      <w:r w:rsidR="00AC69BB">
        <w:rPr>
          <w:rFonts w:eastAsiaTheme="minorEastAsia"/>
          <w:bCs/>
        </w:rPr>
        <w:t xml:space="preserve">statistically verifies that pressed pellets produce more accurate </w:t>
      </w:r>
      <w:r w:rsidR="006A4B89">
        <w:rPr>
          <w:rFonts w:eastAsiaTheme="minorEastAsia"/>
          <w:bCs/>
        </w:rPr>
        <w:t xml:space="preserve">PHXRF </w:t>
      </w:r>
      <m:oMath>
        <m:r>
          <w:rPr>
            <w:rFonts w:ascii="Cambria Math" w:eastAsiaTheme="minorEastAsia" w:hAnsi="Cambria Math"/>
          </w:rPr>
          <m:t>SC</m:t>
        </m:r>
      </m:oMath>
      <w:r w:rsidR="00AC69BB">
        <w:rPr>
          <w:rFonts w:eastAsiaTheme="minorEastAsia"/>
          <w:bCs/>
        </w:rPr>
        <w:t xml:space="preserve"> measurements</w:t>
      </w:r>
      <w:r w:rsidR="006A4B89">
        <w:rPr>
          <w:rFonts w:eastAsiaTheme="minorEastAsia"/>
          <w:bCs/>
        </w:rPr>
        <w:t xml:space="preserve">. </w:t>
      </w:r>
      <w:r w:rsidR="00AC69BB">
        <w:rPr>
          <w:rFonts w:eastAsiaTheme="minorEastAsia"/>
          <w:bCs/>
        </w:rPr>
        <w:fldChar w:fldCharType="begin"/>
      </w:r>
      <w:r w:rsidR="00AC69BB">
        <w:rPr>
          <w:rFonts w:eastAsiaTheme="minorEastAsia"/>
          <w:bCs/>
        </w:rPr>
        <w:instrText xml:space="preserve"> REF _Ref443239075 \h </w:instrText>
      </w:r>
      <w:r w:rsidR="00AC69BB">
        <w:rPr>
          <w:rFonts w:eastAsiaTheme="minorEastAsia"/>
          <w:bCs/>
        </w:rPr>
      </w:r>
      <w:r w:rsidR="00AC69BB">
        <w:rPr>
          <w:rFonts w:eastAsiaTheme="minorEastAsia"/>
          <w:bCs/>
        </w:rPr>
        <w:fldChar w:fldCharType="separate"/>
      </w:r>
      <w:r w:rsidR="00E90148">
        <w:t xml:space="preserve">Figure </w:t>
      </w:r>
      <w:r w:rsidR="00E90148">
        <w:rPr>
          <w:noProof/>
        </w:rPr>
        <w:t>29</w:t>
      </w:r>
      <w:r w:rsidR="00AC69BB">
        <w:rPr>
          <w:rFonts w:eastAsiaTheme="minorEastAsia"/>
          <w:bCs/>
        </w:rPr>
        <w:fldChar w:fldCharType="end"/>
      </w:r>
      <w:r w:rsidR="00AC69BB">
        <w:rPr>
          <w:rFonts w:eastAsiaTheme="minorEastAsia"/>
          <w:bCs/>
        </w:rPr>
        <w:t xml:space="preserve">, however, verifies the contrary (i.e. powder samples produce more accurate PHXRF </w:t>
      </w:r>
      <m:oMath>
        <m:r>
          <w:rPr>
            <w:rFonts w:ascii="Cambria Math" w:eastAsiaTheme="minorEastAsia" w:hAnsi="Cambria Math"/>
          </w:rPr>
          <m:t>SC</m:t>
        </m:r>
      </m:oMath>
      <w:r w:rsidR="00AC69BB">
        <w:rPr>
          <w:rFonts w:eastAsiaTheme="minorEastAsia"/>
          <w:bCs/>
        </w:rPr>
        <w:t xml:space="preserve"> measurements). Still, </w:t>
      </w:r>
      <w:r w:rsidR="00AC69BB">
        <w:rPr>
          <w:rFonts w:eastAsiaTheme="minorEastAsia"/>
          <w:bCs/>
        </w:rPr>
        <w:fldChar w:fldCharType="begin"/>
      </w:r>
      <w:r w:rsidR="00AC69BB">
        <w:rPr>
          <w:rFonts w:eastAsiaTheme="minorEastAsia"/>
          <w:bCs/>
        </w:rPr>
        <w:instrText xml:space="preserve"> REF _Ref443239106 \h </w:instrText>
      </w:r>
      <w:r w:rsidR="00AC69BB">
        <w:rPr>
          <w:rFonts w:eastAsiaTheme="minorEastAsia"/>
          <w:bCs/>
        </w:rPr>
      </w:r>
      <w:r w:rsidR="00AC69BB">
        <w:rPr>
          <w:rFonts w:eastAsiaTheme="minorEastAsia"/>
          <w:bCs/>
        </w:rPr>
        <w:fldChar w:fldCharType="separate"/>
      </w:r>
      <w:r w:rsidR="00E90148">
        <w:t xml:space="preserve">Figure </w:t>
      </w:r>
      <w:r w:rsidR="00E90148">
        <w:rPr>
          <w:noProof/>
        </w:rPr>
        <w:t>30</w:t>
      </w:r>
      <w:r w:rsidR="00AC69BB">
        <w:rPr>
          <w:rFonts w:eastAsiaTheme="minorEastAsia"/>
          <w:bCs/>
        </w:rPr>
        <w:fldChar w:fldCharType="end"/>
      </w:r>
      <w:r w:rsidR="00AC69BB">
        <w:rPr>
          <w:rFonts w:eastAsiaTheme="minorEastAsia"/>
          <w:bCs/>
        </w:rPr>
        <w:t xml:space="preserve"> verifies no statistically significant benefit or detriment to the accuracy </w:t>
      </w:r>
      <w:r w:rsidR="00690B6F">
        <w:rPr>
          <w:rFonts w:eastAsiaTheme="minorEastAsia"/>
          <w:bCs/>
        </w:rPr>
        <w:t xml:space="preserve">of PHXRF </w:t>
      </w:r>
      <m:oMath>
        <m:r>
          <w:rPr>
            <w:rFonts w:ascii="Cambria Math" w:eastAsiaTheme="minorEastAsia" w:hAnsi="Cambria Math"/>
          </w:rPr>
          <m:t>SC</m:t>
        </m:r>
      </m:oMath>
      <w:r w:rsidR="00690B6F">
        <w:rPr>
          <w:rFonts w:eastAsiaTheme="minorEastAsia"/>
          <w:bCs/>
        </w:rPr>
        <w:t xml:space="preserve"> measurements caused by sample type.</w:t>
      </w:r>
    </w:p>
    <w:p w14:paraId="2B4C3814" w14:textId="77777777" w:rsidR="00A45898" w:rsidRDefault="00A45898" w:rsidP="00B968E5">
      <w:pPr>
        <w:ind w:left="720" w:firstLine="720"/>
        <w:jc w:val="both"/>
        <w:rPr>
          <w:rFonts w:eastAsiaTheme="minorEastAsia"/>
          <w:bCs/>
        </w:rPr>
      </w:pPr>
    </w:p>
    <w:p w14:paraId="19DF7819" w14:textId="77777777" w:rsidR="00175936" w:rsidRDefault="00175936" w:rsidP="00B968E5">
      <w:pPr>
        <w:ind w:left="720" w:firstLine="720"/>
        <w:jc w:val="both"/>
        <w:rPr>
          <w:rFonts w:eastAsiaTheme="minorEastAsia"/>
          <w:bCs/>
        </w:rPr>
      </w:pPr>
    </w:p>
    <w:p w14:paraId="2D0F1426" w14:textId="77777777" w:rsidR="00175936" w:rsidRDefault="00175936" w:rsidP="00B968E5">
      <w:pPr>
        <w:ind w:left="720" w:firstLine="720"/>
        <w:jc w:val="both"/>
        <w:rPr>
          <w:rFonts w:eastAsiaTheme="minorEastAsia"/>
          <w:bCs/>
        </w:rPr>
      </w:pPr>
    </w:p>
    <w:p w14:paraId="3684D111" w14:textId="77777777" w:rsidR="00175936" w:rsidRDefault="00175936" w:rsidP="00B968E5">
      <w:pPr>
        <w:ind w:left="720" w:firstLine="720"/>
        <w:jc w:val="both"/>
        <w:rPr>
          <w:rFonts w:eastAsiaTheme="minorEastAsia"/>
          <w:bCs/>
        </w:rPr>
      </w:pPr>
    </w:p>
    <w:p w14:paraId="20555C29" w14:textId="77777777" w:rsidR="00175936" w:rsidRDefault="00175936" w:rsidP="00B968E5">
      <w:pPr>
        <w:ind w:left="720" w:firstLine="720"/>
        <w:jc w:val="both"/>
        <w:rPr>
          <w:rFonts w:eastAsiaTheme="minorEastAsia"/>
          <w:bCs/>
        </w:rPr>
      </w:pPr>
    </w:p>
    <w:p w14:paraId="05BD425A" w14:textId="77777777" w:rsidR="00175936" w:rsidRDefault="00175936" w:rsidP="00B968E5">
      <w:pPr>
        <w:ind w:left="720" w:firstLine="720"/>
        <w:jc w:val="both"/>
        <w:rPr>
          <w:rFonts w:eastAsiaTheme="minorEastAsia"/>
          <w:bCs/>
        </w:rPr>
      </w:pPr>
    </w:p>
    <w:p w14:paraId="48A725AD" w14:textId="77777777" w:rsidR="00175936" w:rsidRDefault="00175936" w:rsidP="00B968E5">
      <w:pPr>
        <w:ind w:left="720" w:firstLine="720"/>
        <w:jc w:val="both"/>
        <w:rPr>
          <w:rFonts w:eastAsiaTheme="minorEastAsia"/>
          <w:bCs/>
        </w:rPr>
      </w:pPr>
    </w:p>
    <w:p w14:paraId="5FD7F347" w14:textId="3E5B6BAA" w:rsidR="00047EAC" w:rsidRDefault="00ED1BD6" w:rsidP="00D95235">
      <w:pPr>
        <w:pStyle w:val="Caption"/>
      </w:pPr>
      <w:bookmarkStart w:id="98" w:name="_Ref443239061"/>
      <w:r>
        <w:rPr>
          <w:noProof/>
        </w:rPr>
        <w:lastRenderedPageBreak/>
        <w:drawing>
          <wp:inline distT="0" distB="0" distL="0" distR="0" wp14:anchorId="543E32E5" wp14:editId="141EA879">
            <wp:extent cx="5486400" cy="3102890"/>
            <wp:effectExtent l="0" t="0" r="0" b="254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Figure 22.PNG"/>
                    <pic:cNvPicPr/>
                  </pic:nvPicPr>
                  <pic:blipFill>
                    <a:blip r:embed="rId40">
                      <a:extLst>
                        <a:ext uri="{28A0092B-C50C-407E-A947-70E740481C1C}">
                          <a14:useLocalDpi xmlns:a14="http://schemas.microsoft.com/office/drawing/2010/main" val="0"/>
                        </a:ext>
                      </a:extLst>
                    </a:blip>
                    <a:stretch>
                      <a:fillRect/>
                    </a:stretch>
                  </pic:blipFill>
                  <pic:spPr>
                    <a:xfrm>
                      <a:off x="0" y="0"/>
                      <a:ext cx="5486400" cy="3102890"/>
                    </a:xfrm>
                    <a:prstGeom prst="rect">
                      <a:avLst/>
                    </a:prstGeom>
                  </pic:spPr>
                </pic:pic>
              </a:graphicData>
            </a:graphic>
          </wp:inline>
        </w:drawing>
      </w:r>
    </w:p>
    <w:p w14:paraId="3B3D9E0F" w14:textId="564635DC" w:rsidR="00783C70" w:rsidRDefault="00D95235" w:rsidP="00890033">
      <w:pPr>
        <w:pStyle w:val="Caption"/>
        <w:spacing w:line="480" w:lineRule="auto"/>
      </w:pPr>
      <w:bookmarkStart w:id="99" w:name="_Ref446943537"/>
      <w:bookmarkStart w:id="100" w:name="_Toc447755365"/>
      <w:r>
        <w:t xml:space="preserve">Figure </w:t>
      </w:r>
      <w:r w:rsidR="00184FC2">
        <w:fldChar w:fldCharType="begin"/>
      </w:r>
      <w:r w:rsidR="00184FC2">
        <w:instrText xml:space="preserve"> SEQ Figure \* ARABIC </w:instrText>
      </w:r>
      <w:r w:rsidR="00184FC2">
        <w:fldChar w:fldCharType="separate"/>
      </w:r>
      <w:r w:rsidR="00E90148">
        <w:rPr>
          <w:noProof/>
        </w:rPr>
        <w:t>27</w:t>
      </w:r>
      <w:r w:rsidR="00184FC2">
        <w:rPr>
          <w:noProof/>
        </w:rPr>
        <w:fldChar w:fldCharType="end"/>
      </w:r>
      <w:bookmarkEnd w:id="98"/>
      <w:bookmarkEnd w:id="99"/>
      <w:r>
        <w:t xml:space="preserve">: Effects of (a) Pressed Pellet and (b) Powder Sample Types on Precision and </w:t>
      </w:r>
      <w:r w:rsidR="00890033">
        <w:t>A</w:t>
      </w:r>
      <w:r>
        <w:t xml:space="preserve">ccuracy of </w:t>
      </w:r>
      <w:r w:rsidR="00783C70">
        <w:t>S1 Titan P</w:t>
      </w:r>
      <w:r>
        <w:t>HXRF Device</w:t>
      </w:r>
      <w:r w:rsidR="00783C70">
        <w:t xml:space="preserve"> for OHC Samples.</w:t>
      </w:r>
      <w:bookmarkEnd w:id="100"/>
    </w:p>
    <w:p w14:paraId="7934100A" w14:textId="77777777" w:rsidR="00890033" w:rsidRPr="00890033" w:rsidRDefault="00890033" w:rsidP="00890033"/>
    <w:p w14:paraId="7C29100E" w14:textId="3DF8A454" w:rsidR="00902915" w:rsidRDefault="00890033" w:rsidP="00902915">
      <w:pPr>
        <w:pStyle w:val="Caption"/>
      </w:pPr>
      <w:r>
        <w:rPr>
          <w:noProof/>
        </w:rPr>
        <w:drawing>
          <wp:inline distT="0" distB="0" distL="0" distR="0" wp14:anchorId="06C504F5" wp14:editId="4D6F0541">
            <wp:extent cx="5486400" cy="3095141"/>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Figure 23.PNG"/>
                    <pic:cNvPicPr/>
                  </pic:nvPicPr>
                  <pic:blipFill>
                    <a:blip r:embed="rId41">
                      <a:extLst>
                        <a:ext uri="{28A0092B-C50C-407E-A947-70E740481C1C}">
                          <a14:useLocalDpi xmlns:a14="http://schemas.microsoft.com/office/drawing/2010/main" val="0"/>
                        </a:ext>
                      </a:extLst>
                    </a:blip>
                    <a:stretch>
                      <a:fillRect/>
                    </a:stretch>
                  </pic:blipFill>
                  <pic:spPr>
                    <a:xfrm>
                      <a:off x="0" y="0"/>
                      <a:ext cx="5486400" cy="3095141"/>
                    </a:xfrm>
                    <a:prstGeom prst="rect">
                      <a:avLst/>
                    </a:prstGeom>
                  </pic:spPr>
                </pic:pic>
              </a:graphicData>
            </a:graphic>
          </wp:inline>
        </w:drawing>
      </w:r>
    </w:p>
    <w:p w14:paraId="5ABF68EC" w14:textId="5D583E27" w:rsidR="00902915" w:rsidRDefault="00902915" w:rsidP="00890033">
      <w:pPr>
        <w:pStyle w:val="Caption"/>
        <w:spacing w:line="480" w:lineRule="auto"/>
      </w:pPr>
      <w:bookmarkStart w:id="101" w:name="_Ref443239097"/>
      <w:bookmarkStart w:id="102" w:name="_Toc447755366"/>
      <w:r>
        <w:t xml:space="preserve">Figure </w:t>
      </w:r>
      <w:r w:rsidR="00184FC2">
        <w:fldChar w:fldCharType="begin"/>
      </w:r>
      <w:r w:rsidR="00184FC2">
        <w:instrText xml:space="preserve"> SEQ Figure \* ARABIC </w:instrText>
      </w:r>
      <w:r w:rsidR="00184FC2">
        <w:fldChar w:fldCharType="separate"/>
      </w:r>
      <w:r w:rsidR="00E90148">
        <w:rPr>
          <w:noProof/>
        </w:rPr>
        <w:t>28</w:t>
      </w:r>
      <w:r w:rsidR="00184FC2">
        <w:rPr>
          <w:noProof/>
        </w:rPr>
        <w:fldChar w:fldCharType="end"/>
      </w:r>
      <w:bookmarkEnd w:id="101"/>
      <w:r>
        <w:t>: Effects of (a) Pressed Pellet and (b) Powder Sample Types on Precision and Accuracy of Niton XL3t PHXRF Device for OHC Samples.</w:t>
      </w:r>
      <w:bookmarkEnd w:id="102"/>
    </w:p>
    <w:p w14:paraId="1305B8BC" w14:textId="59F6B594" w:rsidR="00FF10E2" w:rsidRPr="00FF10E2" w:rsidRDefault="00692E10" w:rsidP="00FF10E2">
      <w:r>
        <w:rPr>
          <w:noProof/>
        </w:rPr>
        <w:lastRenderedPageBreak/>
        <w:drawing>
          <wp:inline distT="0" distB="0" distL="0" distR="0" wp14:anchorId="68A0D05C" wp14:editId="38D342C4">
            <wp:extent cx="5486400" cy="3087392"/>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Figure 24.PNG"/>
                    <pic:cNvPicPr/>
                  </pic:nvPicPr>
                  <pic:blipFill>
                    <a:blip r:embed="rId42">
                      <a:extLst>
                        <a:ext uri="{28A0092B-C50C-407E-A947-70E740481C1C}">
                          <a14:useLocalDpi xmlns:a14="http://schemas.microsoft.com/office/drawing/2010/main" val="0"/>
                        </a:ext>
                      </a:extLst>
                    </a:blip>
                    <a:stretch>
                      <a:fillRect/>
                    </a:stretch>
                  </pic:blipFill>
                  <pic:spPr>
                    <a:xfrm>
                      <a:off x="0" y="0"/>
                      <a:ext cx="5486400" cy="3087392"/>
                    </a:xfrm>
                    <a:prstGeom prst="rect">
                      <a:avLst/>
                    </a:prstGeom>
                  </pic:spPr>
                </pic:pic>
              </a:graphicData>
            </a:graphic>
          </wp:inline>
        </w:drawing>
      </w:r>
    </w:p>
    <w:p w14:paraId="737E85F5" w14:textId="1BB51AEB" w:rsidR="008E61F5" w:rsidRDefault="008E61F5" w:rsidP="00692E10">
      <w:pPr>
        <w:pStyle w:val="Caption"/>
        <w:spacing w:line="480" w:lineRule="auto"/>
      </w:pPr>
      <w:bookmarkStart w:id="103" w:name="_Ref443239075"/>
      <w:bookmarkStart w:id="104" w:name="_Toc447755367"/>
      <w:r>
        <w:t xml:space="preserve">Figure </w:t>
      </w:r>
      <w:r w:rsidR="00184FC2">
        <w:fldChar w:fldCharType="begin"/>
      </w:r>
      <w:r w:rsidR="00184FC2">
        <w:instrText xml:space="preserve"> SEQ Figure \* ARABIC </w:instrText>
      </w:r>
      <w:r w:rsidR="00184FC2">
        <w:fldChar w:fldCharType="separate"/>
      </w:r>
      <w:r w:rsidR="00E90148">
        <w:rPr>
          <w:noProof/>
        </w:rPr>
        <w:t>29</w:t>
      </w:r>
      <w:r w:rsidR="00184FC2">
        <w:rPr>
          <w:noProof/>
        </w:rPr>
        <w:fldChar w:fldCharType="end"/>
      </w:r>
      <w:bookmarkEnd w:id="103"/>
      <w:r>
        <w:t>: Effects of (a) Pressed Pellet and (b) Powder Sample Types on Precision and Accuracy of S1 Titan PHXRF Device for SGB Samples.</w:t>
      </w:r>
      <w:bookmarkEnd w:id="104"/>
    </w:p>
    <w:p w14:paraId="4BFA4C2B" w14:textId="77777777" w:rsidR="00F05B4F" w:rsidRPr="00F05B4F" w:rsidRDefault="00F05B4F" w:rsidP="00F05B4F"/>
    <w:p w14:paraId="7FA81E17" w14:textId="3F8EF847" w:rsidR="00B802BB" w:rsidRDefault="00692E10" w:rsidP="001706A5">
      <w:pPr>
        <w:jc w:val="both"/>
        <w:rPr>
          <w:rFonts w:eastAsiaTheme="minorEastAsia"/>
          <w:b/>
        </w:rPr>
      </w:pPr>
      <w:r>
        <w:rPr>
          <w:rFonts w:eastAsiaTheme="minorEastAsia"/>
          <w:b/>
          <w:noProof/>
        </w:rPr>
        <w:drawing>
          <wp:inline distT="0" distB="0" distL="0" distR="0" wp14:anchorId="6AD79DB9" wp14:editId="16ED54C4">
            <wp:extent cx="5486400" cy="3082871"/>
            <wp:effectExtent l="0" t="0" r="0" b="381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Figure 25.PNG"/>
                    <pic:cNvPicPr/>
                  </pic:nvPicPr>
                  <pic:blipFill>
                    <a:blip r:embed="rId43">
                      <a:extLst>
                        <a:ext uri="{28A0092B-C50C-407E-A947-70E740481C1C}">
                          <a14:useLocalDpi xmlns:a14="http://schemas.microsoft.com/office/drawing/2010/main" val="0"/>
                        </a:ext>
                      </a:extLst>
                    </a:blip>
                    <a:stretch>
                      <a:fillRect/>
                    </a:stretch>
                  </pic:blipFill>
                  <pic:spPr>
                    <a:xfrm>
                      <a:off x="0" y="0"/>
                      <a:ext cx="5486400" cy="3082871"/>
                    </a:xfrm>
                    <a:prstGeom prst="rect">
                      <a:avLst/>
                    </a:prstGeom>
                  </pic:spPr>
                </pic:pic>
              </a:graphicData>
            </a:graphic>
          </wp:inline>
        </w:drawing>
      </w:r>
    </w:p>
    <w:p w14:paraId="554DD7C4" w14:textId="10C64B64" w:rsidR="00902915" w:rsidRDefault="00902915" w:rsidP="00692E10">
      <w:pPr>
        <w:pStyle w:val="Caption"/>
        <w:spacing w:line="480" w:lineRule="auto"/>
      </w:pPr>
      <w:bookmarkStart w:id="105" w:name="_Ref443239106"/>
      <w:bookmarkStart w:id="106" w:name="_Toc447755368"/>
      <w:r>
        <w:t xml:space="preserve">Figure </w:t>
      </w:r>
      <w:r w:rsidR="00184FC2">
        <w:fldChar w:fldCharType="begin"/>
      </w:r>
      <w:r w:rsidR="00184FC2">
        <w:instrText xml:space="preserve"> SEQ Figure \* ARABIC </w:instrText>
      </w:r>
      <w:r w:rsidR="00184FC2">
        <w:fldChar w:fldCharType="separate"/>
      </w:r>
      <w:r w:rsidR="00E90148">
        <w:rPr>
          <w:noProof/>
        </w:rPr>
        <w:t>30</w:t>
      </w:r>
      <w:r w:rsidR="00184FC2">
        <w:rPr>
          <w:noProof/>
        </w:rPr>
        <w:fldChar w:fldCharType="end"/>
      </w:r>
      <w:bookmarkEnd w:id="105"/>
      <w:r>
        <w:t>: Effects of (a) Pressed Pellet and (b) Powder Sample Types on Precision and Accuracy of Niton XL3t PHXRF Device for SGB Samples.</w:t>
      </w:r>
      <w:bookmarkEnd w:id="106"/>
    </w:p>
    <w:p w14:paraId="302D9C93" w14:textId="77777777" w:rsidR="00A45898" w:rsidRDefault="00A45898" w:rsidP="00A45898"/>
    <w:p w14:paraId="44EC8C52" w14:textId="07936A67" w:rsidR="00690B6F" w:rsidRDefault="00690B6F" w:rsidP="00690B6F">
      <w:pPr>
        <w:ind w:left="720"/>
        <w:jc w:val="both"/>
        <w:rPr>
          <w:rFonts w:eastAsiaTheme="minorEastAsia"/>
        </w:rPr>
      </w:pPr>
      <w:r>
        <w:tab/>
      </w:r>
      <w:r>
        <w:fldChar w:fldCharType="begin"/>
      </w:r>
      <w:r>
        <w:instrText xml:space="preserve"> REF _Ref447583819 \h </w:instrText>
      </w:r>
      <w:r>
        <w:fldChar w:fldCharType="separate"/>
      </w:r>
      <w:r w:rsidR="00E90148">
        <w:t xml:space="preserve">Figure </w:t>
      </w:r>
      <w:r w:rsidR="00E90148">
        <w:rPr>
          <w:noProof/>
        </w:rPr>
        <w:t>31</w:t>
      </w:r>
      <w:r>
        <w:fldChar w:fldCharType="end"/>
      </w:r>
      <w:r w:rsidRPr="00690B6F">
        <w:t xml:space="preserve"> </w:t>
      </w:r>
      <w:r>
        <w:t>further illustrates the inconsistencies in the sample type results. As can be seen in the OHC chart (left),</w:t>
      </w:r>
      <w:r w:rsidR="001E15C2">
        <w:t xml:space="preserve"> pressed pellets clearly reduce</w:t>
      </w:r>
      <w:r>
        <w:t xml:space="preserve"> RMSD of the PHXRF </w:t>
      </w:r>
      <m:oMath>
        <m:r>
          <w:rPr>
            <w:rFonts w:ascii="Cambria Math" w:hAnsi="Cambria Math"/>
          </w:rPr>
          <m:t>SC</m:t>
        </m:r>
      </m:oMath>
      <w:r>
        <w:rPr>
          <w:rFonts w:eastAsiaTheme="minorEastAsia"/>
        </w:rPr>
        <w:t xml:space="preserve"> measurements, thus increasing accuracy. Nonetheless, the SGB chart (right) clearly shows that powder samples reduce RMSD for the S1 Titan </w:t>
      </w:r>
      <m:oMath>
        <m:r>
          <w:rPr>
            <w:rFonts w:ascii="Cambria Math" w:eastAsiaTheme="minorEastAsia" w:hAnsi="Cambria Math"/>
          </w:rPr>
          <m:t>SC</m:t>
        </m:r>
      </m:oMath>
      <w:r>
        <w:rPr>
          <w:rFonts w:eastAsiaTheme="minorEastAsia"/>
        </w:rPr>
        <w:t xml:space="preserve"> measurements and make no difference in RMSD for the Niton XL3t. </w:t>
      </w:r>
      <w:r w:rsidR="006C617F">
        <w:rPr>
          <w:rFonts w:eastAsiaTheme="minorEastAsia"/>
        </w:rPr>
        <w:t>Ultimately, it was decided that the results regarding sample type are inconclusive. Accordingly, all field samples would be processed into powder samples because they require significantly less time and labor to prepare compared to their pressed pellet counterparts.</w:t>
      </w:r>
      <w:r>
        <w:rPr>
          <w:rFonts w:eastAsiaTheme="minorEastAsia"/>
        </w:rPr>
        <w:t xml:space="preserve"> </w:t>
      </w:r>
    </w:p>
    <w:p w14:paraId="4F5D336A" w14:textId="77777777" w:rsidR="00175936" w:rsidRDefault="00175936" w:rsidP="00690B6F">
      <w:pPr>
        <w:ind w:left="720"/>
        <w:jc w:val="both"/>
      </w:pPr>
    </w:p>
    <w:p w14:paraId="16B1DD6B" w14:textId="5CCD42CA" w:rsidR="00DC298C" w:rsidRDefault="00921326" w:rsidP="00A45898">
      <w:r>
        <w:rPr>
          <w:noProof/>
        </w:rPr>
        <w:drawing>
          <wp:inline distT="0" distB="0" distL="0" distR="0" wp14:anchorId="77010A40" wp14:editId="14F85148">
            <wp:extent cx="2658110" cy="2749550"/>
            <wp:effectExtent l="0" t="0" r="889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58110" cy="2749550"/>
                    </a:xfrm>
                    <a:prstGeom prst="rect">
                      <a:avLst/>
                    </a:prstGeom>
                    <a:noFill/>
                  </pic:spPr>
                </pic:pic>
              </a:graphicData>
            </a:graphic>
          </wp:inline>
        </w:drawing>
      </w:r>
      <w:r w:rsidRPr="00921326">
        <w:rPr>
          <w:noProof/>
        </w:rPr>
        <w:t xml:space="preserve"> </w:t>
      </w:r>
      <w:r>
        <w:rPr>
          <w:noProof/>
        </w:rPr>
        <w:drawing>
          <wp:inline distT="0" distB="0" distL="0" distR="0" wp14:anchorId="3D47A4DA" wp14:editId="58CD734D">
            <wp:extent cx="2658110" cy="2749550"/>
            <wp:effectExtent l="0" t="0" r="889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58110" cy="2749550"/>
                    </a:xfrm>
                    <a:prstGeom prst="rect">
                      <a:avLst/>
                    </a:prstGeom>
                    <a:noFill/>
                  </pic:spPr>
                </pic:pic>
              </a:graphicData>
            </a:graphic>
          </wp:inline>
        </w:drawing>
      </w:r>
    </w:p>
    <w:p w14:paraId="74B2BBF8" w14:textId="5F2DD30E" w:rsidR="00DC298C" w:rsidRDefault="00DC298C" w:rsidP="00DC298C">
      <w:pPr>
        <w:pStyle w:val="Caption"/>
        <w:spacing w:line="480" w:lineRule="auto"/>
      </w:pPr>
      <w:bookmarkStart w:id="107" w:name="_Ref447583819"/>
      <w:bookmarkStart w:id="108" w:name="_Toc447755369"/>
      <w:r>
        <w:t xml:space="preserve">Figure </w:t>
      </w:r>
      <w:r w:rsidR="00184FC2">
        <w:fldChar w:fldCharType="begin"/>
      </w:r>
      <w:r w:rsidR="00184FC2">
        <w:instrText xml:space="preserve"> SEQ Figure \* ARABIC </w:instrText>
      </w:r>
      <w:r w:rsidR="00184FC2">
        <w:fldChar w:fldCharType="separate"/>
      </w:r>
      <w:r w:rsidR="00E90148">
        <w:rPr>
          <w:noProof/>
        </w:rPr>
        <w:t>31</w:t>
      </w:r>
      <w:r w:rsidR="00184FC2">
        <w:rPr>
          <w:noProof/>
        </w:rPr>
        <w:fldChar w:fldCharType="end"/>
      </w:r>
      <w:bookmarkEnd w:id="107"/>
      <w:r>
        <w:t>: RMSD for OHC (Left) and SGB (Right) Pellet and Powder Samples</w:t>
      </w:r>
      <w:bookmarkEnd w:id="108"/>
    </w:p>
    <w:p w14:paraId="40881768" w14:textId="77777777" w:rsidR="00DC298C" w:rsidRDefault="00DC298C" w:rsidP="00A45898"/>
    <w:p w14:paraId="2092F67B" w14:textId="77777777" w:rsidR="00175936" w:rsidRPr="00A45898" w:rsidRDefault="00175936" w:rsidP="00A45898"/>
    <w:p w14:paraId="236BAEAF" w14:textId="77777777" w:rsidR="00427D9A" w:rsidRDefault="00427D9A" w:rsidP="00427D9A">
      <w:pPr>
        <w:jc w:val="both"/>
        <w:rPr>
          <w:rFonts w:eastAsiaTheme="minorEastAsia"/>
          <w:b/>
        </w:rPr>
      </w:pPr>
    </w:p>
    <w:p w14:paraId="3067982B" w14:textId="13E1C60A" w:rsidR="002C0489" w:rsidRDefault="0000779B" w:rsidP="00830157">
      <w:pPr>
        <w:ind w:firstLine="720"/>
        <w:jc w:val="both"/>
        <w:rPr>
          <w:rFonts w:eastAsiaTheme="minorEastAsia"/>
          <w:b/>
        </w:rPr>
      </w:pPr>
      <w:r>
        <w:rPr>
          <w:rFonts w:eastAsiaTheme="minorEastAsia"/>
          <w:b/>
        </w:rPr>
        <w:lastRenderedPageBreak/>
        <w:t>4.2.5 PHXRF Device</w:t>
      </w:r>
      <w:r w:rsidR="00D8488C">
        <w:rPr>
          <w:rFonts w:eastAsiaTheme="minorEastAsia"/>
          <w:b/>
        </w:rPr>
        <w:t xml:space="preserve"> Comparison</w:t>
      </w:r>
    </w:p>
    <w:p w14:paraId="41E5CF98" w14:textId="2CEBB392" w:rsidR="008115ED" w:rsidRDefault="008115ED" w:rsidP="00457152">
      <w:pPr>
        <w:ind w:left="720" w:firstLine="720"/>
        <w:jc w:val="both"/>
        <w:rPr>
          <w:rFonts w:eastAsiaTheme="minorEastAsia"/>
          <w:bCs/>
        </w:rPr>
      </w:pPr>
      <w:r>
        <w:rPr>
          <w:rFonts w:eastAsiaTheme="minorEastAsia"/>
          <w:bCs/>
        </w:rPr>
        <w:t xml:space="preserve">The direct comparison between the S1 Titan and Niton XL3t </w:t>
      </w:r>
      <w:r w:rsidR="008128E5">
        <w:rPr>
          <w:rFonts w:eastAsiaTheme="minorEastAsia"/>
          <w:bCs/>
        </w:rPr>
        <w:t xml:space="preserve">show that neither device is conclusively better than the other at detecting </w:t>
      </w:r>
      <m:oMath>
        <m:r>
          <w:rPr>
            <w:rFonts w:ascii="Cambria Math" w:hAnsi="Cambria Math"/>
          </w:rPr>
          <m:t>SC</m:t>
        </m:r>
      </m:oMath>
      <w:r w:rsidR="008128E5">
        <w:rPr>
          <w:rFonts w:eastAsiaTheme="minorEastAsia"/>
          <w:bCs/>
        </w:rPr>
        <w:t xml:space="preserve"> in subgrade soils. The S1 Titan proves to have more precise measurements; however, the accuracy of each device appears to be a function of soil type. For example, the S1 Titan is much more accurate than the Niton XL3t at detecting </w:t>
      </w:r>
      <m:oMath>
        <m:r>
          <w:rPr>
            <w:rFonts w:ascii="Cambria Math" w:hAnsi="Cambria Math"/>
          </w:rPr>
          <m:t>SC</m:t>
        </m:r>
      </m:oMath>
      <w:r w:rsidR="008128E5">
        <w:rPr>
          <w:rFonts w:eastAsiaTheme="minorEastAsia"/>
          <w:bCs/>
        </w:rPr>
        <w:t xml:space="preserve"> in the OHC samples</w:t>
      </w:r>
      <w:r w:rsidR="00940B7B">
        <w:rPr>
          <w:rFonts w:eastAsiaTheme="minorEastAsia"/>
          <w:bCs/>
        </w:rPr>
        <w:t>,</w:t>
      </w:r>
      <w:r w:rsidR="008128E5">
        <w:rPr>
          <w:rFonts w:eastAsiaTheme="minorEastAsia"/>
          <w:bCs/>
        </w:rPr>
        <w:t xml:space="preserve"> while the Niton XL3t is considerably more accurate at detecting </w:t>
      </w:r>
      <m:oMath>
        <m:r>
          <w:rPr>
            <w:rFonts w:ascii="Cambria Math" w:hAnsi="Cambria Math"/>
          </w:rPr>
          <m:t>SC</m:t>
        </m:r>
      </m:oMath>
      <w:r w:rsidR="008128E5">
        <w:rPr>
          <w:rFonts w:eastAsiaTheme="minorEastAsia"/>
          <w:bCs/>
        </w:rPr>
        <w:t xml:space="preserve"> in the SGB samples.</w:t>
      </w:r>
    </w:p>
    <w:p w14:paraId="5C75658B" w14:textId="5D4D29DA" w:rsidR="008115ED" w:rsidRDefault="008128E5" w:rsidP="00457152">
      <w:pPr>
        <w:ind w:left="720" w:firstLine="720"/>
        <w:jc w:val="both"/>
        <w:rPr>
          <w:rFonts w:eastAsiaTheme="minorEastAsia"/>
          <w:bCs/>
        </w:rPr>
      </w:pPr>
      <w:r>
        <w:rPr>
          <w:rFonts w:eastAsiaTheme="minorEastAsia"/>
          <w:bCs/>
        </w:rPr>
        <w:t xml:space="preserve">As seen in </w:t>
      </w:r>
      <w:r>
        <w:rPr>
          <w:rFonts w:eastAsiaTheme="minorEastAsia"/>
          <w:bCs/>
        </w:rPr>
        <w:fldChar w:fldCharType="begin"/>
      </w:r>
      <w:r>
        <w:rPr>
          <w:rFonts w:eastAsiaTheme="minorEastAsia"/>
          <w:bCs/>
        </w:rPr>
        <w:instrText xml:space="preserve"> REF _Ref446237362 \h </w:instrText>
      </w:r>
      <w:r>
        <w:rPr>
          <w:rFonts w:eastAsiaTheme="minorEastAsia"/>
          <w:bCs/>
        </w:rPr>
      </w:r>
      <w:r>
        <w:rPr>
          <w:rFonts w:eastAsiaTheme="minorEastAsia"/>
          <w:bCs/>
        </w:rPr>
        <w:fldChar w:fldCharType="separate"/>
      </w:r>
      <w:r w:rsidR="00E90148">
        <w:t xml:space="preserve">Table </w:t>
      </w:r>
      <w:r w:rsidR="00E90148">
        <w:rPr>
          <w:noProof/>
        </w:rPr>
        <w:t>15</w:t>
      </w:r>
      <w:r>
        <w:rPr>
          <w:rFonts w:eastAsiaTheme="minorEastAsia"/>
          <w:bCs/>
        </w:rPr>
        <w:fldChar w:fldCharType="end"/>
      </w:r>
      <w:r>
        <w:rPr>
          <w:rFonts w:eastAsiaTheme="minorEastAsia"/>
          <w:bCs/>
        </w:rPr>
        <w:t xml:space="preserve">, </w:t>
      </w:r>
      <w:r w:rsidR="00FD459F">
        <w:rPr>
          <w:rFonts w:eastAsiaTheme="minorEastAsia"/>
          <w:bCs/>
        </w:rPr>
        <w:t xml:space="preserve">the S1 Titan produces </w:t>
      </w:r>
      <w:r w:rsidR="006021E6">
        <w:rPr>
          <w:rFonts w:eastAsiaTheme="minorEastAsia"/>
          <w:bCs/>
        </w:rPr>
        <w:t>slightly more</w:t>
      </w:r>
      <w:r w:rsidR="00FD459F">
        <w:rPr>
          <w:rFonts w:eastAsiaTheme="minorEastAsia"/>
          <w:bCs/>
        </w:rPr>
        <w:t xml:space="preserve"> precise measurements than the Niton XL3t for both OHC and SGB soil samples. </w:t>
      </w:r>
      <w:r w:rsidR="006021E6">
        <w:rPr>
          <w:rFonts w:eastAsiaTheme="minorEastAsia"/>
          <w:bCs/>
        </w:rPr>
        <w:t>T</w:t>
      </w:r>
      <w:r w:rsidR="00FD459F">
        <w:rPr>
          <w:rFonts w:eastAsiaTheme="minorEastAsia"/>
          <w:bCs/>
        </w:rPr>
        <w:t xml:space="preserve">aking measurements with the S1 Titan </w:t>
      </w:r>
      <w:r w:rsidR="006021E6">
        <w:rPr>
          <w:rFonts w:eastAsiaTheme="minorEastAsia"/>
          <w:bCs/>
        </w:rPr>
        <w:t>reduces</w:t>
      </w:r>
      <w:r w:rsidR="009A3B86">
        <w:rPr>
          <w:rFonts w:eastAsiaTheme="minorEastAsia"/>
          <w:bCs/>
        </w:rPr>
        <w:t xml:space="preserve"> </w:t>
      </w:r>
      <w:r w:rsidR="0063776A">
        <w:rPr>
          <w:rFonts w:eastAsiaTheme="minorEastAsia"/>
          <w:bCs/>
        </w:rPr>
        <w:t xml:space="preserve">the </w:t>
      </w:r>
      <w:r w:rsidR="00FD459F">
        <w:rPr>
          <w:rFonts w:eastAsiaTheme="minorEastAsia"/>
          <w:bCs/>
        </w:rPr>
        <w:t>STDEV by 0.013%</w:t>
      </w:r>
      <w:r w:rsidR="006021E6">
        <w:rPr>
          <w:rFonts w:eastAsiaTheme="minorEastAsia"/>
          <w:bCs/>
        </w:rPr>
        <w:t xml:space="preserve"> and </w:t>
      </w:r>
      <w:r w:rsidR="00566A2E">
        <w:rPr>
          <w:rFonts w:eastAsiaTheme="minorEastAsia"/>
          <w:bCs/>
        </w:rPr>
        <w:t xml:space="preserve">0.025% </w:t>
      </w:r>
      <w:r w:rsidR="006021E6">
        <w:rPr>
          <w:rFonts w:eastAsiaTheme="minorEastAsia"/>
          <w:bCs/>
        </w:rPr>
        <w:t xml:space="preserve">in OHC and SGB samples, respectively. This is of very little consequence, however, as is indicated by the trivial differences in </w:t>
      </w:r>
      <w:r w:rsidR="0063776A">
        <w:rPr>
          <w:rFonts w:eastAsiaTheme="minorEastAsia"/>
          <w:bCs/>
        </w:rPr>
        <w:t xml:space="preserve">the </w:t>
      </w:r>
      <w:r w:rsidR="00566A2E">
        <w:rPr>
          <w:rFonts w:eastAsiaTheme="minorEastAsia"/>
          <w:bCs/>
        </w:rPr>
        <w:t>COV</w:t>
      </w:r>
      <w:r w:rsidR="00566A2E">
        <w:rPr>
          <w:rFonts w:eastAsiaTheme="minorEastAsia"/>
          <w:bCs/>
          <w:vertAlign w:val="subscript"/>
        </w:rPr>
        <w:t>STDEV</w:t>
      </w:r>
      <w:r w:rsidR="006021E6">
        <w:rPr>
          <w:rFonts w:eastAsiaTheme="minorEastAsia"/>
          <w:bCs/>
        </w:rPr>
        <w:t xml:space="preserve">. </w:t>
      </w:r>
      <w:r w:rsidR="00566A2E">
        <w:rPr>
          <w:rFonts w:eastAsiaTheme="minorEastAsia"/>
          <w:bCs/>
        </w:rPr>
        <w:t xml:space="preserve"> </w:t>
      </w:r>
      <w:r w:rsidR="006021E6">
        <w:rPr>
          <w:rFonts w:eastAsiaTheme="minorEastAsia"/>
          <w:bCs/>
        </w:rPr>
        <w:t xml:space="preserve">Accuracy of each device seems to </w:t>
      </w:r>
      <w:r w:rsidR="001B45A7">
        <w:rPr>
          <w:rFonts w:eastAsiaTheme="minorEastAsia"/>
          <w:bCs/>
        </w:rPr>
        <w:t>depend on the soil type, which may be caused b</w:t>
      </w:r>
      <w:r w:rsidR="00C54A3C">
        <w:rPr>
          <w:rFonts w:eastAsiaTheme="minorEastAsia"/>
          <w:bCs/>
        </w:rPr>
        <w:t>y differences in factory soil calibrations</w:t>
      </w:r>
      <w:r w:rsidR="006021E6">
        <w:rPr>
          <w:rFonts w:eastAsiaTheme="minorEastAsia"/>
          <w:bCs/>
        </w:rPr>
        <w:t xml:space="preserve">. Deviations from the true </w:t>
      </w:r>
      <m:oMath>
        <m:r>
          <w:rPr>
            <w:rFonts w:ascii="Cambria Math" w:hAnsi="Cambria Math"/>
          </w:rPr>
          <m:t xml:space="preserve">SC </m:t>
        </m:r>
        <m:r>
          <m:rPr>
            <m:sty m:val="p"/>
          </m:rPr>
          <w:rPr>
            <w:rFonts w:ascii="Cambria Math" w:eastAsiaTheme="minorEastAsia" w:hAnsi="Cambria Math"/>
          </w:rPr>
          <m:t xml:space="preserve">of the OHC samples </m:t>
        </m:r>
      </m:oMath>
      <w:r w:rsidR="0063776A">
        <w:rPr>
          <w:rFonts w:eastAsiaTheme="minorEastAsia"/>
          <w:bCs/>
        </w:rPr>
        <w:t>, as measured by the commercial laboratory using the whole rock method,</w:t>
      </w:r>
      <w:r w:rsidR="006021E6">
        <w:rPr>
          <w:rFonts w:eastAsiaTheme="minorEastAsia"/>
          <w:bCs/>
        </w:rPr>
        <w:t xml:space="preserve"> are reduced by .783% when using the S1 Titan, whereas for the SGB samples, it is reduced by 1.365% when using the Niton XL3t. </w:t>
      </w:r>
      <w:r w:rsidR="00140D94">
        <w:rPr>
          <w:rFonts w:eastAsiaTheme="minorEastAsia"/>
          <w:bCs/>
        </w:rPr>
        <w:t xml:space="preserve">Interestingly, the Niton XL3t has the lowest variability in relation to the true </w:t>
      </w:r>
      <m:oMath>
        <m:r>
          <w:rPr>
            <w:rFonts w:ascii="Cambria Math" w:hAnsi="Cambria Math"/>
          </w:rPr>
          <m:t>SC</m:t>
        </m:r>
      </m:oMath>
      <w:r w:rsidR="00140D94">
        <w:rPr>
          <w:rFonts w:eastAsiaTheme="minorEastAsia"/>
          <w:bCs/>
        </w:rPr>
        <w:t xml:space="preserve"> for both soils. This suggests that the Niton XL3t may be the better choice for determining </w:t>
      </w:r>
      <m:oMath>
        <m:r>
          <w:rPr>
            <w:rFonts w:ascii="Cambria Math" w:hAnsi="Cambria Math"/>
          </w:rPr>
          <m:t>SC</m:t>
        </m:r>
      </m:oMath>
      <w:r w:rsidR="00140D94">
        <w:rPr>
          <w:rFonts w:eastAsiaTheme="minorEastAsia"/>
          <w:bCs/>
        </w:rPr>
        <w:t xml:space="preserve"> in subgrade soils than the S1 Titan. On the other hand, t</w:t>
      </w:r>
      <w:r w:rsidR="00904C95">
        <w:rPr>
          <w:rFonts w:eastAsiaTheme="minorEastAsia"/>
          <w:bCs/>
        </w:rPr>
        <w:t>he difference</w:t>
      </w:r>
      <w:r w:rsidR="002E3F4C">
        <w:rPr>
          <w:rFonts w:eastAsiaTheme="minorEastAsia"/>
          <w:bCs/>
        </w:rPr>
        <w:t>s</w:t>
      </w:r>
      <w:r w:rsidR="00904C95">
        <w:rPr>
          <w:rFonts w:eastAsiaTheme="minorEastAsia"/>
          <w:bCs/>
        </w:rPr>
        <w:t xml:space="preserve"> in accur</w:t>
      </w:r>
      <w:r w:rsidR="002E3F4C">
        <w:rPr>
          <w:rFonts w:eastAsiaTheme="minorEastAsia"/>
          <w:bCs/>
        </w:rPr>
        <w:t>acy of the</w:t>
      </w:r>
      <w:r w:rsidR="00904C95">
        <w:rPr>
          <w:rFonts w:eastAsiaTheme="minorEastAsia"/>
          <w:bCs/>
        </w:rPr>
        <w:t xml:space="preserve"> two devices may likely be the result of different factory soil calibrations. The calibration for the S1 Titan </w:t>
      </w:r>
      <w:r w:rsidR="00904C95">
        <w:rPr>
          <w:rFonts w:eastAsiaTheme="minorEastAsia"/>
          <w:bCs/>
        </w:rPr>
        <w:lastRenderedPageBreak/>
        <w:t>may be more appropriate for Kaolinite-based clay</w:t>
      </w:r>
      <w:r w:rsidR="002E3F4C">
        <w:rPr>
          <w:rFonts w:eastAsiaTheme="minorEastAsia"/>
          <w:bCs/>
        </w:rPr>
        <w:t>,</w:t>
      </w:r>
      <w:r w:rsidR="00904C95">
        <w:rPr>
          <w:rFonts w:eastAsiaTheme="minorEastAsia"/>
          <w:bCs/>
        </w:rPr>
        <w:t xml:space="preserve"> whereas the Niton XL3t </w:t>
      </w:r>
      <w:r w:rsidR="002E3F4C">
        <w:rPr>
          <w:rFonts w:eastAsiaTheme="minorEastAsia"/>
          <w:bCs/>
        </w:rPr>
        <w:t xml:space="preserve">calibration </w:t>
      </w:r>
      <w:r w:rsidR="00904C95">
        <w:rPr>
          <w:rFonts w:eastAsiaTheme="minorEastAsia"/>
          <w:bCs/>
        </w:rPr>
        <w:t xml:space="preserve">may be more suited for Montmorillonite-based clay. </w:t>
      </w:r>
    </w:p>
    <w:p w14:paraId="1A4A2B94" w14:textId="77777777" w:rsidR="00904C95" w:rsidRDefault="00904C95" w:rsidP="00904C95">
      <w:pPr>
        <w:ind w:left="720" w:firstLine="720"/>
        <w:jc w:val="both"/>
      </w:pPr>
    </w:p>
    <w:p w14:paraId="2CA1F15A" w14:textId="05218C67" w:rsidR="006555D0" w:rsidRDefault="008115ED" w:rsidP="008115ED">
      <w:pPr>
        <w:pStyle w:val="Caption"/>
      </w:pPr>
      <w:bookmarkStart w:id="109" w:name="_Ref446237362"/>
      <w:bookmarkStart w:id="110" w:name="_Toc447755335"/>
      <w:r>
        <w:t xml:space="preserve">Table </w:t>
      </w:r>
      <w:r w:rsidR="00184FC2">
        <w:fldChar w:fldCharType="begin"/>
      </w:r>
      <w:r w:rsidR="00184FC2">
        <w:instrText xml:space="preserve"> SEQ Table \* ARABIC </w:instrText>
      </w:r>
      <w:r w:rsidR="00184FC2">
        <w:fldChar w:fldCharType="separate"/>
      </w:r>
      <w:r w:rsidR="00E90148">
        <w:rPr>
          <w:noProof/>
        </w:rPr>
        <w:t>15</w:t>
      </w:r>
      <w:r w:rsidR="00184FC2">
        <w:rPr>
          <w:noProof/>
        </w:rPr>
        <w:fldChar w:fldCharType="end"/>
      </w:r>
      <w:bookmarkEnd w:id="109"/>
      <w:r>
        <w:t>: Direct Comparison of S1 Titan and Niton XL3t Measurements</w:t>
      </w:r>
      <w:bookmarkEnd w:id="110"/>
    </w:p>
    <w:tbl>
      <w:tblPr>
        <w:tblW w:w="750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2"/>
        <w:gridCol w:w="1728"/>
        <w:gridCol w:w="720"/>
        <w:gridCol w:w="1152"/>
        <w:gridCol w:w="1152"/>
        <w:gridCol w:w="1152"/>
        <w:gridCol w:w="1152"/>
      </w:tblGrid>
      <w:tr w:rsidR="0020754F" w:rsidRPr="00B1453E" w14:paraId="02ACA923" w14:textId="77777777" w:rsidTr="007D612A">
        <w:trPr>
          <w:trHeight w:val="600"/>
          <w:jc w:val="center"/>
        </w:trPr>
        <w:tc>
          <w:tcPr>
            <w:tcW w:w="452" w:type="dxa"/>
            <w:tcBorders>
              <w:top w:val="nil"/>
              <w:left w:val="nil"/>
              <w:bottom w:val="single" w:sz="4" w:space="0" w:color="auto"/>
              <w:right w:val="single" w:sz="4" w:space="0" w:color="auto"/>
            </w:tcBorders>
            <w:shd w:val="clear" w:color="auto" w:fill="auto"/>
            <w:vAlign w:val="center"/>
          </w:tcPr>
          <w:p w14:paraId="7A6FEB2A" w14:textId="77777777" w:rsidR="0020754F" w:rsidRPr="00B1453E" w:rsidRDefault="0020754F" w:rsidP="007D612A">
            <w:pPr>
              <w:spacing w:line="240" w:lineRule="auto"/>
              <w:rPr>
                <w:rFonts w:eastAsia="Times New Roman" w:cs="Times New Roman"/>
                <w:i/>
                <w:iCs/>
                <w:color w:val="000000"/>
                <w:sz w:val="22"/>
                <w:szCs w:val="22"/>
              </w:rPr>
            </w:pPr>
          </w:p>
        </w:tc>
        <w:tc>
          <w:tcPr>
            <w:tcW w:w="172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329D9748" w14:textId="5B3E1976" w:rsidR="0020754F" w:rsidRPr="00B1453E" w:rsidRDefault="0020754F" w:rsidP="0020754F">
            <w:pPr>
              <w:spacing w:line="240" w:lineRule="auto"/>
              <w:rPr>
                <w:rFonts w:eastAsia="Times New Roman" w:cs="Times New Roman"/>
                <w:i/>
                <w:iCs/>
                <w:color w:val="000000"/>
                <w:sz w:val="22"/>
                <w:szCs w:val="22"/>
              </w:rPr>
            </w:pPr>
            <w:r>
              <w:rPr>
                <w:rFonts w:eastAsia="Times New Roman" w:cs="Times New Roman"/>
                <w:i/>
                <w:iCs/>
                <w:color w:val="000000"/>
                <w:sz w:val="22"/>
                <w:szCs w:val="22"/>
              </w:rPr>
              <w:t>PHXRF Device</w:t>
            </w:r>
          </w:p>
        </w:tc>
        <w:tc>
          <w:tcPr>
            <w:tcW w:w="720" w:type="dxa"/>
            <w:tcBorders>
              <w:top w:val="single" w:sz="4" w:space="0" w:color="auto"/>
              <w:left w:val="nil"/>
              <w:bottom w:val="single" w:sz="4" w:space="0" w:color="auto"/>
              <w:right w:val="nil"/>
            </w:tcBorders>
            <w:shd w:val="clear" w:color="auto" w:fill="BFBFBF" w:themeFill="background1" w:themeFillShade="BF"/>
            <w:vAlign w:val="center"/>
          </w:tcPr>
          <w:p w14:paraId="62C163B8" w14:textId="77777777" w:rsidR="0020754F" w:rsidRDefault="0020754F"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301B7D62" w14:textId="77777777" w:rsidR="0020754F" w:rsidRPr="00B1453E" w:rsidRDefault="0020754F"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B1453E">
              <w:rPr>
                <w:rFonts w:eastAsia="Times New Roman" w:cs="Times New Roman"/>
                <w:i/>
                <w:iCs/>
                <w:color w:val="000000"/>
                <w:sz w:val="22"/>
                <w:szCs w:val="22"/>
              </w:rPr>
              <w:t xml:space="preserve">    </w:t>
            </w:r>
            <w:r>
              <w:rPr>
                <w:rFonts w:eastAsia="Times New Roman" w:cs="Times New Roman"/>
                <w:i/>
                <w:iCs/>
                <w:color w:val="000000"/>
                <w:sz w:val="22"/>
                <w:szCs w:val="22"/>
              </w:rPr>
              <w:t xml:space="preserve">              </w:t>
            </w:r>
            <w:r w:rsidRPr="00B1453E">
              <w:rPr>
                <w:rFonts w:eastAsia="Times New Roman" w:cs="Times New Roman"/>
                <w:i/>
                <w:iCs/>
                <w:color w:val="000000"/>
                <w:sz w:val="22"/>
                <w:szCs w:val="22"/>
              </w:rPr>
              <w:t>(%)</w:t>
            </w:r>
          </w:p>
        </w:tc>
        <w:tc>
          <w:tcPr>
            <w:tcW w:w="1152" w:type="dxa"/>
            <w:tcBorders>
              <w:top w:val="single" w:sz="4" w:space="0" w:color="auto"/>
              <w:left w:val="nil"/>
              <w:bottom w:val="single" w:sz="4" w:space="0" w:color="auto"/>
              <w:right w:val="nil"/>
            </w:tcBorders>
            <w:shd w:val="clear" w:color="auto" w:fill="BFBFBF" w:themeFill="background1" w:themeFillShade="BF"/>
            <w:vAlign w:val="center"/>
          </w:tcPr>
          <w:p w14:paraId="29A5F5E4" w14:textId="77777777" w:rsidR="0020754F" w:rsidRPr="00B1453E" w:rsidRDefault="0020754F"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STDEV</w:t>
            </w:r>
          </w:p>
        </w:tc>
        <w:tc>
          <w:tcPr>
            <w:tcW w:w="1152" w:type="dxa"/>
            <w:tcBorders>
              <w:top w:val="single" w:sz="4" w:space="0" w:color="auto"/>
              <w:left w:val="nil"/>
              <w:bottom w:val="single" w:sz="4" w:space="0" w:color="auto"/>
              <w:right w:val="nil"/>
            </w:tcBorders>
            <w:shd w:val="clear" w:color="auto" w:fill="BFBFBF" w:themeFill="background1" w:themeFillShade="BF"/>
            <w:vAlign w:val="center"/>
            <w:hideMark/>
          </w:tcPr>
          <w:p w14:paraId="5ED6E4C6" w14:textId="77777777" w:rsidR="0020754F" w:rsidRPr="00B1453E" w:rsidRDefault="0020754F" w:rsidP="007D612A">
            <w:pPr>
              <w:spacing w:line="240" w:lineRule="auto"/>
              <w:rPr>
                <w:rFonts w:eastAsia="Times New Roman" w:cs="Times New Roman"/>
                <w:i/>
                <w:iCs/>
                <w:color w:val="000000"/>
                <w:sz w:val="22"/>
                <w:szCs w:val="22"/>
              </w:rPr>
            </w:pPr>
            <w:r w:rsidRPr="00B1453E">
              <w:rPr>
                <w:rFonts w:eastAsia="Times New Roman" w:cs="Times New Roman"/>
                <w:i/>
                <w:iCs/>
                <w:color w:val="000000"/>
                <w:sz w:val="22"/>
                <w:szCs w:val="22"/>
              </w:rPr>
              <w:t>RMSD         (%)</w:t>
            </w:r>
          </w:p>
        </w:tc>
        <w:tc>
          <w:tcPr>
            <w:tcW w:w="115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135B90" w14:textId="77777777" w:rsidR="0020754F" w:rsidRPr="00B1453E" w:rsidRDefault="0020754F"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COV</w:t>
            </w:r>
            <w:r>
              <w:rPr>
                <w:rFonts w:eastAsia="Times New Roman" w:cs="Times New Roman"/>
                <w:i/>
                <w:iCs/>
                <w:color w:val="000000"/>
                <w:sz w:val="22"/>
                <w:szCs w:val="22"/>
                <w:vertAlign w:val="subscript"/>
              </w:rPr>
              <w:t>RMSD</w:t>
            </w:r>
          </w:p>
        </w:tc>
      </w:tr>
      <w:tr w:rsidR="0020754F" w:rsidRPr="00B1453E" w14:paraId="2771E367" w14:textId="77777777" w:rsidTr="0020754F">
        <w:trPr>
          <w:cantSplit/>
          <w:trHeight w:val="432"/>
          <w:jc w:val="center"/>
        </w:trPr>
        <w:tc>
          <w:tcPr>
            <w:tcW w:w="4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34E16714" w14:textId="3CC000A5" w:rsidR="0020754F" w:rsidRPr="00B1453E" w:rsidRDefault="0020754F" w:rsidP="0020754F">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OHC</w:t>
            </w:r>
          </w:p>
        </w:tc>
        <w:tc>
          <w:tcPr>
            <w:tcW w:w="1728" w:type="dxa"/>
            <w:tcBorders>
              <w:top w:val="single" w:sz="4" w:space="0" w:color="auto"/>
              <w:left w:val="single" w:sz="4" w:space="0" w:color="auto"/>
              <w:bottom w:val="nil"/>
              <w:right w:val="nil"/>
            </w:tcBorders>
            <w:shd w:val="clear" w:color="auto" w:fill="auto"/>
            <w:noWrap/>
            <w:vAlign w:val="center"/>
            <w:hideMark/>
          </w:tcPr>
          <w:p w14:paraId="463C290F" w14:textId="0A4E5736" w:rsidR="0020754F" w:rsidRPr="00B1453E" w:rsidRDefault="0020754F" w:rsidP="0020754F">
            <w:pPr>
              <w:spacing w:line="240" w:lineRule="auto"/>
              <w:rPr>
                <w:rFonts w:eastAsia="Times New Roman" w:cs="Times New Roman"/>
                <w:i/>
                <w:iCs/>
                <w:color w:val="000000"/>
                <w:sz w:val="20"/>
                <w:szCs w:val="20"/>
              </w:rPr>
            </w:pPr>
            <w:r w:rsidRPr="00BF44E5">
              <w:rPr>
                <w:rFonts w:eastAsia="Times New Roman" w:cs="Times New Roman"/>
                <w:i/>
                <w:iCs/>
                <w:color w:val="000000"/>
                <w:sz w:val="20"/>
                <w:szCs w:val="20"/>
              </w:rPr>
              <w:t>S1 Titan</w:t>
            </w:r>
          </w:p>
        </w:tc>
        <w:tc>
          <w:tcPr>
            <w:tcW w:w="720" w:type="dxa"/>
            <w:tcBorders>
              <w:top w:val="single" w:sz="4" w:space="0" w:color="auto"/>
              <w:left w:val="nil"/>
              <w:bottom w:val="nil"/>
              <w:right w:val="dashed" w:sz="4" w:space="0" w:color="auto"/>
            </w:tcBorders>
            <w:vAlign w:val="center"/>
          </w:tcPr>
          <w:p w14:paraId="0CFFF72C" w14:textId="16716C6B" w:rsidR="0020754F" w:rsidRPr="00A45898" w:rsidRDefault="0020754F" w:rsidP="0020754F">
            <w:pPr>
              <w:spacing w:line="240" w:lineRule="auto"/>
              <w:rPr>
                <w:rFonts w:eastAsia="Times New Roman" w:cs="Times New Roman"/>
                <w:i/>
                <w:iCs/>
                <w:color w:val="000000"/>
                <w:sz w:val="20"/>
                <w:szCs w:val="20"/>
              </w:rPr>
            </w:pPr>
            <w:r>
              <w:rPr>
                <w:rFonts w:eastAsia="Times New Roman" w:cs="Times New Roman"/>
                <w:i/>
                <w:iCs/>
                <w:color w:val="000000"/>
                <w:sz w:val="20"/>
                <w:szCs w:val="20"/>
              </w:rPr>
              <w:t>99</w:t>
            </w:r>
          </w:p>
        </w:tc>
        <w:tc>
          <w:tcPr>
            <w:tcW w:w="1152" w:type="dxa"/>
            <w:tcBorders>
              <w:top w:val="single" w:sz="4" w:space="0" w:color="auto"/>
              <w:left w:val="dashed" w:sz="4" w:space="0" w:color="auto"/>
              <w:bottom w:val="nil"/>
            </w:tcBorders>
            <w:shd w:val="clear" w:color="auto" w:fill="auto"/>
            <w:noWrap/>
            <w:vAlign w:val="center"/>
            <w:hideMark/>
          </w:tcPr>
          <w:p w14:paraId="52BA1AD7" w14:textId="267844D6" w:rsidR="0020754F" w:rsidRPr="00B1453E" w:rsidRDefault="0020754F" w:rsidP="0020754F">
            <w:pPr>
              <w:spacing w:line="240" w:lineRule="auto"/>
              <w:rPr>
                <w:rFonts w:eastAsia="Times New Roman" w:cs="Times New Roman"/>
                <w:i/>
                <w:iCs/>
                <w:color w:val="000000"/>
                <w:sz w:val="20"/>
                <w:szCs w:val="20"/>
              </w:rPr>
            </w:pPr>
            <w:r w:rsidRPr="00BF44E5">
              <w:rPr>
                <w:rFonts w:eastAsia="Times New Roman" w:cs="Times New Roman"/>
                <w:b/>
                <w:bCs/>
                <w:i/>
                <w:iCs/>
                <w:color w:val="000000"/>
                <w:sz w:val="20"/>
                <w:szCs w:val="20"/>
              </w:rPr>
              <w:t>0.060</w:t>
            </w:r>
          </w:p>
        </w:tc>
        <w:tc>
          <w:tcPr>
            <w:tcW w:w="1152" w:type="dxa"/>
            <w:tcBorders>
              <w:top w:val="single" w:sz="4" w:space="0" w:color="auto"/>
              <w:bottom w:val="nil"/>
              <w:right w:val="dashed" w:sz="4" w:space="0" w:color="auto"/>
            </w:tcBorders>
            <w:shd w:val="clear" w:color="auto" w:fill="auto"/>
            <w:vAlign w:val="center"/>
          </w:tcPr>
          <w:p w14:paraId="48A48B5D" w14:textId="5BF5B6F8" w:rsidR="0020754F" w:rsidRPr="008E61F5" w:rsidRDefault="0020754F" w:rsidP="0020754F">
            <w:pPr>
              <w:spacing w:line="240" w:lineRule="auto"/>
              <w:rPr>
                <w:rFonts w:eastAsia="Times New Roman" w:cs="Times New Roman"/>
                <w:b/>
                <w:bCs/>
                <w:i/>
                <w:iCs/>
                <w:color w:val="000000"/>
                <w:sz w:val="20"/>
                <w:szCs w:val="20"/>
              </w:rPr>
            </w:pPr>
            <w:r w:rsidRPr="00BF44E5">
              <w:rPr>
                <w:rFonts w:eastAsia="Times New Roman" w:cs="Times New Roman"/>
                <w:b/>
                <w:bCs/>
                <w:i/>
                <w:iCs/>
                <w:color w:val="000000"/>
                <w:sz w:val="20"/>
                <w:szCs w:val="20"/>
              </w:rPr>
              <w:t>0.002</w:t>
            </w:r>
          </w:p>
        </w:tc>
        <w:tc>
          <w:tcPr>
            <w:tcW w:w="1152" w:type="dxa"/>
            <w:tcBorders>
              <w:top w:val="single" w:sz="4" w:space="0" w:color="auto"/>
              <w:left w:val="dashed" w:sz="4" w:space="0" w:color="auto"/>
              <w:bottom w:val="nil"/>
            </w:tcBorders>
            <w:shd w:val="clear" w:color="auto" w:fill="auto"/>
            <w:noWrap/>
            <w:vAlign w:val="center"/>
            <w:hideMark/>
          </w:tcPr>
          <w:p w14:paraId="6B833FC8" w14:textId="500BC8FE" w:rsidR="0020754F" w:rsidRPr="008E61F5" w:rsidRDefault="0020754F" w:rsidP="0020754F">
            <w:pPr>
              <w:spacing w:line="240" w:lineRule="auto"/>
              <w:rPr>
                <w:rFonts w:eastAsia="Times New Roman" w:cs="Times New Roman"/>
                <w:b/>
                <w:bCs/>
                <w:i/>
                <w:iCs/>
                <w:color w:val="000000"/>
                <w:sz w:val="20"/>
                <w:szCs w:val="20"/>
              </w:rPr>
            </w:pPr>
            <w:r w:rsidRPr="00BF44E5">
              <w:rPr>
                <w:rFonts w:eastAsia="Times New Roman" w:cs="Times New Roman"/>
                <w:b/>
                <w:bCs/>
                <w:i/>
                <w:iCs/>
                <w:color w:val="000000"/>
                <w:sz w:val="20"/>
                <w:szCs w:val="20"/>
              </w:rPr>
              <w:t>1.191</w:t>
            </w:r>
          </w:p>
        </w:tc>
        <w:tc>
          <w:tcPr>
            <w:tcW w:w="1152" w:type="dxa"/>
            <w:tcBorders>
              <w:top w:val="single" w:sz="4" w:space="0" w:color="auto"/>
              <w:bottom w:val="nil"/>
            </w:tcBorders>
            <w:shd w:val="clear" w:color="auto" w:fill="auto"/>
            <w:vAlign w:val="center"/>
          </w:tcPr>
          <w:p w14:paraId="2532C30F" w14:textId="50E9208C" w:rsidR="0020754F" w:rsidRPr="008E61F5" w:rsidRDefault="0020754F" w:rsidP="0020754F">
            <w:pPr>
              <w:spacing w:line="240" w:lineRule="auto"/>
              <w:rPr>
                <w:rFonts w:eastAsia="Times New Roman" w:cs="Times New Roman"/>
                <w:b/>
                <w:bCs/>
                <w:i/>
                <w:iCs/>
                <w:color w:val="000000"/>
                <w:sz w:val="20"/>
                <w:szCs w:val="20"/>
              </w:rPr>
            </w:pPr>
            <w:r w:rsidRPr="00BF44E5">
              <w:rPr>
                <w:rFonts w:eastAsia="Times New Roman" w:cs="Times New Roman"/>
                <w:i/>
                <w:iCs/>
                <w:color w:val="000000"/>
                <w:sz w:val="20"/>
                <w:szCs w:val="20"/>
              </w:rPr>
              <w:t>0.082</w:t>
            </w:r>
          </w:p>
        </w:tc>
      </w:tr>
      <w:tr w:rsidR="0020754F" w:rsidRPr="00B1453E" w14:paraId="040D3DF2" w14:textId="77777777" w:rsidTr="0020754F">
        <w:trPr>
          <w:trHeight w:val="432"/>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572DAECC" w14:textId="77777777" w:rsidR="0020754F" w:rsidRPr="00B1453E" w:rsidRDefault="0020754F" w:rsidP="0020754F">
            <w:pPr>
              <w:spacing w:line="240" w:lineRule="auto"/>
              <w:rPr>
                <w:rFonts w:eastAsia="Times New Roman" w:cs="Times New Roman"/>
                <w:i/>
                <w:iCs/>
                <w:color w:val="000000"/>
                <w:sz w:val="20"/>
                <w:szCs w:val="20"/>
              </w:rPr>
            </w:pPr>
          </w:p>
        </w:tc>
        <w:tc>
          <w:tcPr>
            <w:tcW w:w="1728" w:type="dxa"/>
            <w:tcBorders>
              <w:top w:val="nil"/>
              <w:left w:val="single" w:sz="4" w:space="0" w:color="auto"/>
              <w:bottom w:val="dashed" w:sz="4" w:space="0" w:color="auto"/>
              <w:right w:val="nil"/>
            </w:tcBorders>
            <w:shd w:val="clear" w:color="auto" w:fill="F2F2F2" w:themeFill="background1" w:themeFillShade="F2"/>
            <w:noWrap/>
            <w:vAlign w:val="center"/>
            <w:hideMark/>
          </w:tcPr>
          <w:p w14:paraId="0E97B3C9" w14:textId="5D2487E9" w:rsidR="0020754F" w:rsidRPr="00B1453E" w:rsidRDefault="0020754F" w:rsidP="0020754F">
            <w:pPr>
              <w:spacing w:line="240" w:lineRule="auto"/>
              <w:rPr>
                <w:rFonts w:eastAsia="Times New Roman" w:cs="Times New Roman"/>
                <w:i/>
                <w:iCs/>
                <w:color w:val="000000"/>
                <w:sz w:val="20"/>
                <w:szCs w:val="20"/>
              </w:rPr>
            </w:pPr>
            <w:r w:rsidRPr="00BF44E5">
              <w:rPr>
                <w:rFonts w:eastAsia="Times New Roman" w:cs="Times New Roman"/>
                <w:i/>
                <w:iCs/>
                <w:color w:val="000000"/>
                <w:sz w:val="20"/>
                <w:szCs w:val="20"/>
              </w:rPr>
              <w:t>Niton XL3t</w:t>
            </w:r>
          </w:p>
        </w:tc>
        <w:tc>
          <w:tcPr>
            <w:tcW w:w="720" w:type="dxa"/>
            <w:tcBorders>
              <w:top w:val="nil"/>
              <w:left w:val="nil"/>
              <w:bottom w:val="dashed" w:sz="4" w:space="0" w:color="auto"/>
              <w:right w:val="dashed" w:sz="4" w:space="0" w:color="auto"/>
            </w:tcBorders>
            <w:shd w:val="clear" w:color="auto" w:fill="F2F2F2" w:themeFill="background1" w:themeFillShade="F2"/>
            <w:vAlign w:val="center"/>
          </w:tcPr>
          <w:p w14:paraId="6CD8DA2B" w14:textId="5C0B57B2" w:rsidR="0020754F" w:rsidRPr="00A45898" w:rsidRDefault="0020754F" w:rsidP="0020754F">
            <w:pPr>
              <w:spacing w:line="240" w:lineRule="auto"/>
              <w:rPr>
                <w:rFonts w:eastAsia="Times New Roman" w:cs="Times New Roman"/>
                <w:i/>
                <w:iCs/>
                <w:color w:val="000000"/>
                <w:sz w:val="20"/>
                <w:szCs w:val="20"/>
              </w:rPr>
            </w:pPr>
            <w:r>
              <w:rPr>
                <w:rFonts w:eastAsia="Times New Roman" w:cs="Times New Roman"/>
                <w:i/>
                <w:iCs/>
                <w:color w:val="000000"/>
                <w:sz w:val="20"/>
                <w:szCs w:val="20"/>
              </w:rPr>
              <w:t>99</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56368DA5" w14:textId="03651CBB" w:rsidR="0020754F" w:rsidRPr="008E61F5" w:rsidRDefault="0020754F" w:rsidP="0020754F">
            <w:pPr>
              <w:spacing w:line="240" w:lineRule="auto"/>
              <w:rPr>
                <w:rFonts w:eastAsia="Times New Roman" w:cs="Times New Roman"/>
                <w:b/>
                <w:bCs/>
                <w:i/>
                <w:iCs/>
                <w:color w:val="000000"/>
                <w:sz w:val="20"/>
                <w:szCs w:val="20"/>
              </w:rPr>
            </w:pPr>
            <w:r w:rsidRPr="00BF44E5">
              <w:rPr>
                <w:rFonts w:eastAsia="Times New Roman" w:cs="Times New Roman"/>
                <w:i/>
                <w:iCs/>
                <w:color w:val="000000"/>
                <w:sz w:val="20"/>
                <w:szCs w:val="20"/>
              </w:rPr>
              <w:t>0.073</w:t>
            </w:r>
          </w:p>
        </w:tc>
        <w:tc>
          <w:tcPr>
            <w:tcW w:w="1152" w:type="dxa"/>
            <w:tcBorders>
              <w:top w:val="nil"/>
              <w:bottom w:val="dashed" w:sz="4" w:space="0" w:color="auto"/>
              <w:right w:val="dashed" w:sz="4" w:space="0" w:color="auto"/>
            </w:tcBorders>
            <w:shd w:val="clear" w:color="auto" w:fill="F2F2F2" w:themeFill="background1" w:themeFillShade="F2"/>
            <w:vAlign w:val="center"/>
          </w:tcPr>
          <w:p w14:paraId="05E4CDAF" w14:textId="3B18E00A" w:rsidR="0020754F" w:rsidRPr="00050F6A" w:rsidRDefault="0020754F" w:rsidP="0020754F">
            <w:pPr>
              <w:spacing w:line="240" w:lineRule="auto"/>
              <w:rPr>
                <w:rFonts w:eastAsia="Times New Roman" w:cs="Times New Roman"/>
                <w:b/>
                <w:bCs/>
                <w:i/>
                <w:iCs/>
                <w:color w:val="000000"/>
                <w:sz w:val="20"/>
                <w:szCs w:val="20"/>
              </w:rPr>
            </w:pPr>
            <w:r w:rsidRPr="00BF44E5">
              <w:rPr>
                <w:rFonts w:eastAsia="Times New Roman" w:cs="Times New Roman"/>
                <w:i/>
                <w:iCs/>
                <w:color w:val="000000"/>
                <w:sz w:val="20"/>
                <w:szCs w:val="20"/>
              </w:rPr>
              <w:t>0.004</w:t>
            </w:r>
          </w:p>
        </w:tc>
        <w:tc>
          <w:tcPr>
            <w:tcW w:w="1152" w:type="dxa"/>
            <w:tcBorders>
              <w:top w:val="nil"/>
              <w:left w:val="dashed" w:sz="4" w:space="0" w:color="auto"/>
              <w:bottom w:val="dashed" w:sz="4" w:space="0" w:color="auto"/>
            </w:tcBorders>
            <w:shd w:val="clear" w:color="auto" w:fill="F2F2F2" w:themeFill="background1" w:themeFillShade="F2"/>
            <w:noWrap/>
            <w:vAlign w:val="center"/>
            <w:hideMark/>
          </w:tcPr>
          <w:p w14:paraId="35B364C7" w14:textId="71204EE8" w:rsidR="0020754F" w:rsidRPr="008E61F5" w:rsidRDefault="0020754F" w:rsidP="0020754F">
            <w:pPr>
              <w:spacing w:line="240" w:lineRule="auto"/>
              <w:rPr>
                <w:rFonts w:eastAsia="Times New Roman" w:cs="Times New Roman"/>
                <w:i/>
                <w:iCs/>
                <w:color w:val="000000"/>
                <w:sz w:val="20"/>
                <w:szCs w:val="20"/>
              </w:rPr>
            </w:pPr>
            <w:r w:rsidRPr="00BF44E5">
              <w:rPr>
                <w:rFonts w:eastAsia="Times New Roman" w:cs="Times New Roman"/>
                <w:i/>
                <w:iCs/>
                <w:color w:val="000000"/>
                <w:sz w:val="20"/>
                <w:szCs w:val="20"/>
              </w:rPr>
              <w:t>1.974</w:t>
            </w:r>
          </w:p>
        </w:tc>
        <w:tc>
          <w:tcPr>
            <w:tcW w:w="1152" w:type="dxa"/>
            <w:tcBorders>
              <w:top w:val="nil"/>
              <w:bottom w:val="dashed" w:sz="4" w:space="0" w:color="auto"/>
            </w:tcBorders>
            <w:shd w:val="clear" w:color="auto" w:fill="F2F2F2" w:themeFill="background1" w:themeFillShade="F2"/>
            <w:vAlign w:val="center"/>
          </w:tcPr>
          <w:p w14:paraId="3E2DF498" w14:textId="6F48A704" w:rsidR="0020754F" w:rsidRPr="00B1453E" w:rsidRDefault="0020754F" w:rsidP="0020754F">
            <w:pPr>
              <w:spacing w:line="240" w:lineRule="auto"/>
              <w:rPr>
                <w:rFonts w:eastAsia="Times New Roman" w:cs="Times New Roman"/>
                <w:i/>
                <w:iCs/>
                <w:color w:val="000000"/>
                <w:sz w:val="20"/>
                <w:szCs w:val="20"/>
              </w:rPr>
            </w:pPr>
            <w:r w:rsidRPr="00BF44E5">
              <w:rPr>
                <w:rFonts w:eastAsia="Times New Roman" w:cs="Times New Roman"/>
                <w:b/>
                <w:bCs/>
                <w:i/>
                <w:iCs/>
                <w:color w:val="000000"/>
                <w:sz w:val="20"/>
                <w:szCs w:val="20"/>
              </w:rPr>
              <w:t>0.074</w:t>
            </w:r>
          </w:p>
        </w:tc>
      </w:tr>
      <w:tr w:rsidR="0020754F" w:rsidRPr="00B1453E" w14:paraId="75659410" w14:textId="77777777" w:rsidTr="0020754F">
        <w:trPr>
          <w:cantSplit/>
          <w:trHeight w:val="432"/>
          <w:jc w:val="center"/>
        </w:trPr>
        <w:tc>
          <w:tcPr>
            <w:tcW w:w="452" w:type="dxa"/>
            <w:vMerge w:val="restart"/>
            <w:tcBorders>
              <w:top w:val="dashed"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0B0E0E69" w14:textId="7F68C58E" w:rsidR="0020754F" w:rsidRPr="00B1453E" w:rsidRDefault="0020754F" w:rsidP="0020754F">
            <w:pPr>
              <w:spacing w:line="240" w:lineRule="auto"/>
              <w:ind w:left="113" w:right="113"/>
              <w:rPr>
                <w:rFonts w:eastAsia="Times New Roman" w:cs="Times New Roman"/>
                <w:i/>
                <w:iCs/>
                <w:color w:val="000000"/>
                <w:sz w:val="20"/>
                <w:szCs w:val="20"/>
              </w:rPr>
            </w:pPr>
            <w:r>
              <w:rPr>
                <w:rFonts w:eastAsia="Times New Roman" w:cs="Times New Roman"/>
                <w:i/>
                <w:iCs/>
                <w:color w:val="000000"/>
                <w:sz w:val="20"/>
                <w:szCs w:val="20"/>
              </w:rPr>
              <w:t>SGB</w:t>
            </w:r>
          </w:p>
        </w:tc>
        <w:tc>
          <w:tcPr>
            <w:tcW w:w="1728" w:type="dxa"/>
            <w:tcBorders>
              <w:top w:val="dashed" w:sz="4" w:space="0" w:color="auto"/>
              <w:left w:val="single" w:sz="4" w:space="0" w:color="auto"/>
              <w:bottom w:val="nil"/>
              <w:right w:val="nil"/>
            </w:tcBorders>
            <w:shd w:val="clear" w:color="auto" w:fill="auto"/>
            <w:noWrap/>
            <w:vAlign w:val="center"/>
          </w:tcPr>
          <w:p w14:paraId="354B8D0A" w14:textId="643E217A" w:rsidR="0020754F" w:rsidRPr="00B1453E" w:rsidRDefault="0020754F" w:rsidP="0020754F">
            <w:pPr>
              <w:spacing w:line="240" w:lineRule="auto"/>
              <w:rPr>
                <w:rFonts w:eastAsia="Times New Roman" w:cs="Times New Roman"/>
                <w:i/>
                <w:iCs/>
                <w:color w:val="000000"/>
                <w:sz w:val="20"/>
                <w:szCs w:val="20"/>
              </w:rPr>
            </w:pPr>
            <w:r w:rsidRPr="00BF44E5">
              <w:rPr>
                <w:rFonts w:eastAsia="Times New Roman" w:cs="Times New Roman"/>
                <w:i/>
                <w:iCs/>
                <w:color w:val="000000"/>
                <w:sz w:val="20"/>
                <w:szCs w:val="20"/>
              </w:rPr>
              <w:t>S1 Titan</w:t>
            </w:r>
          </w:p>
        </w:tc>
        <w:tc>
          <w:tcPr>
            <w:tcW w:w="720" w:type="dxa"/>
            <w:tcBorders>
              <w:top w:val="dashed" w:sz="4" w:space="0" w:color="auto"/>
              <w:left w:val="nil"/>
              <w:right w:val="dashed" w:sz="4" w:space="0" w:color="auto"/>
            </w:tcBorders>
            <w:vAlign w:val="center"/>
          </w:tcPr>
          <w:p w14:paraId="2E6E89A2" w14:textId="6787353C" w:rsidR="0020754F" w:rsidRPr="00A45898" w:rsidRDefault="0020754F" w:rsidP="0020754F">
            <w:pPr>
              <w:spacing w:line="240" w:lineRule="auto"/>
              <w:rPr>
                <w:rFonts w:eastAsia="Times New Roman" w:cs="Times New Roman"/>
                <w:i/>
                <w:iCs/>
                <w:color w:val="000000"/>
                <w:sz w:val="20"/>
                <w:szCs w:val="20"/>
              </w:rPr>
            </w:pPr>
            <w:r>
              <w:rPr>
                <w:rFonts w:eastAsia="Times New Roman" w:cs="Times New Roman"/>
                <w:i/>
                <w:iCs/>
                <w:color w:val="000000"/>
                <w:sz w:val="20"/>
                <w:szCs w:val="20"/>
              </w:rPr>
              <w:t>105</w:t>
            </w:r>
          </w:p>
        </w:tc>
        <w:tc>
          <w:tcPr>
            <w:tcW w:w="1152" w:type="dxa"/>
            <w:tcBorders>
              <w:top w:val="dashed" w:sz="4" w:space="0" w:color="auto"/>
              <w:left w:val="dashed" w:sz="4" w:space="0" w:color="auto"/>
            </w:tcBorders>
            <w:shd w:val="clear" w:color="auto" w:fill="auto"/>
            <w:noWrap/>
            <w:vAlign w:val="center"/>
          </w:tcPr>
          <w:p w14:paraId="61A2CCE3" w14:textId="1011738F" w:rsidR="0020754F" w:rsidRPr="008E61F5" w:rsidRDefault="0020754F" w:rsidP="0020754F">
            <w:pPr>
              <w:spacing w:line="240" w:lineRule="auto"/>
              <w:rPr>
                <w:rFonts w:eastAsia="Times New Roman" w:cs="Times New Roman"/>
                <w:b/>
                <w:bCs/>
                <w:i/>
                <w:iCs/>
                <w:color w:val="000000"/>
                <w:sz w:val="20"/>
                <w:szCs w:val="20"/>
              </w:rPr>
            </w:pPr>
            <w:r w:rsidRPr="00BF44E5">
              <w:rPr>
                <w:rFonts w:eastAsia="Times New Roman" w:cs="Times New Roman"/>
                <w:b/>
                <w:bCs/>
                <w:i/>
                <w:iCs/>
                <w:color w:val="000000"/>
                <w:sz w:val="20"/>
                <w:szCs w:val="20"/>
              </w:rPr>
              <w:t>0.082</w:t>
            </w:r>
          </w:p>
        </w:tc>
        <w:tc>
          <w:tcPr>
            <w:tcW w:w="1152" w:type="dxa"/>
            <w:tcBorders>
              <w:top w:val="dashed" w:sz="4" w:space="0" w:color="auto"/>
              <w:right w:val="dashed" w:sz="4" w:space="0" w:color="auto"/>
            </w:tcBorders>
            <w:shd w:val="clear" w:color="auto" w:fill="auto"/>
            <w:vAlign w:val="center"/>
          </w:tcPr>
          <w:p w14:paraId="3D9B13C8" w14:textId="52F25B8E" w:rsidR="0020754F" w:rsidRPr="008E61F5" w:rsidRDefault="0020754F" w:rsidP="0020754F">
            <w:pPr>
              <w:spacing w:line="240" w:lineRule="auto"/>
              <w:rPr>
                <w:rFonts w:eastAsia="Times New Roman" w:cs="Times New Roman"/>
                <w:b/>
                <w:bCs/>
                <w:i/>
                <w:iCs/>
                <w:color w:val="000000"/>
                <w:sz w:val="20"/>
                <w:szCs w:val="20"/>
              </w:rPr>
            </w:pPr>
            <w:r w:rsidRPr="00BF44E5">
              <w:rPr>
                <w:rFonts w:eastAsia="Times New Roman" w:cs="Times New Roman"/>
                <w:b/>
                <w:bCs/>
                <w:i/>
                <w:iCs/>
                <w:color w:val="000000"/>
                <w:sz w:val="20"/>
                <w:szCs w:val="20"/>
              </w:rPr>
              <w:t>0.003</w:t>
            </w:r>
          </w:p>
        </w:tc>
        <w:tc>
          <w:tcPr>
            <w:tcW w:w="1152" w:type="dxa"/>
            <w:tcBorders>
              <w:top w:val="dashed" w:sz="4" w:space="0" w:color="auto"/>
              <w:left w:val="dashed" w:sz="4" w:space="0" w:color="auto"/>
            </w:tcBorders>
            <w:shd w:val="clear" w:color="auto" w:fill="auto"/>
            <w:noWrap/>
            <w:vAlign w:val="center"/>
          </w:tcPr>
          <w:p w14:paraId="0152A80B" w14:textId="7AFE2A77" w:rsidR="0020754F" w:rsidRPr="008E61F5" w:rsidRDefault="0020754F" w:rsidP="0020754F">
            <w:pPr>
              <w:spacing w:line="240" w:lineRule="auto"/>
              <w:rPr>
                <w:rFonts w:eastAsia="Times New Roman" w:cs="Times New Roman"/>
                <w:b/>
                <w:bCs/>
                <w:i/>
                <w:iCs/>
                <w:color w:val="000000"/>
                <w:sz w:val="20"/>
                <w:szCs w:val="20"/>
              </w:rPr>
            </w:pPr>
            <w:r w:rsidRPr="00BF44E5">
              <w:rPr>
                <w:rFonts w:eastAsia="Times New Roman" w:cs="Times New Roman"/>
                <w:i/>
                <w:iCs/>
                <w:color w:val="000000"/>
                <w:sz w:val="20"/>
                <w:szCs w:val="20"/>
              </w:rPr>
              <w:t>2.515</w:t>
            </w:r>
          </w:p>
        </w:tc>
        <w:tc>
          <w:tcPr>
            <w:tcW w:w="1152" w:type="dxa"/>
            <w:tcBorders>
              <w:top w:val="dashed" w:sz="4" w:space="0" w:color="auto"/>
            </w:tcBorders>
            <w:shd w:val="clear" w:color="auto" w:fill="auto"/>
            <w:vAlign w:val="center"/>
          </w:tcPr>
          <w:p w14:paraId="5B054CF1" w14:textId="11C859CE" w:rsidR="0020754F" w:rsidRPr="008E61F5" w:rsidRDefault="0020754F" w:rsidP="0020754F">
            <w:pPr>
              <w:spacing w:line="240" w:lineRule="auto"/>
              <w:rPr>
                <w:rFonts w:eastAsia="Times New Roman" w:cs="Times New Roman"/>
                <w:b/>
                <w:bCs/>
                <w:i/>
                <w:iCs/>
                <w:color w:val="000000"/>
                <w:sz w:val="20"/>
                <w:szCs w:val="20"/>
              </w:rPr>
            </w:pPr>
            <w:r w:rsidRPr="00BF44E5">
              <w:rPr>
                <w:rFonts w:eastAsia="Times New Roman" w:cs="Times New Roman"/>
                <w:i/>
                <w:iCs/>
                <w:color w:val="000000"/>
                <w:sz w:val="20"/>
                <w:szCs w:val="20"/>
              </w:rPr>
              <w:t>0.177</w:t>
            </w:r>
          </w:p>
        </w:tc>
      </w:tr>
      <w:tr w:rsidR="0020754F" w:rsidRPr="00B1453E" w14:paraId="08AF43BC" w14:textId="77777777" w:rsidTr="0020754F">
        <w:trPr>
          <w:trHeight w:val="432"/>
          <w:jc w:val="center"/>
        </w:trPr>
        <w:tc>
          <w:tcPr>
            <w:tcW w:w="452" w:type="dxa"/>
            <w:vMerge/>
            <w:tcBorders>
              <w:top w:val="dashed" w:sz="4" w:space="0" w:color="auto"/>
              <w:left w:val="single" w:sz="4" w:space="0" w:color="auto"/>
              <w:bottom w:val="single" w:sz="4" w:space="0" w:color="auto"/>
              <w:right w:val="single" w:sz="4" w:space="0" w:color="auto"/>
            </w:tcBorders>
            <w:shd w:val="clear" w:color="auto" w:fill="BFBFBF" w:themeFill="background1" w:themeFillShade="BF"/>
            <w:vAlign w:val="center"/>
          </w:tcPr>
          <w:p w14:paraId="54EE1F4D" w14:textId="77777777" w:rsidR="0020754F" w:rsidRPr="00B1453E" w:rsidRDefault="0020754F" w:rsidP="0020754F">
            <w:pPr>
              <w:spacing w:line="240" w:lineRule="auto"/>
              <w:rPr>
                <w:rFonts w:eastAsia="Times New Roman" w:cs="Times New Roman"/>
                <w:i/>
                <w:iCs/>
                <w:color w:val="000000"/>
                <w:sz w:val="20"/>
                <w:szCs w:val="20"/>
              </w:rPr>
            </w:pPr>
          </w:p>
        </w:tc>
        <w:tc>
          <w:tcPr>
            <w:tcW w:w="1728" w:type="dxa"/>
            <w:tcBorders>
              <w:top w:val="nil"/>
              <w:left w:val="single" w:sz="4" w:space="0" w:color="auto"/>
              <w:bottom w:val="single" w:sz="4" w:space="0" w:color="auto"/>
              <w:right w:val="nil"/>
            </w:tcBorders>
            <w:shd w:val="clear" w:color="auto" w:fill="F2F2F2" w:themeFill="background1" w:themeFillShade="F2"/>
            <w:noWrap/>
            <w:vAlign w:val="center"/>
          </w:tcPr>
          <w:p w14:paraId="4E339F9E" w14:textId="49115CDB" w:rsidR="0020754F" w:rsidRPr="00B1453E" w:rsidRDefault="0020754F" w:rsidP="0020754F">
            <w:pPr>
              <w:spacing w:line="240" w:lineRule="auto"/>
              <w:rPr>
                <w:rFonts w:eastAsia="Times New Roman" w:cs="Times New Roman"/>
                <w:i/>
                <w:iCs/>
                <w:color w:val="000000"/>
                <w:sz w:val="20"/>
                <w:szCs w:val="20"/>
              </w:rPr>
            </w:pPr>
            <w:r w:rsidRPr="00BF44E5">
              <w:rPr>
                <w:rFonts w:eastAsia="Times New Roman" w:cs="Times New Roman"/>
                <w:i/>
                <w:iCs/>
                <w:color w:val="000000"/>
                <w:sz w:val="20"/>
                <w:szCs w:val="20"/>
              </w:rPr>
              <w:t>Niton XL3t</w:t>
            </w:r>
          </w:p>
        </w:tc>
        <w:tc>
          <w:tcPr>
            <w:tcW w:w="720" w:type="dxa"/>
            <w:tcBorders>
              <w:left w:val="nil"/>
              <w:bottom w:val="single" w:sz="4" w:space="0" w:color="auto"/>
              <w:right w:val="dashed" w:sz="4" w:space="0" w:color="auto"/>
            </w:tcBorders>
            <w:shd w:val="clear" w:color="auto" w:fill="F2F2F2" w:themeFill="background1" w:themeFillShade="F2"/>
            <w:vAlign w:val="center"/>
          </w:tcPr>
          <w:p w14:paraId="2D7F57A7" w14:textId="5955D3B5" w:rsidR="0020754F" w:rsidRPr="00A45898" w:rsidRDefault="0020754F" w:rsidP="0020754F">
            <w:pPr>
              <w:spacing w:line="240" w:lineRule="auto"/>
              <w:rPr>
                <w:rFonts w:eastAsia="Times New Roman" w:cs="Times New Roman"/>
                <w:i/>
                <w:iCs/>
                <w:color w:val="000000"/>
                <w:sz w:val="20"/>
                <w:szCs w:val="20"/>
              </w:rPr>
            </w:pPr>
            <w:r>
              <w:rPr>
                <w:rFonts w:eastAsia="Times New Roman" w:cs="Times New Roman"/>
                <w:i/>
                <w:iCs/>
                <w:color w:val="000000"/>
                <w:sz w:val="20"/>
                <w:szCs w:val="20"/>
              </w:rPr>
              <w:t>105</w:t>
            </w:r>
          </w:p>
        </w:tc>
        <w:tc>
          <w:tcPr>
            <w:tcW w:w="1152" w:type="dxa"/>
            <w:tcBorders>
              <w:left w:val="dashed" w:sz="4" w:space="0" w:color="auto"/>
              <w:bottom w:val="single" w:sz="4" w:space="0" w:color="auto"/>
            </w:tcBorders>
            <w:shd w:val="clear" w:color="auto" w:fill="F2F2F2" w:themeFill="background1" w:themeFillShade="F2"/>
            <w:noWrap/>
            <w:vAlign w:val="center"/>
          </w:tcPr>
          <w:p w14:paraId="095260B0" w14:textId="3BBDB5A7" w:rsidR="0020754F" w:rsidRPr="00B1453E" w:rsidRDefault="0020754F" w:rsidP="0020754F">
            <w:pPr>
              <w:spacing w:line="240" w:lineRule="auto"/>
              <w:rPr>
                <w:rFonts w:eastAsia="Times New Roman" w:cs="Times New Roman"/>
                <w:i/>
                <w:iCs/>
                <w:color w:val="000000"/>
                <w:sz w:val="20"/>
                <w:szCs w:val="20"/>
              </w:rPr>
            </w:pPr>
            <w:r w:rsidRPr="00BF44E5">
              <w:rPr>
                <w:rFonts w:eastAsia="Times New Roman" w:cs="Times New Roman"/>
                <w:i/>
                <w:iCs/>
                <w:color w:val="000000"/>
                <w:sz w:val="20"/>
                <w:szCs w:val="20"/>
              </w:rPr>
              <w:t>0.107</w:t>
            </w:r>
          </w:p>
        </w:tc>
        <w:tc>
          <w:tcPr>
            <w:tcW w:w="1152" w:type="dxa"/>
            <w:tcBorders>
              <w:bottom w:val="single" w:sz="4" w:space="0" w:color="auto"/>
              <w:right w:val="dashed" w:sz="4" w:space="0" w:color="auto"/>
            </w:tcBorders>
            <w:shd w:val="clear" w:color="auto" w:fill="F2F2F2" w:themeFill="background1" w:themeFillShade="F2"/>
            <w:vAlign w:val="center"/>
          </w:tcPr>
          <w:p w14:paraId="3853EA33" w14:textId="18D0A8BD" w:rsidR="0020754F" w:rsidRPr="00A03DAC" w:rsidRDefault="0020754F" w:rsidP="0020754F">
            <w:pPr>
              <w:spacing w:line="240" w:lineRule="auto"/>
              <w:rPr>
                <w:rFonts w:eastAsia="Times New Roman" w:cs="Times New Roman"/>
                <w:i/>
                <w:iCs/>
                <w:color w:val="000000"/>
                <w:sz w:val="20"/>
                <w:szCs w:val="20"/>
              </w:rPr>
            </w:pPr>
            <w:r w:rsidRPr="00BF44E5">
              <w:rPr>
                <w:rFonts w:eastAsia="Times New Roman" w:cs="Times New Roman"/>
                <w:i/>
                <w:iCs/>
                <w:color w:val="000000"/>
                <w:sz w:val="20"/>
                <w:szCs w:val="20"/>
              </w:rPr>
              <w:t>0.005</w:t>
            </w:r>
          </w:p>
        </w:tc>
        <w:tc>
          <w:tcPr>
            <w:tcW w:w="1152" w:type="dxa"/>
            <w:tcBorders>
              <w:left w:val="dashed" w:sz="4" w:space="0" w:color="auto"/>
              <w:bottom w:val="single" w:sz="4" w:space="0" w:color="auto"/>
            </w:tcBorders>
            <w:shd w:val="clear" w:color="auto" w:fill="F2F2F2" w:themeFill="background1" w:themeFillShade="F2"/>
            <w:noWrap/>
            <w:vAlign w:val="center"/>
          </w:tcPr>
          <w:p w14:paraId="064C6B17" w14:textId="6FDBA4D5" w:rsidR="0020754F" w:rsidRPr="008E61F5" w:rsidRDefault="0020754F" w:rsidP="0020754F">
            <w:pPr>
              <w:spacing w:line="240" w:lineRule="auto"/>
              <w:rPr>
                <w:rFonts w:eastAsia="Times New Roman" w:cs="Times New Roman"/>
                <w:i/>
                <w:iCs/>
                <w:color w:val="000000"/>
                <w:sz w:val="20"/>
                <w:szCs w:val="20"/>
              </w:rPr>
            </w:pPr>
            <w:r w:rsidRPr="00BF44E5">
              <w:rPr>
                <w:rFonts w:eastAsia="Times New Roman" w:cs="Times New Roman"/>
                <w:b/>
                <w:bCs/>
                <w:i/>
                <w:iCs/>
                <w:color w:val="000000"/>
                <w:sz w:val="20"/>
                <w:szCs w:val="20"/>
              </w:rPr>
              <w:t>1.150</w:t>
            </w:r>
          </w:p>
        </w:tc>
        <w:tc>
          <w:tcPr>
            <w:tcW w:w="1152" w:type="dxa"/>
            <w:tcBorders>
              <w:bottom w:val="single" w:sz="4" w:space="0" w:color="auto"/>
            </w:tcBorders>
            <w:shd w:val="clear" w:color="auto" w:fill="F2F2F2" w:themeFill="background1" w:themeFillShade="F2"/>
            <w:vAlign w:val="center"/>
          </w:tcPr>
          <w:p w14:paraId="3CB50C8D" w14:textId="7B239CCA" w:rsidR="0020754F" w:rsidRPr="008E61F5" w:rsidRDefault="0020754F" w:rsidP="0020754F">
            <w:pPr>
              <w:spacing w:line="240" w:lineRule="auto"/>
              <w:rPr>
                <w:rFonts w:eastAsia="Times New Roman" w:cs="Times New Roman"/>
                <w:i/>
                <w:iCs/>
                <w:color w:val="000000"/>
                <w:sz w:val="20"/>
                <w:szCs w:val="20"/>
              </w:rPr>
            </w:pPr>
            <w:r w:rsidRPr="00BF44E5">
              <w:rPr>
                <w:rFonts w:eastAsia="Times New Roman" w:cs="Times New Roman"/>
                <w:b/>
                <w:bCs/>
                <w:i/>
                <w:iCs/>
                <w:color w:val="000000"/>
                <w:sz w:val="20"/>
                <w:szCs w:val="20"/>
              </w:rPr>
              <w:t>0.060</w:t>
            </w:r>
          </w:p>
        </w:tc>
      </w:tr>
    </w:tbl>
    <w:p w14:paraId="1583C02B" w14:textId="77777777" w:rsidR="0020754F" w:rsidRPr="0020754F" w:rsidRDefault="0020754F" w:rsidP="0020754F"/>
    <w:p w14:paraId="5BB4E34F" w14:textId="77777777" w:rsidR="006555D0" w:rsidRDefault="006555D0" w:rsidP="006555D0">
      <w:pPr>
        <w:rPr>
          <w:rFonts w:eastAsiaTheme="minorEastAsia"/>
          <w:b/>
        </w:rPr>
      </w:pPr>
    </w:p>
    <w:p w14:paraId="363DE256" w14:textId="573FA276" w:rsidR="00EC77A3" w:rsidRDefault="002E3F4C" w:rsidP="00457152">
      <w:pPr>
        <w:ind w:left="720" w:firstLine="720"/>
        <w:jc w:val="both"/>
        <w:rPr>
          <w:rFonts w:eastAsiaTheme="minorEastAsia"/>
          <w:bCs/>
        </w:rPr>
      </w:pPr>
      <w:r>
        <w:rPr>
          <w:rFonts w:eastAsiaTheme="minorEastAsia"/>
          <w:bCs/>
        </w:rPr>
        <w:t>Linear regression</w:t>
      </w:r>
      <w:r w:rsidR="00EC77A3">
        <w:rPr>
          <w:rFonts w:eastAsiaTheme="minorEastAsia"/>
          <w:bCs/>
        </w:rPr>
        <w:t>s</w:t>
      </w:r>
      <w:r>
        <w:rPr>
          <w:rFonts w:eastAsiaTheme="minorEastAsia"/>
          <w:bCs/>
        </w:rPr>
        <w:t xml:space="preserve"> for </w:t>
      </w:r>
      <w:r w:rsidR="00EC77A3">
        <w:rPr>
          <w:rFonts w:eastAsiaTheme="minorEastAsia"/>
          <w:bCs/>
        </w:rPr>
        <w:t xml:space="preserve">OHC and SGB samples are illustrated in </w:t>
      </w:r>
      <w:r w:rsidR="00EC77A3">
        <w:rPr>
          <w:rFonts w:eastAsiaTheme="minorEastAsia"/>
          <w:bCs/>
        </w:rPr>
        <w:fldChar w:fldCharType="begin"/>
      </w:r>
      <w:r w:rsidR="00EC77A3">
        <w:rPr>
          <w:rFonts w:eastAsiaTheme="minorEastAsia"/>
          <w:bCs/>
        </w:rPr>
        <w:instrText xml:space="preserve"> REF _Ref446246546 \h </w:instrText>
      </w:r>
      <w:r w:rsidR="00EC77A3">
        <w:rPr>
          <w:rFonts w:eastAsiaTheme="minorEastAsia"/>
          <w:bCs/>
        </w:rPr>
      </w:r>
      <w:r w:rsidR="00EC77A3">
        <w:rPr>
          <w:rFonts w:eastAsiaTheme="minorEastAsia"/>
          <w:bCs/>
        </w:rPr>
        <w:fldChar w:fldCharType="separate"/>
      </w:r>
      <w:r w:rsidR="00E90148">
        <w:t xml:space="preserve">Figure </w:t>
      </w:r>
      <w:r w:rsidR="00E90148">
        <w:rPr>
          <w:noProof/>
        </w:rPr>
        <w:t>32</w:t>
      </w:r>
      <w:r w:rsidR="00EC77A3">
        <w:rPr>
          <w:rFonts w:eastAsiaTheme="minorEastAsia"/>
          <w:bCs/>
        </w:rPr>
        <w:fldChar w:fldCharType="end"/>
      </w:r>
      <w:r w:rsidR="00EC77A3">
        <w:rPr>
          <w:rFonts w:eastAsiaTheme="minorEastAsia"/>
          <w:bCs/>
        </w:rPr>
        <w:t xml:space="preserve">. The figures clearly display that the S1 Titans scans </w:t>
      </w:r>
      <w:r w:rsidR="00140D94">
        <w:rPr>
          <w:rFonts w:eastAsiaTheme="minorEastAsia"/>
          <w:bCs/>
        </w:rPr>
        <w:t xml:space="preserve">of the OHC samples fall closer to the one to one line than those of the </w:t>
      </w:r>
      <w:r w:rsidR="00EC77A3">
        <w:rPr>
          <w:rFonts w:eastAsiaTheme="minorEastAsia"/>
          <w:bCs/>
        </w:rPr>
        <w:t xml:space="preserve"> Niton XL3t</w:t>
      </w:r>
      <w:r w:rsidR="00140D94">
        <w:rPr>
          <w:rFonts w:eastAsiaTheme="minorEastAsia"/>
          <w:bCs/>
        </w:rPr>
        <w:t>, indicating that</w:t>
      </w:r>
      <w:r w:rsidR="00696A43">
        <w:rPr>
          <w:rFonts w:eastAsiaTheme="minorEastAsia"/>
          <w:bCs/>
        </w:rPr>
        <w:t xml:space="preserve">, in this study, </w:t>
      </w:r>
      <w:r w:rsidR="00140D94">
        <w:rPr>
          <w:rFonts w:eastAsiaTheme="minorEastAsia"/>
          <w:bCs/>
        </w:rPr>
        <w:t xml:space="preserve">the S1 </w:t>
      </w:r>
      <w:r w:rsidR="00696A43">
        <w:rPr>
          <w:rFonts w:eastAsiaTheme="minorEastAsia"/>
          <w:bCs/>
        </w:rPr>
        <w:t xml:space="preserve">Titan was </w:t>
      </w:r>
      <w:r w:rsidR="00140D94">
        <w:rPr>
          <w:rFonts w:eastAsiaTheme="minorEastAsia"/>
          <w:bCs/>
        </w:rPr>
        <w:t>more accurate. Conversely, the Niton XL3t scans of the SGB samples fall much closer to the one to one line than those of the S1 Titan.</w:t>
      </w:r>
      <w:r w:rsidR="00EC77A3">
        <w:rPr>
          <w:rFonts w:eastAsiaTheme="minorEastAsia"/>
          <w:bCs/>
        </w:rPr>
        <w:t xml:space="preserve"> This </w:t>
      </w:r>
      <w:r w:rsidR="00140D94">
        <w:rPr>
          <w:rFonts w:eastAsiaTheme="minorEastAsia"/>
          <w:bCs/>
        </w:rPr>
        <w:t>agree</w:t>
      </w:r>
      <w:r w:rsidR="00EC77A3">
        <w:rPr>
          <w:rFonts w:eastAsiaTheme="minorEastAsia"/>
          <w:bCs/>
        </w:rPr>
        <w:t>s</w:t>
      </w:r>
      <w:r w:rsidR="00140D94">
        <w:rPr>
          <w:rFonts w:eastAsiaTheme="minorEastAsia"/>
          <w:bCs/>
        </w:rPr>
        <w:t xml:space="preserve"> with the findings in the previous paragraph.</w:t>
      </w:r>
      <w:r w:rsidR="00EC77A3">
        <w:rPr>
          <w:rFonts w:eastAsiaTheme="minorEastAsia"/>
          <w:bCs/>
        </w:rPr>
        <w:t xml:space="preserve"> </w:t>
      </w:r>
      <w:r w:rsidR="00841DD4">
        <w:rPr>
          <w:rFonts w:eastAsiaTheme="minorEastAsia"/>
          <w:bCs/>
        </w:rPr>
        <w:t xml:space="preserve">Accordingly, both devices may be appropriate for determining </w:t>
      </w:r>
      <m:oMath>
        <m:r>
          <w:rPr>
            <w:rFonts w:ascii="Cambria Math" w:hAnsi="Cambria Math"/>
          </w:rPr>
          <m:t>SC</m:t>
        </m:r>
      </m:oMath>
      <w:r w:rsidR="00841DD4">
        <w:rPr>
          <w:rFonts w:eastAsiaTheme="minorEastAsia"/>
          <w:bCs/>
        </w:rPr>
        <w:t xml:space="preserve"> in subgrade soils as long as the soil being tested is agrees with the calibration of the device.</w:t>
      </w:r>
      <w:r w:rsidR="00140D94">
        <w:rPr>
          <w:rFonts w:eastAsiaTheme="minorEastAsia"/>
          <w:bCs/>
        </w:rPr>
        <w:t xml:space="preserve"> In an unknown soil setting, however, the Niton XL3t may be the more appropriate choice.</w:t>
      </w:r>
    </w:p>
    <w:p w14:paraId="458130D4" w14:textId="7F20C76B" w:rsidR="006555D0" w:rsidRPr="002E3F4C" w:rsidRDefault="00EC77A3" w:rsidP="00EC77A3">
      <w:pPr>
        <w:ind w:left="720" w:firstLine="720"/>
        <w:jc w:val="both"/>
        <w:rPr>
          <w:rFonts w:eastAsiaTheme="minorEastAsia"/>
          <w:bCs/>
        </w:rPr>
      </w:pPr>
      <w:r>
        <w:rPr>
          <w:rFonts w:eastAsiaTheme="minorEastAsia"/>
          <w:bCs/>
        </w:rPr>
        <w:t xml:space="preserve">  </w:t>
      </w:r>
    </w:p>
    <w:p w14:paraId="7AA6299F" w14:textId="23AC722B" w:rsidR="0020754F" w:rsidRDefault="009D427C" w:rsidP="0020754F">
      <w:pPr>
        <w:rPr>
          <w:rFonts w:eastAsiaTheme="minorEastAsia"/>
          <w:b/>
        </w:rPr>
      </w:pPr>
      <w:r>
        <w:rPr>
          <w:noProof/>
        </w:rPr>
        <w:lastRenderedPageBreak/>
        <w:drawing>
          <wp:inline distT="0" distB="0" distL="0" distR="0" wp14:anchorId="29A4A9B3" wp14:editId="31FA33B0">
            <wp:extent cx="2651760" cy="2651760"/>
            <wp:effectExtent l="0" t="0" r="15240" b="15240"/>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rFonts w:eastAsiaTheme="minorEastAsia"/>
          <w:b/>
          <w:noProof/>
        </w:rPr>
        <w:drawing>
          <wp:inline distT="0" distB="0" distL="0" distR="0" wp14:anchorId="1EDA1C83" wp14:editId="48C84C7F">
            <wp:extent cx="2651760" cy="2658110"/>
            <wp:effectExtent l="0" t="0" r="0" b="889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1760" cy="2658110"/>
                    </a:xfrm>
                    <a:prstGeom prst="rect">
                      <a:avLst/>
                    </a:prstGeom>
                    <a:noFill/>
                  </pic:spPr>
                </pic:pic>
              </a:graphicData>
            </a:graphic>
          </wp:inline>
        </w:drawing>
      </w:r>
    </w:p>
    <w:p w14:paraId="7364FC45" w14:textId="736982E4" w:rsidR="00904C95" w:rsidRDefault="00904C95" w:rsidP="00C54A3C">
      <w:pPr>
        <w:pStyle w:val="Caption"/>
        <w:spacing w:line="480" w:lineRule="auto"/>
        <w:ind w:left="1080" w:right="936"/>
      </w:pPr>
      <w:bookmarkStart w:id="111" w:name="_Ref446246546"/>
      <w:bookmarkStart w:id="112" w:name="_Toc447755370"/>
      <w:r>
        <w:t xml:space="preserve">Figure </w:t>
      </w:r>
      <w:r w:rsidR="00184FC2">
        <w:fldChar w:fldCharType="begin"/>
      </w:r>
      <w:r w:rsidR="00184FC2">
        <w:instrText xml:space="preserve"> SEQ Figure \* ARABIC </w:instrText>
      </w:r>
      <w:r w:rsidR="00184FC2">
        <w:fldChar w:fldCharType="separate"/>
      </w:r>
      <w:r w:rsidR="00E90148">
        <w:rPr>
          <w:noProof/>
        </w:rPr>
        <w:t>32</w:t>
      </w:r>
      <w:r w:rsidR="00184FC2">
        <w:rPr>
          <w:noProof/>
        </w:rPr>
        <w:fldChar w:fldCharType="end"/>
      </w:r>
      <w:bookmarkEnd w:id="111"/>
      <w:r>
        <w:t>: Direct Comparison of S1 Tita</w:t>
      </w:r>
      <w:r w:rsidR="002E3F4C">
        <w:t>n and Niton XL3t Measurements for</w:t>
      </w:r>
      <w:r>
        <w:t xml:space="preserve"> OHC Samples</w:t>
      </w:r>
      <w:r w:rsidR="0020754F">
        <w:t xml:space="preserve"> (Left) and SGB Samples (Right)</w:t>
      </w:r>
      <w:bookmarkEnd w:id="112"/>
    </w:p>
    <w:p w14:paraId="2BFFA0E3" w14:textId="77777777" w:rsidR="008E1931" w:rsidRDefault="008E1931" w:rsidP="0020754F">
      <w:pPr>
        <w:jc w:val="both"/>
        <w:rPr>
          <w:rFonts w:eastAsiaTheme="minorEastAsia"/>
          <w:b/>
        </w:rPr>
      </w:pPr>
    </w:p>
    <w:p w14:paraId="1F91DF03" w14:textId="43D45681" w:rsidR="0000779B" w:rsidRDefault="0000779B" w:rsidP="0000779B">
      <w:pPr>
        <w:jc w:val="both"/>
        <w:rPr>
          <w:rFonts w:eastAsiaTheme="minorEastAsia"/>
          <w:b/>
        </w:rPr>
      </w:pPr>
      <w:r>
        <w:rPr>
          <w:rFonts w:eastAsiaTheme="minorEastAsia"/>
          <w:b/>
        </w:rPr>
        <w:t>4.3 PHXRF Field Testing</w:t>
      </w:r>
    </w:p>
    <w:p w14:paraId="5A4D6AE1" w14:textId="72479E32" w:rsidR="00841DD4" w:rsidRDefault="00841DD4" w:rsidP="00457152">
      <w:pPr>
        <w:jc w:val="both"/>
        <w:rPr>
          <w:rFonts w:eastAsiaTheme="minorEastAsia"/>
          <w:bCs/>
        </w:rPr>
      </w:pPr>
      <w:r>
        <w:rPr>
          <w:rFonts w:eastAsiaTheme="minorEastAsia"/>
          <w:b/>
        </w:rPr>
        <w:tab/>
      </w:r>
      <w:r w:rsidR="006E3B41">
        <w:rPr>
          <w:rFonts w:eastAsiaTheme="minorEastAsia"/>
          <w:bCs/>
        </w:rPr>
        <w:t>The results from in situ accuracy, ex situ accuracy, and homogeneity tests are presented in the following paragraphs</w:t>
      </w:r>
      <w:r>
        <w:rPr>
          <w:rFonts w:eastAsiaTheme="minorEastAsia"/>
          <w:bCs/>
        </w:rPr>
        <w:t xml:space="preserve">. </w:t>
      </w:r>
      <w:r w:rsidR="006E3B41">
        <w:rPr>
          <w:rFonts w:eastAsiaTheme="minorEastAsia"/>
          <w:bCs/>
        </w:rPr>
        <w:t xml:space="preserve">All </w:t>
      </w:r>
      <m:oMath>
        <m:r>
          <w:rPr>
            <w:rFonts w:ascii="Cambria Math" w:hAnsi="Cambria Math"/>
          </w:rPr>
          <m:t>SC</m:t>
        </m:r>
      </m:oMath>
      <w:r w:rsidR="00C40690">
        <w:rPr>
          <w:rFonts w:eastAsiaTheme="minorEastAsia"/>
          <w:bCs/>
        </w:rPr>
        <w:t xml:space="preserve"> </w:t>
      </w:r>
      <w:r w:rsidR="006E3B41">
        <w:rPr>
          <w:rFonts w:eastAsiaTheme="minorEastAsia"/>
          <w:bCs/>
        </w:rPr>
        <w:t xml:space="preserve">measurements </w:t>
      </w:r>
      <w:r w:rsidR="0063776A">
        <w:rPr>
          <w:rFonts w:eastAsiaTheme="minorEastAsia"/>
          <w:bCs/>
        </w:rPr>
        <w:t xml:space="preserve">for the field studies </w:t>
      </w:r>
      <w:r w:rsidR="006E3B41">
        <w:rPr>
          <w:rFonts w:eastAsiaTheme="minorEastAsia"/>
          <w:bCs/>
        </w:rPr>
        <w:t xml:space="preserve">were taken with the Niton XL3t only. </w:t>
      </w:r>
    </w:p>
    <w:p w14:paraId="41399D1E" w14:textId="77777777" w:rsidR="00841DD4" w:rsidRDefault="00841DD4" w:rsidP="0000779B">
      <w:pPr>
        <w:jc w:val="both"/>
        <w:rPr>
          <w:rFonts w:eastAsiaTheme="minorEastAsia"/>
          <w:b/>
        </w:rPr>
      </w:pPr>
    </w:p>
    <w:p w14:paraId="7551C71C" w14:textId="76EC987B" w:rsidR="00D8488C" w:rsidRDefault="00D8488C" w:rsidP="00C40690">
      <w:pPr>
        <w:jc w:val="both"/>
        <w:rPr>
          <w:rFonts w:eastAsiaTheme="minorEastAsia"/>
          <w:b/>
        </w:rPr>
      </w:pPr>
      <w:r>
        <w:rPr>
          <w:rFonts w:eastAsiaTheme="minorEastAsia"/>
          <w:b/>
        </w:rPr>
        <w:tab/>
        <w:t xml:space="preserve">4.3.1 </w:t>
      </w:r>
      <w:r w:rsidR="00C40690">
        <w:rPr>
          <w:rFonts w:eastAsiaTheme="minorEastAsia"/>
          <w:b/>
        </w:rPr>
        <w:t>In Situ PHXRF Measurement Accuracy</w:t>
      </w:r>
    </w:p>
    <w:p w14:paraId="049B0DBE" w14:textId="743968E6" w:rsidR="006E3B41" w:rsidRDefault="006E3B41" w:rsidP="00457152">
      <w:pPr>
        <w:ind w:left="720" w:firstLine="720"/>
        <w:jc w:val="both"/>
        <w:rPr>
          <w:rFonts w:eastAsiaTheme="minorEastAsia"/>
          <w:bCs/>
        </w:rPr>
      </w:pPr>
      <w:r>
        <w:rPr>
          <w:rFonts w:eastAsiaTheme="minorEastAsia"/>
          <w:bCs/>
        </w:rPr>
        <w:t xml:space="preserve">In situ </w:t>
      </w:r>
      <w:r w:rsidR="00787C31">
        <w:rPr>
          <w:rFonts w:eastAsiaTheme="minorEastAsia"/>
          <w:bCs/>
        </w:rPr>
        <w:t xml:space="preserve">PHXRF </w:t>
      </w:r>
      <w:r>
        <w:rPr>
          <w:rFonts w:eastAsiaTheme="minorEastAsia"/>
          <w:bCs/>
        </w:rPr>
        <w:t xml:space="preserve">measurements </w:t>
      </w:r>
      <w:r w:rsidR="0063776A">
        <w:rPr>
          <w:rFonts w:eastAsiaTheme="minorEastAsia"/>
          <w:bCs/>
        </w:rPr>
        <w:t xml:space="preserve">differ greatly from </w:t>
      </w:r>
      <w:r w:rsidR="00097172">
        <w:rPr>
          <w:rFonts w:eastAsiaTheme="minorEastAsia"/>
          <w:bCs/>
        </w:rPr>
        <w:t>me</w:t>
      </w:r>
      <w:r w:rsidR="002B342E">
        <w:rPr>
          <w:rFonts w:eastAsiaTheme="minorEastAsia"/>
          <w:bCs/>
        </w:rPr>
        <w:t>asurements made</w:t>
      </w:r>
      <w:r>
        <w:rPr>
          <w:rFonts w:eastAsiaTheme="minorEastAsia"/>
          <w:bCs/>
        </w:rPr>
        <w:t xml:space="preserve"> by a commercial laboratory</w:t>
      </w:r>
      <w:r w:rsidR="002B342E">
        <w:rPr>
          <w:rFonts w:eastAsiaTheme="minorEastAsia"/>
          <w:bCs/>
        </w:rPr>
        <w:t xml:space="preserve">. </w:t>
      </w:r>
      <w:r w:rsidR="0063776A">
        <w:rPr>
          <w:rFonts w:eastAsiaTheme="minorEastAsia"/>
          <w:bCs/>
        </w:rPr>
        <w:t>In fact, t</w:t>
      </w:r>
      <w:r w:rsidR="002B342E">
        <w:rPr>
          <w:rFonts w:eastAsiaTheme="minorEastAsia"/>
          <w:bCs/>
        </w:rPr>
        <w:t>here appears to be no relationship between the two.</w:t>
      </w:r>
      <w:r w:rsidR="0063776A">
        <w:rPr>
          <w:rFonts w:eastAsiaTheme="minorEastAsia"/>
          <w:bCs/>
        </w:rPr>
        <w:t xml:space="preserve"> The in situ PHXRF measurements were simply surface shots of the soil, with no soil preparation except a leveling and tamping of the ground, while the commercial laboratory processed each sample by melting them into fluxed discs. </w:t>
      </w:r>
      <w:r w:rsidR="002B342E">
        <w:rPr>
          <w:rFonts w:eastAsiaTheme="minorEastAsia"/>
          <w:bCs/>
        </w:rPr>
        <w:t xml:space="preserve"> Additionally, precision and accuracy </w:t>
      </w:r>
      <w:r w:rsidR="00B74D72">
        <w:rPr>
          <w:rFonts w:eastAsiaTheme="minorEastAsia"/>
          <w:bCs/>
        </w:rPr>
        <w:t>varies</w:t>
      </w:r>
      <w:r w:rsidR="002B342E" w:rsidRPr="002B342E">
        <w:rPr>
          <w:rFonts w:eastAsiaTheme="minorEastAsia"/>
          <w:bCs/>
        </w:rPr>
        <w:t xml:space="preserve"> </w:t>
      </w:r>
      <w:r w:rsidR="002B342E">
        <w:rPr>
          <w:rFonts w:eastAsiaTheme="minorEastAsia"/>
          <w:bCs/>
        </w:rPr>
        <w:t>unpredictably</w:t>
      </w:r>
      <w:r w:rsidR="00B74D72">
        <w:rPr>
          <w:rFonts w:eastAsiaTheme="minorEastAsia"/>
          <w:bCs/>
        </w:rPr>
        <w:t xml:space="preserve"> between </w:t>
      </w:r>
      <w:r w:rsidR="00B74D72">
        <w:rPr>
          <w:rFonts w:eastAsiaTheme="minorEastAsia"/>
          <w:bCs/>
        </w:rPr>
        <w:lastRenderedPageBreak/>
        <w:t>measurements,</w:t>
      </w:r>
      <w:r w:rsidR="002B342E">
        <w:rPr>
          <w:rFonts w:eastAsiaTheme="minorEastAsia"/>
          <w:bCs/>
        </w:rPr>
        <w:t xml:space="preserve"> which indicate that in situ </w:t>
      </w:r>
      <w:r w:rsidR="00FC65F7">
        <w:rPr>
          <w:rFonts w:eastAsiaTheme="minorEastAsia"/>
          <w:bCs/>
        </w:rPr>
        <w:t xml:space="preserve">PHXRF </w:t>
      </w:r>
      <w:r w:rsidR="002B342E">
        <w:rPr>
          <w:rFonts w:eastAsiaTheme="minorEastAsia"/>
          <w:bCs/>
        </w:rPr>
        <w:t>measurements</w:t>
      </w:r>
      <w:r w:rsidR="0063776A">
        <w:rPr>
          <w:rFonts w:eastAsiaTheme="minorEastAsia"/>
          <w:bCs/>
        </w:rPr>
        <w:t>, with no sample preparation,</w:t>
      </w:r>
      <w:r w:rsidR="002B342E">
        <w:rPr>
          <w:rFonts w:eastAsiaTheme="minorEastAsia"/>
          <w:bCs/>
        </w:rPr>
        <w:t xml:space="preserve"> are not appropriate for determining </w:t>
      </w:r>
      <m:oMath>
        <m:r>
          <w:rPr>
            <w:rFonts w:ascii="Cambria Math" w:hAnsi="Cambria Math"/>
          </w:rPr>
          <m:t>SC</m:t>
        </m:r>
      </m:oMath>
      <w:r w:rsidR="002B342E">
        <w:rPr>
          <w:rFonts w:eastAsiaTheme="minorEastAsia"/>
          <w:bCs/>
        </w:rPr>
        <w:t xml:space="preserve"> in subgrade soils.</w:t>
      </w:r>
      <w:r>
        <w:rPr>
          <w:rFonts w:eastAsiaTheme="minorEastAsia"/>
          <w:bCs/>
        </w:rPr>
        <w:t xml:space="preserve"> </w:t>
      </w:r>
    </w:p>
    <w:p w14:paraId="0B95B178" w14:textId="78D88FFB" w:rsidR="008808BC" w:rsidRDefault="006E3B41" w:rsidP="00B102E5">
      <w:pPr>
        <w:ind w:left="720" w:firstLine="720"/>
        <w:jc w:val="both"/>
        <w:rPr>
          <w:rFonts w:eastAsiaTheme="minorEastAsia"/>
          <w:bCs/>
        </w:rPr>
      </w:pPr>
      <w:r>
        <w:rPr>
          <w:rFonts w:eastAsiaTheme="minorEastAsia"/>
          <w:bCs/>
        </w:rPr>
        <w:t>As seen in</w:t>
      </w:r>
      <w:r w:rsidR="002B342E">
        <w:rPr>
          <w:rFonts w:eastAsiaTheme="minorEastAsia"/>
          <w:bCs/>
        </w:rPr>
        <w:t xml:space="preserve"> </w:t>
      </w:r>
      <w:r w:rsidR="002B342E">
        <w:rPr>
          <w:rFonts w:eastAsiaTheme="minorEastAsia"/>
          <w:bCs/>
        </w:rPr>
        <w:fldChar w:fldCharType="begin"/>
      </w:r>
      <w:r w:rsidR="002B342E">
        <w:rPr>
          <w:rFonts w:eastAsiaTheme="minorEastAsia"/>
          <w:bCs/>
        </w:rPr>
        <w:instrText xml:space="preserve"> REF _Ref446386447 \h </w:instrText>
      </w:r>
      <w:r w:rsidR="002B342E">
        <w:rPr>
          <w:rFonts w:eastAsiaTheme="minorEastAsia"/>
          <w:bCs/>
        </w:rPr>
      </w:r>
      <w:r w:rsidR="002B342E">
        <w:rPr>
          <w:rFonts w:eastAsiaTheme="minorEastAsia"/>
          <w:bCs/>
        </w:rPr>
        <w:fldChar w:fldCharType="separate"/>
      </w:r>
      <w:r w:rsidR="00E90148">
        <w:t xml:space="preserve">Table </w:t>
      </w:r>
      <w:r w:rsidR="00E90148">
        <w:rPr>
          <w:noProof/>
        </w:rPr>
        <w:t>16</w:t>
      </w:r>
      <w:r w:rsidR="002B342E">
        <w:rPr>
          <w:rFonts w:eastAsiaTheme="minorEastAsia"/>
          <w:bCs/>
        </w:rPr>
        <w:fldChar w:fldCharType="end"/>
      </w:r>
      <w:r>
        <w:rPr>
          <w:rFonts w:eastAsiaTheme="minorEastAsia"/>
          <w:bCs/>
        </w:rPr>
        <w:t xml:space="preserve">, </w:t>
      </w:r>
      <w:r w:rsidR="002B342E">
        <w:rPr>
          <w:rFonts w:eastAsiaTheme="minorEastAsia"/>
          <w:bCs/>
        </w:rPr>
        <w:t>in situ measurements with the Niton XL3t at random</w:t>
      </w:r>
      <w:r w:rsidR="00C54A3C">
        <w:rPr>
          <w:rFonts w:eastAsiaTheme="minorEastAsia"/>
          <w:bCs/>
        </w:rPr>
        <w:t xml:space="preserve"> </w:t>
      </w:r>
      <w:r w:rsidR="00B102E5">
        <w:rPr>
          <w:rFonts w:eastAsiaTheme="minorEastAsia"/>
          <w:bCs/>
        </w:rPr>
        <w:t xml:space="preserve">grid </w:t>
      </w:r>
      <w:r w:rsidR="00C54A3C">
        <w:rPr>
          <w:rFonts w:eastAsiaTheme="minorEastAsia"/>
          <w:bCs/>
        </w:rPr>
        <w:t xml:space="preserve">locations </w:t>
      </w:r>
      <w:r w:rsidR="009F7A1B">
        <w:rPr>
          <w:rFonts w:eastAsiaTheme="minorEastAsia"/>
          <w:bCs/>
        </w:rPr>
        <w:t>throughout S</w:t>
      </w:r>
      <w:r w:rsidR="002B342E">
        <w:rPr>
          <w:rFonts w:eastAsiaTheme="minorEastAsia"/>
          <w:bCs/>
        </w:rPr>
        <w:t xml:space="preserve">ite 2 produce random results. </w:t>
      </w:r>
      <w:r>
        <w:rPr>
          <w:rFonts w:eastAsiaTheme="minorEastAsia"/>
          <w:bCs/>
        </w:rPr>
        <w:t xml:space="preserve">STDEV </w:t>
      </w:r>
      <w:r w:rsidR="0063776A">
        <w:rPr>
          <w:rFonts w:eastAsiaTheme="minorEastAsia"/>
          <w:bCs/>
        </w:rPr>
        <w:t xml:space="preserve">varies </w:t>
      </w:r>
      <w:r w:rsidR="002B342E">
        <w:rPr>
          <w:rFonts w:eastAsiaTheme="minorEastAsia"/>
          <w:bCs/>
        </w:rPr>
        <w:t>from 0.534% to 4.139% despite using a standard scanning technique</w:t>
      </w:r>
      <w:r>
        <w:rPr>
          <w:rFonts w:eastAsiaTheme="minorEastAsia"/>
          <w:bCs/>
        </w:rPr>
        <w:t xml:space="preserve">. </w:t>
      </w:r>
      <w:r w:rsidR="002B342E">
        <w:rPr>
          <w:rFonts w:eastAsiaTheme="minorEastAsia"/>
          <w:bCs/>
        </w:rPr>
        <w:t xml:space="preserve">The </w:t>
      </w:r>
      <w:r>
        <w:rPr>
          <w:rFonts w:eastAsiaTheme="minorEastAsia"/>
          <w:bCs/>
        </w:rPr>
        <w:t>COV</w:t>
      </w:r>
      <w:r>
        <w:rPr>
          <w:rFonts w:eastAsiaTheme="minorEastAsia"/>
          <w:bCs/>
          <w:vertAlign w:val="subscript"/>
        </w:rPr>
        <w:t>STDEV</w:t>
      </w:r>
      <w:r>
        <w:rPr>
          <w:rFonts w:eastAsiaTheme="minorEastAsia"/>
          <w:bCs/>
        </w:rPr>
        <w:t xml:space="preserve"> for the </w:t>
      </w:r>
      <w:r w:rsidR="00FC65F7">
        <w:rPr>
          <w:rFonts w:eastAsiaTheme="minorEastAsia"/>
          <w:bCs/>
        </w:rPr>
        <w:t>Niton XL3t measurements are</w:t>
      </w:r>
      <w:r w:rsidR="002B342E">
        <w:rPr>
          <w:rFonts w:eastAsiaTheme="minorEastAsia"/>
          <w:bCs/>
        </w:rPr>
        <w:t xml:space="preserve"> also sporadic and ranges from 0.013 to 0.099. </w:t>
      </w:r>
      <w:r>
        <w:rPr>
          <w:rFonts w:eastAsiaTheme="minorEastAsia"/>
          <w:bCs/>
        </w:rPr>
        <w:t xml:space="preserve">Accuracy </w:t>
      </w:r>
      <w:r w:rsidR="00770598">
        <w:rPr>
          <w:rFonts w:eastAsiaTheme="minorEastAsia"/>
          <w:bCs/>
        </w:rPr>
        <w:t>of the measurements is very poor</w:t>
      </w:r>
      <w:r w:rsidR="008617EB">
        <w:rPr>
          <w:rFonts w:eastAsiaTheme="minorEastAsia"/>
          <w:bCs/>
        </w:rPr>
        <w:t xml:space="preserve"> as well</w:t>
      </w:r>
      <w:r w:rsidR="00770598">
        <w:rPr>
          <w:rFonts w:eastAsiaTheme="minorEastAsia"/>
          <w:bCs/>
        </w:rPr>
        <w:t xml:space="preserve">. </w:t>
      </w:r>
      <w:r>
        <w:rPr>
          <w:rFonts w:eastAsiaTheme="minorEastAsia"/>
          <w:bCs/>
        </w:rPr>
        <w:t xml:space="preserve">The RMSD </w:t>
      </w:r>
      <w:r w:rsidR="008F1C81">
        <w:rPr>
          <w:rFonts w:eastAsiaTheme="minorEastAsia"/>
          <w:bCs/>
        </w:rPr>
        <w:t>range</w:t>
      </w:r>
      <w:r>
        <w:rPr>
          <w:rFonts w:eastAsiaTheme="minorEastAsia"/>
          <w:bCs/>
        </w:rPr>
        <w:t xml:space="preserve"> from </w:t>
      </w:r>
      <w:r w:rsidR="00770598">
        <w:rPr>
          <w:rFonts w:eastAsiaTheme="minorEastAsia"/>
          <w:bCs/>
        </w:rPr>
        <w:t>19.468 to 32.444, which is far outside of allowable limits</w:t>
      </w:r>
      <w:r>
        <w:rPr>
          <w:rFonts w:eastAsiaTheme="minorEastAsia"/>
          <w:bCs/>
        </w:rPr>
        <w:t>. Additionally, the COV</w:t>
      </w:r>
      <w:r>
        <w:rPr>
          <w:rFonts w:eastAsiaTheme="minorEastAsia"/>
          <w:bCs/>
          <w:vertAlign w:val="subscript"/>
        </w:rPr>
        <w:t>RMSD</w:t>
      </w:r>
      <w:r w:rsidR="00770598">
        <w:rPr>
          <w:rFonts w:eastAsiaTheme="minorEastAsia"/>
          <w:bCs/>
        </w:rPr>
        <w:t xml:space="preserve"> range from 0.925 to 2.435, which indicates significant errors in these measurements.</w:t>
      </w:r>
      <w:r>
        <w:rPr>
          <w:rFonts w:eastAsiaTheme="minorEastAsia"/>
          <w:bCs/>
        </w:rPr>
        <w:t xml:space="preserve"> </w:t>
      </w:r>
      <w:r w:rsidR="00770598">
        <w:rPr>
          <w:rFonts w:eastAsiaTheme="minorEastAsia"/>
          <w:bCs/>
        </w:rPr>
        <w:t xml:space="preserve">Plainly, the device performed poorly when the soil </w:t>
      </w:r>
      <w:r w:rsidR="0063776A">
        <w:rPr>
          <w:rFonts w:eastAsiaTheme="minorEastAsia"/>
          <w:bCs/>
        </w:rPr>
        <w:t xml:space="preserve">was </w:t>
      </w:r>
      <w:r w:rsidR="00770598">
        <w:rPr>
          <w:rFonts w:eastAsiaTheme="minorEastAsia"/>
          <w:bCs/>
        </w:rPr>
        <w:t>not prepared adequately. This could be for a number of reason</w:t>
      </w:r>
      <w:r w:rsidR="00A1694C">
        <w:rPr>
          <w:rFonts w:eastAsiaTheme="minorEastAsia"/>
          <w:bCs/>
        </w:rPr>
        <w:t>s</w:t>
      </w:r>
      <w:r w:rsidR="00770598">
        <w:rPr>
          <w:rFonts w:eastAsiaTheme="minorEastAsia"/>
          <w:bCs/>
        </w:rPr>
        <w:t>, including particle size effects, surface roughness, soil being blown into the scanning window via wind, the presence of oxygen, and the presence of moisture</w:t>
      </w:r>
      <w:r w:rsidR="0063776A">
        <w:rPr>
          <w:rFonts w:eastAsiaTheme="minorEastAsia"/>
          <w:bCs/>
        </w:rPr>
        <w:t>,</w:t>
      </w:r>
      <w:r w:rsidR="00770598">
        <w:rPr>
          <w:rFonts w:eastAsiaTheme="minorEastAsia"/>
          <w:bCs/>
        </w:rPr>
        <w:t xml:space="preserve"> to name a few.</w:t>
      </w:r>
    </w:p>
    <w:p w14:paraId="212BC637" w14:textId="77777777" w:rsidR="00900CB7" w:rsidRPr="00F36CBE" w:rsidRDefault="00900CB7" w:rsidP="00900CB7">
      <w:pPr>
        <w:ind w:left="720" w:firstLine="720"/>
        <w:jc w:val="both"/>
        <w:rPr>
          <w:rFonts w:eastAsiaTheme="minorEastAsia"/>
          <w:bCs/>
        </w:rPr>
      </w:pPr>
    </w:p>
    <w:p w14:paraId="697F4011" w14:textId="77777777" w:rsidR="002B342E" w:rsidRDefault="002B342E" w:rsidP="002B342E">
      <w:pPr>
        <w:pStyle w:val="Caption"/>
      </w:pPr>
      <w:bookmarkStart w:id="113" w:name="_Ref446386447"/>
      <w:bookmarkStart w:id="114" w:name="_Toc447755336"/>
      <w:r>
        <w:t xml:space="preserve">Table </w:t>
      </w:r>
      <w:r w:rsidR="00184FC2">
        <w:fldChar w:fldCharType="begin"/>
      </w:r>
      <w:r w:rsidR="00184FC2">
        <w:instrText xml:space="preserve"> SEQ Table \* ARABIC </w:instrText>
      </w:r>
      <w:r w:rsidR="00184FC2">
        <w:fldChar w:fldCharType="separate"/>
      </w:r>
      <w:r w:rsidR="00E90148">
        <w:rPr>
          <w:noProof/>
        </w:rPr>
        <w:t>16</w:t>
      </w:r>
      <w:r w:rsidR="00184FC2">
        <w:rPr>
          <w:noProof/>
        </w:rPr>
        <w:fldChar w:fldCharType="end"/>
      </w:r>
      <w:bookmarkEnd w:id="113"/>
      <w:r>
        <w:t>: Precision and Accuracy of Niton XL3t In Situ</w:t>
      </w:r>
      <w:bookmarkEnd w:id="114"/>
      <w:r>
        <w:t xml:space="preserve"> </w:t>
      </w:r>
    </w:p>
    <w:p w14:paraId="4079D30C" w14:textId="723C9F95" w:rsidR="002B342E" w:rsidRPr="002B342E" w:rsidRDefault="002B342E" w:rsidP="00770598">
      <w:pPr>
        <w:pStyle w:val="Caption"/>
      </w:pPr>
      <w:r>
        <w:t xml:space="preserve">Measurements at Random </w:t>
      </w:r>
      <w:r w:rsidR="00B20F87">
        <w:t xml:space="preserve">Grid </w:t>
      </w:r>
      <w:r>
        <w:t>Locations throughout Site 2</w:t>
      </w:r>
    </w:p>
    <w:tbl>
      <w:tblPr>
        <w:tblW w:w="7364" w:type="dxa"/>
        <w:jc w:val="center"/>
        <w:tblLook w:val="04A0" w:firstRow="1" w:lastRow="0" w:firstColumn="1" w:lastColumn="0" w:noHBand="0" w:noVBand="1"/>
      </w:tblPr>
      <w:tblGrid>
        <w:gridCol w:w="452"/>
        <w:gridCol w:w="1584"/>
        <w:gridCol w:w="720"/>
        <w:gridCol w:w="1152"/>
        <w:gridCol w:w="1152"/>
        <w:gridCol w:w="1152"/>
        <w:gridCol w:w="1152"/>
      </w:tblGrid>
      <w:tr w:rsidR="00B102E5" w:rsidRPr="0063206D" w14:paraId="5AD81EA6" w14:textId="77777777" w:rsidTr="00B102E5">
        <w:trPr>
          <w:trHeight w:val="300"/>
          <w:jc w:val="center"/>
        </w:trPr>
        <w:tc>
          <w:tcPr>
            <w:tcW w:w="452" w:type="dxa"/>
            <w:tcBorders>
              <w:bottom w:val="nil"/>
              <w:right w:val="single" w:sz="4" w:space="0" w:color="auto"/>
            </w:tcBorders>
            <w:shd w:val="clear" w:color="000000" w:fill="auto"/>
            <w:vAlign w:val="center"/>
            <w:hideMark/>
          </w:tcPr>
          <w:p w14:paraId="66A6C07A" w14:textId="282F2404" w:rsidR="00B102E5" w:rsidRPr="0063206D" w:rsidRDefault="00B102E5" w:rsidP="0063206D">
            <w:pPr>
              <w:spacing w:line="240" w:lineRule="auto"/>
              <w:rPr>
                <w:rFonts w:eastAsia="Times New Roman" w:cs="Times New Roman"/>
                <w:i/>
                <w:iCs/>
                <w:color w:val="000000"/>
                <w:sz w:val="22"/>
                <w:szCs w:val="22"/>
              </w:rPr>
            </w:pPr>
          </w:p>
        </w:tc>
        <w:tc>
          <w:tcPr>
            <w:tcW w:w="1584" w:type="dxa"/>
            <w:vMerge w:val="restart"/>
            <w:tcBorders>
              <w:top w:val="single" w:sz="4" w:space="0" w:color="auto"/>
              <w:left w:val="single" w:sz="4" w:space="0" w:color="auto"/>
              <w:bottom w:val="single" w:sz="8" w:space="0" w:color="000000"/>
              <w:right w:val="nil"/>
            </w:tcBorders>
            <w:shd w:val="clear" w:color="000000" w:fill="BFBFBF"/>
            <w:vAlign w:val="center"/>
            <w:hideMark/>
          </w:tcPr>
          <w:p w14:paraId="2632FA70" w14:textId="77777777" w:rsidR="00B102E5" w:rsidRPr="0063206D" w:rsidRDefault="00B102E5" w:rsidP="0063206D">
            <w:pPr>
              <w:spacing w:line="240" w:lineRule="auto"/>
              <w:rPr>
                <w:rFonts w:eastAsia="Times New Roman" w:cs="Times New Roman"/>
                <w:i/>
                <w:iCs/>
                <w:color w:val="000000"/>
                <w:sz w:val="22"/>
                <w:szCs w:val="22"/>
              </w:rPr>
            </w:pPr>
            <w:r w:rsidRPr="0063206D">
              <w:rPr>
                <w:rFonts w:eastAsia="Times New Roman" w:cs="Times New Roman"/>
                <w:i/>
                <w:iCs/>
                <w:color w:val="000000"/>
                <w:sz w:val="22"/>
                <w:szCs w:val="22"/>
              </w:rPr>
              <w:t>Location</w:t>
            </w:r>
          </w:p>
        </w:tc>
        <w:tc>
          <w:tcPr>
            <w:tcW w:w="720" w:type="dxa"/>
            <w:vMerge w:val="restart"/>
            <w:tcBorders>
              <w:top w:val="single" w:sz="4" w:space="0" w:color="auto"/>
              <w:left w:val="nil"/>
              <w:right w:val="nil"/>
            </w:tcBorders>
            <w:shd w:val="clear" w:color="000000" w:fill="BFBFBF"/>
            <w:vAlign w:val="center"/>
          </w:tcPr>
          <w:p w14:paraId="2404C2F4" w14:textId="723F5C13" w:rsidR="00B102E5" w:rsidRDefault="00B102E5" w:rsidP="00B102E5">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vMerge w:val="restart"/>
            <w:tcBorders>
              <w:top w:val="single" w:sz="4" w:space="0" w:color="auto"/>
              <w:left w:val="nil"/>
              <w:bottom w:val="single" w:sz="8" w:space="0" w:color="000000"/>
              <w:right w:val="nil"/>
            </w:tcBorders>
            <w:shd w:val="clear" w:color="000000" w:fill="BFBFBF"/>
            <w:vAlign w:val="center"/>
            <w:hideMark/>
          </w:tcPr>
          <w:p w14:paraId="0CBE66AB" w14:textId="6FA4E57C" w:rsidR="00B102E5" w:rsidRPr="0063206D" w:rsidRDefault="00B102E5" w:rsidP="0063206D">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63206D">
              <w:rPr>
                <w:rFonts w:eastAsia="Times New Roman" w:cs="Times New Roman"/>
                <w:i/>
                <w:iCs/>
                <w:color w:val="000000"/>
                <w:sz w:val="22"/>
                <w:szCs w:val="22"/>
              </w:rPr>
              <w:t xml:space="preserve">                  (%)</w:t>
            </w:r>
          </w:p>
        </w:tc>
        <w:tc>
          <w:tcPr>
            <w:tcW w:w="1152" w:type="dxa"/>
            <w:vMerge w:val="restart"/>
            <w:tcBorders>
              <w:top w:val="single" w:sz="4" w:space="0" w:color="auto"/>
              <w:left w:val="nil"/>
              <w:bottom w:val="single" w:sz="8" w:space="0" w:color="000000"/>
              <w:right w:val="nil"/>
            </w:tcBorders>
            <w:shd w:val="clear" w:color="000000" w:fill="BFBFBF"/>
            <w:vAlign w:val="center"/>
            <w:hideMark/>
          </w:tcPr>
          <w:p w14:paraId="7F7568A3" w14:textId="77777777" w:rsidR="00B102E5" w:rsidRPr="0063206D" w:rsidRDefault="00B102E5" w:rsidP="0063206D">
            <w:pPr>
              <w:spacing w:line="240" w:lineRule="auto"/>
              <w:rPr>
                <w:rFonts w:eastAsia="Times New Roman" w:cs="Times New Roman"/>
                <w:i/>
                <w:iCs/>
                <w:color w:val="000000"/>
                <w:sz w:val="22"/>
                <w:szCs w:val="22"/>
              </w:rPr>
            </w:pPr>
            <w:r w:rsidRPr="0063206D">
              <w:rPr>
                <w:rFonts w:eastAsia="Times New Roman" w:cs="Times New Roman"/>
                <w:i/>
                <w:iCs/>
                <w:color w:val="000000"/>
                <w:sz w:val="22"/>
                <w:szCs w:val="22"/>
              </w:rPr>
              <w:t>COV</w:t>
            </w:r>
            <w:r w:rsidRPr="0063206D">
              <w:rPr>
                <w:rFonts w:eastAsia="Times New Roman" w:cs="Times New Roman"/>
                <w:i/>
                <w:iCs/>
                <w:color w:val="000000"/>
                <w:sz w:val="22"/>
                <w:szCs w:val="22"/>
                <w:vertAlign w:val="subscript"/>
              </w:rPr>
              <w:t>STDEV</w:t>
            </w:r>
            <w:r w:rsidRPr="0063206D">
              <w:rPr>
                <w:rFonts w:eastAsia="Times New Roman" w:cs="Times New Roman"/>
                <w:i/>
                <w:iCs/>
                <w:color w:val="000000"/>
                <w:sz w:val="22"/>
                <w:szCs w:val="22"/>
              </w:rPr>
              <w:t xml:space="preserve">           </w:t>
            </w:r>
          </w:p>
        </w:tc>
        <w:tc>
          <w:tcPr>
            <w:tcW w:w="1152" w:type="dxa"/>
            <w:vMerge w:val="restart"/>
            <w:tcBorders>
              <w:top w:val="single" w:sz="4" w:space="0" w:color="auto"/>
              <w:left w:val="nil"/>
              <w:bottom w:val="single" w:sz="8" w:space="0" w:color="000000"/>
              <w:right w:val="nil"/>
            </w:tcBorders>
            <w:shd w:val="clear" w:color="000000" w:fill="BFBFBF"/>
            <w:vAlign w:val="center"/>
            <w:hideMark/>
          </w:tcPr>
          <w:p w14:paraId="563C3019" w14:textId="77777777" w:rsidR="00B102E5" w:rsidRPr="0063206D" w:rsidRDefault="00B102E5" w:rsidP="0063206D">
            <w:pPr>
              <w:spacing w:line="240" w:lineRule="auto"/>
              <w:rPr>
                <w:rFonts w:eastAsia="Times New Roman" w:cs="Times New Roman"/>
                <w:i/>
                <w:iCs/>
                <w:color w:val="000000"/>
                <w:sz w:val="22"/>
                <w:szCs w:val="22"/>
              </w:rPr>
            </w:pPr>
            <w:r w:rsidRPr="0063206D">
              <w:rPr>
                <w:rFonts w:eastAsia="Times New Roman" w:cs="Times New Roman"/>
                <w:i/>
                <w:iCs/>
                <w:color w:val="000000"/>
                <w:sz w:val="22"/>
                <w:szCs w:val="22"/>
              </w:rPr>
              <w:t>RMSD         (%)</w:t>
            </w:r>
          </w:p>
        </w:tc>
        <w:tc>
          <w:tcPr>
            <w:tcW w:w="1152" w:type="dxa"/>
            <w:vMerge w:val="restart"/>
            <w:tcBorders>
              <w:top w:val="single" w:sz="4" w:space="0" w:color="auto"/>
              <w:left w:val="nil"/>
              <w:bottom w:val="single" w:sz="8" w:space="0" w:color="000000"/>
              <w:right w:val="single" w:sz="4" w:space="0" w:color="auto"/>
            </w:tcBorders>
            <w:shd w:val="clear" w:color="000000" w:fill="BFBFBF"/>
            <w:vAlign w:val="center"/>
            <w:hideMark/>
          </w:tcPr>
          <w:p w14:paraId="5E0E04B9" w14:textId="77777777" w:rsidR="00B102E5" w:rsidRPr="0063206D" w:rsidRDefault="00B102E5" w:rsidP="0063206D">
            <w:pPr>
              <w:spacing w:line="240" w:lineRule="auto"/>
              <w:rPr>
                <w:rFonts w:eastAsia="Times New Roman" w:cs="Times New Roman"/>
                <w:i/>
                <w:iCs/>
                <w:color w:val="000000"/>
                <w:sz w:val="22"/>
                <w:szCs w:val="22"/>
              </w:rPr>
            </w:pPr>
            <w:r w:rsidRPr="0063206D">
              <w:rPr>
                <w:rFonts w:eastAsia="Times New Roman" w:cs="Times New Roman"/>
                <w:i/>
                <w:iCs/>
                <w:color w:val="000000"/>
                <w:sz w:val="22"/>
                <w:szCs w:val="22"/>
              </w:rPr>
              <w:t>COV</w:t>
            </w:r>
            <w:r w:rsidRPr="0063206D">
              <w:rPr>
                <w:rFonts w:eastAsia="Times New Roman" w:cs="Times New Roman"/>
                <w:i/>
                <w:iCs/>
                <w:color w:val="000000"/>
                <w:sz w:val="22"/>
                <w:szCs w:val="22"/>
                <w:vertAlign w:val="subscript"/>
              </w:rPr>
              <w:t>RMSD</w:t>
            </w:r>
            <w:r w:rsidRPr="0063206D">
              <w:rPr>
                <w:rFonts w:eastAsia="Times New Roman" w:cs="Times New Roman"/>
                <w:i/>
                <w:iCs/>
                <w:color w:val="000000"/>
                <w:sz w:val="22"/>
                <w:szCs w:val="22"/>
              </w:rPr>
              <w:t xml:space="preserve">           </w:t>
            </w:r>
          </w:p>
        </w:tc>
      </w:tr>
      <w:tr w:rsidR="00B102E5" w:rsidRPr="0063206D" w14:paraId="461F3C2B" w14:textId="77777777" w:rsidTr="00B102E5">
        <w:trPr>
          <w:trHeight w:val="315"/>
          <w:jc w:val="center"/>
        </w:trPr>
        <w:tc>
          <w:tcPr>
            <w:tcW w:w="452" w:type="dxa"/>
            <w:tcBorders>
              <w:top w:val="nil"/>
              <w:bottom w:val="single" w:sz="4" w:space="0" w:color="auto"/>
              <w:right w:val="single" w:sz="4" w:space="0" w:color="auto"/>
            </w:tcBorders>
            <w:shd w:val="clear" w:color="000000" w:fill="auto"/>
            <w:vAlign w:val="center"/>
            <w:hideMark/>
          </w:tcPr>
          <w:p w14:paraId="301CA04B" w14:textId="148A66DB" w:rsidR="00B102E5" w:rsidRPr="0063206D" w:rsidRDefault="00B102E5" w:rsidP="00B102E5">
            <w:pPr>
              <w:spacing w:line="240" w:lineRule="auto"/>
              <w:jc w:val="both"/>
              <w:rPr>
                <w:rFonts w:eastAsia="Times New Roman" w:cs="Times New Roman"/>
                <w:i/>
                <w:iCs/>
                <w:color w:val="000000"/>
                <w:sz w:val="22"/>
                <w:szCs w:val="22"/>
              </w:rPr>
            </w:pPr>
          </w:p>
        </w:tc>
        <w:tc>
          <w:tcPr>
            <w:tcW w:w="1584" w:type="dxa"/>
            <w:vMerge/>
            <w:tcBorders>
              <w:top w:val="single" w:sz="4" w:space="0" w:color="auto"/>
              <w:left w:val="single" w:sz="4" w:space="0" w:color="auto"/>
              <w:bottom w:val="single" w:sz="8" w:space="0" w:color="000000"/>
              <w:right w:val="nil"/>
            </w:tcBorders>
            <w:vAlign w:val="center"/>
            <w:hideMark/>
          </w:tcPr>
          <w:p w14:paraId="553E3CDB" w14:textId="77777777" w:rsidR="00B102E5" w:rsidRPr="0063206D" w:rsidRDefault="00B102E5" w:rsidP="0063206D">
            <w:pPr>
              <w:spacing w:line="240" w:lineRule="auto"/>
              <w:jc w:val="left"/>
              <w:rPr>
                <w:rFonts w:eastAsia="Times New Roman" w:cs="Times New Roman"/>
                <w:i/>
                <w:iCs/>
                <w:color w:val="000000"/>
                <w:sz w:val="22"/>
                <w:szCs w:val="22"/>
              </w:rPr>
            </w:pPr>
          </w:p>
        </w:tc>
        <w:tc>
          <w:tcPr>
            <w:tcW w:w="720" w:type="dxa"/>
            <w:vMerge/>
            <w:tcBorders>
              <w:left w:val="nil"/>
              <w:bottom w:val="single" w:sz="8" w:space="0" w:color="000000"/>
              <w:right w:val="nil"/>
            </w:tcBorders>
          </w:tcPr>
          <w:p w14:paraId="599A21CE" w14:textId="77777777" w:rsidR="00B102E5" w:rsidRPr="0063206D" w:rsidRDefault="00B102E5" w:rsidP="0063206D">
            <w:pPr>
              <w:spacing w:line="240" w:lineRule="auto"/>
              <w:jc w:val="left"/>
              <w:rPr>
                <w:rFonts w:eastAsia="Times New Roman" w:cs="Times New Roman"/>
                <w:i/>
                <w:iCs/>
                <w:color w:val="000000"/>
                <w:sz w:val="22"/>
                <w:szCs w:val="22"/>
              </w:rPr>
            </w:pPr>
          </w:p>
        </w:tc>
        <w:tc>
          <w:tcPr>
            <w:tcW w:w="1152" w:type="dxa"/>
            <w:vMerge/>
            <w:tcBorders>
              <w:top w:val="single" w:sz="4" w:space="0" w:color="auto"/>
              <w:left w:val="nil"/>
              <w:bottom w:val="single" w:sz="8" w:space="0" w:color="000000"/>
              <w:right w:val="nil"/>
            </w:tcBorders>
            <w:vAlign w:val="center"/>
            <w:hideMark/>
          </w:tcPr>
          <w:p w14:paraId="4FB16EB5" w14:textId="65B7DCAF" w:rsidR="00B102E5" w:rsidRPr="0063206D" w:rsidRDefault="00B102E5" w:rsidP="0063206D">
            <w:pPr>
              <w:spacing w:line="240" w:lineRule="auto"/>
              <w:jc w:val="left"/>
              <w:rPr>
                <w:rFonts w:eastAsia="Times New Roman" w:cs="Times New Roman"/>
                <w:i/>
                <w:iCs/>
                <w:color w:val="000000"/>
                <w:sz w:val="22"/>
                <w:szCs w:val="22"/>
              </w:rPr>
            </w:pPr>
          </w:p>
        </w:tc>
        <w:tc>
          <w:tcPr>
            <w:tcW w:w="1152" w:type="dxa"/>
            <w:vMerge/>
            <w:tcBorders>
              <w:top w:val="single" w:sz="4" w:space="0" w:color="auto"/>
              <w:left w:val="nil"/>
              <w:bottom w:val="single" w:sz="8" w:space="0" w:color="000000"/>
              <w:right w:val="nil"/>
            </w:tcBorders>
            <w:vAlign w:val="center"/>
            <w:hideMark/>
          </w:tcPr>
          <w:p w14:paraId="64F0E4BA" w14:textId="77777777" w:rsidR="00B102E5" w:rsidRPr="0063206D" w:rsidRDefault="00B102E5" w:rsidP="0063206D">
            <w:pPr>
              <w:spacing w:line="240" w:lineRule="auto"/>
              <w:jc w:val="left"/>
              <w:rPr>
                <w:rFonts w:eastAsia="Times New Roman" w:cs="Times New Roman"/>
                <w:i/>
                <w:iCs/>
                <w:color w:val="000000"/>
                <w:sz w:val="22"/>
                <w:szCs w:val="22"/>
              </w:rPr>
            </w:pPr>
          </w:p>
        </w:tc>
        <w:tc>
          <w:tcPr>
            <w:tcW w:w="1152" w:type="dxa"/>
            <w:vMerge/>
            <w:tcBorders>
              <w:top w:val="single" w:sz="4" w:space="0" w:color="auto"/>
              <w:left w:val="nil"/>
              <w:bottom w:val="single" w:sz="8" w:space="0" w:color="000000"/>
              <w:right w:val="nil"/>
            </w:tcBorders>
            <w:vAlign w:val="center"/>
            <w:hideMark/>
          </w:tcPr>
          <w:p w14:paraId="08839EA6" w14:textId="77777777" w:rsidR="00B102E5" w:rsidRPr="0063206D" w:rsidRDefault="00B102E5" w:rsidP="0063206D">
            <w:pPr>
              <w:spacing w:line="240" w:lineRule="auto"/>
              <w:jc w:val="left"/>
              <w:rPr>
                <w:rFonts w:eastAsia="Times New Roman" w:cs="Times New Roman"/>
                <w:i/>
                <w:iCs/>
                <w:color w:val="000000"/>
                <w:sz w:val="22"/>
                <w:szCs w:val="22"/>
              </w:rPr>
            </w:pPr>
          </w:p>
        </w:tc>
        <w:tc>
          <w:tcPr>
            <w:tcW w:w="1152" w:type="dxa"/>
            <w:vMerge/>
            <w:tcBorders>
              <w:top w:val="single" w:sz="4" w:space="0" w:color="auto"/>
              <w:left w:val="nil"/>
              <w:bottom w:val="single" w:sz="8" w:space="0" w:color="000000"/>
              <w:right w:val="single" w:sz="4" w:space="0" w:color="auto"/>
            </w:tcBorders>
            <w:vAlign w:val="center"/>
            <w:hideMark/>
          </w:tcPr>
          <w:p w14:paraId="3C69E912" w14:textId="77777777" w:rsidR="00B102E5" w:rsidRPr="0063206D" w:rsidRDefault="00B102E5" w:rsidP="0063206D">
            <w:pPr>
              <w:spacing w:line="240" w:lineRule="auto"/>
              <w:jc w:val="left"/>
              <w:rPr>
                <w:rFonts w:eastAsia="Times New Roman" w:cs="Times New Roman"/>
                <w:i/>
                <w:iCs/>
                <w:color w:val="000000"/>
                <w:sz w:val="22"/>
                <w:szCs w:val="22"/>
              </w:rPr>
            </w:pPr>
          </w:p>
        </w:tc>
      </w:tr>
      <w:tr w:rsidR="00B102E5" w:rsidRPr="0063206D" w14:paraId="2D0D6E4B" w14:textId="77777777" w:rsidTr="00B102E5">
        <w:trPr>
          <w:cantSplit/>
          <w:trHeight w:val="389"/>
          <w:jc w:val="center"/>
        </w:trPr>
        <w:tc>
          <w:tcPr>
            <w:tcW w:w="4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hideMark/>
          </w:tcPr>
          <w:p w14:paraId="0D47E985" w14:textId="77777777" w:rsidR="00B102E5" w:rsidRPr="0063206D" w:rsidRDefault="00B102E5" w:rsidP="00B102E5">
            <w:pPr>
              <w:spacing w:line="240" w:lineRule="auto"/>
              <w:ind w:left="113" w:right="113"/>
              <w:rPr>
                <w:rFonts w:eastAsia="Times New Roman" w:cs="Times New Roman"/>
                <w:i/>
                <w:iCs/>
                <w:color w:val="000000"/>
                <w:sz w:val="20"/>
                <w:szCs w:val="20"/>
              </w:rPr>
            </w:pPr>
            <w:r w:rsidRPr="0063206D">
              <w:rPr>
                <w:rFonts w:eastAsia="Times New Roman" w:cs="Times New Roman"/>
                <w:i/>
                <w:iCs/>
                <w:color w:val="000000"/>
                <w:sz w:val="20"/>
                <w:szCs w:val="20"/>
              </w:rPr>
              <w:t>Niton XL3t</w:t>
            </w:r>
          </w:p>
          <w:p w14:paraId="3754154A" w14:textId="7B1DE230" w:rsidR="00B102E5" w:rsidRPr="0063206D" w:rsidRDefault="00B102E5" w:rsidP="00B102E5">
            <w:pPr>
              <w:spacing w:line="240" w:lineRule="auto"/>
              <w:ind w:left="113" w:right="113"/>
              <w:rPr>
                <w:rFonts w:eastAsia="Times New Roman" w:cs="Times New Roman"/>
                <w:i/>
                <w:iCs/>
                <w:color w:val="000000"/>
                <w:sz w:val="20"/>
                <w:szCs w:val="20"/>
              </w:rPr>
            </w:pPr>
          </w:p>
        </w:tc>
        <w:tc>
          <w:tcPr>
            <w:tcW w:w="1584" w:type="dxa"/>
            <w:tcBorders>
              <w:top w:val="single" w:sz="8" w:space="0" w:color="000000"/>
              <w:left w:val="single" w:sz="4" w:space="0" w:color="auto"/>
              <w:bottom w:val="nil"/>
            </w:tcBorders>
            <w:shd w:val="clear" w:color="000000" w:fill="FFFFFF"/>
            <w:noWrap/>
            <w:vAlign w:val="center"/>
            <w:hideMark/>
          </w:tcPr>
          <w:p w14:paraId="2FC17F4A"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4</w:t>
            </w:r>
          </w:p>
        </w:tc>
        <w:tc>
          <w:tcPr>
            <w:tcW w:w="720" w:type="dxa"/>
            <w:tcBorders>
              <w:top w:val="single" w:sz="8" w:space="0" w:color="000000"/>
              <w:left w:val="nil"/>
              <w:bottom w:val="nil"/>
              <w:right w:val="dashed" w:sz="4" w:space="0" w:color="000000"/>
            </w:tcBorders>
            <w:shd w:val="clear" w:color="000000" w:fill="FFFFFF"/>
            <w:vAlign w:val="center"/>
          </w:tcPr>
          <w:p w14:paraId="3BA534EA" w14:textId="5AAA6151" w:rsidR="00B102E5" w:rsidRPr="0063206D" w:rsidRDefault="00B102E5" w:rsidP="00B102E5">
            <w:pPr>
              <w:spacing w:line="240" w:lineRule="auto"/>
              <w:rPr>
                <w:rFonts w:eastAsia="Times New Roman" w:cs="Times New Roman"/>
                <w:i/>
                <w:iCs/>
                <w:color w:val="000000"/>
                <w:sz w:val="20"/>
                <w:szCs w:val="20"/>
              </w:rPr>
            </w:pPr>
            <w:r>
              <w:rPr>
                <w:rFonts w:eastAsia="Times New Roman" w:cs="Times New Roman"/>
                <w:i/>
                <w:iCs/>
                <w:color w:val="000000"/>
                <w:sz w:val="20"/>
                <w:szCs w:val="20"/>
              </w:rPr>
              <w:t>3</w:t>
            </w:r>
          </w:p>
        </w:tc>
        <w:tc>
          <w:tcPr>
            <w:tcW w:w="1152" w:type="dxa"/>
            <w:tcBorders>
              <w:top w:val="nil"/>
              <w:left w:val="dashed" w:sz="4" w:space="0" w:color="000000"/>
              <w:bottom w:val="nil"/>
              <w:right w:val="nil"/>
            </w:tcBorders>
            <w:shd w:val="clear" w:color="000000" w:fill="FFFFFF"/>
            <w:noWrap/>
            <w:vAlign w:val="center"/>
            <w:hideMark/>
          </w:tcPr>
          <w:p w14:paraId="2D3D17B2" w14:textId="090FBBD3"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0.534</w:t>
            </w:r>
          </w:p>
        </w:tc>
        <w:tc>
          <w:tcPr>
            <w:tcW w:w="1152" w:type="dxa"/>
            <w:tcBorders>
              <w:top w:val="nil"/>
              <w:left w:val="nil"/>
              <w:bottom w:val="nil"/>
              <w:right w:val="dashed" w:sz="8" w:space="0" w:color="auto"/>
            </w:tcBorders>
            <w:shd w:val="clear" w:color="000000" w:fill="FFFFFF"/>
            <w:vAlign w:val="center"/>
            <w:hideMark/>
          </w:tcPr>
          <w:p w14:paraId="1BC2CB07"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0.013</w:t>
            </w:r>
          </w:p>
        </w:tc>
        <w:tc>
          <w:tcPr>
            <w:tcW w:w="1152" w:type="dxa"/>
            <w:tcBorders>
              <w:top w:val="nil"/>
              <w:left w:val="nil"/>
              <w:bottom w:val="nil"/>
              <w:right w:val="nil"/>
            </w:tcBorders>
            <w:shd w:val="clear" w:color="000000" w:fill="FFFFFF"/>
            <w:noWrap/>
            <w:vAlign w:val="center"/>
            <w:hideMark/>
          </w:tcPr>
          <w:p w14:paraId="1AF38A56"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19.468</w:t>
            </w:r>
          </w:p>
        </w:tc>
        <w:tc>
          <w:tcPr>
            <w:tcW w:w="1152" w:type="dxa"/>
            <w:tcBorders>
              <w:top w:val="nil"/>
              <w:left w:val="nil"/>
              <w:bottom w:val="nil"/>
              <w:right w:val="single" w:sz="4" w:space="0" w:color="auto"/>
            </w:tcBorders>
            <w:shd w:val="clear" w:color="000000" w:fill="FFFFFF"/>
            <w:vAlign w:val="center"/>
            <w:hideMark/>
          </w:tcPr>
          <w:p w14:paraId="0C0EC0F7"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0.953</w:t>
            </w:r>
          </w:p>
        </w:tc>
      </w:tr>
      <w:tr w:rsidR="00B102E5" w:rsidRPr="0063206D" w14:paraId="50D9706C" w14:textId="77777777" w:rsidTr="00B102E5">
        <w:trPr>
          <w:trHeight w:val="389"/>
          <w:jc w:val="center"/>
        </w:trPr>
        <w:tc>
          <w:tcPr>
            <w:tcW w:w="452" w:type="dxa"/>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774CED50" w14:textId="37F35670" w:rsidR="00B102E5" w:rsidRPr="0063206D" w:rsidRDefault="00B102E5" w:rsidP="0063206D">
            <w:pPr>
              <w:spacing w:line="240" w:lineRule="auto"/>
              <w:rPr>
                <w:rFonts w:eastAsia="Times New Roman" w:cs="Times New Roman"/>
                <w:i/>
                <w:iCs/>
                <w:color w:val="000000"/>
                <w:sz w:val="20"/>
                <w:szCs w:val="20"/>
              </w:rPr>
            </w:pPr>
          </w:p>
        </w:tc>
        <w:tc>
          <w:tcPr>
            <w:tcW w:w="1584" w:type="dxa"/>
            <w:tcBorders>
              <w:top w:val="nil"/>
              <w:left w:val="single" w:sz="4" w:space="0" w:color="auto"/>
              <w:bottom w:val="nil"/>
            </w:tcBorders>
            <w:shd w:val="clear" w:color="000000" w:fill="F2F2F2"/>
            <w:noWrap/>
            <w:vAlign w:val="center"/>
            <w:hideMark/>
          </w:tcPr>
          <w:p w14:paraId="5D390D7F"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16</w:t>
            </w:r>
          </w:p>
        </w:tc>
        <w:tc>
          <w:tcPr>
            <w:tcW w:w="720" w:type="dxa"/>
            <w:tcBorders>
              <w:top w:val="nil"/>
              <w:left w:val="nil"/>
              <w:bottom w:val="nil"/>
              <w:right w:val="dashed" w:sz="4" w:space="0" w:color="000000"/>
            </w:tcBorders>
            <w:shd w:val="clear" w:color="000000" w:fill="F2F2F2"/>
            <w:vAlign w:val="center"/>
          </w:tcPr>
          <w:p w14:paraId="3173A09B" w14:textId="04CAE9F6" w:rsidR="00B102E5" w:rsidRPr="0063206D" w:rsidRDefault="00B102E5" w:rsidP="00B102E5">
            <w:pPr>
              <w:spacing w:line="240" w:lineRule="auto"/>
              <w:rPr>
                <w:rFonts w:eastAsia="Times New Roman" w:cs="Times New Roman"/>
                <w:i/>
                <w:iCs/>
                <w:color w:val="000000"/>
                <w:sz w:val="20"/>
                <w:szCs w:val="20"/>
              </w:rPr>
            </w:pPr>
            <w:r>
              <w:rPr>
                <w:rFonts w:eastAsia="Times New Roman" w:cs="Times New Roman"/>
                <w:i/>
                <w:iCs/>
                <w:color w:val="000000"/>
                <w:sz w:val="20"/>
                <w:szCs w:val="20"/>
              </w:rPr>
              <w:t>3</w:t>
            </w:r>
          </w:p>
        </w:tc>
        <w:tc>
          <w:tcPr>
            <w:tcW w:w="1152" w:type="dxa"/>
            <w:tcBorders>
              <w:top w:val="nil"/>
              <w:left w:val="dashed" w:sz="4" w:space="0" w:color="000000"/>
              <w:bottom w:val="nil"/>
              <w:right w:val="nil"/>
            </w:tcBorders>
            <w:shd w:val="clear" w:color="000000" w:fill="F2F2F2"/>
            <w:noWrap/>
            <w:vAlign w:val="center"/>
            <w:hideMark/>
          </w:tcPr>
          <w:p w14:paraId="70C7AFA7" w14:textId="4BEBD5BD"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4.139</w:t>
            </w:r>
          </w:p>
        </w:tc>
        <w:tc>
          <w:tcPr>
            <w:tcW w:w="1152" w:type="dxa"/>
            <w:tcBorders>
              <w:top w:val="nil"/>
              <w:left w:val="nil"/>
              <w:bottom w:val="nil"/>
              <w:right w:val="dashed" w:sz="8" w:space="0" w:color="auto"/>
            </w:tcBorders>
            <w:shd w:val="clear" w:color="000000" w:fill="F2F2F2"/>
            <w:vAlign w:val="center"/>
            <w:hideMark/>
          </w:tcPr>
          <w:p w14:paraId="37AA96CD"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0.099</w:t>
            </w:r>
          </w:p>
        </w:tc>
        <w:tc>
          <w:tcPr>
            <w:tcW w:w="1152" w:type="dxa"/>
            <w:tcBorders>
              <w:top w:val="nil"/>
              <w:left w:val="nil"/>
              <w:bottom w:val="nil"/>
              <w:right w:val="nil"/>
            </w:tcBorders>
            <w:shd w:val="clear" w:color="000000" w:fill="F2F2F2"/>
            <w:noWrap/>
            <w:vAlign w:val="center"/>
            <w:hideMark/>
          </w:tcPr>
          <w:p w14:paraId="2667F723"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20.207</w:t>
            </w:r>
          </w:p>
        </w:tc>
        <w:tc>
          <w:tcPr>
            <w:tcW w:w="1152" w:type="dxa"/>
            <w:tcBorders>
              <w:top w:val="nil"/>
              <w:left w:val="nil"/>
              <w:bottom w:val="nil"/>
              <w:right w:val="single" w:sz="4" w:space="0" w:color="auto"/>
            </w:tcBorders>
            <w:shd w:val="clear" w:color="000000" w:fill="F2F2F2"/>
            <w:vAlign w:val="center"/>
            <w:hideMark/>
          </w:tcPr>
          <w:p w14:paraId="7D80CA2F"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0.925</w:t>
            </w:r>
          </w:p>
        </w:tc>
      </w:tr>
      <w:tr w:rsidR="00B102E5" w:rsidRPr="0063206D" w14:paraId="62A62C27" w14:textId="77777777" w:rsidTr="00B102E5">
        <w:trPr>
          <w:trHeight w:val="389"/>
          <w:jc w:val="center"/>
        </w:trPr>
        <w:tc>
          <w:tcPr>
            <w:tcW w:w="452" w:type="dxa"/>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40BAC91C" w14:textId="008A63ED" w:rsidR="00B102E5" w:rsidRPr="0063206D" w:rsidRDefault="00B102E5" w:rsidP="0063206D">
            <w:pPr>
              <w:spacing w:line="240" w:lineRule="auto"/>
              <w:rPr>
                <w:rFonts w:eastAsia="Times New Roman" w:cs="Times New Roman"/>
                <w:i/>
                <w:iCs/>
                <w:color w:val="000000"/>
                <w:sz w:val="20"/>
                <w:szCs w:val="20"/>
              </w:rPr>
            </w:pPr>
          </w:p>
        </w:tc>
        <w:tc>
          <w:tcPr>
            <w:tcW w:w="1584" w:type="dxa"/>
            <w:tcBorders>
              <w:top w:val="nil"/>
              <w:left w:val="single" w:sz="4" w:space="0" w:color="auto"/>
              <w:bottom w:val="single" w:sz="4" w:space="0" w:color="auto"/>
            </w:tcBorders>
            <w:shd w:val="clear" w:color="000000" w:fill="FFFFFF"/>
            <w:noWrap/>
            <w:vAlign w:val="center"/>
            <w:hideMark/>
          </w:tcPr>
          <w:p w14:paraId="58C203E6"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27</w:t>
            </w:r>
          </w:p>
        </w:tc>
        <w:tc>
          <w:tcPr>
            <w:tcW w:w="720" w:type="dxa"/>
            <w:tcBorders>
              <w:top w:val="nil"/>
              <w:left w:val="nil"/>
              <w:bottom w:val="single" w:sz="4" w:space="0" w:color="auto"/>
              <w:right w:val="dashed" w:sz="4" w:space="0" w:color="000000"/>
            </w:tcBorders>
            <w:shd w:val="clear" w:color="000000" w:fill="FFFFFF"/>
            <w:vAlign w:val="center"/>
          </w:tcPr>
          <w:p w14:paraId="63A9A07E" w14:textId="3E7A4170" w:rsidR="00B102E5" w:rsidRPr="0063206D" w:rsidRDefault="00B102E5" w:rsidP="00B102E5">
            <w:pPr>
              <w:spacing w:line="240" w:lineRule="auto"/>
              <w:rPr>
                <w:rFonts w:eastAsia="Times New Roman" w:cs="Times New Roman"/>
                <w:i/>
                <w:iCs/>
                <w:color w:val="000000"/>
                <w:sz w:val="20"/>
                <w:szCs w:val="20"/>
              </w:rPr>
            </w:pPr>
            <w:r>
              <w:rPr>
                <w:rFonts w:eastAsia="Times New Roman" w:cs="Times New Roman"/>
                <w:i/>
                <w:iCs/>
                <w:color w:val="000000"/>
                <w:sz w:val="20"/>
                <w:szCs w:val="20"/>
              </w:rPr>
              <w:t>3</w:t>
            </w:r>
          </w:p>
        </w:tc>
        <w:tc>
          <w:tcPr>
            <w:tcW w:w="1152" w:type="dxa"/>
            <w:tcBorders>
              <w:top w:val="nil"/>
              <w:left w:val="dashed" w:sz="4" w:space="0" w:color="000000"/>
              <w:bottom w:val="single" w:sz="4" w:space="0" w:color="auto"/>
              <w:right w:val="nil"/>
            </w:tcBorders>
            <w:shd w:val="clear" w:color="000000" w:fill="FFFFFF"/>
            <w:noWrap/>
            <w:vAlign w:val="center"/>
            <w:hideMark/>
          </w:tcPr>
          <w:p w14:paraId="261C6865" w14:textId="3BE53832"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1.857</w:t>
            </w:r>
          </w:p>
        </w:tc>
        <w:tc>
          <w:tcPr>
            <w:tcW w:w="1152" w:type="dxa"/>
            <w:tcBorders>
              <w:top w:val="nil"/>
              <w:left w:val="nil"/>
              <w:bottom w:val="single" w:sz="4" w:space="0" w:color="auto"/>
              <w:right w:val="dashed" w:sz="8" w:space="0" w:color="auto"/>
            </w:tcBorders>
            <w:shd w:val="clear" w:color="000000" w:fill="FFFFFF"/>
            <w:vAlign w:val="center"/>
            <w:hideMark/>
          </w:tcPr>
          <w:p w14:paraId="2ADDBC5D"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0.041</w:t>
            </w:r>
          </w:p>
        </w:tc>
        <w:tc>
          <w:tcPr>
            <w:tcW w:w="1152" w:type="dxa"/>
            <w:tcBorders>
              <w:top w:val="nil"/>
              <w:left w:val="nil"/>
              <w:bottom w:val="single" w:sz="4" w:space="0" w:color="auto"/>
              <w:right w:val="nil"/>
            </w:tcBorders>
            <w:shd w:val="clear" w:color="000000" w:fill="FFFFFF"/>
            <w:noWrap/>
            <w:vAlign w:val="center"/>
            <w:hideMark/>
          </w:tcPr>
          <w:p w14:paraId="1790152D"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32.444</w:t>
            </w:r>
          </w:p>
        </w:tc>
        <w:tc>
          <w:tcPr>
            <w:tcW w:w="1152" w:type="dxa"/>
            <w:tcBorders>
              <w:top w:val="nil"/>
              <w:left w:val="nil"/>
              <w:bottom w:val="single" w:sz="4" w:space="0" w:color="auto"/>
              <w:right w:val="single" w:sz="4" w:space="0" w:color="auto"/>
            </w:tcBorders>
            <w:shd w:val="clear" w:color="000000" w:fill="FFFFFF"/>
            <w:vAlign w:val="center"/>
            <w:hideMark/>
          </w:tcPr>
          <w:p w14:paraId="0D892D94" w14:textId="77777777" w:rsidR="00B102E5" w:rsidRPr="0063206D" w:rsidRDefault="00B102E5" w:rsidP="0063206D">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2.435</w:t>
            </w:r>
          </w:p>
        </w:tc>
      </w:tr>
    </w:tbl>
    <w:p w14:paraId="47979CDB" w14:textId="77777777" w:rsidR="0063206D" w:rsidRDefault="0063206D" w:rsidP="0063206D">
      <w:pPr>
        <w:rPr>
          <w:rFonts w:eastAsiaTheme="minorEastAsia"/>
          <w:bCs/>
        </w:rPr>
      </w:pPr>
    </w:p>
    <w:p w14:paraId="03DFDDD0" w14:textId="77777777" w:rsidR="008252FB" w:rsidRDefault="008252FB" w:rsidP="0063206D">
      <w:pPr>
        <w:rPr>
          <w:rFonts w:eastAsiaTheme="minorEastAsia"/>
          <w:bCs/>
        </w:rPr>
      </w:pPr>
    </w:p>
    <w:p w14:paraId="5172D525" w14:textId="3EAAA881" w:rsidR="00653D82" w:rsidRDefault="00653D82" w:rsidP="00E9516F">
      <w:pPr>
        <w:ind w:left="720" w:firstLine="720"/>
        <w:jc w:val="both"/>
        <w:rPr>
          <w:rFonts w:eastAsiaTheme="minorEastAsia"/>
          <w:bCs/>
        </w:rPr>
      </w:pPr>
      <w:r>
        <w:rPr>
          <w:rFonts w:eastAsiaTheme="minorEastAsia"/>
          <w:bCs/>
        </w:rPr>
        <w:t xml:space="preserve">The linear regression analysis confirms the poor performance of the PHXRF during in situ testing. The results are illustrated in </w:t>
      </w:r>
      <w:r>
        <w:rPr>
          <w:rFonts w:eastAsiaTheme="minorEastAsia"/>
          <w:bCs/>
        </w:rPr>
        <w:fldChar w:fldCharType="begin"/>
      </w:r>
      <w:r>
        <w:rPr>
          <w:rFonts w:eastAsiaTheme="minorEastAsia"/>
          <w:bCs/>
        </w:rPr>
        <w:instrText xml:space="preserve"> REF _Ref446387615 \h </w:instrText>
      </w:r>
      <w:r>
        <w:rPr>
          <w:rFonts w:eastAsiaTheme="minorEastAsia"/>
          <w:bCs/>
        </w:rPr>
      </w:r>
      <w:r>
        <w:rPr>
          <w:rFonts w:eastAsiaTheme="minorEastAsia"/>
          <w:bCs/>
        </w:rPr>
        <w:fldChar w:fldCharType="separate"/>
      </w:r>
      <w:r w:rsidR="00E90148">
        <w:t xml:space="preserve">Figure </w:t>
      </w:r>
      <w:r w:rsidR="00E90148">
        <w:rPr>
          <w:noProof/>
        </w:rPr>
        <w:t>33</w:t>
      </w:r>
      <w:r>
        <w:rPr>
          <w:rFonts w:eastAsiaTheme="minorEastAsia"/>
          <w:bCs/>
        </w:rPr>
        <w:fldChar w:fldCharType="end"/>
      </w:r>
      <w:r>
        <w:rPr>
          <w:rFonts w:eastAsiaTheme="minorEastAsia"/>
          <w:bCs/>
        </w:rPr>
        <w:t xml:space="preserve">. The large </w:t>
      </w:r>
      <w:r>
        <w:rPr>
          <w:rFonts w:eastAsiaTheme="minorEastAsia"/>
          <w:bCs/>
        </w:rPr>
        <w:lastRenderedPageBreak/>
        <w:t xml:space="preserve">areas that lie between the 95% confidence interval and 95% prediction interval signify poor precision of the PHXRF measurements, while the deviation from the </w:t>
      </w:r>
      <w:r w:rsidR="00E9516F">
        <w:rPr>
          <w:rFonts w:eastAsiaTheme="minorEastAsia"/>
          <w:bCs/>
        </w:rPr>
        <w:t>y = x</w:t>
      </w:r>
      <w:r>
        <w:rPr>
          <w:rFonts w:eastAsiaTheme="minorEastAsia"/>
          <w:bCs/>
        </w:rPr>
        <w:t xml:space="preserve"> line proves poor device accuracy in situ. </w:t>
      </w:r>
      <w:r w:rsidR="008617EB">
        <w:rPr>
          <w:rFonts w:eastAsiaTheme="minorEastAsia"/>
          <w:bCs/>
        </w:rPr>
        <w:t>Additionally</w:t>
      </w:r>
      <w:r>
        <w:rPr>
          <w:rFonts w:eastAsiaTheme="minorEastAsia"/>
          <w:bCs/>
        </w:rPr>
        <w:t xml:space="preserve">, </w:t>
      </w:r>
      <w:r w:rsidR="00097172">
        <w:rPr>
          <w:rFonts w:eastAsiaTheme="minorEastAsia"/>
          <w:bCs/>
        </w:rPr>
        <w:t>the low coefficient of determination, R</w:t>
      </w:r>
      <w:r w:rsidR="00097172">
        <w:rPr>
          <w:rFonts w:eastAsiaTheme="minorEastAsia"/>
          <w:bCs/>
          <w:vertAlign w:val="superscript"/>
        </w:rPr>
        <w:t>2</w:t>
      </w:r>
      <w:r w:rsidR="00097172">
        <w:rPr>
          <w:rFonts w:eastAsiaTheme="minorEastAsia"/>
          <w:bCs/>
        </w:rPr>
        <w:t>, suggests that the</w:t>
      </w:r>
      <w:r>
        <w:rPr>
          <w:rFonts w:eastAsiaTheme="minorEastAsia"/>
          <w:bCs/>
        </w:rPr>
        <w:t xml:space="preserve"> combined trendline </w:t>
      </w:r>
      <w:r w:rsidR="00097172">
        <w:rPr>
          <w:rFonts w:eastAsiaTheme="minorEastAsia"/>
          <w:bCs/>
        </w:rPr>
        <w:t xml:space="preserve">poorly fits the data points. This implies that even when the PHXRF measurements are mathematically corrected using the equation of the combined trendline, large errors will still be present. For these reasons, in situ measurements are not appropriate for determining </w:t>
      </w:r>
      <m:oMath>
        <m:r>
          <w:rPr>
            <w:rFonts w:ascii="Cambria Math" w:hAnsi="Cambria Math"/>
          </w:rPr>
          <m:t>SC</m:t>
        </m:r>
      </m:oMath>
      <w:r w:rsidR="00097172">
        <w:rPr>
          <w:rFonts w:eastAsiaTheme="minorEastAsia"/>
          <w:bCs/>
        </w:rPr>
        <w:t xml:space="preserve"> in subgrade soils</w:t>
      </w:r>
      <w:r>
        <w:rPr>
          <w:rFonts w:eastAsiaTheme="minorEastAsia"/>
          <w:bCs/>
        </w:rPr>
        <w:t xml:space="preserve">. </w:t>
      </w:r>
    </w:p>
    <w:p w14:paraId="08675F5D" w14:textId="77777777" w:rsidR="00C54A3C" w:rsidRDefault="00C54A3C" w:rsidP="00653D82">
      <w:pPr>
        <w:jc w:val="both"/>
        <w:rPr>
          <w:rFonts w:eastAsiaTheme="minorEastAsia"/>
          <w:bCs/>
        </w:rPr>
      </w:pPr>
    </w:p>
    <w:p w14:paraId="1B146BAB" w14:textId="3C47090D" w:rsidR="0063206D" w:rsidRDefault="00C54A3C" w:rsidP="0063206D">
      <w:pPr>
        <w:rPr>
          <w:rFonts w:eastAsiaTheme="minorEastAsia"/>
          <w:bCs/>
        </w:rPr>
      </w:pPr>
      <w:r>
        <w:rPr>
          <w:rFonts w:eastAsiaTheme="minorEastAsia"/>
          <w:bCs/>
          <w:noProof/>
        </w:rPr>
        <w:drawing>
          <wp:inline distT="0" distB="0" distL="0" distR="0" wp14:anchorId="0C33128A" wp14:editId="198716D1">
            <wp:extent cx="2932028" cy="3108960"/>
            <wp:effectExtent l="0" t="0" r="190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Figure 33.PNG"/>
                    <pic:cNvPicPr/>
                  </pic:nvPicPr>
                  <pic:blipFill>
                    <a:blip r:embed="rId48">
                      <a:extLst>
                        <a:ext uri="{28A0092B-C50C-407E-A947-70E740481C1C}">
                          <a14:useLocalDpi xmlns:a14="http://schemas.microsoft.com/office/drawing/2010/main" val="0"/>
                        </a:ext>
                      </a:extLst>
                    </a:blip>
                    <a:stretch>
                      <a:fillRect/>
                    </a:stretch>
                  </pic:blipFill>
                  <pic:spPr>
                    <a:xfrm>
                      <a:off x="0" y="0"/>
                      <a:ext cx="2932028" cy="3108960"/>
                    </a:xfrm>
                    <a:prstGeom prst="rect">
                      <a:avLst/>
                    </a:prstGeom>
                  </pic:spPr>
                </pic:pic>
              </a:graphicData>
            </a:graphic>
          </wp:inline>
        </w:drawing>
      </w:r>
    </w:p>
    <w:p w14:paraId="683158AC" w14:textId="6A4872A4" w:rsidR="00653D82" w:rsidRDefault="00653D82" w:rsidP="00C54A3C">
      <w:pPr>
        <w:pStyle w:val="Caption"/>
        <w:spacing w:line="480" w:lineRule="auto"/>
        <w:ind w:left="1080" w:right="936"/>
      </w:pPr>
      <w:bookmarkStart w:id="115" w:name="_Ref446387615"/>
      <w:bookmarkStart w:id="116" w:name="_Toc447755371"/>
      <w:r>
        <w:t xml:space="preserve">Figure </w:t>
      </w:r>
      <w:r w:rsidR="00184FC2">
        <w:fldChar w:fldCharType="begin"/>
      </w:r>
      <w:r w:rsidR="00184FC2">
        <w:instrText xml:space="preserve"> SEQ Figure \* ARABIC </w:instrText>
      </w:r>
      <w:r w:rsidR="00184FC2">
        <w:fldChar w:fldCharType="separate"/>
      </w:r>
      <w:r w:rsidR="00E90148">
        <w:rPr>
          <w:noProof/>
        </w:rPr>
        <w:t>33</w:t>
      </w:r>
      <w:r w:rsidR="00184FC2">
        <w:rPr>
          <w:noProof/>
        </w:rPr>
        <w:fldChar w:fldCharType="end"/>
      </w:r>
      <w:bookmarkEnd w:id="115"/>
      <w:r>
        <w:t>: Linear Regression of Site 2 In Situ Measurements with the Niton XL3t PHXRF</w:t>
      </w:r>
      <w:bookmarkEnd w:id="116"/>
    </w:p>
    <w:p w14:paraId="0B8AD59B" w14:textId="77777777" w:rsidR="00653D82" w:rsidRDefault="00653D82" w:rsidP="0063206D">
      <w:pPr>
        <w:rPr>
          <w:rFonts w:eastAsiaTheme="minorEastAsia"/>
          <w:bCs/>
        </w:rPr>
      </w:pPr>
    </w:p>
    <w:p w14:paraId="4106A15A" w14:textId="77777777" w:rsidR="00175936" w:rsidRDefault="00175936" w:rsidP="0063206D">
      <w:pPr>
        <w:rPr>
          <w:rFonts w:eastAsiaTheme="minorEastAsia"/>
          <w:bCs/>
        </w:rPr>
      </w:pPr>
    </w:p>
    <w:p w14:paraId="3668DD47" w14:textId="77777777" w:rsidR="00175936" w:rsidRPr="0063206D" w:rsidRDefault="00175936" w:rsidP="0063206D">
      <w:pPr>
        <w:rPr>
          <w:rFonts w:eastAsiaTheme="minorEastAsia"/>
          <w:bCs/>
        </w:rPr>
      </w:pPr>
    </w:p>
    <w:p w14:paraId="42B8E907" w14:textId="14B1C631" w:rsidR="008F508F" w:rsidRDefault="00C40690" w:rsidP="00C40690">
      <w:pPr>
        <w:jc w:val="both"/>
        <w:rPr>
          <w:rFonts w:eastAsiaTheme="minorEastAsia"/>
          <w:b/>
        </w:rPr>
      </w:pPr>
      <w:r>
        <w:rPr>
          <w:rFonts w:eastAsiaTheme="minorEastAsia"/>
          <w:b/>
        </w:rPr>
        <w:lastRenderedPageBreak/>
        <w:tab/>
        <w:t>4.3.</w:t>
      </w:r>
      <w:r w:rsidR="008F508F">
        <w:rPr>
          <w:rFonts w:eastAsiaTheme="minorEastAsia"/>
          <w:b/>
        </w:rPr>
        <w:t xml:space="preserve">2 </w:t>
      </w:r>
      <w:r>
        <w:rPr>
          <w:rFonts w:eastAsiaTheme="minorEastAsia"/>
          <w:b/>
        </w:rPr>
        <w:t>Ex Situ PHXRF Measurement Accuracy</w:t>
      </w:r>
    </w:p>
    <w:p w14:paraId="3B358F7F" w14:textId="258F1FBD" w:rsidR="00787C31" w:rsidRDefault="00787C31" w:rsidP="00457152">
      <w:pPr>
        <w:ind w:left="720" w:firstLine="720"/>
        <w:jc w:val="both"/>
        <w:rPr>
          <w:rFonts w:eastAsiaTheme="minorEastAsia"/>
          <w:bCs/>
        </w:rPr>
      </w:pPr>
      <w:r>
        <w:rPr>
          <w:rFonts w:eastAsiaTheme="minorEastAsia"/>
          <w:bCs/>
        </w:rPr>
        <w:t>Ex situ PHXRF measurements</w:t>
      </w:r>
      <w:r w:rsidR="0063776A">
        <w:rPr>
          <w:rFonts w:eastAsiaTheme="minorEastAsia"/>
          <w:bCs/>
        </w:rPr>
        <w:t>, which were field sampled soils brought back to the laboratory, processed over a number 40 sieve</w:t>
      </w:r>
      <w:r w:rsidR="00C54A3C">
        <w:rPr>
          <w:rFonts w:eastAsiaTheme="minorEastAsia"/>
          <w:bCs/>
        </w:rPr>
        <w:t>,</w:t>
      </w:r>
      <w:r w:rsidR="0063776A">
        <w:rPr>
          <w:rFonts w:eastAsiaTheme="minorEastAsia"/>
          <w:bCs/>
        </w:rPr>
        <w:t xml:space="preserve"> and placed in a sample cup,</w:t>
      </w:r>
      <w:r>
        <w:rPr>
          <w:rFonts w:eastAsiaTheme="minorEastAsia"/>
          <w:bCs/>
        </w:rPr>
        <w:t xml:space="preserve"> are much more consistent with those made by a commercial laboratory. Strong correlations can be made between the two. Additionally, precision and accuracy are much more stable between measurements, which seem to indicate systematic errors that can</w:t>
      </w:r>
      <w:r w:rsidR="00FC65F7">
        <w:rPr>
          <w:rFonts w:eastAsiaTheme="minorEastAsia"/>
          <w:bCs/>
        </w:rPr>
        <w:t xml:space="preserve"> possibly</w:t>
      </w:r>
      <w:r>
        <w:rPr>
          <w:rFonts w:eastAsiaTheme="minorEastAsia"/>
          <w:bCs/>
        </w:rPr>
        <w:t xml:space="preserve"> be corrected mathematically. </w:t>
      </w:r>
      <w:r w:rsidR="00FC65F7">
        <w:rPr>
          <w:rFonts w:eastAsiaTheme="minorEastAsia"/>
          <w:bCs/>
        </w:rPr>
        <w:t>For these reasons, ex</w:t>
      </w:r>
      <w:r>
        <w:rPr>
          <w:rFonts w:eastAsiaTheme="minorEastAsia"/>
          <w:bCs/>
        </w:rPr>
        <w:t xml:space="preserve"> situ </w:t>
      </w:r>
      <w:r w:rsidR="00FC65F7">
        <w:rPr>
          <w:rFonts w:eastAsiaTheme="minorEastAsia"/>
          <w:bCs/>
        </w:rPr>
        <w:t xml:space="preserve">PHXRF </w:t>
      </w:r>
      <w:r>
        <w:rPr>
          <w:rFonts w:eastAsiaTheme="minorEastAsia"/>
          <w:bCs/>
        </w:rPr>
        <w:t xml:space="preserve">measurements </w:t>
      </w:r>
      <w:r w:rsidR="00FC65F7">
        <w:rPr>
          <w:rFonts w:eastAsiaTheme="minorEastAsia"/>
          <w:bCs/>
        </w:rPr>
        <w:t>may be</w:t>
      </w:r>
      <w:r>
        <w:rPr>
          <w:rFonts w:eastAsiaTheme="minorEastAsia"/>
          <w:bCs/>
        </w:rPr>
        <w:t xml:space="preserve"> appropriate for determining </w:t>
      </w:r>
      <m:oMath>
        <m:r>
          <w:rPr>
            <w:rFonts w:ascii="Cambria Math" w:hAnsi="Cambria Math"/>
          </w:rPr>
          <m:t>SC</m:t>
        </m:r>
      </m:oMath>
      <w:r>
        <w:rPr>
          <w:rFonts w:eastAsiaTheme="minorEastAsia"/>
          <w:bCs/>
        </w:rPr>
        <w:t xml:space="preserve"> in subgrade soils. </w:t>
      </w:r>
    </w:p>
    <w:p w14:paraId="5A66C960" w14:textId="609E85D2" w:rsidR="00B102E5" w:rsidRDefault="00FC65F7" w:rsidP="00B102E5">
      <w:pPr>
        <w:ind w:left="720" w:firstLine="720"/>
        <w:jc w:val="both"/>
        <w:rPr>
          <w:rFonts w:eastAsiaTheme="minorEastAsia"/>
          <w:bCs/>
        </w:rPr>
      </w:pPr>
      <w:r>
        <w:rPr>
          <w:rFonts w:eastAsiaTheme="minorEastAsia"/>
          <w:bCs/>
        </w:rPr>
        <w:t xml:space="preserve">As seen in </w:t>
      </w:r>
      <w:r>
        <w:rPr>
          <w:rFonts w:eastAsiaTheme="minorEastAsia"/>
          <w:bCs/>
        </w:rPr>
        <w:fldChar w:fldCharType="begin"/>
      </w:r>
      <w:r>
        <w:rPr>
          <w:rFonts w:eastAsiaTheme="minorEastAsia"/>
          <w:bCs/>
        </w:rPr>
        <w:instrText xml:space="preserve"> REF _Ref446389236 \h </w:instrText>
      </w:r>
      <w:r>
        <w:rPr>
          <w:rFonts w:eastAsiaTheme="minorEastAsia"/>
          <w:bCs/>
        </w:rPr>
      </w:r>
      <w:r>
        <w:rPr>
          <w:rFonts w:eastAsiaTheme="minorEastAsia"/>
          <w:bCs/>
        </w:rPr>
        <w:fldChar w:fldCharType="separate"/>
      </w:r>
      <w:r w:rsidR="00E90148">
        <w:t xml:space="preserve">Table </w:t>
      </w:r>
      <w:r w:rsidR="00E90148">
        <w:rPr>
          <w:noProof/>
        </w:rPr>
        <w:t>17</w:t>
      </w:r>
      <w:r>
        <w:rPr>
          <w:rFonts w:eastAsiaTheme="minorEastAsia"/>
          <w:bCs/>
        </w:rPr>
        <w:fldChar w:fldCharType="end"/>
      </w:r>
      <w:r>
        <w:rPr>
          <w:rFonts w:eastAsiaTheme="minorEastAsia"/>
          <w:bCs/>
        </w:rPr>
        <w:t>, ex situ measurements with the Niton XL3t at random locations th</w:t>
      </w:r>
      <w:r w:rsidR="009F7A1B">
        <w:rPr>
          <w:rFonts w:eastAsiaTheme="minorEastAsia"/>
          <w:bCs/>
        </w:rPr>
        <w:t>roughout S</w:t>
      </w:r>
      <w:r>
        <w:rPr>
          <w:rFonts w:eastAsiaTheme="minorEastAsia"/>
          <w:bCs/>
        </w:rPr>
        <w:t>ite 2 produce fairly consistent results. STDEV vary from 0.345% to 0.579% despite using a quartering scan technique. The COV</w:t>
      </w:r>
      <w:r>
        <w:rPr>
          <w:rFonts w:eastAsiaTheme="minorEastAsia"/>
          <w:bCs/>
          <w:vertAlign w:val="subscript"/>
        </w:rPr>
        <w:t>STDEV</w:t>
      </w:r>
      <w:r>
        <w:rPr>
          <w:rFonts w:eastAsiaTheme="minorEastAsia"/>
          <w:bCs/>
        </w:rPr>
        <w:t xml:space="preserve"> for the Niton XL3t measurements are also relatively regular, ranging only from 0.021 to 0.030. Accuracy of the measurements is very poor. </w:t>
      </w:r>
      <w:r w:rsidR="008F1C81">
        <w:rPr>
          <w:rFonts w:eastAsiaTheme="minorEastAsia"/>
          <w:bCs/>
        </w:rPr>
        <w:t>The RMSD range</w:t>
      </w:r>
      <w:r>
        <w:rPr>
          <w:rFonts w:eastAsiaTheme="minorEastAsia"/>
          <w:bCs/>
        </w:rPr>
        <w:t xml:space="preserve"> from </w:t>
      </w:r>
      <w:r w:rsidR="008F1C81">
        <w:rPr>
          <w:rFonts w:eastAsiaTheme="minorEastAsia"/>
          <w:bCs/>
        </w:rPr>
        <w:t xml:space="preserve">8.330 to 11.574 and </w:t>
      </w:r>
      <w:r>
        <w:rPr>
          <w:rFonts w:eastAsiaTheme="minorEastAsia"/>
          <w:bCs/>
        </w:rPr>
        <w:t>the COV</w:t>
      </w:r>
      <w:r>
        <w:rPr>
          <w:rFonts w:eastAsiaTheme="minorEastAsia"/>
          <w:bCs/>
          <w:vertAlign w:val="subscript"/>
        </w:rPr>
        <w:t>RMSD</w:t>
      </w:r>
      <w:r>
        <w:rPr>
          <w:rFonts w:eastAsiaTheme="minorEastAsia"/>
          <w:bCs/>
        </w:rPr>
        <w:t xml:space="preserve"> range from </w:t>
      </w:r>
      <w:r w:rsidR="008F1C81">
        <w:rPr>
          <w:rFonts w:eastAsiaTheme="minorEastAsia"/>
          <w:bCs/>
        </w:rPr>
        <w:t>0.812 to 1.025</w:t>
      </w:r>
      <w:r>
        <w:rPr>
          <w:rFonts w:eastAsiaTheme="minorEastAsia"/>
          <w:bCs/>
        </w:rPr>
        <w:t xml:space="preserve">, which </w:t>
      </w:r>
      <w:r w:rsidR="00E467AE">
        <w:rPr>
          <w:rFonts w:eastAsiaTheme="minorEastAsia"/>
          <w:bCs/>
        </w:rPr>
        <w:t>are both outside of limitations and indicate</w:t>
      </w:r>
      <w:r>
        <w:rPr>
          <w:rFonts w:eastAsiaTheme="minorEastAsia"/>
          <w:bCs/>
        </w:rPr>
        <w:t xml:space="preserve"> significant errors in these measurements. </w:t>
      </w:r>
      <w:r w:rsidR="00E467AE">
        <w:rPr>
          <w:rFonts w:eastAsiaTheme="minorEastAsia"/>
          <w:bCs/>
        </w:rPr>
        <w:t>Despite this, these errors are much more consistent than those observed in the in situ PHXRF measurements. For this reason, mathematical corrections may be useful for ex situ PHXRF measurements.</w:t>
      </w:r>
    </w:p>
    <w:p w14:paraId="34485413" w14:textId="77777777" w:rsidR="00B102E5" w:rsidRDefault="00B102E5" w:rsidP="0000779B">
      <w:pPr>
        <w:jc w:val="both"/>
        <w:rPr>
          <w:rFonts w:eastAsiaTheme="minorEastAsia"/>
          <w:bCs/>
        </w:rPr>
      </w:pPr>
    </w:p>
    <w:p w14:paraId="6FFDAFA0" w14:textId="77777777" w:rsidR="00175936" w:rsidRDefault="00175936" w:rsidP="0000779B">
      <w:pPr>
        <w:jc w:val="both"/>
        <w:rPr>
          <w:rFonts w:eastAsiaTheme="minorEastAsia"/>
          <w:bCs/>
        </w:rPr>
      </w:pPr>
    </w:p>
    <w:p w14:paraId="72478E39" w14:textId="77777777" w:rsidR="00175936" w:rsidRDefault="00175936" w:rsidP="0000779B">
      <w:pPr>
        <w:jc w:val="both"/>
        <w:rPr>
          <w:rFonts w:eastAsiaTheme="minorEastAsia"/>
          <w:bCs/>
        </w:rPr>
      </w:pPr>
    </w:p>
    <w:p w14:paraId="3E281FB6" w14:textId="77777777" w:rsidR="00175936" w:rsidRPr="00787C31" w:rsidRDefault="00175936" w:rsidP="0000779B">
      <w:pPr>
        <w:jc w:val="both"/>
        <w:rPr>
          <w:rFonts w:eastAsiaTheme="minorEastAsia"/>
          <w:bCs/>
        </w:rPr>
      </w:pPr>
    </w:p>
    <w:p w14:paraId="02CD1B35" w14:textId="6CA2C197" w:rsidR="00B74D72" w:rsidRDefault="00B74D72" w:rsidP="00B74D72">
      <w:pPr>
        <w:pStyle w:val="Caption"/>
      </w:pPr>
      <w:bookmarkStart w:id="117" w:name="_Ref446389236"/>
      <w:bookmarkStart w:id="118" w:name="_Toc447755337"/>
      <w:r>
        <w:lastRenderedPageBreak/>
        <w:t xml:space="preserve">Table </w:t>
      </w:r>
      <w:r w:rsidR="00184FC2">
        <w:fldChar w:fldCharType="begin"/>
      </w:r>
      <w:r w:rsidR="00184FC2">
        <w:instrText xml:space="preserve"> SEQ Table \* ARABIC </w:instrText>
      </w:r>
      <w:r w:rsidR="00184FC2">
        <w:fldChar w:fldCharType="separate"/>
      </w:r>
      <w:r w:rsidR="00E90148">
        <w:rPr>
          <w:noProof/>
        </w:rPr>
        <w:t>17</w:t>
      </w:r>
      <w:r w:rsidR="00184FC2">
        <w:rPr>
          <w:noProof/>
        </w:rPr>
        <w:fldChar w:fldCharType="end"/>
      </w:r>
      <w:bookmarkEnd w:id="117"/>
      <w:r>
        <w:t>: Precision and Accuracy of Niton XL3t Ex Situ</w:t>
      </w:r>
      <w:bookmarkEnd w:id="118"/>
      <w:r>
        <w:t xml:space="preserve"> </w:t>
      </w:r>
    </w:p>
    <w:p w14:paraId="119974DB" w14:textId="77777777" w:rsidR="00B74D72" w:rsidRDefault="00B74D72" w:rsidP="00B74D72">
      <w:pPr>
        <w:pStyle w:val="Caption"/>
      </w:pPr>
      <w:r>
        <w:t>Measurements at Random Locations throughout Site 2</w:t>
      </w:r>
    </w:p>
    <w:tbl>
      <w:tblPr>
        <w:tblW w:w="7364" w:type="dxa"/>
        <w:jc w:val="center"/>
        <w:tblLook w:val="04A0" w:firstRow="1" w:lastRow="0" w:firstColumn="1" w:lastColumn="0" w:noHBand="0" w:noVBand="1"/>
      </w:tblPr>
      <w:tblGrid>
        <w:gridCol w:w="452"/>
        <w:gridCol w:w="1584"/>
        <w:gridCol w:w="720"/>
        <w:gridCol w:w="1152"/>
        <w:gridCol w:w="1152"/>
        <w:gridCol w:w="1152"/>
        <w:gridCol w:w="1152"/>
      </w:tblGrid>
      <w:tr w:rsidR="00B102E5" w:rsidRPr="0063206D" w14:paraId="6BF106AD" w14:textId="77777777" w:rsidTr="007D612A">
        <w:trPr>
          <w:trHeight w:val="300"/>
          <w:jc w:val="center"/>
        </w:trPr>
        <w:tc>
          <w:tcPr>
            <w:tcW w:w="452" w:type="dxa"/>
            <w:tcBorders>
              <w:bottom w:val="nil"/>
              <w:right w:val="single" w:sz="4" w:space="0" w:color="auto"/>
            </w:tcBorders>
            <w:shd w:val="clear" w:color="000000" w:fill="auto"/>
            <w:vAlign w:val="center"/>
            <w:hideMark/>
          </w:tcPr>
          <w:p w14:paraId="37644096" w14:textId="77777777" w:rsidR="00B102E5" w:rsidRPr="0063206D" w:rsidRDefault="00B102E5" w:rsidP="007D612A">
            <w:pPr>
              <w:spacing w:line="240" w:lineRule="auto"/>
              <w:rPr>
                <w:rFonts w:eastAsia="Times New Roman" w:cs="Times New Roman"/>
                <w:i/>
                <w:iCs/>
                <w:color w:val="000000"/>
                <w:sz w:val="22"/>
                <w:szCs w:val="22"/>
              </w:rPr>
            </w:pPr>
          </w:p>
        </w:tc>
        <w:tc>
          <w:tcPr>
            <w:tcW w:w="1584" w:type="dxa"/>
            <w:vMerge w:val="restart"/>
            <w:tcBorders>
              <w:top w:val="single" w:sz="4" w:space="0" w:color="auto"/>
              <w:left w:val="single" w:sz="4" w:space="0" w:color="auto"/>
              <w:bottom w:val="single" w:sz="8" w:space="0" w:color="000000"/>
              <w:right w:val="nil"/>
            </w:tcBorders>
            <w:shd w:val="clear" w:color="000000" w:fill="BFBFBF"/>
            <w:vAlign w:val="center"/>
            <w:hideMark/>
          </w:tcPr>
          <w:p w14:paraId="1C0E7949" w14:textId="77777777" w:rsidR="00B102E5" w:rsidRPr="0063206D" w:rsidRDefault="00B102E5" w:rsidP="007D612A">
            <w:pPr>
              <w:spacing w:line="240" w:lineRule="auto"/>
              <w:rPr>
                <w:rFonts w:eastAsia="Times New Roman" w:cs="Times New Roman"/>
                <w:i/>
                <w:iCs/>
                <w:color w:val="000000"/>
                <w:sz w:val="22"/>
                <w:szCs w:val="22"/>
              </w:rPr>
            </w:pPr>
            <w:r w:rsidRPr="0063206D">
              <w:rPr>
                <w:rFonts w:eastAsia="Times New Roman" w:cs="Times New Roman"/>
                <w:i/>
                <w:iCs/>
                <w:color w:val="000000"/>
                <w:sz w:val="22"/>
                <w:szCs w:val="22"/>
              </w:rPr>
              <w:t>Location</w:t>
            </w:r>
          </w:p>
        </w:tc>
        <w:tc>
          <w:tcPr>
            <w:tcW w:w="720" w:type="dxa"/>
            <w:vMerge w:val="restart"/>
            <w:tcBorders>
              <w:top w:val="single" w:sz="4" w:space="0" w:color="auto"/>
              <w:left w:val="nil"/>
              <w:right w:val="nil"/>
            </w:tcBorders>
            <w:shd w:val="clear" w:color="000000" w:fill="BFBFBF"/>
            <w:vAlign w:val="center"/>
          </w:tcPr>
          <w:p w14:paraId="724FA13C" w14:textId="77777777" w:rsidR="00B102E5" w:rsidRDefault="00B102E5"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152" w:type="dxa"/>
            <w:vMerge w:val="restart"/>
            <w:tcBorders>
              <w:top w:val="single" w:sz="4" w:space="0" w:color="auto"/>
              <w:left w:val="nil"/>
              <w:bottom w:val="single" w:sz="8" w:space="0" w:color="000000"/>
              <w:right w:val="nil"/>
            </w:tcBorders>
            <w:shd w:val="clear" w:color="000000" w:fill="BFBFBF"/>
            <w:vAlign w:val="center"/>
            <w:hideMark/>
          </w:tcPr>
          <w:p w14:paraId="73E97214" w14:textId="77777777" w:rsidR="00B102E5" w:rsidRPr="0063206D" w:rsidRDefault="00B102E5" w:rsidP="007D612A">
            <w:pPr>
              <w:spacing w:line="240" w:lineRule="auto"/>
              <w:rPr>
                <w:rFonts w:eastAsia="Times New Roman" w:cs="Times New Roman"/>
                <w:i/>
                <w:iCs/>
                <w:color w:val="000000"/>
                <w:sz w:val="22"/>
                <w:szCs w:val="22"/>
              </w:rPr>
            </w:pPr>
            <w:r>
              <w:rPr>
                <w:rFonts w:eastAsia="Times New Roman" w:cs="Times New Roman"/>
                <w:i/>
                <w:iCs/>
                <w:color w:val="000000"/>
                <w:sz w:val="22"/>
                <w:szCs w:val="22"/>
              </w:rPr>
              <w:t>STDEV</w:t>
            </w:r>
            <w:r w:rsidRPr="0063206D">
              <w:rPr>
                <w:rFonts w:eastAsia="Times New Roman" w:cs="Times New Roman"/>
                <w:i/>
                <w:iCs/>
                <w:color w:val="000000"/>
                <w:sz w:val="22"/>
                <w:szCs w:val="22"/>
              </w:rPr>
              <w:t xml:space="preserve">                  (%)</w:t>
            </w:r>
          </w:p>
        </w:tc>
        <w:tc>
          <w:tcPr>
            <w:tcW w:w="1152" w:type="dxa"/>
            <w:vMerge w:val="restart"/>
            <w:tcBorders>
              <w:top w:val="single" w:sz="4" w:space="0" w:color="auto"/>
              <w:left w:val="nil"/>
              <w:bottom w:val="single" w:sz="8" w:space="0" w:color="000000"/>
              <w:right w:val="nil"/>
            </w:tcBorders>
            <w:shd w:val="clear" w:color="000000" w:fill="BFBFBF"/>
            <w:vAlign w:val="center"/>
            <w:hideMark/>
          </w:tcPr>
          <w:p w14:paraId="5DCA700F" w14:textId="77777777" w:rsidR="00B102E5" w:rsidRPr="0063206D" w:rsidRDefault="00B102E5" w:rsidP="007D612A">
            <w:pPr>
              <w:spacing w:line="240" w:lineRule="auto"/>
              <w:rPr>
                <w:rFonts w:eastAsia="Times New Roman" w:cs="Times New Roman"/>
                <w:i/>
                <w:iCs/>
                <w:color w:val="000000"/>
                <w:sz w:val="22"/>
                <w:szCs w:val="22"/>
              </w:rPr>
            </w:pPr>
            <w:r w:rsidRPr="0063206D">
              <w:rPr>
                <w:rFonts w:eastAsia="Times New Roman" w:cs="Times New Roman"/>
                <w:i/>
                <w:iCs/>
                <w:color w:val="000000"/>
                <w:sz w:val="22"/>
                <w:szCs w:val="22"/>
              </w:rPr>
              <w:t>COV</w:t>
            </w:r>
            <w:r w:rsidRPr="0063206D">
              <w:rPr>
                <w:rFonts w:eastAsia="Times New Roman" w:cs="Times New Roman"/>
                <w:i/>
                <w:iCs/>
                <w:color w:val="000000"/>
                <w:sz w:val="22"/>
                <w:szCs w:val="22"/>
                <w:vertAlign w:val="subscript"/>
              </w:rPr>
              <w:t>STDEV</w:t>
            </w:r>
            <w:r w:rsidRPr="0063206D">
              <w:rPr>
                <w:rFonts w:eastAsia="Times New Roman" w:cs="Times New Roman"/>
                <w:i/>
                <w:iCs/>
                <w:color w:val="000000"/>
                <w:sz w:val="22"/>
                <w:szCs w:val="22"/>
              </w:rPr>
              <w:t xml:space="preserve">           </w:t>
            </w:r>
          </w:p>
        </w:tc>
        <w:tc>
          <w:tcPr>
            <w:tcW w:w="1152" w:type="dxa"/>
            <w:vMerge w:val="restart"/>
            <w:tcBorders>
              <w:top w:val="single" w:sz="4" w:space="0" w:color="auto"/>
              <w:left w:val="nil"/>
              <w:bottom w:val="single" w:sz="8" w:space="0" w:color="000000"/>
              <w:right w:val="nil"/>
            </w:tcBorders>
            <w:shd w:val="clear" w:color="000000" w:fill="BFBFBF"/>
            <w:vAlign w:val="center"/>
            <w:hideMark/>
          </w:tcPr>
          <w:p w14:paraId="3A39E6F6" w14:textId="77777777" w:rsidR="00B102E5" w:rsidRPr="0063206D" w:rsidRDefault="00B102E5" w:rsidP="007D612A">
            <w:pPr>
              <w:spacing w:line="240" w:lineRule="auto"/>
              <w:rPr>
                <w:rFonts w:eastAsia="Times New Roman" w:cs="Times New Roman"/>
                <w:i/>
                <w:iCs/>
                <w:color w:val="000000"/>
                <w:sz w:val="22"/>
                <w:szCs w:val="22"/>
              </w:rPr>
            </w:pPr>
            <w:r w:rsidRPr="0063206D">
              <w:rPr>
                <w:rFonts w:eastAsia="Times New Roman" w:cs="Times New Roman"/>
                <w:i/>
                <w:iCs/>
                <w:color w:val="000000"/>
                <w:sz w:val="22"/>
                <w:szCs w:val="22"/>
              </w:rPr>
              <w:t>RMSD         (%)</w:t>
            </w:r>
          </w:p>
        </w:tc>
        <w:tc>
          <w:tcPr>
            <w:tcW w:w="1152" w:type="dxa"/>
            <w:vMerge w:val="restart"/>
            <w:tcBorders>
              <w:top w:val="single" w:sz="4" w:space="0" w:color="auto"/>
              <w:left w:val="nil"/>
              <w:bottom w:val="single" w:sz="8" w:space="0" w:color="000000"/>
              <w:right w:val="single" w:sz="4" w:space="0" w:color="auto"/>
            </w:tcBorders>
            <w:shd w:val="clear" w:color="000000" w:fill="BFBFBF"/>
            <w:vAlign w:val="center"/>
            <w:hideMark/>
          </w:tcPr>
          <w:p w14:paraId="5A5E3A57" w14:textId="77777777" w:rsidR="00B102E5" w:rsidRPr="0063206D" w:rsidRDefault="00B102E5" w:rsidP="007D612A">
            <w:pPr>
              <w:spacing w:line="240" w:lineRule="auto"/>
              <w:rPr>
                <w:rFonts w:eastAsia="Times New Roman" w:cs="Times New Roman"/>
                <w:i/>
                <w:iCs/>
                <w:color w:val="000000"/>
                <w:sz w:val="22"/>
                <w:szCs w:val="22"/>
              </w:rPr>
            </w:pPr>
            <w:r w:rsidRPr="0063206D">
              <w:rPr>
                <w:rFonts w:eastAsia="Times New Roman" w:cs="Times New Roman"/>
                <w:i/>
                <w:iCs/>
                <w:color w:val="000000"/>
                <w:sz w:val="22"/>
                <w:szCs w:val="22"/>
              </w:rPr>
              <w:t>COV</w:t>
            </w:r>
            <w:r w:rsidRPr="0063206D">
              <w:rPr>
                <w:rFonts w:eastAsia="Times New Roman" w:cs="Times New Roman"/>
                <w:i/>
                <w:iCs/>
                <w:color w:val="000000"/>
                <w:sz w:val="22"/>
                <w:szCs w:val="22"/>
                <w:vertAlign w:val="subscript"/>
              </w:rPr>
              <w:t>RMSD</w:t>
            </w:r>
            <w:r w:rsidRPr="0063206D">
              <w:rPr>
                <w:rFonts w:eastAsia="Times New Roman" w:cs="Times New Roman"/>
                <w:i/>
                <w:iCs/>
                <w:color w:val="000000"/>
                <w:sz w:val="22"/>
                <w:szCs w:val="22"/>
              </w:rPr>
              <w:t xml:space="preserve">           </w:t>
            </w:r>
          </w:p>
        </w:tc>
      </w:tr>
      <w:tr w:rsidR="00B102E5" w:rsidRPr="0063206D" w14:paraId="25C5C6C6" w14:textId="77777777" w:rsidTr="007D612A">
        <w:trPr>
          <w:trHeight w:val="315"/>
          <w:jc w:val="center"/>
        </w:trPr>
        <w:tc>
          <w:tcPr>
            <w:tcW w:w="452" w:type="dxa"/>
            <w:tcBorders>
              <w:top w:val="nil"/>
              <w:bottom w:val="single" w:sz="4" w:space="0" w:color="auto"/>
              <w:right w:val="single" w:sz="4" w:space="0" w:color="auto"/>
            </w:tcBorders>
            <w:shd w:val="clear" w:color="000000" w:fill="auto"/>
            <w:vAlign w:val="center"/>
            <w:hideMark/>
          </w:tcPr>
          <w:p w14:paraId="189A0A58" w14:textId="77777777" w:rsidR="00B102E5" w:rsidRPr="0063206D" w:rsidRDefault="00B102E5" w:rsidP="007D612A">
            <w:pPr>
              <w:spacing w:line="240" w:lineRule="auto"/>
              <w:jc w:val="both"/>
              <w:rPr>
                <w:rFonts w:eastAsia="Times New Roman" w:cs="Times New Roman"/>
                <w:i/>
                <w:iCs/>
                <w:color w:val="000000"/>
                <w:sz w:val="22"/>
                <w:szCs w:val="22"/>
              </w:rPr>
            </w:pPr>
          </w:p>
        </w:tc>
        <w:tc>
          <w:tcPr>
            <w:tcW w:w="1584" w:type="dxa"/>
            <w:vMerge/>
            <w:tcBorders>
              <w:top w:val="single" w:sz="4" w:space="0" w:color="auto"/>
              <w:left w:val="single" w:sz="4" w:space="0" w:color="auto"/>
              <w:bottom w:val="single" w:sz="8" w:space="0" w:color="000000"/>
              <w:right w:val="nil"/>
            </w:tcBorders>
            <w:vAlign w:val="center"/>
            <w:hideMark/>
          </w:tcPr>
          <w:p w14:paraId="688B903B" w14:textId="77777777" w:rsidR="00B102E5" w:rsidRPr="0063206D" w:rsidRDefault="00B102E5" w:rsidP="007D612A">
            <w:pPr>
              <w:spacing w:line="240" w:lineRule="auto"/>
              <w:jc w:val="left"/>
              <w:rPr>
                <w:rFonts w:eastAsia="Times New Roman" w:cs="Times New Roman"/>
                <w:i/>
                <w:iCs/>
                <w:color w:val="000000"/>
                <w:sz w:val="22"/>
                <w:szCs w:val="22"/>
              </w:rPr>
            </w:pPr>
          </w:p>
        </w:tc>
        <w:tc>
          <w:tcPr>
            <w:tcW w:w="720" w:type="dxa"/>
            <w:vMerge/>
            <w:tcBorders>
              <w:left w:val="nil"/>
              <w:bottom w:val="single" w:sz="8" w:space="0" w:color="000000"/>
              <w:right w:val="nil"/>
            </w:tcBorders>
          </w:tcPr>
          <w:p w14:paraId="4D292576" w14:textId="77777777" w:rsidR="00B102E5" w:rsidRPr="0063206D" w:rsidRDefault="00B102E5" w:rsidP="007D612A">
            <w:pPr>
              <w:spacing w:line="240" w:lineRule="auto"/>
              <w:jc w:val="left"/>
              <w:rPr>
                <w:rFonts w:eastAsia="Times New Roman" w:cs="Times New Roman"/>
                <w:i/>
                <w:iCs/>
                <w:color w:val="000000"/>
                <w:sz w:val="22"/>
                <w:szCs w:val="22"/>
              </w:rPr>
            </w:pPr>
          </w:p>
        </w:tc>
        <w:tc>
          <w:tcPr>
            <w:tcW w:w="1152" w:type="dxa"/>
            <w:vMerge/>
            <w:tcBorders>
              <w:top w:val="single" w:sz="4" w:space="0" w:color="auto"/>
              <w:left w:val="nil"/>
              <w:bottom w:val="single" w:sz="8" w:space="0" w:color="000000"/>
              <w:right w:val="nil"/>
            </w:tcBorders>
            <w:vAlign w:val="center"/>
            <w:hideMark/>
          </w:tcPr>
          <w:p w14:paraId="3E8F0DA3" w14:textId="77777777" w:rsidR="00B102E5" w:rsidRPr="0063206D" w:rsidRDefault="00B102E5" w:rsidP="007D612A">
            <w:pPr>
              <w:spacing w:line="240" w:lineRule="auto"/>
              <w:jc w:val="left"/>
              <w:rPr>
                <w:rFonts w:eastAsia="Times New Roman" w:cs="Times New Roman"/>
                <w:i/>
                <w:iCs/>
                <w:color w:val="000000"/>
                <w:sz w:val="22"/>
                <w:szCs w:val="22"/>
              </w:rPr>
            </w:pPr>
          </w:p>
        </w:tc>
        <w:tc>
          <w:tcPr>
            <w:tcW w:w="1152" w:type="dxa"/>
            <w:vMerge/>
            <w:tcBorders>
              <w:top w:val="single" w:sz="4" w:space="0" w:color="auto"/>
              <w:left w:val="nil"/>
              <w:bottom w:val="single" w:sz="8" w:space="0" w:color="000000"/>
              <w:right w:val="nil"/>
            </w:tcBorders>
            <w:vAlign w:val="center"/>
            <w:hideMark/>
          </w:tcPr>
          <w:p w14:paraId="110B0407" w14:textId="77777777" w:rsidR="00B102E5" w:rsidRPr="0063206D" w:rsidRDefault="00B102E5" w:rsidP="007D612A">
            <w:pPr>
              <w:spacing w:line="240" w:lineRule="auto"/>
              <w:jc w:val="left"/>
              <w:rPr>
                <w:rFonts w:eastAsia="Times New Roman" w:cs="Times New Roman"/>
                <w:i/>
                <w:iCs/>
                <w:color w:val="000000"/>
                <w:sz w:val="22"/>
                <w:szCs w:val="22"/>
              </w:rPr>
            </w:pPr>
          </w:p>
        </w:tc>
        <w:tc>
          <w:tcPr>
            <w:tcW w:w="1152" w:type="dxa"/>
            <w:vMerge/>
            <w:tcBorders>
              <w:top w:val="single" w:sz="4" w:space="0" w:color="auto"/>
              <w:left w:val="nil"/>
              <w:bottom w:val="single" w:sz="8" w:space="0" w:color="000000"/>
              <w:right w:val="nil"/>
            </w:tcBorders>
            <w:vAlign w:val="center"/>
            <w:hideMark/>
          </w:tcPr>
          <w:p w14:paraId="6EA643E7" w14:textId="77777777" w:rsidR="00B102E5" w:rsidRPr="0063206D" w:rsidRDefault="00B102E5" w:rsidP="007D612A">
            <w:pPr>
              <w:spacing w:line="240" w:lineRule="auto"/>
              <w:jc w:val="left"/>
              <w:rPr>
                <w:rFonts w:eastAsia="Times New Roman" w:cs="Times New Roman"/>
                <w:i/>
                <w:iCs/>
                <w:color w:val="000000"/>
                <w:sz w:val="22"/>
                <w:szCs w:val="22"/>
              </w:rPr>
            </w:pPr>
          </w:p>
        </w:tc>
        <w:tc>
          <w:tcPr>
            <w:tcW w:w="1152" w:type="dxa"/>
            <w:vMerge/>
            <w:tcBorders>
              <w:top w:val="single" w:sz="4" w:space="0" w:color="auto"/>
              <w:left w:val="nil"/>
              <w:bottom w:val="single" w:sz="8" w:space="0" w:color="000000"/>
              <w:right w:val="single" w:sz="4" w:space="0" w:color="auto"/>
            </w:tcBorders>
            <w:vAlign w:val="center"/>
            <w:hideMark/>
          </w:tcPr>
          <w:p w14:paraId="7B87DA11" w14:textId="77777777" w:rsidR="00B102E5" w:rsidRPr="0063206D" w:rsidRDefault="00B102E5" w:rsidP="007D612A">
            <w:pPr>
              <w:spacing w:line="240" w:lineRule="auto"/>
              <w:jc w:val="left"/>
              <w:rPr>
                <w:rFonts w:eastAsia="Times New Roman" w:cs="Times New Roman"/>
                <w:i/>
                <w:iCs/>
                <w:color w:val="000000"/>
                <w:sz w:val="22"/>
                <w:szCs w:val="22"/>
              </w:rPr>
            </w:pPr>
          </w:p>
        </w:tc>
      </w:tr>
      <w:tr w:rsidR="00B102E5" w:rsidRPr="0063206D" w14:paraId="61273D15" w14:textId="77777777" w:rsidTr="007D612A">
        <w:trPr>
          <w:cantSplit/>
          <w:trHeight w:val="389"/>
          <w:jc w:val="center"/>
        </w:trPr>
        <w:tc>
          <w:tcPr>
            <w:tcW w:w="4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hideMark/>
          </w:tcPr>
          <w:p w14:paraId="2F675280" w14:textId="77777777" w:rsidR="00B102E5" w:rsidRPr="0063206D" w:rsidRDefault="00B102E5" w:rsidP="00B102E5">
            <w:pPr>
              <w:spacing w:line="240" w:lineRule="auto"/>
              <w:ind w:left="113" w:right="113"/>
              <w:rPr>
                <w:rFonts w:eastAsia="Times New Roman" w:cs="Times New Roman"/>
                <w:i/>
                <w:iCs/>
                <w:color w:val="000000"/>
                <w:sz w:val="20"/>
                <w:szCs w:val="20"/>
              </w:rPr>
            </w:pPr>
            <w:r w:rsidRPr="0063206D">
              <w:rPr>
                <w:rFonts w:eastAsia="Times New Roman" w:cs="Times New Roman"/>
                <w:i/>
                <w:iCs/>
                <w:color w:val="000000"/>
                <w:sz w:val="20"/>
                <w:szCs w:val="20"/>
              </w:rPr>
              <w:t>Niton XL3t</w:t>
            </w:r>
          </w:p>
          <w:p w14:paraId="29D4D7A9" w14:textId="77777777" w:rsidR="00B102E5" w:rsidRPr="0063206D" w:rsidRDefault="00B102E5" w:rsidP="00B102E5">
            <w:pPr>
              <w:spacing w:line="240" w:lineRule="auto"/>
              <w:ind w:left="113" w:right="113"/>
              <w:rPr>
                <w:rFonts w:eastAsia="Times New Roman" w:cs="Times New Roman"/>
                <w:i/>
                <w:iCs/>
                <w:color w:val="000000"/>
                <w:sz w:val="20"/>
                <w:szCs w:val="20"/>
              </w:rPr>
            </w:pPr>
          </w:p>
        </w:tc>
        <w:tc>
          <w:tcPr>
            <w:tcW w:w="1584" w:type="dxa"/>
            <w:tcBorders>
              <w:top w:val="single" w:sz="8" w:space="0" w:color="000000"/>
              <w:left w:val="single" w:sz="4" w:space="0" w:color="auto"/>
              <w:bottom w:val="nil"/>
            </w:tcBorders>
            <w:shd w:val="clear" w:color="000000" w:fill="FFFFFF"/>
            <w:noWrap/>
            <w:vAlign w:val="center"/>
            <w:hideMark/>
          </w:tcPr>
          <w:p w14:paraId="65623C18" w14:textId="77777777" w:rsidR="00B102E5" w:rsidRPr="0063206D" w:rsidRDefault="00B102E5" w:rsidP="00B102E5">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4</w:t>
            </w:r>
          </w:p>
        </w:tc>
        <w:tc>
          <w:tcPr>
            <w:tcW w:w="720" w:type="dxa"/>
            <w:tcBorders>
              <w:top w:val="single" w:sz="8" w:space="0" w:color="000000"/>
              <w:left w:val="nil"/>
              <w:bottom w:val="nil"/>
              <w:right w:val="dashed" w:sz="4" w:space="0" w:color="000000"/>
            </w:tcBorders>
            <w:shd w:val="clear" w:color="000000" w:fill="FFFFFF"/>
            <w:vAlign w:val="center"/>
          </w:tcPr>
          <w:p w14:paraId="04A84C6C" w14:textId="587DF9B9" w:rsidR="00B102E5" w:rsidRPr="0063206D" w:rsidRDefault="00B102E5" w:rsidP="00B102E5">
            <w:pPr>
              <w:spacing w:line="240" w:lineRule="auto"/>
              <w:rPr>
                <w:rFonts w:eastAsia="Times New Roman" w:cs="Times New Roman"/>
                <w:i/>
                <w:iCs/>
                <w:color w:val="000000"/>
                <w:sz w:val="20"/>
                <w:szCs w:val="20"/>
              </w:rPr>
            </w:pPr>
            <w:r>
              <w:rPr>
                <w:rFonts w:eastAsia="Times New Roman" w:cs="Times New Roman"/>
                <w:i/>
                <w:iCs/>
                <w:color w:val="000000"/>
                <w:sz w:val="20"/>
                <w:szCs w:val="20"/>
              </w:rPr>
              <w:t>12</w:t>
            </w:r>
          </w:p>
        </w:tc>
        <w:tc>
          <w:tcPr>
            <w:tcW w:w="1152" w:type="dxa"/>
            <w:tcBorders>
              <w:top w:val="nil"/>
              <w:left w:val="dashed" w:sz="4" w:space="0" w:color="000000"/>
              <w:bottom w:val="nil"/>
              <w:right w:val="nil"/>
            </w:tcBorders>
            <w:shd w:val="clear" w:color="000000" w:fill="FFFFFF"/>
            <w:noWrap/>
            <w:vAlign w:val="center"/>
            <w:hideMark/>
          </w:tcPr>
          <w:p w14:paraId="47888DB2" w14:textId="4A50F459"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0.424</w:t>
            </w:r>
          </w:p>
        </w:tc>
        <w:tc>
          <w:tcPr>
            <w:tcW w:w="1152" w:type="dxa"/>
            <w:tcBorders>
              <w:top w:val="nil"/>
              <w:left w:val="nil"/>
              <w:bottom w:val="nil"/>
              <w:right w:val="dashed" w:sz="8" w:space="0" w:color="auto"/>
            </w:tcBorders>
            <w:shd w:val="clear" w:color="000000" w:fill="FFFFFF"/>
            <w:vAlign w:val="center"/>
            <w:hideMark/>
          </w:tcPr>
          <w:p w14:paraId="5CB0C3EC" w14:textId="011F8583"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0.021</w:t>
            </w:r>
          </w:p>
        </w:tc>
        <w:tc>
          <w:tcPr>
            <w:tcW w:w="1152" w:type="dxa"/>
            <w:tcBorders>
              <w:top w:val="nil"/>
              <w:left w:val="nil"/>
              <w:bottom w:val="nil"/>
              <w:right w:val="nil"/>
            </w:tcBorders>
            <w:shd w:val="clear" w:color="000000" w:fill="FFFFFF"/>
            <w:noWrap/>
            <w:vAlign w:val="center"/>
            <w:hideMark/>
          </w:tcPr>
          <w:p w14:paraId="045921E9" w14:textId="25A17D3D"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11.574</w:t>
            </w:r>
          </w:p>
        </w:tc>
        <w:tc>
          <w:tcPr>
            <w:tcW w:w="1152" w:type="dxa"/>
            <w:tcBorders>
              <w:top w:val="nil"/>
              <w:left w:val="nil"/>
              <w:bottom w:val="nil"/>
              <w:right w:val="single" w:sz="4" w:space="0" w:color="auto"/>
            </w:tcBorders>
            <w:shd w:val="clear" w:color="000000" w:fill="FFFFFF"/>
            <w:vAlign w:val="center"/>
            <w:hideMark/>
          </w:tcPr>
          <w:p w14:paraId="6A768DB5" w14:textId="38EE64FE"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0.872</w:t>
            </w:r>
          </w:p>
        </w:tc>
      </w:tr>
      <w:tr w:rsidR="00B102E5" w:rsidRPr="0063206D" w14:paraId="6F53D1EA" w14:textId="77777777" w:rsidTr="007D612A">
        <w:trPr>
          <w:trHeight w:val="389"/>
          <w:jc w:val="center"/>
        </w:trPr>
        <w:tc>
          <w:tcPr>
            <w:tcW w:w="452" w:type="dxa"/>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395F30C9" w14:textId="77777777" w:rsidR="00B102E5" w:rsidRPr="0063206D" w:rsidRDefault="00B102E5" w:rsidP="00B102E5">
            <w:pPr>
              <w:spacing w:line="240" w:lineRule="auto"/>
              <w:rPr>
                <w:rFonts w:eastAsia="Times New Roman" w:cs="Times New Roman"/>
                <w:i/>
                <w:iCs/>
                <w:color w:val="000000"/>
                <w:sz w:val="20"/>
                <w:szCs w:val="20"/>
              </w:rPr>
            </w:pPr>
          </w:p>
        </w:tc>
        <w:tc>
          <w:tcPr>
            <w:tcW w:w="1584" w:type="dxa"/>
            <w:tcBorders>
              <w:top w:val="nil"/>
              <w:left w:val="single" w:sz="4" w:space="0" w:color="auto"/>
              <w:bottom w:val="nil"/>
            </w:tcBorders>
            <w:shd w:val="clear" w:color="000000" w:fill="F2F2F2"/>
            <w:noWrap/>
            <w:vAlign w:val="center"/>
            <w:hideMark/>
          </w:tcPr>
          <w:p w14:paraId="13DF66EA" w14:textId="77777777" w:rsidR="00B102E5" w:rsidRPr="0063206D" w:rsidRDefault="00B102E5" w:rsidP="00B102E5">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16</w:t>
            </w:r>
          </w:p>
        </w:tc>
        <w:tc>
          <w:tcPr>
            <w:tcW w:w="720" w:type="dxa"/>
            <w:tcBorders>
              <w:top w:val="nil"/>
              <w:left w:val="nil"/>
              <w:bottom w:val="nil"/>
              <w:right w:val="dashed" w:sz="4" w:space="0" w:color="000000"/>
            </w:tcBorders>
            <w:shd w:val="clear" w:color="000000" w:fill="F2F2F2"/>
            <w:vAlign w:val="center"/>
          </w:tcPr>
          <w:p w14:paraId="7C7BD4F4" w14:textId="43BA0ABE" w:rsidR="00B102E5" w:rsidRPr="0063206D" w:rsidRDefault="00B102E5" w:rsidP="00B102E5">
            <w:pPr>
              <w:spacing w:line="240" w:lineRule="auto"/>
              <w:rPr>
                <w:rFonts w:eastAsia="Times New Roman" w:cs="Times New Roman"/>
                <w:i/>
                <w:iCs/>
                <w:color w:val="000000"/>
                <w:sz w:val="20"/>
                <w:szCs w:val="20"/>
              </w:rPr>
            </w:pPr>
            <w:r>
              <w:rPr>
                <w:rFonts w:eastAsia="Times New Roman" w:cs="Times New Roman"/>
                <w:i/>
                <w:iCs/>
                <w:color w:val="000000"/>
                <w:sz w:val="20"/>
                <w:szCs w:val="20"/>
              </w:rPr>
              <w:t>12</w:t>
            </w:r>
          </w:p>
        </w:tc>
        <w:tc>
          <w:tcPr>
            <w:tcW w:w="1152" w:type="dxa"/>
            <w:tcBorders>
              <w:top w:val="nil"/>
              <w:left w:val="dashed" w:sz="4" w:space="0" w:color="000000"/>
              <w:bottom w:val="nil"/>
              <w:right w:val="nil"/>
            </w:tcBorders>
            <w:shd w:val="clear" w:color="000000" w:fill="F2F2F2"/>
            <w:noWrap/>
            <w:vAlign w:val="center"/>
            <w:hideMark/>
          </w:tcPr>
          <w:p w14:paraId="35A58C74" w14:textId="5BDC3E3B"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0.579</w:t>
            </w:r>
          </w:p>
        </w:tc>
        <w:tc>
          <w:tcPr>
            <w:tcW w:w="1152" w:type="dxa"/>
            <w:tcBorders>
              <w:top w:val="nil"/>
              <w:left w:val="nil"/>
              <w:bottom w:val="nil"/>
              <w:right w:val="dashed" w:sz="8" w:space="0" w:color="auto"/>
            </w:tcBorders>
            <w:shd w:val="clear" w:color="000000" w:fill="F2F2F2"/>
            <w:vAlign w:val="center"/>
            <w:hideMark/>
          </w:tcPr>
          <w:p w14:paraId="2B0A02B4" w14:textId="2644A65A"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0.030</w:t>
            </w:r>
          </w:p>
        </w:tc>
        <w:tc>
          <w:tcPr>
            <w:tcW w:w="1152" w:type="dxa"/>
            <w:tcBorders>
              <w:top w:val="nil"/>
              <w:left w:val="nil"/>
              <w:bottom w:val="nil"/>
              <w:right w:val="nil"/>
            </w:tcBorders>
            <w:shd w:val="clear" w:color="000000" w:fill="F2F2F2"/>
            <w:noWrap/>
            <w:vAlign w:val="center"/>
            <w:hideMark/>
          </w:tcPr>
          <w:p w14:paraId="3A166E96" w14:textId="703015D8"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9.551</w:t>
            </w:r>
          </w:p>
        </w:tc>
        <w:tc>
          <w:tcPr>
            <w:tcW w:w="1152" w:type="dxa"/>
            <w:tcBorders>
              <w:top w:val="nil"/>
              <w:left w:val="nil"/>
              <w:bottom w:val="nil"/>
              <w:right w:val="single" w:sz="4" w:space="0" w:color="auto"/>
            </w:tcBorders>
            <w:shd w:val="clear" w:color="000000" w:fill="F2F2F2"/>
            <w:vAlign w:val="center"/>
            <w:hideMark/>
          </w:tcPr>
          <w:p w14:paraId="099D3701" w14:textId="76AC1D18"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1.025</w:t>
            </w:r>
          </w:p>
        </w:tc>
      </w:tr>
      <w:tr w:rsidR="00B102E5" w:rsidRPr="0063206D" w14:paraId="00DD0506" w14:textId="77777777" w:rsidTr="007D612A">
        <w:trPr>
          <w:trHeight w:val="389"/>
          <w:jc w:val="center"/>
        </w:trPr>
        <w:tc>
          <w:tcPr>
            <w:tcW w:w="452" w:type="dxa"/>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7DA8F2D1" w14:textId="77777777" w:rsidR="00B102E5" w:rsidRPr="0063206D" w:rsidRDefault="00B102E5" w:rsidP="00B102E5">
            <w:pPr>
              <w:spacing w:line="240" w:lineRule="auto"/>
              <w:rPr>
                <w:rFonts w:eastAsia="Times New Roman" w:cs="Times New Roman"/>
                <w:i/>
                <w:iCs/>
                <w:color w:val="000000"/>
                <w:sz w:val="20"/>
                <w:szCs w:val="20"/>
              </w:rPr>
            </w:pPr>
          </w:p>
        </w:tc>
        <w:tc>
          <w:tcPr>
            <w:tcW w:w="1584" w:type="dxa"/>
            <w:tcBorders>
              <w:top w:val="nil"/>
              <w:left w:val="single" w:sz="4" w:space="0" w:color="auto"/>
              <w:bottom w:val="single" w:sz="4" w:space="0" w:color="auto"/>
            </w:tcBorders>
            <w:shd w:val="clear" w:color="000000" w:fill="FFFFFF"/>
            <w:noWrap/>
            <w:vAlign w:val="center"/>
            <w:hideMark/>
          </w:tcPr>
          <w:p w14:paraId="55784305" w14:textId="77777777" w:rsidR="00B102E5" w:rsidRPr="0063206D" w:rsidRDefault="00B102E5" w:rsidP="00B102E5">
            <w:pPr>
              <w:spacing w:line="240" w:lineRule="auto"/>
              <w:rPr>
                <w:rFonts w:eastAsia="Times New Roman" w:cs="Times New Roman"/>
                <w:i/>
                <w:iCs/>
                <w:color w:val="000000"/>
                <w:sz w:val="20"/>
                <w:szCs w:val="20"/>
              </w:rPr>
            </w:pPr>
            <w:r w:rsidRPr="0063206D">
              <w:rPr>
                <w:rFonts w:eastAsia="Times New Roman" w:cs="Times New Roman"/>
                <w:i/>
                <w:iCs/>
                <w:color w:val="000000"/>
                <w:sz w:val="20"/>
                <w:szCs w:val="20"/>
              </w:rPr>
              <w:t>27</w:t>
            </w:r>
          </w:p>
        </w:tc>
        <w:tc>
          <w:tcPr>
            <w:tcW w:w="720" w:type="dxa"/>
            <w:tcBorders>
              <w:top w:val="nil"/>
              <w:left w:val="nil"/>
              <w:bottom w:val="single" w:sz="4" w:space="0" w:color="auto"/>
              <w:right w:val="dashed" w:sz="4" w:space="0" w:color="000000"/>
            </w:tcBorders>
            <w:shd w:val="clear" w:color="000000" w:fill="FFFFFF"/>
            <w:vAlign w:val="center"/>
          </w:tcPr>
          <w:p w14:paraId="01B003D7" w14:textId="19ADBE7E" w:rsidR="00B102E5" w:rsidRPr="0063206D" w:rsidRDefault="00B102E5" w:rsidP="00B102E5">
            <w:pPr>
              <w:spacing w:line="240" w:lineRule="auto"/>
              <w:rPr>
                <w:rFonts w:eastAsia="Times New Roman" w:cs="Times New Roman"/>
                <w:i/>
                <w:iCs/>
                <w:color w:val="000000"/>
                <w:sz w:val="20"/>
                <w:szCs w:val="20"/>
              </w:rPr>
            </w:pPr>
            <w:r>
              <w:rPr>
                <w:rFonts w:eastAsia="Times New Roman" w:cs="Times New Roman"/>
                <w:i/>
                <w:iCs/>
                <w:color w:val="000000"/>
                <w:sz w:val="20"/>
                <w:szCs w:val="20"/>
              </w:rPr>
              <w:t>12</w:t>
            </w:r>
          </w:p>
        </w:tc>
        <w:tc>
          <w:tcPr>
            <w:tcW w:w="1152" w:type="dxa"/>
            <w:tcBorders>
              <w:top w:val="nil"/>
              <w:left w:val="dashed" w:sz="4" w:space="0" w:color="000000"/>
              <w:bottom w:val="single" w:sz="4" w:space="0" w:color="auto"/>
              <w:right w:val="nil"/>
            </w:tcBorders>
            <w:shd w:val="clear" w:color="000000" w:fill="FFFFFF"/>
            <w:noWrap/>
            <w:vAlign w:val="center"/>
            <w:hideMark/>
          </w:tcPr>
          <w:p w14:paraId="58900D98" w14:textId="4608C6DD"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0.345</w:t>
            </w:r>
          </w:p>
        </w:tc>
        <w:tc>
          <w:tcPr>
            <w:tcW w:w="1152" w:type="dxa"/>
            <w:tcBorders>
              <w:top w:val="nil"/>
              <w:left w:val="nil"/>
              <w:bottom w:val="single" w:sz="4" w:space="0" w:color="auto"/>
              <w:right w:val="dashed" w:sz="8" w:space="0" w:color="auto"/>
            </w:tcBorders>
            <w:shd w:val="clear" w:color="000000" w:fill="FFFFFF"/>
            <w:vAlign w:val="center"/>
            <w:hideMark/>
          </w:tcPr>
          <w:p w14:paraId="29666CCB" w14:textId="7F21C5BB"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0.026</w:t>
            </w:r>
          </w:p>
        </w:tc>
        <w:tc>
          <w:tcPr>
            <w:tcW w:w="1152" w:type="dxa"/>
            <w:tcBorders>
              <w:top w:val="nil"/>
              <w:left w:val="nil"/>
              <w:bottom w:val="single" w:sz="4" w:space="0" w:color="auto"/>
              <w:right w:val="nil"/>
            </w:tcBorders>
            <w:shd w:val="clear" w:color="000000" w:fill="FFFFFF"/>
            <w:noWrap/>
            <w:vAlign w:val="center"/>
            <w:hideMark/>
          </w:tcPr>
          <w:p w14:paraId="596879CB" w14:textId="4CF132F2"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8.330</w:t>
            </w:r>
          </w:p>
        </w:tc>
        <w:tc>
          <w:tcPr>
            <w:tcW w:w="1152" w:type="dxa"/>
            <w:tcBorders>
              <w:top w:val="nil"/>
              <w:left w:val="nil"/>
              <w:bottom w:val="single" w:sz="4" w:space="0" w:color="auto"/>
              <w:right w:val="single" w:sz="4" w:space="0" w:color="auto"/>
            </w:tcBorders>
            <w:shd w:val="clear" w:color="000000" w:fill="FFFFFF"/>
            <w:vAlign w:val="center"/>
            <w:hideMark/>
          </w:tcPr>
          <w:p w14:paraId="1815369E" w14:textId="0DCABD9C" w:rsidR="00B102E5" w:rsidRPr="0063206D" w:rsidRDefault="00B102E5" w:rsidP="00B102E5">
            <w:pPr>
              <w:spacing w:line="240" w:lineRule="auto"/>
              <w:rPr>
                <w:rFonts w:eastAsia="Times New Roman" w:cs="Times New Roman"/>
                <w:i/>
                <w:iCs/>
                <w:color w:val="000000"/>
                <w:sz w:val="20"/>
                <w:szCs w:val="20"/>
              </w:rPr>
            </w:pPr>
            <w:r w:rsidRPr="006F52F8">
              <w:rPr>
                <w:rFonts w:eastAsia="Times New Roman" w:cs="Times New Roman"/>
                <w:i/>
                <w:iCs/>
                <w:color w:val="000000"/>
                <w:sz w:val="20"/>
                <w:szCs w:val="20"/>
              </w:rPr>
              <w:t>0.812</w:t>
            </w:r>
          </w:p>
        </w:tc>
      </w:tr>
    </w:tbl>
    <w:p w14:paraId="30EE0C8D" w14:textId="77777777" w:rsidR="00B102E5" w:rsidRPr="00B102E5" w:rsidRDefault="00B102E5" w:rsidP="00B102E5"/>
    <w:p w14:paraId="387EE26D" w14:textId="3FC33780" w:rsidR="00B102E5" w:rsidRDefault="00483899" w:rsidP="00B102E5">
      <w:pPr>
        <w:jc w:val="both"/>
        <w:rPr>
          <w:rFonts w:eastAsiaTheme="minorEastAsia"/>
          <w:b/>
        </w:rPr>
      </w:pPr>
      <w:r>
        <w:rPr>
          <w:rFonts w:eastAsiaTheme="minorEastAsia"/>
          <w:b/>
        </w:rPr>
        <w:tab/>
      </w:r>
      <w:r>
        <w:rPr>
          <w:rFonts w:eastAsiaTheme="minorEastAsia"/>
          <w:b/>
        </w:rPr>
        <w:tab/>
      </w:r>
    </w:p>
    <w:p w14:paraId="7C7F2AF9" w14:textId="5BFF48C5" w:rsidR="00483899" w:rsidRDefault="00483899" w:rsidP="00457152">
      <w:pPr>
        <w:ind w:left="720" w:firstLine="720"/>
        <w:jc w:val="both"/>
        <w:rPr>
          <w:rFonts w:eastAsiaTheme="minorEastAsia"/>
          <w:bCs/>
        </w:rPr>
      </w:pPr>
      <w:r>
        <w:rPr>
          <w:rFonts w:eastAsiaTheme="minorEastAsia"/>
          <w:bCs/>
        </w:rPr>
        <w:t>The linear regression analysis confirms the consistency of the errors in the ex situ PHXRF measurements. The results are illustrated in</w:t>
      </w:r>
      <w:r w:rsidR="00586DE4">
        <w:rPr>
          <w:rFonts w:eastAsiaTheme="minorEastAsia"/>
          <w:bCs/>
        </w:rPr>
        <w:t xml:space="preserve"> </w:t>
      </w:r>
      <w:r w:rsidR="00586DE4">
        <w:rPr>
          <w:rFonts w:eastAsiaTheme="minorEastAsia"/>
          <w:bCs/>
        </w:rPr>
        <w:fldChar w:fldCharType="begin"/>
      </w:r>
      <w:r w:rsidR="00586DE4">
        <w:rPr>
          <w:rFonts w:eastAsiaTheme="minorEastAsia"/>
          <w:bCs/>
        </w:rPr>
        <w:instrText xml:space="preserve"> REF _Ref446390339 \h </w:instrText>
      </w:r>
      <w:r w:rsidR="00586DE4">
        <w:rPr>
          <w:rFonts w:eastAsiaTheme="minorEastAsia"/>
          <w:bCs/>
        </w:rPr>
      </w:r>
      <w:r w:rsidR="00586DE4">
        <w:rPr>
          <w:rFonts w:eastAsiaTheme="minorEastAsia"/>
          <w:bCs/>
        </w:rPr>
        <w:fldChar w:fldCharType="separate"/>
      </w:r>
      <w:r w:rsidR="00E90148">
        <w:t xml:space="preserve">Figure </w:t>
      </w:r>
      <w:r w:rsidR="00E90148">
        <w:rPr>
          <w:noProof/>
        </w:rPr>
        <w:t>34</w:t>
      </w:r>
      <w:r w:rsidR="00586DE4">
        <w:rPr>
          <w:rFonts w:eastAsiaTheme="minorEastAsia"/>
          <w:bCs/>
        </w:rPr>
        <w:fldChar w:fldCharType="end"/>
      </w:r>
      <w:r>
        <w:rPr>
          <w:rFonts w:eastAsiaTheme="minorEastAsia"/>
          <w:bCs/>
        </w:rPr>
        <w:t xml:space="preserve">. The </w:t>
      </w:r>
      <w:r w:rsidR="00E46D4C">
        <w:rPr>
          <w:rFonts w:eastAsiaTheme="minorEastAsia"/>
          <w:bCs/>
        </w:rPr>
        <w:t xml:space="preserve">tightness of both the </w:t>
      </w:r>
      <w:r>
        <w:rPr>
          <w:rFonts w:eastAsiaTheme="minorEastAsia"/>
          <w:bCs/>
        </w:rPr>
        <w:t>95% confidence interval</w:t>
      </w:r>
      <w:r w:rsidR="00E46D4C">
        <w:rPr>
          <w:rFonts w:eastAsiaTheme="minorEastAsia"/>
          <w:bCs/>
        </w:rPr>
        <w:t>s</w:t>
      </w:r>
      <w:r>
        <w:rPr>
          <w:rFonts w:eastAsiaTheme="minorEastAsia"/>
          <w:bCs/>
        </w:rPr>
        <w:t xml:space="preserve"> and 95% prediction interval</w:t>
      </w:r>
      <w:r w:rsidR="00E46D4C">
        <w:rPr>
          <w:rFonts w:eastAsiaTheme="minorEastAsia"/>
          <w:bCs/>
        </w:rPr>
        <w:t>s</w:t>
      </w:r>
      <w:r>
        <w:rPr>
          <w:rFonts w:eastAsiaTheme="minorEastAsia"/>
          <w:bCs/>
        </w:rPr>
        <w:t xml:space="preserve"> signify </w:t>
      </w:r>
      <w:r w:rsidR="00E46D4C">
        <w:rPr>
          <w:rFonts w:eastAsiaTheme="minorEastAsia"/>
          <w:bCs/>
        </w:rPr>
        <w:t xml:space="preserve">strong </w:t>
      </w:r>
      <w:r>
        <w:rPr>
          <w:rFonts w:eastAsiaTheme="minorEastAsia"/>
          <w:bCs/>
        </w:rPr>
        <w:t>precision of the PHXRF measurements</w:t>
      </w:r>
      <w:r w:rsidR="00E46D4C">
        <w:rPr>
          <w:rFonts w:eastAsiaTheme="minorEastAsia"/>
          <w:bCs/>
        </w:rPr>
        <w:t xml:space="preserve">. The </w:t>
      </w:r>
      <w:r>
        <w:rPr>
          <w:rFonts w:eastAsiaTheme="minorEastAsia"/>
          <w:bCs/>
        </w:rPr>
        <w:t>deviatio</w:t>
      </w:r>
      <w:r w:rsidR="00E46D4C">
        <w:rPr>
          <w:rFonts w:eastAsiaTheme="minorEastAsia"/>
          <w:bCs/>
        </w:rPr>
        <w:t>n from the one to one line show</w:t>
      </w:r>
      <w:r>
        <w:rPr>
          <w:rFonts w:eastAsiaTheme="minorEastAsia"/>
          <w:bCs/>
        </w:rPr>
        <w:t>s poor device accuracy</w:t>
      </w:r>
      <w:r w:rsidR="00E46D4C">
        <w:rPr>
          <w:rFonts w:eastAsiaTheme="minorEastAsia"/>
          <w:bCs/>
        </w:rPr>
        <w:t xml:space="preserve"> in ex</w:t>
      </w:r>
      <w:r>
        <w:rPr>
          <w:rFonts w:eastAsiaTheme="minorEastAsia"/>
          <w:bCs/>
        </w:rPr>
        <w:t xml:space="preserve"> situ conditions</w:t>
      </w:r>
      <w:r w:rsidR="00E46D4C">
        <w:rPr>
          <w:rFonts w:eastAsiaTheme="minorEastAsia"/>
          <w:bCs/>
        </w:rPr>
        <w:t>; however, the combined trendline fits the data points remarkably well with an R</w:t>
      </w:r>
      <w:r w:rsidR="00E46D4C">
        <w:rPr>
          <w:rFonts w:eastAsiaTheme="minorEastAsia"/>
          <w:bCs/>
          <w:vertAlign w:val="superscript"/>
        </w:rPr>
        <w:t xml:space="preserve">2 </w:t>
      </w:r>
      <w:r w:rsidR="00E46D4C">
        <w:rPr>
          <w:rFonts w:eastAsiaTheme="minorEastAsia"/>
          <w:bCs/>
        </w:rPr>
        <w:t xml:space="preserve">equal to 0.925. </w:t>
      </w:r>
      <w:r>
        <w:rPr>
          <w:rFonts w:eastAsiaTheme="minorEastAsia"/>
          <w:bCs/>
        </w:rPr>
        <w:t xml:space="preserve">This implies </w:t>
      </w:r>
      <w:r w:rsidR="00E46D4C">
        <w:rPr>
          <w:rFonts w:eastAsiaTheme="minorEastAsia"/>
          <w:bCs/>
        </w:rPr>
        <w:t>that</w:t>
      </w:r>
      <w:r>
        <w:rPr>
          <w:rFonts w:eastAsiaTheme="minorEastAsia"/>
          <w:bCs/>
        </w:rPr>
        <w:t xml:space="preserve"> the PHXRF measurements are mathematically corrected using the equation of the combined trendline, </w:t>
      </w:r>
      <w:r w:rsidR="00E46D4C">
        <w:rPr>
          <w:rFonts w:eastAsiaTheme="minorEastAsia"/>
          <w:bCs/>
        </w:rPr>
        <w:t>to obtain accurate results</w:t>
      </w:r>
      <w:r>
        <w:rPr>
          <w:rFonts w:eastAsiaTheme="minorEastAsia"/>
          <w:bCs/>
        </w:rPr>
        <w:t xml:space="preserve">. </w:t>
      </w:r>
      <w:r w:rsidR="00E46D4C">
        <w:rPr>
          <w:rFonts w:eastAsiaTheme="minorEastAsia"/>
          <w:bCs/>
        </w:rPr>
        <w:t>For these reasons, ex</w:t>
      </w:r>
      <w:r>
        <w:rPr>
          <w:rFonts w:eastAsiaTheme="minorEastAsia"/>
          <w:bCs/>
        </w:rPr>
        <w:t xml:space="preserve"> situ measurements </w:t>
      </w:r>
      <w:r w:rsidR="00E46D4C">
        <w:rPr>
          <w:rFonts w:eastAsiaTheme="minorEastAsia"/>
          <w:bCs/>
        </w:rPr>
        <w:t>may be</w:t>
      </w:r>
      <w:r>
        <w:rPr>
          <w:rFonts w:eastAsiaTheme="minorEastAsia"/>
          <w:bCs/>
        </w:rPr>
        <w:t xml:space="preserve"> appropriate for determining </w:t>
      </w:r>
      <m:oMath>
        <m:r>
          <w:rPr>
            <w:rFonts w:ascii="Cambria Math" w:hAnsi="Cambria Math"/>
          </w:rPr>
          <m:t>SC</m:t>
        </m:r>
      </m:oMath>
      <w:r>
        <w:rPr>
          <w:rFonts w:eastAsiaTheme="minorEastAsia"/>
          <w:bCs/>
        </w:rPr>
        <w:t xml:space="preserve"> in subgrade soils. </w:t>
      </w:r>
    </w:p>
    <w:p w14:paraId="6A78C12A" w14:textId="07AFC0AC" w:rsidR="00483899" w:rsidRDefault="00483899" w:rsidP="0000779B">
      <w:pPr>
        <w:jc w:val="both"/>
        <w:rPr>
          <w:rFonts w:eastAsiaTheme="minorEastAsia"/>
          <w:b/>
        </w:rPr>
      </w:pPr>
    </w:p>
    <w:p w14:paraId="42961679" w14:textId="43ED4166" w:rsidR="00696350" w:rsidRDefault="00C54A3C" w:rsidP="00696350">
      <w:pPr>
        <w:rPr>
          <w:rFonts w:eastAsiaTheme="minorEastAsia"/>
          <w:b/>
        </w:rPr>
      </w:pPr>
      <w:r>
        <w:rPr>
          <w:rFonts w:eastAsiaTheme="minorEastAsia"/>
          <w:b/>
          <w:noProof/>
        </w:rPr>
        <w:lastRenderedPageBreak/>
        <w:drawing>
          <wp:inline distT="0" distB="0" distL="0" distR="0" wp14:anchorId="7FF2BF4A" wp14:editId="3A65897A">
            <wp:extent cx="2885709" cy="310896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Figure 34.PNG"/>
                    <pic:cNvPicPr/>
                  </pic:nvPicPr>
                  <pic:blipFill>
                    <a:blip r:embed="rId49">
                      <a:extLst>
                        <a:ext uri="{28A0092B-C50C-407E-A947-70E740481C1C}">
                          <a14:useLocalDpi xmlns:a14="http://schemas.microsoft.com/office/drawing/2010/main" val="0"/>
                        </a:ext>
                      </a:extLst>
                    </a:blip>
                    <a:stretch>
                      <a:fillRect/>
                    </a:stretch>
                  </pic:blipFill>
                  <pic:spPr>
                    <a:xfrm>
                      <a:off x="0" y="0"/>
                      <a:ext cx="2885709" cy="3108960"/>
                    </a:xfrm>
                    <a:prstGeom prst="rect">
                      <a:avLst/>
                    </a:prstGeom>
                  </pic:spPr>
                </pic:pic>
              </a:graphicData>
            </a:graphic>
          </wp:inline>
        </w:drawing>
      </w:r>
    </w:p>
    <w:p w14:paraId="64D58B9E" w14:textId="4F5E347C" w:rsidR="00B74D72" w:rsidRDefault="00B74D72" w:rsidP="00C54A3C">
      <w:pPr>
        <w:pStyle w:val="Caption"/>
        <w:spacing w:line="480" w:lineRule="auto"/>
        <w:ind w:left="1080" w:right="936"/>
      </w:pPr>
      <w:bookmarkStart w:id="119" w:name="_Ref446390339"/>
      <w:bookmarkStart w:id="120" w:name="_Toc447755372"/>
      <w:r>
        <w:t xml:space="preserve">Figure </w:t>
      </w:r>
      <w:r w:rsidR="00184FC2">
        <w:fldChar w:fldCharType="begin"/>
      </w:r>
      <w:r w:rsidR="00184FC2">
        <w:instrText xml:space="preserve"> SEQ Figure \* ARABIC </w:instrText>
      </w:r>
      <w:r w:rsidR="00184FC2">
        <w:fldChar w:fldCharType="separate"/>
      </w:r>
      <w:r w:rsidR="00E90148">
        <w:rPr>
          <w:noProof/>
        </w:rPr>
        <w:t>34</w:t>
      </w:r>
      <w:r w:rsidR="00184FC2">
        <w:rPr>
          <w:noProof/>
        </w:rPr>
        <w:fldChar w:fldCharType="end"/>
      </w:r>
      <w:bookmarkEnd w:id="119"/>
      <w:r>
        <w:t>: Linear Regression of Site 2 Ex Situ Measurements with the Niton XL3t PHXRF</w:t>
      </w:r>
      <w:bookmarkEnd w:id="120"/>
    </w:p>
    <w:p w14:paraId="5F1AADFA" w14:textId="77777777" w:rsidR="00B74D72" w:rsidRDefault="00B74D72" w:rsidP="00696350">
      <w:pPr>
        <w:rPr>
          <w:rFonts w:eastAsiaTheme="minorEastAsia"/>
          <w:b/>
        </w:rPr>
      </w:pPr>
    </w:p>
    <w:p w14:paraId="2BC8540D" w14:textId="1237DA18" w:rsidR="00BC106C" w:rsidRDefault="00C40690" w:rsidP="007A3197">
      <w:pPr>
        <w:jc w:val="both"/>
        <w:rPr>
          <w:rFonts w:eastAsiaTheme="minorEastAsia"/>
          <w:b/>
        </w:rPr>
      </w:pPr>
      <w:r>
        <w:rPr>
          <w:rFonts w:eastAsiaTheme="minorEastAsia"/>
          <w:b/>
        </w:rPr>
        <w:tab/>
        <w:t>4.3.3</w:t>
      </w:r>
      <w:r w:rsidR="00D8488C">
        <w:rPr>
          <w:rFonts w:eastAsiaTheme="minorEastAsia"/>
          <w:b/>
        </w:rPr>
        <w:t xml:space="preserve"> Spatial </w:t>
      </w:r>
      <w:r w:rsidR="00EA7B56">
        <w:rPr>
          <w:rFonts w:eastAsiaTheme="minorEastAsia"/>
          <w:b/>
        </w:rPr>
        <w:t xml:space="preserve">Stabilizer </w:t>
      </w:r>
      <w:r w:rsidR="007A3197">
        <w:rPr>
          <w:rFonts w:eastAsiaTheme="minorEastAsia"/>
          <w:b/>
        </w:rPr>
        <w:t>Homogeneity</w:t>
      </w:r>
    </w:p>
    <w:p w14:paraId="1192EE56" w14:textId="2ECAF71C" w:rsidR="00AB64B7" w:rsidRDefault="00B2662B" w:rsidP="00457152">
      <w:pPr>
        <w:ind w:left="720" w:firstLine="720"/>
        <w:jc w:val="both"/>
        <w:rPr>
          <w:noProof/>
        </w:rPr>
      </w:pPr>
      <w:r>
        <w:rPr>
          <w:noProof/>
        </w:rPr>
        <w:t xml:space="preserve">Spatial heterogeneity </w:t>
      </w:r>
      <w:r w:rsidR="006C1A42">
        <w:rPr>
          <w:noProof/>
        </w:rPr>
        <w:t>was</w:t>
      </w:r>
      <w:r>
        <w:rPr>
          <w:noProof/>
        </w:rPr>
        <w:t xml:space="preserve"> present in each stabilization site that was investigated. Large variations in </w:t>
      </w:r>
      <m:oMath>
        <m:r>
          <w:rPr>
            <w:rFonts w:ascii="Cambria Math" w:hAnsi="Cambria Math"/>
          </w:rPr>
          <m:t>SC</m:t>
        </m:r>
      </m:oMath>
      <w:r>
        <w:rPr>
          <w:noProof/>
        </w:rPr>
        <w:t xml:space="preserve"> </w:t>
      </w:r>
      <w:r w:rsidR="006C1A42">
        <w:rPr>
          <w:noProof/>
        </w:rPr>
        <w:t xml:space="preserve">were </w:t>
      </w:r>
      <w:r>
        <w:rPr>
          <w:noProof/>
        </w:rPr>
        <w:t>observed throughout each site</w:t>
      </w:r>
      <w:r w:rsidR="008D60B4">
        <w:rPr>
          <w:noProof/>
        </w:rPr>
        <w:t>,</w:t>
      </w:r>
      <w:r w:rsidR="00AB64B7">
        <w:rPr>
          <w:noProof/>
        </w:rPr>
        <w:t xml:space="preserve"> which may lead to </w:t>
      </w:r>
      <w:r w:rsidR="008D60B4">
        <w:rPr>
          <w:noProof/>
        </w:rPr>
        <w:t>problematic conditions</w:t>
      </w:r>
      <w:r w:rsidR="006C1A42">
        <w:rPr>
          <w:noProof/>
        </w:rPr>
        <w:t>,</w:t>
      </w:r>
      <w:r w:rsidR="008D60B4">
        <w:rPr>
          <w:noProof/>
        </w:rPr>
        <w:t xml:space="preserve"> such as pavement deformation</w:t>
      </w:r>
      <w:r w:rsidR="006C1A42">
        <w:rPr>
          <w:noProof/>
        </w:rPr>
        <w:t>,</w:t>
      </w:r>
      <w:r w:rsidR="00AB64B7">
        <w:rPr>
          <w:noProof/>
        </w:rPr>
        <w:t xml:space="preserve"> in the future</w:t>
      </w:r>
      <w:r>
        <w:rPr>
          <w:noProof/>
        </w:rPr>
        <w:t xml:space="preserve">. </w:t>
      </w:r>
    </w:p>
    <w:p w14:paraId="335E1028" w14:textId="77777777" w:rsidR="00EC160E" w:rsidRDefault="00EC160E" w:rsidP="008D60B4">
      <w:pPr>
        <w:ind w:left="720" w:firstLine="720"/>
        <w:jc w:val="both"/>
        <w:rPr>
          <w:noProof/>
        </w:rPr>
      </w:pPr>
    </w:p>
    <w:p w14:paraId="401A79E1" w14:textId="24335E83" w:rsidR="002412B1" w:rsidRDefault="00C40690" w:rsidP="002412B1">
      <w:pPr>
        <w:jc w:val="both"/>
        <w:rPr>
          <w:noProof/>
        </w:rPr>
      </w:pPr>
      <w:r>
        <w:rPr>
          <w:rFonts w:eastAsiaTheme="minorEastAsia"/>
          <w:b/>
        </w:rPr>
        <w:tab/>
      </w:r>
      <w:r>
        <w:rPr>
          <w:rFonts w:eastAsiaTheme="minorEastAsia"/>
          <w:b/>
        </w:rPr>
        <w:tab/>
        <w:t>4.3.3</w:t>
      </w:r>
      <w:r w:rsidR="002412B1">
        <w:rPr>
          <w:rFonts w:eastAsiaTheme="minorEastAsia"/>
          <w:b/>
        </w:rPr>
        <w:t>.1 Site 1</w:t>
      </w:r>
    </w:p>
    <w:p w14:paraId="140A16A2" w14:textId="491F30A9" w:rsidR="00BC106C" w:rsidRDefault="00B2662B" w:rsidP="0078751E">
      <w:pPr>
        <w:ind w:left="1440" w:firstLine="720"/>
        <w:jc w:val="both"/>
        <w:rPr>
          <w:noProof/>
        </w:rPr>
      </w:pPr>
      <w:r>
        <w:rPr>
          <w:noProof/>
        </w:rPr>
        <w:t xml:space="preserve">The </w:t>
      </w:r>
      <w:r w:rsidR="000C4D4A">
        <w:rPr>
          <w:noProof/>
        </w:rPr>
        <w:t xml:space="preserve">idealized </w:t>
      </w:r>
      <w:r w:rsidR="00BE2D74">
        <w:rPr>
          <w:noProof/>
        </w:rPr>
        <w:t xml:space="preserve">and calculated (using the equation found in </w:t>
      </w:r>
      <w:r w:rsidR="00BE2D74">
        <w:rPr>
          <w:noProof/>
        </w:rPr>
        <w:fldChar w:fldCharType="begin"/>
      </w:r>
      <w:r w:rsidR="00BE2D74">
        <w:rPr>
          <w:noProof/>
        </w:rPr>
        <w:instrText xml:space="preserve"> REF _Ref446390339 \h </w:instrText>
      </w:r>
      <w:r w:rsidR="00BE2D74">
        <w:rPr>
          <w:noProof/>
        </w:rPr>
      </w:r>
      <w:r w:rsidR="00BE2D74">
        <w:rPr>
          <w:noProof/>
        </w:rPr>
        <w:fldChar w:fldCharType="separate"/>
      </w:r>
      <w:r w:rsidR="00E90148">
        <w:t xml:space="preserve">Figure </w:t>
      </w:r>
      <w:r w:rsidR="00E90148">
        <w:rPr>
          <w:noProof/>
        </w:rPr>
        <w:t>34</w:t>
      </w:r>
      <w:r w:rsidR="00BE2D74">
        <w:rPr>
          <w:noProof/>
        </w:rPr>
        <w:fldChar w:fldCharType="end"/>
      </w:r>
      <w:r w:rsidR="00BE2D74">
        <w:rPr>
          <w:noProof/>
        </w:rPr>
        <w:t xml:space="preserve">) </w:t>
      </w:r>
      <w:r w:rsidR="000C4D4A">
        <w:rPr>
          <w:noProof/>
        </w:rPr>
        <w:t>spatial distribution</w:t>
      </w:r>
      <w:r w:rsidR="00BE2D74">
        <w:rPr>
          <w:noProof/>
        </w:rPr>
        <w:t>s</w:t>
      </w:r>
      <w:r w:rsidR="000C4D4A">
        <w:rPr>
          <w:noProof/>
        </w:rPr>
        <w:t xml:space="preserve"> of </w:t>
      </w:r>
      <m:oMath>
        <m:r>
          <w:rPr>
            <w:rFonts w:ascii="Cambria Math" w:hAnsi="Cambria Math"/>
          </w:rPr>
          <m:t>SC</m:t>
        </m:r>
      </m:oMath>
      <w:r w:rsidR="0078751E">
        <w:rPr>
          <w:noProof/>
        </w:rPr>
        <w:t xml:space="preserve"> for Site 1 are</w:t>
      </w:r>
      <w:r>
        <w:rPr>
          <w:noProof/>
        </w:rPr>
        <w:t xml:space="preserve"> illustrated in </w:t>
      </w:r>
      <w:r>
        <w:rPr>
          <w:noProof/>
        </w:rPr>
        <w:fldChar w:fldCharType="begin"/>
      </w:r>
      <w:r>
        <w:rPr>
          <w:noProof/>
        </w:rPr>
        <w:instrText xml:space="preserve"> REF _Ref446393042 \h </w:instrText>
      </w:r>
      <w:r>
        <w:rPr>
          <w:noProof/>
        </w:rPr>
      </w:r>
      <w:r>
        <w:rPr>
          <w:noProof/>
        </w:rPr>
        <w:fldChar w:fldCharType="separate"/>
      </w:r>
      <w:r w:rsidR="00E90148">
        <w:t xml:space="preserve">Figure </w:t>
      </w:r>
      <w:r w:rsidR="00E90148">
        <w:rPr>
          <w:noProof/>
        </w:rPr>
        <w:t>35</w:t>
      </w:r>
      <w:r>
        <w:rPr>
          <w:noProof/>
        </w:rPr>
        <w:fldChar w:fldCharType="end"/>
      </w:r>
      <w:r w:rsidR="00386E5F">
        <w:rPr>
          <w:noProof/>
        </w:rPr>
        <w:t xml:space="preserve">. The </w:t>
      </w:r>
      <w:r w:rsidR="000C4D4A">
        <w:rPr>
          <w:noProof/>
        </w:rPr>
        <w:t>corrected</w:t>
      </w:r>
      <w:r w:rsidR="00E16C36">
        <w:rPr>
          <w:noProof/>
        </w:rPr>
        <w:t xml:space="preserve"> ex situ PHXRF measurements in the</w:t>
      </w:r>
      <w:r w:rsidR="00386E5F">
        <w:rPr>
          <w:noProof/>
        </w:rPr>
        <w:t xml:space="preserve"> top nine inches of Site 1 </w:t>
      </w:r>
      <w:r w:rsidR="00E16C36">
        <w:rPr>
          <w:noProof/>
        </w:rPr>
        <w:t xml:space="preserve">are found </w:t>
      </w:r>
      <w:r w:rsidR="00386E5F">
        <w:rPr>
          <w:noProof/>
        </w:rPr>
        <w:t xml:space="preserve">to have an average </w:t>
      </w:r>
      <m:oMath>
        <m:r>
          <w:rPr>
            <w:rFonts w:ascii="Cambria Math" w:hAnsi="Cambria Math"/>
          </w:rPr>
          <m:t>SC</m:t>
        </m:r>
      </m:oMath>
      <w:r w:rsidR="00386E5F">
        <w:rPr>
          <w:noProof/>
        </w:rPr>
        <w:t xml:space="preserve"> of </w:t>
      </w:r>
      <w:r w:rsidR="000C4D4A">
        <w:rPr>
          <w:noProof/>
        </w:rPr>
        <w:t>15.3</w:t>
      </w:r>
      <w:r w:rsidR="00386E5F">
        <w:rPr>
          <w:noProof/>
        </w:rPr>
        <w:t xml:space="preserve">%. </w:t>
      </w:r>
      <w:r w:rsidR="000C4D4A">
        <w:rPr>
          <w:noProof/>
        </w:rPr>
        <w:t xml:space="preserve">This result is encouraging considering the design CKD </w:t>
      </w:r>
      <m:oMath>
        <m:r>
          <w:rPr>
            <w:rFonts w:ascii="Cambria Math" w:hAnsi="Cambria Math"/>
          </w:rPr>
          <m:t>SC</m:t>
        </m:r>
      </m:oMath>
      <w:r w:rsidR="000C4D4A">
        <w:rPr>
          <w:noProof/>
        </w:rPr>
        <w:t xml:space="preserve"> is 15% for this site. Therefore, an error of </w:t>
      </w:r>
      <w:r w:rsidR="000C4D4A">
        <w:rPr>
          <w:noProof/>
        </w:rPr>
        <w:lastRenderedPageBreak/>
        <w:t xml:space="preserve">only 0.3% is detected. In addition to </w:t>
      </w:r>
      <m:oMath>
        <m:r>
          <w:rPr>
            <w:rFonts w:ascii="Cambria Math" w:hAnsi="Cambria Math"/>
          </w:rPr>
          <m:t>SC</m:t>
        </m:r>
      </m:oMath>
      <w:r w:rsidR="000C4D4A">
        <w:rPr>
          <w:noProof/>
        </w:rPr>
        <w:t xml:space="preserve"> accuracy, observations of spatial distribution of </w:t>
      </w:r>
      <m:oMath>
        <m:r>
          <w:rPr>
            <w:rFonts w:ascii="Cambria Math" w:hAnsi="Cambria Math"/>
          </w:rPr>
          <m:t>SC</m:t>
        </m:r>
      </m:oMath>
      <w:r w:rsidR="000C4D4A">
        <w:rPr>
          <w:noProof/>
        </w:rPr>
        <w:t xml:space="preserve"> can be made.</w:t>
      </w:r>
      <w:r w:rsidR="006651B5">
        <w:rPr>
          <w:noProof/>
        </w:rPr>
        <w:t xml:space="preserve"> Considerable </w:t>
      </w:r>
      <w:r w:rsidR="00510CE0">
        <w:rPr>
          <w:noProof/>
        </w:rPr>
        <w:t>relative dispari</w:t>
      </w:r>
      <w:r w:rsidR="008D60B4">
        <w:rPr>
          <w:noProof/>
        </w:rPr>
        <w:t xml:space="preserve">ties in </w:t>
      </w:r>
      <m:oMath>
        <m:r>
          <w:rPr>
            <w:rFonts w:ascii="Cambria Math" w:hAnsi="Cambria Math"/>
          </w:rPr>
          <m:t>SC</m:t>
        </m:r>
      </m:oMath>
      <w:r w:rsidR="008D60B4">
        <w:rPr>
          <w:noProof/>
        </w:rPr>
        <w:t xml:space="preserve"> </w:t>
      </w:r>
      <w:r w:rsidR="006651B5">
        <w:rPr>
          <w:noProof/>
        </w:rPr>
        <w:t xml:space="preserve">are present </w:t>
      </w:r>
      <w:r w:rsidR="008D60B4">
        <w:rPr>
          <w:noProof/>
        </w:rPr>
        <w:t xml:space="preserve">throughout the area of Site 1. For example, a large amount of stabilizer seems to have been unproportionally spread to the northwest corner of the site. </w:t>
      </w:r>
      <w:r w:rsidR="00510CE0">
        <w:rPr>
          <w:noProof/>
        </w:rPr>
        <w:t>In the top 3 inches of the site, c</w:t>
      </w:r>
      <w:r w:rsidR="008D60B4">
        <w:rPr>
          <w:noProof/>
        </w:rPr>
        <w:t xml:space="preserve">orrected stablizer contents between lengths 20 ft and 50 ft and widths 0 ft and 2.5 ft range from 17.9% to 22.6%; </w:t>
      </w:r>
      <w:r w:rsidR="00510CE0">
        <w:rPr>
          <w:noProof/>
        </w:rPr>
        <w:t>mean</w:t>
      </w:r>
      <w:r w:rsidR="008D60B4">
        <w:rPr>
          <w:noProof/>
        </w:rPr>
        <w:t xml:space="preserve">while between lengths </w:t>
      </w:r>
      <w:r w:rsidR="00510CE0">
        <w:rPr>
          <w:noProof/>
        </w:rPr>
        <w:t>5</w:t>
      </w:r>
      <w:r w:rsidR="008D60B4">
        <w:rPr>
          <w:noProof/>
        </w:rPr>
        <w:t xml:space="preserve"> ft and 15 ft</w:t>
      </w:r>
      <w:r w:rsidR="00510CE0">
        <w:rPr>
          <w:noProof/>
        </w:rPr>
        <w:t xml:space="preserve">, corrected </w:t>
      </w:r>
      <m:oMath>
        <m:r>
          <w:rPr>
            <w:rFonts w:ascii="Cambria Math" w:hAnsi="Cambria Math"/>
          </w:rPr>
          <m:t>SC</m:t>
        </m:r>
      </m:oMath>
      <w:r w:rsidR="00510CE0">
        <w:rPr>
          <w:noProof/>
        </w:rPr>
        <w:t xml:space="preserve"> falls between 9.6% and 14.2%. Additionally in the 3 to 6 in layer, corrected </w:t>
      </w:r>
      <m:oMath>
        <m:r>
          <w:rPr>
            <w:rFonts w:ascii="Cambria Math" w:hAnsi="Cambria Math"/>
          </w:rPr>
          <m:t>SC</m:t>
        </m:r>
      </m:oMath>
      <w:r w:rsidR="00510CE0">
        <w:rPr>
          <w:noProof/>
        </w:rPr>
        <w:t xml:space="preserve">s between lenghts 25 ft and 30 ft and widths 0 ft and 2.5 ft rise as high as 24.7%, which sharply contrasts 7.5% while occures at lengths 0 ft to 5 ft and widths 7.5 ft to 10 ft. These vast differences in </w:t>
      </w:r>
      <m:oMath>
        <m:r>
          <w:rPr>
            <w:rFonts w:ascii="Cambria Math" w:hAnsi="Cambria Math"/>
          </w:rPr>
          <m:t>SC</m:t>
        </m:r>
      </m:oMath>
      <w:r w:rsidR="00510CE0">
        <w:rPr>
          <w:noProof/>
        </w:rPr>
        <w:t xml:space="preserve"> suggests that improved spreading and mixing measures may need to be taken to produce a more homogenous site. </w:t>
      </w:r>
    </w:p>
    <w:p w14:paraId="3EAAB088" w14:textId="77777777" w:rsidR="00F05B4F" w:rsidRDefault="00F05B4F" w:rsidP="00E16C36">
      <w:pPr>
        <w:ind w:left="1440" w:firstLine="720"/>
        <w:jc w:val="both"/>
        <w:rPr>
          <w:noProof/>
        </w:rPr>
      </w:pPr>
    </w:p>
    <w:p w14:paraId="4A68169B" w14:textId="0045AC8A" w:rsidR="00CF0CEC" w:rsidRDefault="003C45B6" w:rsidP="00CF0CEC">
      <w:pPr>
        <w:rPr>
          <w:rFonts w:eastAsiaTheme="minorEastAsia"/>
          <w:b/>
        </w:rPr>
      </w:pPr>
      <w:r>
        <w:rPr>
          <w:rFonts w:eastAsiaTheme="minorEastAsia"/>
          <w:b/>
          <w:noProof/>
        </w:rPr>
        <w:lastRenderedPageBreak/>
        <w:drawing>
          <wp:inline distT="0" distB="0" distL="0" distR="0" wp14:anchorId="0BF8C9A5" wp14:editId="0BBB0171">
            <wp:extent cx="5577840" cy="3977729"/>
            <wp:effectExtent l="0" t="0" r="3810" b="381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Figure 35.PNG"/>
                    <pic:cNvPicPr/>
                  </pic:nvPicPr>
                  <pic:blipFill rotWithShape="1">
                    <a:blip r:embed="rId50">
                      <a:extLst>
                        <a:ext uri="{28A0092B-C50C-407E-A947-70E740481C1C}">
                          <a14:useLocalDpi xmlns:a14="http://schemas.microsoft.com/office/drawing/2010/main" val="0"/>
                        </a:ext>
                      </a:extLst>
                    </a:blip>
                    <a:srcRect t="317"/>
                    <a:stretch/>
                  </pic:blipFill>
                  <pic:spPr bwMode="auto">
                    <a:xfrm>
                      <a:off x="0" y="0"/>
                      <a:ext cx="5577840" cy="3977729"/>
                    </a:xfrm>
                    <a:prstGeom prst="rect">
                      <a:avLst/>
                    </a:prstGeom>
                    <a:ln>
                      <a:noFill/>
                    </a:ln>
                    <a:extLst>
                      <a:ext uri="{53640926-AAD7-44D8-BBD7-CCE9431645EC}">
                        <a14:shadowObscured xmlns:a14="http://schemas.microsoft.com/office/drawing/2010/main"/>
                      </a:ext>
                    </a:extLst>
                  </pic:spPr>
                </pic:pic>
              </a:graphicData>
            </a:graphic>
          </wp:inline>
        </w:drawing>
      </w:r>
    </w:p>
    <w:p w14:paraId="34180626" w14:textId="5FCCE5C5" w:rsidR="008D3A68" w:rsidRDefault="008D3A68" w:rsidP="00CA7E19">
      <w:pPr>
        <w:pStyle w:val="Caption"/>
        <w:spacing w:line="480" w:lineRule="auto"/>
      </w:pPr>
      <w:bookmarkStart w:id="121" w:name="_Ref446393042"/>
      <w:bookmarkStart w:id="122" w:name="_Toc447755373"/>
      <w:r>
        <w:t xml:space="preserve">Figure </w:t>
      </w:r>
      <w:r w:rsidR="00184FC2">
        <w:fldChar w:fldCharType="begin"/>
      </w:r>
      <w:r w:rsidR="00184FC2">
        <w:instrText xml:space="preserve"> SEQ Figure \* ARABIC </w:instrText>
      </w:r>
      <w:r w:rsidR="00184FC2">
        <w:fldChar w:fldCharType="separate"/>
      </w:r>
      <w:r w:rsidR="00E90148">
        <w:rPr>
          <w:noProof/>
        </w:rPr>
        <w:t>35</w:t>
      </w:r>
      <w:r w:rsidR="00184FC2">
        <w:rPr>
          <w:noProof/>
        </w:rPr>
        <w:fldChar w:fldCharType="end"/>
      </w:r>
      <w:bookmarkEnd w:id="121"/>
      <w:r>
        <w:t xml:space="preserve">: </w:t>
      </w:r>
      <w:r w:rsidR="002F1108">
        <w:t xml:space="preserve">Idealized </w:t>
      </w:r>
      <w:r w:rsidR="00873FDE">
        <w:t xml:space="preserve">and Corrected </w:t>
      </w:r>
      <w:r>
        <w:t>Spatial Stabili</w:t>
      </w:r>
      <w:r w:rsidR="0078751E">
        <w:t>zer Distribution for Site 1 at</w:t>
      </w:r>
      <w:r>
        <w:t xml:space="preserve"> Depth</w:t>
      </w:r>
      <w:r w:rsidR="00873FDE">
        <w:t>s</w:t>
      </w:r>
      <w:r>
        <w:t xml:space="preserve"> of (a) 0 - 3, (b) 3 - 6, (c) 6 - 9, and (d) 9 - 12 Inches</w:t>
      </w:r>
      <w:bookmarkEnd w:id="122"/>
    </w:p>
    <w:p w14:paraId="53F9DB47" w14:textId="77777777" w:rsidR="00EC160E" w:rsidRDefault="00EC160E" w:rsidP="00F07C85">
      <w:pPr>
        <w:ind w:left="1440" w:right="36" w:firstLine="720"/>
        <w:jc w:val="both"/>
        <w:rPr>
          <w:rFonts w:eastAsiaTheme="minorEastAsia"/>
          <w:bCs/>
        </w:rPr>
      </w:pPr>
    </w:p>
    <w:p w14:paraId="0B6BF798" w14:textId="407D2EB5" w:rsidR="00B2662B" w:rsidRDefault="00EB7390" w:rsidP="00B91981">
      <w:pPr>
        <w:ind w:left="1440" w:right="36" w:firstLine="720"/>
        <w:jc w:val="both"/>
        <w:rPr>
          <w:rFonts w:eastAsiaTheme="minorEastAsia"/>
          <w:bCs/>
        </w:rPr>
      </w:pPr>
      <w:r w:rsidRPr="00EB7390">
        <w:rPr>
          <w:rFonts w:eastAsiaTheme="minorEastAsia"/>
          <w:bCs/>
        </w:rPr>
        <w:t>Another</w:t>
      </w:r>
      <w:r w:rsidR="002412B1">
        <w:rPr>
          <w:rFonts w:eastAsiaTheme="minorEastAsia"/>
          <w:bCs/>
        </w:rPr>
        <w:t xml:space="preserve"> issue observed</w:t>
      </w:r>
      <w:r>
        <w:rPr>
          <w:rFonts w:eastAsiaTheme="minorEastAsia"/>
          <w:bCs/>
        </w:rPr>
        <w:t xml:space="preserve"> with Site 1 is</w:t>
      </w:r>
      <w:r w:rsidRPr="00EB7390">
        <w:rPr>
          <w:rFonts w:eastAsiaTheme="minorEastAsia"/>
          <w:bCs/>
        </w:rPr>
        <w:t xml:space="preserve"> </w:t>
      </w:r>
      <w:r>
        <w:rPr>
          <w:rFonts w:eastAsiaTheme="minorEastAsia"/>
          <w:bCs/>
        </w:rPr>
        <w:t xml:space="preserve">a portion of the layer below a depth of 8 inches was stabilized. This area is located between lengths 25 </w:t>
      </w:r>
      <w:r w:rsidR="00886CA5">
        <w:rPr>
          <w:rFonts w:eastAsiaTheme="minorEastAsia"/>
          <w:bCs/>
        </w:rPr>
        <w:t>ft.</w:t>
      </w:r>
      <w:r>
        <w:rPr>
          <w:rFonts w:eastAsiaTheme="minorEastAsia"/>
          <w:bCs/>
        </w:rPr>
        <w:t xml:space="preserve"> and 35 </w:t>
      </w:r>
      <w:r w:rsidR="00886CA5">
        <w:rPr>
          <w:rFonts w:eastAsiaTheme="minorEastAsia"/>
          <w:bCs/>
        </w:rPr>
        <w:t>ft.</w:t>
      </w:r>
      <w:r>
        <w:rPr>
          <w:rFonts w:eastAsiaTheme="minorEastAsia"/>
          <w:bCs/>
        </w:rPr>
        <w:t xml:space="preserve"> and widths 7.5 </w:t>
      </w:r>
      <w:r w:rsidR="00886CA5">
        <w:rPr>
          <w:rFonts w:eastAsiaTheme="minorEastAsia"/>
          <w:bCs/>
        </w:rPr>
        <w:t>ft.</w:t>
      </w:r>
      <w:r>
        <w:rPr>
          <w:rFonts w:eastAsiaTheme="minorEastAsia"/>
          <w:bCs/>
        </w:rPr>
        <w:t xml:space="preserve"> and 10 ft. Corrected </w:t>
      </w:r>
      <m:oMath>
        <m:r>
          <w:rPr>
            <w:rFonts w:ascii="Cambria Math" w:hAnsi="Cambria Math"/>
          </w:rPr>
          <m:t>SC</m:t>
        </m:r>
      </m:oMath>
      <w:r>
        <w:rPr>
          <w:rFonts w:eastAsiaTheme="minorEastAsia"/>
          <w:bCs/>
        </w:rPr>
        <w:t xml:space="preserve"> in this area is measured to be 21.5%. All soil below 8 inches should </w:t>
      </w:r>
      <w:r w:rsidR="00F21A51">
        <w:rPr>
          <w:rFonts w:eastAsiaTheme="minorEastAsia"/>
          <w:bCs/>
        </w:rPr>
        <w:t xml:space="preserve">remain undisturbed and </w:t>
      </w:r>
      <w:r>
        <w:rPr>
          <w:rFonts w:eastAsiaTheme="minorEastAsia"/>
          <w:bCs/>
        </w:rPr>
        <w:t xml:space="preserve">not be stabilized. </w:t>
      </w:r>
      <w:r w:rsidR="00F21A51">
        <w:rPr>
          <w:rFonts w:eastAsiaTheme="minorEastAsia"/>
          <w:bCs/>
        </w:rPr>
        <w:t>This site is unique for the fact that it had been stabilized 30 years prior to the current construction. Elevated levels of CaO compared to other test sites were detected in the “raw” soil before current treatment,</w:t>
      </w:r>
      <w:r w:rsidR="00B91981">
        <w:rPr>
          <w:rFonts w:eastAsiaTheme="minorEastAsia"/>
          <w:bCs/>
        </w:rPr>
        <w:t xml:space="preserve"> however nowhere near the levels that would constitute </w:t>
      </w:r>
      <w:r w:rsidR="00B91981">
        <w:rPr>
          <w:rFonts w:eastAsiaTheme="minorEastAsia"/>
          <w:bCs/>
        </w:rPr>
        <w:lastRenderedPageBreak/>
        <w:t xml:space="preserve">a </w:t>
      </w:r>
      <m:oMath>
        <m:r>
          <w:rPr>
            <w:rFonts w:ascii="Cambria Math" w:eastAsiaTheme="minorEastAsia" w:hAnsi="Cambria Math"/>
          </w:rPr>
          <m:t>SC</m:t>
        </m:r>
      </m:oMath>
      <w:r w:rsidR="00B91981">
        <w:rPr>
          <w:rFonts w:eastAsiaTheme="minorEastAsia"/>
          <w:bCs/>
        </w:rPr>
        <w:t xml:space="preserve"> of 20+%. T</w:t>
      </w:r>
      <w:r w:rsidR="00E858AB">
        <w:rPr>
          <w:rFonts w:eastAsiaTheme="minorEastAsia"/>
          <w:bCs/>
        </w:rPr>
        <w:t xml:space="preserve">he degree of variance in </w:t>
      </w:r>
      <m:oMath>
        <m:r>
          <w:rPr>
            <w:rFonts w:ascii="Cambria Math" w:hAnsi="Cambria Math"/>
          </w:rPr>
          <m:t>SC</m:t>
        </m:r>
      </m:oMath>
      <w:r w:rsidR="00E858AB">
        <w:rPr>
          <w:rFonts w:eastAsiaTheme="minorEastAsia"/>
          <w:bCs/>
        </w:rPr>
        <w:t xml:space="preserve"> from 9 to 12 inches </w:t>
      </w:r>
      <w:r w:rsidR="00F07C85">
        <w:rPr>
          <w:rFonts w:eastAsiaTheme="minorEastAsia"/>
          <w:bCs/>
        </w:rPr>
        <w:t>may</w:t>
      </w:r>
      <w:r w:rsidR="00E858AB">
        <w:rPr>
          <w:rFonts w:eastAsiaTheme="minorEastAsia"/>
          <w:bCs/>
        </w:rPr>
        <w:t xml:space="preserve"> more likely </w:t>
      </w:r>
      <w:r w:rsidR="00F07C85">
        <w:rPr>
          <w:rFonts w:eastAsiaTheme="minorEastAsia"/>
          <w:bCs/>
        </w:rPr>
        <w:t>have been</w:t>
      </w:r>
      <w:r w:rsidR="00E858AB">
        <w:rPr>
          <w:rFonts w:eastAsiaTheme="minorEastAsia"/>
          <w:bCs/>
        </w:rPr>
        <w:t xml:space="preserve"> caused by</w:t>
      </w:r>
      <w:r>
        <w:rPr>
          <w:rFonts w:eastAsiaTheme="minorEastAsia"/>
          <w:bCs/>
        </w:rPr>
        <w:t xml:space="preserve"> </w:t>
      </w:r>
      <w:r w:rsidR="002412B1">
        <w:rPr>
          <w:rFonts w:eastAsiaTheme="minorEastAsia"/>
          <w:bCs/>
        </w:rPr>
        <w:t>faulty</w:t>
      </w:r>
      <w:r>
        <w:rPr>
          <w:rFonts w:eastAsiaTheme="minorEastAsia"/>
          <w:bCs/>
        </w:rPr>
        <w:t xml:space="preserve"> mixing depth and/or leaching of stabilizer into the soil below the stabilized area.</w:t>
      </w:r>
    </w:p>
    <w:p w14:paraId="64865AC7" w14:textId="77777777" w:rsidR="002412B1" w:rsidRDefault="002412B1" w:rsidP="002412B1">
      <w:pPr>
        <w:ind w:right="36"/>
        <w:jc w:val="both"/>
        <w:rPr>
          <w:rFonts w:eastAsiaTheme="minorEastAsia"/>
          <w:bCs/>
        </w:rPr>
      </w:pPr>
    </w:p>
    <w:p w14:paraId="16112D1C" w14:textId="04531F6F" w:rsidR="002412B1" w:rsidRDefault="00C40690" w:rsidP="002412B1">
      <w:pPr>
        <w:jc w:val="both"/>
        <w:rPr>
          <w:rFonts w:eastAsiaTheme="minorEastAsia"/>
          <w:b/>
        </w:rPr>
      </w:pPr>
      <w:r>
        <w:rPr>
          <w:rFonts w:eastAsiaTheme="minorEastAsia"/>
          <w:b/>
        </w:rPr>
        <w:tab/>
      </w:r>
      <w:r>
        <w:rPr>
          <w:rFonts w:eastAsiaTheme="minorEastAsia"/>
          <w:b/>
        </w:rPr>
        <w:tab/>
        <w:t>4.3.3</w:t>
      </w:r>
      <w:r w:rsidR="002412B1">
        <w:rPr>
          <w:rFonts w:eastAsiaTheme="minorEastAsia"/>
          <w:b/>
        </w:rPr>
        <w:t>.2 Site 2</w:t>
      </w:r>
    </w:p>
    <w:p w14:paraId="25ED2E87" w14:textId="326AD083" w:rsidR="000B6B0C" w:rsidRDefault="00E16C36" w:rsidP="0078751E">
      <w:pPr>
        <w:ind w:left="1440" w:firstLine="720"/>
        <w:jc w:val="both"/>
        <w:rPr>
          <w:noProof/>
        </w:rPr>
      </w:pPr>
      <w:r>
        <w:rPr>
          <w:noProof/>
        </w:rPr>
        <w:t>The idealized</w:t>
      </w:r>
      <w:r w:rsidR="0078751E">
        <w:rPr>
          <w:noProof/>
        </w:rPr>
        <w:t xml:space="preserve"> and corrected</w:t>
      </w:r>
      <w:r>
        <w:rPr>
          <w:noProof/>
        </w:rPr>
        <w:t xml:space="preserve"> spatial distribution of </w:t>
      </w:r>
      <m:oMath>
        <m:r>
          <w:rPr>
            <w:rFonts w:ascii="Cambria Math" w:hAnsi="Cambria Math"/>
          </w:rPr>
          <m:t>SC</m:t>
        </m:r>
      </m:oMath>
      <w:r w:rsidR="0078751E">
        <w:rPr>
          <w:noProof/>
        </w:rPr>
        <w:t xml:space="preserve"> for Site 2 are</w:t>
      </w:r>
      <w:r>
        <w:rPr>
          <w:noProof/>
        </w:rPr>
        <w:t xml:space="preserve"> illustrated in</w:t>
      </w:r>
      <w:r w:rsidR="0078751E">
        <w:rPr>
          <w:noProof/>
        </w:rPr>
        <w:t xml:space="preserve"> </w:t>
      </w:r>
      <w:r w:rsidR="0078751E">
        <w:rPr>
          <w:noProof/>
        </w:rPr>
        <w:fldChar w:fldCharType="begin"/>
      </w:r>
      <w:r w:rsidR="0078751E">
        <w:rPr>
          <w:noProof/>
        </w:rPr>
        <w:instrText xml:space="preserve"> REF _Ref447603021 \h </w:instrText>
      </w:r>
      <w:r w:rsidR="0078751E">
        <w:rPr>
          <w:noProof/>
        </w:rPr>
      </w:r>
      <w:r w:rsidR="0078751E">
        <w:rPr>
          <w:noProof/>
        </w:rPr>
        <w:fldChar w:fldCharType="separate"/>
      </w:r>
      <w:r w:rsidR="00E90148">
        <w:t xml:space="preserve">Figure </w:t>
      </w:r>
      <w:r w:rsidR="00E90148">
        <w:rPr>
          <w:noProof/>
        </w:rPr>
        <w:t>36</w:t>
      </w:r>
      <w:r w:rsidR="0078751E">
        <w:rPr>
          <w:noProof/>
        </w:rPr>
        <w:fldChar w:fldCharType="end"/>
      </w:r>
      <w:r w:rsidR="000B6B0C">
        <w:rPr>
          <w:noProof/>
        </w:rPr>
        <w:t xml:space="preserve">. </w:t>
      </w:r>
      <w:r>
        <w:rPr>
          <w:noProof/>
        </w:rPr>
        <w:t xml:space="preserve">The corrected ex situ PHXRF measurements in the top nine inches of Site 2 are found to have an average </w:t>
      </w:r>
      <m:oMath>
        <m:r>
          <w:rPr>
            <w:rFonts w:ascii="Cambria Math" w:hAnsi="Cambria Math"/>
          </w:rPr>
          <m:t>SC</m:t>
        </m:r>
      </m:oMath>
      <w:r>
        <w:rPr>
          <w:noProof/>
        </w:rPr>
        <w:t xml:space="preserve"> of 12.6%. This result is slightly low compared to the design fly ash </w:t>
      </w:r>
      <m:oMath>
        <m:r>
          <w:rPr>
            <w:rFonts w:ascii="Cambria Math" w:hAnsi="Cambria Math"/>
          </w:rPr>
          <m:t>SC</m:t>
        </m:r>
      </m:oMath>
      <w:r>
        <w:rPr>
          <w:noProof/>
        </w:rPr>
        <w:t>, which is 16%. An error of 3.4% is dete</w:t>
      </w:r>
      <w:r w:rsidR="00A1694C">
        <w:rPr>
          <w:noProof/>
        </w:rPr>
        <w:t>c</w:t>
      </w:r>
      <w:r>
        <w:rPr>
          <w:noProof/>
        </w:rPr>
        <w:t xml:space="preserve">ted in this site. Spatial analysis shows that </w:t>
      </w:r>
      <w:r w:rsidR="003F0773">
        <w:rPr>
          <w:noProof/>
        </w:rPr>
        <w:t>significant</w:t>
      </w:r>
      <w:r w:rsidR="005162DB">
        <w:rPr>
          <w:noProof/>
        </w:rPr>
        <w:t xml:space="preserve"> disparities in </w:t>
      </w:r>
      <m:oMath>
        <m:r>
          <w:rPr>
            <w:rFonts w:ascii="Cambria Math" w:hAnsi="Cambria Math"/>
          </w:rPr>
          <m:t>SC</m:t>
        </m:r>
      </m:oMath>
      <w:r w:rsidR="005162DB">
        <w:rPr>
          <w:noProof/>
        </w:rPr>
        <w:t xml:space="preserve"> </w:t>
      </w:r>
      <w:r w:rsidR="003F0773">
        <w:rPr>
          <w:noProof/>
        </w:rPr>
        <w:t xml:space="preserve">are observed </w:t>
      </w:r>
      <w:r w:rsidR="005162DB">
        <w:rPr>
          <w:noProof/>
        </w:rPr>
        <w:t>throught the</w:t>
      </w:r>
      <w:r w:rsidR="003F0773">
        <w:rPr>
          <w:noProof/>
        </w:rPr>
        <w:t xml:space="preserve"> site</w:t>
      </w:r>
      <w:r w:rsidR="005162DB">
        <w:rPr>
          <w:noProof/>
        </w:rPr>
        <w:t xml:space="preserve">. </w:t>
      </w:r>
      <w:r w:rsidR="000B6B0C">
        <w:rPr>
          <w:noProof/>
        </w:rPr>
        <w:t>For example, a large amount of stabilizer seems to have been unpr</w:t>
      </w:r>
      <w:r w:rsidR="005162DB">
        <w:rPr>
          <w:noProof/>
        </w:rPr>
        <w:t xml:space="preserve">oportionally spread to the </w:t>
      </w:r>
      <w:r w:rsidR="000B6B0C">
        <w:rPr>
          <w:noProof/>
        </w:rPr>
        <w:t xml:space="preserve">west </w:t>
      </w:r>
      <w:r w:rsidR="005162DB">
        <w:rPr>
          <w:noProof/>
        </w:rPr>
        <w:t>side</w:t>
      </w:r>
      <w:r w:rsidR="000B6B0C">
        <w:rPr>
          <w:noProof/>
        </w:rPr>
        <w:t xml:space="preserve"> </w:t>
      </w:r>
      <w:r>
        <w:rPr>
          <w:noProof/>
        </w:rPr>
        <w:t>of the site. In the top 3 inches</w:t>
      </w:r>
      <w:r w:rsidR="000B6B0C">
        <w:rPr>
          <w:noProof/>
        </w:rPr>
        <w:t xml:space="preserve">, corrected stablizer contents between lengths </w:t>
      </w:r>
      <w:r w:rsidR="00A33D13">
        <w:rPr>
          <w:noProof/>
        </w:rPr>
        <w:t>0</w:t>
      </w:r>
      <w:r w:rsidR="000B6B0C">
        <w:rPr>
          <w:noProof/>
        </w:rPr>
        <w:t xml:space="preserve"> ft</w:t>
      </w:r>
      <w:r w:rsidR="00A33D13">
        <w:rPr>
          <w:noProof/>
        </w:rPr>
        <w:t xml:space="preserve"> and 10</w:t>
      </w:r>
      <w:r w:rsidR="000B6B0C">
        <w:rPr>
          <w:noProof/>
        </w:rPr>
        <w:t xml:space="preserve"> ft and </w:t>
      </w:r>
      <w:r w:rsidR="00A33D13">
        <w:rPr>
          <w:noProof/>
        </w:rPr>
        <w:t>width</w:t>
      </w:r>
      <w:r>
        <w:rPr>
          <w:noProof/>
        </w:rPr>
        <w:t xml:space="preserve"> 0 ft</w:t>
      </w:r>
      <w:r w:rsidR="000B6B0C">
        <w:rPr>
          <w:noProof/>
        </w:rPr>
        <w:t xml:space="preserve"> range from </w:t>
      </w:r>
      <w:r w:rsidR="00A33D13">
        <w:rPr>
          <w:noProof/>
        </w:rPr>
        <w:t>20.1% to 23.4</w:t>
      </w:r>
      <w:r w:rsidR="000B6B0C">
        <w:rPr>
          <w:noProof/>
        </w:rPr>
        <w:t xml:space="preserve">%; meanwhile between lengths </w:t>
      </w:r>
      <w:r w:rsidR="00A33D13">
        <w:rPr>
          <w:noProof/>
        </w:rPr>
        <w:t>45</w:t>
      </w:r>
      <w:r w:rsidR="000B6B0C">
        <w:rPr>
          <w:noProof/>
        </w:rPr>
        <w:t xml:space="preserve"> </w:t>
      </w:r>
      <w:r w:rsidR="00A33D13">
        <w:rPr>
          <w:noProof/>
        </w:rPr>
        <w:t xml:space="preserve">ft and </w:t>
      </w:r>
      <w:r w:rsidR="000B6B0C">
        <w:rPr>
          <w:noProof/>
        </w:rPr>
        <w:t>5</w:t>
      </w:r>
      <w:r w:rsidR="00A33D13">
        <w:rPr>
          <w:noProof/>
        </w:rPr>
        <w:t>0</w:t>
      </w:r>
      <w:r w:rsidR="000B6B0C">
        <w:rPr>
          <w:noProof/>
        </w:rPr>
        <w:t xml:space="preserve"> ft, corrected </w:t>
      </w:r>
      <m:oMath>
        <m:r>
          <w:rPr>
            <w:rFonts w:ascii="Cambria Math" w:hAnsi="Cambria Math"/>
          </w:rPr>
          <m:t>SC</m:t>
        </m:r>
      </m:oMath>
      <w:r w:rsidR="000B6B0C">
        <w:rPr>
          <w:noProof/>
        </w:rPr>
        <w:t xml:space="preserve"> falls between </w:t>
      </w:r>
      <w:r w:rsidR="00A33D13">
        <w:rPr>
          <w:noProof/>
        </w:rPr>
        <w:t>7.4% and 11.2</w:t>
      </w:r>
      <w:r w:rsidR="000B6B0C">
        <w:rPr>
          <w:noProof/>
        </w:rPr>
        <w:t xml:space="preserve">%. Additionally in the 3 to 6 </w:t>
      </w:r>
      <w:r w:rsidR="00A33D13">
        <w:rPr>
          <w:noProof/>
        </w:rPr>
        <w:t>and 6 to 9</w:t>
      </w:r>
      <w:r w:rsidR="000B6B0C">
        <w:rPr>
          <w:noProof/>
        </w:rPr>
        <w:t xml:space="preserve"> layer</w:t>
      </w:r>
      <w:r w:rsidR="00A33D13">
        <w:rPr>
          <w:noProof/>
        </w:rPr>
        <w:t>s</w:t>
      </w:r>
      <w:r w:rsidR="000B6B0C">
        <w:rPr>
          <w:noProof/>
        </w:rPr>
        <w:t xml:space="preserve">, </w:t>
      </w:r>
      <w:r w:rsidR="00A33D13">
        <w:rPr>
          <w:noProof/>
        </w:rPr>
        <w:t xml:space="preserve">there is a spot at length 45 ft and width 10 ft that has a measured </w:t>
      </w:r>
      <m:oMath>
        <m:r>
          <w:rPr>
            <w:rFonts w:ascii="Cambria Math" w:hAnsi="Cambria Math"/>
          </w:rPr>
          <m:t>SC</m:t>
        </m:r>
      </m:oMath>
      <w:r w:rsidR="00A33D13">
        <w:rPr>
          <w:noProof/>
        </w:rPr>
        <w:t xml:space="preserve"> of zero.</w:t>
      </w:r>
      <w:r w:rsidR="000B6B0C">
        <w:rPr>
          <w:noProof/>
        </w:rPr>
        <w:t xml:space="preserve"> </w:t>
      </w:r>
      <w:r w:rsidR="00A33D13">
        <w:rPr>
          <w:noProof/>
        </w:rPr>
        <w:t>The findings of Site 2 agree with those of Site 1</w:t>
      </w:r>
      <w:r w:rsidR="00E52642">
        <w:rPr>
          <w:noProof/>
        </w:rPr>
        <w:t xml:space="preserve"> (i.e. </w:t>
      </w:r>
      <w:r w:rsidR="000B6B0C">
        <w:rPr>
          <w:noProof/>
        </w:rPr>
        <w:t>improved spreading and mixing measures may need to be taken to produce a more homogenous site</w:t>
      </w:r>
      <w:r w:rsidR="00E52642">
        <w:rPr>
          <w:noProof/>
        </w:rPr>
        <w:t>)</w:t>
      </w:r>
      <w:r w:rsidR="000B6B0C">
        <w:rPr>
          <w:noProof/>
        </w:rPr>
        <w:t xml:space="preserve">. </w:t>
      </w:r>
    </w:p>
    <w:p w14:paraId="1155725E" w14:textId="77777777" w:rsidR="002412B1" w:rsidRPr="00EB7390" w:rsidRDefault="002412B1" w:rsidP="002412B1">
      <w:pPr>
        <w:ind w:right="36"/>
        <w:jc w:val="both"/>
        <w:rPr>
          <w:rFonts w:eastAsiaTheme="minorEastAsia"/>
          <w:bCs/>
        </w:rPr>
      </w:pPr>
    </w:p>
    <w:p w14:paraId="263F7936" w14:textId="6A2B5E07" w:rsidR="00CF0CEC" w:rsidRDefault="007314C0" w:rsidP="00B20F87">
      <w:pPr>
        <w:pStyle w:val="Caption"/>
        <w:spacing w:after="0" w:line="480" w:lineRule="auto"/>
      </w:pPr>
      <w:bookmarkStart w:id="123" w:name="_Ref446397817"/>
      <w:r>
        <w:rPr>
          <w:noProof/>
        </w:rPr>
        <w:lastRenderedPageBreak/>
        <w:drawing>
          <wp:inline distT="0" distB="0" distL="0" distR="0" wp14:anchorId="1CC32290" wp14:editId="15815CD4">
            <wp:extent cx="5577840" cy="4997472"/>
            <wp:effectExtent l="0" t="0" r="381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Figure 36.PNG"/>
                    <pic:cNvPicPr/>
                  </pic:nvPicPr>
                  <pic:blipFill>
                    <a:blip r:embed="rId51">
                      <a:extLst>
                        <a:ext uri="{28A0092B-C50C-407E-A947-70E740481C1C}">
                          <a14:useLocalDpi xmlns:a14="http://schemas.microsoft.com/office/drawing/2010/main" val="0"/>
                        </a:ext>
                      </a:extLst>
                    </a:blip>
                    <a:stretch>
                      <a:fillRect/>
                    </a:stretch>
                  </pic:blipFill>
                  <pic:spPr>
                    <a:xfrm>
                      <a:off x="0" y="0"/>
                      <a:ext cx="5577840" cy="4997472"/>
                    </a:xfrm>
                    <a:prstGeom prst="rect">
                      <a:avLst/>
                    </a:prstGeom>
                  </pic:spPr>
                </pic:pic>
              </a:graphicData>
            </a:graphic>
          </wp:inline>
        </w:drawing>
      </w:r>
    </w:p>
    <w:p w14:paraId="15A5AEE0" w14:textId="0F4462D5" w:rsidR="0078751E" w:rsidRDefault="0078751E" w:rsidP="0078751E">
      <w:pPr>
        <w:pStyle w:val="Caption"/>
        <w:spacing w:line="480" w:lineRule="auto"/>
      </w:pPr>
      <w:bookmarkStart w:id="124" w:name="_Ref447603021"/>
      <w:bookmarkStart w:id="125" w:name="_Toc447755374"/>
      <w:r>
        <w:t xml:space="preserve">Figure </w:t>
      </w:r>
      <w:r w:rsidR="00184FC2">
        <w:fldChar w:fldCharType="begin"/>
      </w:r>
      <w:r w:rsidR="00184FC2">
        <w:instrText xml:space="preserve"> SEQ Figure \* ARABIC </w:instrText>
      </w:r>
      <w:r w:rsidR="00184FC2">
        <w:fldChar w:fldCharType="separate"/>
      </w:r>
      <w:r w:rsidR="00E90148">
        <w:rPr>
          <w:noProof/>
        </w:rPr>
        <w:t>36</w:t>
      </w:r>
      <w:r w:rsidR="00184FC2">
        <w:rPr>
          <w:noProof/>
        </w:rPr>
        <w:fldChar w:fldCharType="end"/>
      </w:r>
      <w:bookmarkEnd w:id="124"/>
      <w:r>
        <w:t>: Idealized and Corrected Spatial Stabilizer Distribution for Site 2 at Depths of (a) 0 - 3, (b) 3 - 6, (c) 6 - 9, and (d) 9 - 12 Inches</w:t>
      </w:r>
      <w:bookmarkEnd w:id="125"/>
    </w:p>
    <w:bookmarkEnd w:id="123"/>
    <w:p w14:paraId="0B37525E" w14:textId="77777777" w:rsidR="00EC160E" w:rsidRPr="00EC160E" w:rsidRDefault="00EC160E" w:rsidP="00EC160E"/>
    <w:p w14:paraId="2BAF37C5" w14:textId="0D71F3CD" w:rsidR="001A0F4E" w:rsidRDefault="00C40690" w:rsidP="001A0F4E">
      <w:pPr>
        <w:jc w:val="both"/>
        <w:rPr>
          <w:rFonts w:eastAsiaTheme="minorEastAsia"/>
          <w:b/>
        </w:rPr>
      </w:pPr>
      <w:r>
        <w:rPr>
          <w:rFonts w:eastAsiaTheme="minorEastAsia"/>
          <w:b/>
        </w:rPr>
        <w:tab/>
      </w:r>
      <w:r>
        <w:rPr>
          <w:rFonts w:eastAsiaTheme="minorEastAsia"/>
          <w:b/>
        </w:rPr>
        <w:tab/>
        <w:t>4.3.3</w:t>
      </w:r>
      <w:r w:rsidR="004A7684">
        <w:rPr>
          <w:rFonts w:eastAsiaTheme="minorEastAsia"/>
          <w:b/>
        </w:rPr>
        <w:t>.3</w:t>
      </w:r>
      <w:r w:rsidR="001A0F4E">
        <w:rPr>
          <w:rFonts w:eastAsiaTheme="minorEastAsia"/>
          <w:b/>
        </w:rPr>
        <w:t xml:space="preserve"> Site 3</w:t>
      </w:r>
    </w:p>
    <w:p w14:paraId="598EE456" w14:textId="41606C57" w:rsidR="00A17D7B" w:rsidRDefault="00E16C36" w:rsidP="0078751E">
      <w:pPr>
        <w:ind w:left="1440" w:firstLine="720"/>
        <w:jc w:val="both"/>
        <w:rPr>
          <w:noProof/>
        </w:rPr>
      </w:pPr>
      <w:r>
        <w:rPr>
          <w:noProof/>
        </w:rPr>
        <w:t>The idealized</w:t>
      </w:r>
      <w:r w:rsidR="0078751E">
        <w:rPr>
          <w:noProof/>
        </w:rPr>
        <w:t xml:space="preserve"> and corrected</w:t>
      </w:r>
      <w:r>
        <w:rPr>
          <w:noProof/>
        </w:rPr>
        <w:t xml:space="preserve"> spatial distribution of </w:t>
      </w:r>
      <m:oMath>
        <m:r>
          <w:rPr>
            <w:rFonts w:ascii="Cambria Math" w:hAnsi="Cambria Math"/>
          </w:rPr>
          <m:t>SC</m:t>
        </m:r>
      </m:oMath>
      <w:r w:rsidR="0078751E">
        <w:rPr>
          <w:noProof/>
        </w:rPr>
        <w:t xml:space="preserve"> for Site 3 is illustrated in </w:t>
      </w:r>
      <w:r w:rsidR="0078751E">
        <w:rPr>
          <w:noProof/>
        </w:rPr>
        <w:fldChar w:fldCharType="begin"/>
      </w:r>
      <w:r w:rsidR="0078751E">
        <w:rPr>
          <w:noProof/>
        </w:rPr>
        <w:instrText xml:space="preserve"> REF _Ref447603109 \h </w:instrText>
      </w:r>
      <w:r w:rsidR="0078751E">
        <w:rPr>
          <w:noProof/>
        </w:rPr>
      </w:r>
      <w:r w:rsidR="0078751E">
        <w:rPr>
          <w:noProof/>
        </w:rPr>
        <w:fldChar w:fldCharType="separate"/>
      </w:r>
      <w:r w:rsidR="00E90148">
        <w:t xml:space="preserve">Figure </w:t>
      </w:r>
      <w:r w:rsidR="00E90148">
        <w:rPr>
          <w:noProof/>
        </w:rPr>
        <w:t>37</w:t>
      </w:r>
      <w:r w:rsidR="0078751E">
        <w:rPr>
          <w:noProof/>
        </w:rPr>
        <w:fldChar w:fldCharType="end"/>
      </w:r>
      <w:r w:rsidR="001A0F4E">
        <w:rPr>
          <w:noProof/>
        </w:rPr>
        <w:t xml:space="preserve">. </w:t>
      </w:r>
      <w:r>
        <w:rPr>
          <w:noProof/>
        </w:rPr>
        <w:t xml:space="preserve">The corrected ex situ PHXRF measurements found the top nine inches of Site 3 to have an average </w:t>
      </w:r>
      <m:oMath>
        <m:r>
          <w:rPr>
            <w:rFonts w:ascii="Cambria Math" w:hAnsi="Cambria Math"/>
          </w:rPr>
          <m:t>SC</m:t>
        </m:r>
      </m:oMath>
      <w:r>
        <w:rPr>
          <w:noProof/>
        </w:rPr>
        <w:t xml:space="preserve"> of 10.8%. This result is encouraging considering the design </w:t>
      </w:r>
      <w:r w:rsidR="006114D0">
        <w:rPr>
          <w:noProof/>
        </w:rPr>
        <w:t>portland cement</w:t>
      </w:r>
      <w:r>
        <w:rPr>
          <w:noProof/>
        </w:rPr>
        <w:t xml:space="preserve"> </w:t>
      </w:r>
      <m:oMath>
        <m:r>
          <w:rPr>
            <w:rFonts w:ascii="Cambria Math" w:hAnsi="Cambria Math"/>
          </w:rPr>
          <m:t>SC</m:t>
        </m:r>
      </m:oMath>
      <w:r w:rsidR="006114D0">
        <w:rPr>
          <w:noProof/>
        </w:rPr>
        <w:t xml:space="preserve"> is 10</w:t>
      </w:r>
      <w:r>
        <w:rPr>
          <w:noProof/>
        </w:rPr>
        <w:t xml:space="preserve">% </w:t>
      </w:r>
      <w:r>
        <w:rPr>
          <w:noProof/>
        </w:rPr>
        <w:lastRenderedPageBreak/>
        <w:t>for this site. Therefore, an error of onl</w:t>
      </w:r>
      <w:r w:rsidR="006114D0">
        <w:rPr>
          <w:noProof/>
        </w:rPr>
        <w:t>y 0.8</w:t>
      </w:r>
      <w:r>
        <w:rPr>
          <w:noProof/>
        </w:rPr>
        <w:t xml:space="preserve">% is detected. </w:t>
      </w:r>
      <w:r w:rsidR="00A17D7B">
        <w:rPr>
          <w:noProof/>
        </w:rPr>
        <w:t>Similarly to Site</w:t>
      </w:r>
      <w:r w:rsidR="006114D0">
        <w:rPr>
          <w:noProof/>
        </w:rPr>
        <w:t>s</w:t>
      </w:r>
      <w:r w:rsidR="00A17D7B">
        <w:rPr>
          <w:noProof/>
        </w:rPr>
        <w:t xml:space="preserve"> 1</w:t>
      </w:r>
      <w:r w:rsidR="006114D0">
        <w:rPr>
          <w:noProof/>
        </w:rPr>
        <w:t xml:space="preserve"> and 2</w:t>
      </w:r>
      <w:r w:rsidR="00A17D7B">
        <w:rPr>
          <w:noProof/>
        </w:rPr>
        <w:t xml:space="preserve">, however, </w:t>
      </w:r>
      <w:r w:rsidR="006114D0">
        <w:rPr>
          <w:noProof/>
        </w:rPr>
        <w:t>r</w:t>
      </w:r>
      <w:r w:rsidR="00A17D7B">
        <w:rPr>
          <w:noProof/>
        </w:rPr>
        <w:t xml:space="preserve">elative disparities in </w:t>
      </w:r>
      <m:oMath>
        <m:r>
          <w:rPr>
            <w:rFonts w:ascii="Cambria Math" w:hAnsi="Cambria Math"/>
          </w:rPr>
          <m:t>SC</m:t>
        </m:r>
      </m:oMath>
      <w:r w:rsidR="00A17D7B">
        <w:rPr>
          <w:noProof/>
        </w:rPr>
        <w:t xml:space="preserve"> </w:t>
      </w:r>
      <w:r w:rsidR="006114D0">
        <w:rPr>
          <w:noProof/>
        </w:rPr>
        <w:t xml:space="preserve">are observed </w:t>
      </w:r>
      <w:r w:rsidR="00A17D7B">
        <w:rPr>
          <w:noProof/>
        </w:rPr>
        <w:t>throughout Site 3. Stabilizer seems to have been unproportionall</w:t>
      </w:r>
      <w:r w:rsidR="006114D0">
        <w:rPr>
          <w:noProof/>
        </w:rPr>
        <w:t>y spread to the east side of this</w:t>
      </w:r>
      <w:r w:rsidR="00A17D7B">
        <w:rPr>
          <w:noProof/>
        </w:rPr>
        <w:t xml:space="preserve"> site. In the top 3 inches of the site, corrected stablizer contents between lengths 0 ft and 10 ft and width 10 ft range from </w:t>
      </w:r>
      <w:r w:rsidR="0096509A">
        <w:rPr>
          <w:noProof/>
        </w:rPr>
        <w:t>13</w:t>
      </w:r>
      <w:r w:rsidR="00A17D7B">
        <w:rPr>
          <w:noProof/>
        </w:rPr>
        <w:t xml:space="preserve">.5% to </w:t>
      </w:r>
      <w:r w:rsidR="0096509A">
        <w:rPr>
          <w:noProof/>
        </w:rPr>
        <w:t>17.1</w:t>
      </w:r>
      <w:r w:rsidR="00A17D7B">
        <w:rPr>
          <w:noProof/>
        </w:rPr>
        <w:t xml:space="preserve">%; meanwhile between lengths 0 ft and 10 ft and width 0 ft, corrected </w:t>
      </w:r>
      <m:oMath>
        <m:r>
          <w:rPr>
            <w:rFonts w:ascii="Cambria Math" w:hAnsi="Cambria Math"/>
          </w:rPr>
          <m:t>SC</m:t>
        </m:r>
      </m:oMath>
      <w:r w:rsidR="00A17D7B">
        <w:rPr>
          <w:noProof/>
        </w:rPr>
        <w:t xml:space="preserve"> falls between </w:t>
      </w:r>
      <w:r w:rsidR="0096509A">
        <w:rPr>
          <w:noProof/>
        </w:rPr>
        <w:t>7.4</w:t>
      </w:r>
      <w:r w:rsidR="00A17D7B">
        <w:rPr>
          <w:noProof/>
        </w:rPr>
        <w:t xml:space="preserve">% and </w:t>
      </w:r>
      <w:r w:rsidR="0096509A">
        <w:rPr>
          <w:noProof/>
        </w:rPr>
        <w:t>8.5</w:t>
      </w:r>
      <w:r w:rsidR="00A17D7B">
        <w:rPr>
          <w:noProof/>
        </w:rPr>
        <w:t xml:space="preserve">%. </w:t>
      </w:r>
      <w:r w:rsidR="0096509A">
        <w:rPr>
          <w:noProof/>
        </w:rPr>
        <w:t xml:space="preserve">Similar trends are observed throughout the depth of the site. This agrees with the findings of Site 1 and 2 that improved spreading and mixing measures may be needed to combat the variability throughout the site. </w:t>
      </w:r>
    </w:p>
    <w:p w14:paraId="57B76A9B" w14:textId="1828353B" w:rsidR="00DD533C" w:rsidRPr="00DD533C" w:rsidRDefault="00DD533C" w:rsidP="00A17D7B">
      <w:pPr>
        <w:ind w:left="1440" w:firstLine="720"/>
        <w:jc w:val="both"/>
      </w:pPr>
    </w:p>
    <w:p w14:paraId="1B69B341" w14:textId="69876B9B" w:rsidR="00CF0CEC" w:rsidRDefault="00774B29" w:rsidP="00B20F87">
      <w:pPr>
        <w:pStyle w:val="Caption"/>
        <w:spacing w:after="0" w:line="480" w:lineRule="auto"/>
      </w:pPr>
      <w:bookmarkStart w:id="126" w:name="_Ref446431463"/>
      <w:r>
        <w:rPr>
          <w:noProof/>
        </w:rPr>
        <w:lastRenderedPageBreak/>
        <w:drawing>
          <wp:inline distT="0" distB="0" distL="0" distR="0" wp14:anchorId="0B37FF37" wp14:editId="69172AA0">
            <wp:extent cx="5577840" cy="4973979"/>
            <wp:effectExtent l="0" t="0" r="381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Figure 37.PNG"/>
                    <pic:cNvPicPr/>
                  </pic:nvPicPr>
                  <pic:blipFill rotWithShape="1">
                    <a:blip r:embed="rId52">
                      <a:extLst>
                        <a:ext uri="{28A0092B-C50C-407E-A947-70E740481C1C}">
                          <a14:useLocalDpi xmlns:a14="http://schemas.microsoft.com/office/drawing/2010/main" val="0"/>
                        </a:ext>
                      </a:extLst>
                    </a:blip>
                    <a:srcRect b="509"/>
                    <a:stretch/>
                  </pic:blipFill>
                  <pic:spPr bwMode="auto">
                    <a:xfrm>
                      <a:off x="0" y="0"/>
                      <a:ext cx="5577840" cy="4973979"/>
                    </a:xfrm>
                    <a:prstGeom prst="rect">
                      <a:avLst/>
                    </a:prstGeom>
                    <a:ln>
                      <a:noFill/>
                    </a:ln>
                    <a:extLst>
                      <a:ext uri="{53640926-AAD7-44D8-BBD7-CCE9431645EC}">
                        <a14:shadowObscured xmlns:a14="http://schemas.microsoft.com/office/drawing/2010/main"/>
                      </a:ext>
                    </a:extLst>
                  </pic:spPr>
                </pic:pic>
              </a:graphicData>
            </a:graphic>
          </wp:inline>
        </w:drawing>
      </w:r>
    </w:p>
    <w:p w14:paraId="76168C99" w14:textId="1771F786" w:rsidR="005F0DA1" w:rsidRDefault="005F0DA1" w:rsidP="00B20F87">
      <w:pPr>
        <w:pStyle w:val="Caption"/>
        <w:spacing w:line="480" w:lineRule="auto"/>
      </w:pPr>
      <w:bookmarkStart w:id="127" w:name="_Ref447603109"/>
      <w:bookmarkStart w:id="128" w:name="_Toc447755375"/>
      <w:r>
        <w:t xml:space="preserve">Figure </w:t>
      </w:r>
      <w:r w:rsidR="00184FC2">
        <w:fldChar w:fldCharType="begin"/>
      </w:r>
      <w:r w:rsidR="00184FC2">
        <w:instrText xml:space="preserve"> SEQ Figure \* ARA</w:instrText>
      </w:r>
      <w:r w:rsidR="00184FC2">
        <w:instrText xml:space="preserve">BIC </w:instrText>
      </w:r>
      <w:r w:rsidR="00184FC2">
        <w:fldChar w:fldCharType="separate"/>
      </w:r>
      <w:r w:rsidR="00E90148">
        <w:rPr>
          <w:noProof/>
        </w:rPr>
        <w:t>37</w:t>
      </w:r>
      <w:r w:rsidR="00184FC2">
        <w:rPr>
          <w:noProof/>
        </w:rPr>
        <w:fldChar w:fldCharType="end"/>
      </w:r>
      <w:bookmarkEnd w:id="126"/>
      <w:bookmarkEnd w:id="127"/>
      <w:r>
        <w:t xml:space="preserve">: </w:t>
      </w:r>
      <w:r w:rsidR="007F5002">
        <w:t xml:space="preserve">Idealized </w:t>
      </w:r>
      <w:r w:rsidR="00EC160E">
        <w:t xml:space="preserve">and Corrected </w:t>
      </w:r>
      <w:r>
        <w:t>Spatial Stabili</w:t>
      </w:r>
      <w:r w:rsidR="0078751E">
        <w:t>zer Distribution for Site 3 at</w:t>
      </w:r>
      <w:r>
        <w:t xml:space="preserve"> Depth</w:t>
      </w:r>
      <w:r w:rsidR="00B20F87">
        <w:t>s</w:t>
      </w:r>
      <w:r>
        <w:t xml:space="preserve"> of (a) 0 - 3, (b) 3 - 6, (c) 6 - 9, and (d) 9 - 12 Inches</w:t>
      </w:r>
      <w:bookmarkEnd w:id="128"/>
    </w:p>
    <w:p w14:paraId="2D68D384" w14:textId="77777777" w:rsidR="00705C44" w:rsidRDefault="00705C44" w:rsidP="001C012F">
      <w:pPr>
        <w:jc w:val="left"/>
      </w:pPr>
    </w:p>
    <w:p w14:paraId="5AD2F8D0" w14:textId="50849050" w:rsidR="001C012F" w:rsidRDefault="001C012F" w:rsidP="00DB0F0E">
      <w:pPr>
        <w:ind w:firstLine="720"/>
        <w:jc w:val="both"/>
      </w:pPr>
      <w:r>
        <w:rPr>
          <w:rFonts w:eastAsiaTheme="minorEastAsia"/>
          <w:bCs/>
        </w:rPr>
        <w:t xml:space="preserve">The average </w:t>
      </w:r>
      <m:oMath>
        <m:r>
          <w:rPr>
            <w:rFonts w:ascii="Cambria Math" w:hAnsi="Cambria Math"/>
          </w:rPr>
          <m:t>SC</m:t>
        </m:r>
      </m:oMath>
      <w:r>
        <w:rPr>
          <w:rFonts w:eastAsiaTheme="minorEastAsia"/>
          <w:bCs/>
        </w:rPr>
        <w:t xml:space="preserve">s measured in the design volume of the sites </w:t>
      </w:r>
      <w:r w:rsidR="0082680A">
        <w:rPr>
          <w:rFonts w:eastAsiaTheme="minorEastAsia"/>
          <w:bCs/>
        </w:rPr>
        <w:t xml:space="preserve">with PHXRF spectrometry </w:t>
      </w:r>
      <w:r>
        <w:rPr>
          <w:rFonts w:eastAsiaTheme="minorEastAsia"/>
          <w:bCs/>
        </w:rPr>
        <w:t xml:space="preserve">are often within </w:t>
      </w:r>
      <w:r>
        <w:rPr>
          <w:rFonts w:eastAsiaTheme="minorEastAsia" w:cs="Times New Roman"/>
          <w:bCs/>
        </w:rPr>
        <w:t>±</w:t>
      </w:r>
      <w:r>
        <w:rPr>
          <w:rFonts w:eastAsiaTheme="minorEastAsia"/>
          <w:bCs/>
        </w:rPr>
        <w:t xml:space="preserve">1% of the design </w:t>
      </w:r>
      <m:oMath>
        <m:r>
          <w:rPr>
            <w:rFonts w:ascii="Cambria Math" w:hAnsi="Cambria Math"/>
          </w:rPr>
          <m:t>SC</m:t>
        </m:r>
      </m:oMath>
      <w:r w:rsidR="00DB0F0E">
        <w:rPr>
          <w:rFonts w:eastAsiaTheme="minorEastAsia"/>
        </w:rPr>
        <w:t>s</w:t>
      </w:r>
      <w:r>
        <w:rPr>
          <w:rFonts w:eastAsiaTheme="minorEastAsia"/>
          <w:bCs/>
        </w:rPr>
        <w:t xml:space="preserve">, </w:t>
      </w:r>
      <w:r w:rsidR="0082680A">
        <w:rPr>
          <w:rFonts w:eastAsiaTheme="minorEastAsia"/>
          <w:bCs/>
        </w:rPr>
        <w:t xml:space="preserve">as seen in </w:t>
      </w:r>
      <w:r w:rsidR="0082680A">
        <w:rPr>
          <w:rFonts w:eastAsiaTheme="minorEastAsia"/>
          <w:bCs/>
        </w:rPr>
        <w:fldChar w:fldCharType="begin"/>
      </w:r>
      <w:r w:rsidR="0082680A">
        <w:rPr>
          <w:rFonts w:eastAsiaTheme="minorEastAsia"/>
          <w:bCs/>
        </w:rPr>
        <w:instrText xml:space="preserve"> REF _Ref447746083 \h </w:instrText>
      </w:r>
      <w:r w:rsidR="008F1CA8">
        <w:rPr>
          <w:rFonts w:eastAsiaTheme="minorEastAsia"/>
          <w:bCs/>
        </w:rPr>
        <w:instrText xml:space="preserve"> \* MERGEFORMAT </w:instrText>
      </w:r>
      <w:r w:rsidR="0082680A">
        <w:rPr>
          <w:rFonts w:eastAsiaTheme="minorEastAsia"/>
          <w:bCs/>
        </w:rPr>
      </w:r>
      <w:r w:rsidR="0082680A">
        <w:rPr>
          <w:rFonts w:eastAsiaTheme="minorEastAsia"/>
          <w:bCs/>
        </w:rPr>
        <w:fldChar w:fldCharType="separate"/>
      </w:r>
      <w:r w:rsidR="00E90148">
        <w:t xml:space="preserve">Table </w:t>
      </w:r>
      <w:r w:rsidR="00E90148">
        <w:rPr>
          <w:noProof/>
        </w:rPr>
        <w:t>18</w:t>
      </w:r>
      <w:r w:rsidR="0082680A">
        <w:rPr>
          <w:rFonts w:eastAsiaTheme="minorEastAsia"/>
          <w:bCs/>
        </w:rPr>
        <w:fldChar w:fldCharType="end"/>
      </w:r>
      <w:r>
        <w:rPr>
          <w:rFonts w:eastAsiaTheme="minorEastAsia"/>
          <w:bCs/>
        </w:rPr>
        <w:t xml:space="preserve">. </w:t>
      </w:r>
      <w:r w:rsidR="0082680A">
        <w:rPr>
          <w:rFonts w:eastAsiaTheme="minorEastAsia"/>
          <w:bCs/>
        </w:rPr>
        <w:t xml:space="preserve">This </w:t>
      </w:r>
      <w:r w:rsidR="008F1CA8">
        <w:rPr>
          <w:rFonts w:eastAsiaTheme="minorEastAsia"/>
          <w:bCs/>
        </w:rPr>
        <w:t xml:space="preserve">degree of </w:t>
      </w:r>
      <w:r w:rsidR="0082680A">
        <w:rPr>
          <w:rFonts w:eastAsiaTheme="minorEastAsia"/>
          <w:bCs/>
        </w:rPr>
        <w:t>accuracy, coupled with the convenience of portability</w:t>
      </w:r>
      <w:r w:rsidR="00DB0F0E">
        <w:rPr>
          <w:rFonts w:eastAsiaTheme="minorEastAsia"/>
          <w:bCs/>
        </w:rPr>
        <w:t xml:space="preserve"> of PHXRF devices</w:t>
      </w:r>
      <w:r w:rsidR="0082680A">
        <w:rPr>
          <w:rFonts w:eastAsiaTheme="minorEastAsia"/>
          <w:bCs/>
        </w:rPr>
        <w:t xml:space="preserve">, </w:t>
      </w:r>
      <w:r w:rsidR="00DB0F0E">
        <w:rPr>
          <w:rFonts w:eastAsiaTheme="minorEastAsia"/>
          <w:bCs/>
        </w:rPr>
        <w:t>shows great promise regarding field deployment feasibility.</w:t>
      </w:r>
      <w:r w:rsidR="008F1CA8">
        <w:rPr>
          <w:rFonts w:eastAsiaTheme="minorEastAsia"/>
          <w:bCs/>
        </w:rPr>
        <w:t xml:space="preserve"> </w:t>
      </w:r>
      <w:r w:rsidR="00DB0F0E">
        <w:rPr>
          <w:rFonts w:eastAsiaTheme="minorEastAsia"/>
          <w:bCs/>
        </w:rPr>
        <w:t xml:space="preserve">PHXRF spectrometry </w:t>
      </w:r>
      <w:r w:rsidR="008F1CA8">
        <w:rPr>
          <w:rFonts w:eastAsiaTheme="minorEastAsia"/>
          <w:bCs/>
        </w:rPr>
        <w:t xml:space="preserve">is a very helpful </w:t>
      </w:r>
      <w:r w:rsidR="008F1CA8">
        <w:rPr>
          <w:rFonts w:eastAsiaTheme="minorEastAsia"/>
          <w:bCs/>
        </w:rPr>
        <w:lastRenderedPageBreak/>
        <w:t xml:space="preserve">and efficient way of gathering data and </w:t>
      </w:r>
      <w:r w:rsidR="00DB0F0E">
        <w:rPr>
          <w:rFonts w:eastAsiaTheme="minorEastAsia"/>
          <w:bCs/>
        </w:rPr>
        <w:t>can be a very useful</w:t>
      </w:r>
      <w:r w:rsidR="008F1CA8">
        <w:rPr>
          <w:rFonts w:eastAsiaTheme="minorEastAsia"/>
          <w:bCs/>
        </w:rPr>
        <w:t xml:space="preserve"> tool for future </w:t>
      </w:r>
      <w:r w:rsidR="00DB0F0E">
        <w:rPr>
          <w:rFonts w:eastAsiaTheme="minorEastAsia"/>
          <w:bCs/>
        </w:rPr>
        <w:t xml:space="preserve">construction </w:t>
      </w:r>
      <w:r w:rsidR="008F1CA8">
        <w:rPr>
          <w:rFonts w:eastAsiaTheme="minorEastAsia"/>
          <w:bCs/>
        </w:rPr>
        <w:t>site inspectors and forensic investigators.</w:t>
      </w:r>
    </w:p>
    <w:p w14:paraId="6AA02D95" w14:textId="77777777" w:rsidR="001C012F" w:rsidRDefault="001C012F" w:rsidP="0082680A">
      <w:pPr>
        <w:jc w:val="left"/>
      </w:pPr>
    </w:p>
    <w:p w14:paraId="69606F14" w14:textId="0E4D0EA8" w:rsidR="00F55083" w:rsidRDefault="00F55083" w:rsidP="00D62E13">
      <w:pPr>
        <w:pStyle w:val="Caption"/>
        <w:spacing w:line="480" w:lineRule="auto"/>
      </w:pPr>
      <w:bookmarkStart w:id="129" w:name="_Ref447746083"/>
      <w:bookmarkStart w:id="130" w:name="_Toc447755338"/>
      <w:r>
        <w:t xml:space="preserve">Table </w:t>
      </w:r>
      <w:r w:rsidR="00184FC2">
        <w:fldChar w:fldCharType="begin"/>
      </w:r>
      <w:r w:rsidR="00184FC2">
        <w:instrText xml:space="preserve"> SEQ Table \* ARABIC </w:instrText>
      </w:r>
      <w:r w:rsidR="00184FC2">
        <w:fldChar w:fldCharType="separate"/>
      </w:r>
      <w:r w:rsidR="00E90148">
        <w:rPr>
          <w:noProof/>
        </w:rPr>
        <w:t>18</w:t>
      </w:r>
      <w:r w:rsidR="00184FC2">
        <w:rPr>
          <w:noProof/>
        </w:rPr>
        <w:fldChar w:fldCharType="end"/>
      </w:r>
      <w:bookmarkEnd w:id="129"/>
      <w:r>
        <w:t xml:space="preserve">: </w:t>
      </w:r>
      <w:r w:rsidR="00D62E13">
        <w:t xml:space="preserve">Average </w:t>
      </w:r>
      <w:r w:rsidR="002A507B">
        <w:t>Ex Situ Stabilizer Content Measurements</w:t>
      </w:r>
      <w:r w:rsidR="00D62E13">
        <w:t xml:space="preserve"> and Design Stabilizer Contents for Top Nine Inches of All Sites</w:t>
      </w:r>
      <w:bookmarkEnd w:id="130"/>
    </w:p>
    <w:tbl>
      <w:tblPr>
        <w:tblW w:w="6212" w:type="dxa"/>
        <w:jc w:val="center"/>
        <w:tblLook w:val="04A0" w:firstRow="1" w:lastRow="0" w:firstColumn="1" w:lastColumn="0" w:noHBand="0" w:noVBand="1"/>
      </w:tblPr>
      <w:tblGrid>
        <w:gridCol w:w="452"/>
        <w:gridCol w:w="1584"/>
        <w:gridCol w:w="720"/>
        <w:gridCol w:w="1728"/>
        <w:gridCol w:w="1728"/>
      </w:tblGrid>
      <w:tr w:rsidR="00D62E13" w:rsidRPr="0063206D" w14:paraId="753EF003" w14:textId="77777777" w:rsidTr="00E90148">
        <w:trPr>
          <w:trHeight w:val="300"/>
          <w:jc w:val="center"/>
        </w:trPr>
        <w:tc>
          <w:tcPr>
            <w:tcW w:w="452" w:type="dxa"/>
            <w:tcBorders>
              <w:bottom w:val="nil"/>
              <w:right w:val="single" w:sz="4" w:space="0" w:color="auto"/>
            </w:tcBorders>
            <w:shd w:val="clear" w:color="000000" w:fill="auto"/>
            <w:vAlign w:val="center"/>
            <w:hideMark/>
          </w:tcPr>
          <w:p w14:paraId="33924129" w14:textId="77777777" w:rsidR="00D62E13" w:rsidRPr="0063206D" w:rsidRDefault="00D62E13" w:rsidP="008F1CA8">
            <w:pPr>
              <w:spacing w:line="240" w:lineRule="auto"/>
              <w:rPr>
                <w:rFonts w:eastAsia="Times New Roman" w:cs="Times New Roman"/>
                <w:i/>
                <w:iCs/>
                <w:color w:val="000000"/>
                <w:sz w:val="22"/>
                <w:szCs w:val="22"/>
              </w:rPr>
            </w:pPr>
          </w:p>
        </w:tc>
        <w:tc>
          <w:tcPr>
            <w:tcW w:w="1584" w:type="dxa"/>
            <w:vMerge w:val="restart"/>
            <w:tcBorders>
              <w:top w:val="single" w:sz="4" w:space="0" w:color="auto"/>
              <w:left w:val="single" w:sz="4" w:space="0" w:color="auto"/>
              <w:bottom w:val="single" w:sz="4" w:space="0" w:color="auto"/>
              <w:right w:val="nil"/>
            </w:tcBorders>
            <w:shd w:val="clear" w:color="000000" w:fill="BFBFBF"/>
            <w:vAlign w:val="center"/>
            <w:hideMark/>
          </w:tcPr>
          <w:p w14:paraId="0CDA9525" w14:textId="5E5857FD" w:rsidR="00D62E13" w:rsidRPr="0063206D" w:rsidRDefault="00D62E13" w:rsidP="008F1CA8">
            <w:pPr>
              <w:spacing w:line="240" w:lineRule="auto"/>
              <w:rPr>
                <w:rFonts w:eastAsia="Times New Roman" w:cs="Times New Roman"/>
                <w:i/>
                <w:iCs/>
                <w:color w:val="000000"/>
                <w:sz w:val="22"/>
                <w:szCs w:val="22"/>
              </w:rPr>
            </w:pPr>
            <w:r>
              <w:rPr>
                <w:rFonts w:eastAsia="Times New Roman" w:cs="Times New Roman"/>
                <w:i/>
                <w:iCs/>
                <w:color w:val="000000"/>
                <w:sz w:val="22"/>
                <w:szCs w:val="22"/>
              </w:rPr>
              <w:t>Site Number</w:t>
            </w:r>
          </w:p>
        </w:tc>
        <w:tc>
          <w:tcPr>
            <w:tcW w:w="720" w:type="dxa"/>
            <w:vMerge w:val="restart"/>
            <w:tcBorders>
              <w:top w:val="single" w:sz="4" w:space="0" w:color="auto"/>
              <w:left w:val="nil"/>
              <w:bottom w:val="single" w:sz="4" w:space="0" w:color="auto"/>
              <w:right w:val="nil"/>
            </w:tcBorders>
            <w:shd w:val="clear" w:color="000000" w:fill="BFBFBF"/>
            <w:vAlign w:val="center"/>
          </w:tcPr>
          <w:p w14:paraId="3898585A" w14:textId="77777777" w:rsidR="00D62E13" w:rsidRDefault="00D62E13" w:rsidP="008F1CA8">
            <w:pPr>
              <w:spacing w:line="240" w:lineRule="auto"/>
              <w:rPr>
                <w:rFonts w:eastAsia="Times New Roman" w:cs="Times New Roman"/>
                <w:i/>
                <w:iCs/>
                <w:color w:val="000000"/>
                <w:sz w:val="22"/>
                <w:szCs w:val="22"/>
              </w:rPr>
            </w:pPr>
            <w:r>
              <w:rPr>
                <w:rFonts w:eastAsia="Times New Roman" w:cs="Times New Roman"/>
                <w:i/>
                <w:iCs/>
                <w:color w:val="000000"/>
                <w:sz w:val="22"/>
                <w:szCs w:val="22"/>
              </w:rPr>
              <w:t>n</w:t>
            </w:r>
          </w:p>
        </w:tc>
        <w:tc>
          <w:tcPr>
            <w:tcW w:w="1728" w:type="dxa"/>
            <w:vMerge w:val="restart"/>
            <w:tcBorders>
              <w:top w:val="single" w:sz="4" w:space="0" w:color="auto"/>
              <w:left w:val="nil"/>
              <w:bottom w:val="single" w:sz="4" w:space="0" w:color="auto"/>
              <w:right w:val="nil"/>
            </w:tcBorders>
            <w:shd w:val="clear" w:color="000000" w:fill="BFBFBF"/>
            <w:vAlign w:val="center"/>
            <w:hideMark/>
          </w:tcPr>
          <w:p w14:paraId="101E65B9" w14:textId="77777777" w:rsidR="00D62E13" w:rsidRDefault="00D62E13" w:rsidP="008F1CA8">
            <w:pPr>
              <w:spacing w:line="240" w:lineRule="auto"/>
              <w:rPr>
                <w:rFonts w:eastAsia="Times New Roman" w:cs="Times New Roman"/>
                <w:i/>
                <w:iCs/>
                <w:color w:val="000000"/>
                <w:sz w:val="22"/>
                <w:szCs w:val="22"/>
              </w:rPr>
            </w:pPr>
            <w:r>
              <w:rPr>
                <w:rFonts w:eastAsia="Times New Roman" w:cs="Times New Roman"/>
                <w:i/>
                <w:iCs/>
                <w:color w:val="000000"/>
                <w:sz w:val="22"/>
                <w:szCs w:val="22"/>
              </w:rPr>
              <w:t>Measured SC</w:t>
            </w:r>
          </w:p>
          <w:p w14:paraId="4782391B" w14:textId="79311D28" w:rsidR="00D62E13" w:rsidRPr="0063206D" w:rsidRDefault="00D62E13" w:rsidP="008F1CA8">
            <w:pPr>
              <w:spacing w:line="240" w:lineRule="auto"/>
              <w:rPr>
                <w:rFonts w:eastAsia="Times New Roman" w:cs="Times New Roman"/>
                <w:i/>
                <w:iCs/>
                <w:color w:val="000000"/>
                <w:sz w:val="22"/>
                <w:szCs w:val="22"/>
              </w:rPr>
            </w:pPr>
            <w:r>
              <w:rPr>
                <w:rFonts w:eastAsia="Times New Roman" w:cs="Times New Roman"/>
                <w:i/>
                <w:iCs/>
                <w:color w:val="000000"/>
                <w:sz w:val="22"/>
                <w:szCs w:val="22"/>
              </w:rPr>
              <w:t>(%)</w:t>
            </w:r>
          </w:p>
        </w:tc>
        <w:tc>
          <w:tcPr>
            <w:tcW w:w="1728" w:type="dxa"/>
            <w:vMerge w:val="restart"/>
            <w:tcBorders>
              <w:top w:val="single" w:sz="4" w:space="0" w:color="auto"/>
              <w:left w:val="nil"/>
              <w:bottom w:val="single" w:sz="4" w:space="0" w:color="auto"/>
              <w:right w:val="single" w:sz="4" w:space="0" w:color="auto"/>
            </w:tcBorders>
            <w:shd w:val="clear" w:color="000000" w:fill="BFBFBF"/>
            <w:vAlign w:val="center"/>
            <w:hideMark/>
          </w:tcPr>
          <w:p w14:paraId="0D58F219" w14:textId="760404D3" w:rsidR="00D62E13" w:rsidRDefault="00D62E13" w:rsidP="008F1CA8">
            <w:pPr>
              <w:spacing w:line="240" w:lineRule="auto"/>
              <w:rPr>
                <w:rFonts w:eastAsia="Times New Roman" w:cs="Times New Roman"/>
                <w:i/>
                <w:iCs/>
                <w:color w:val="000000"/>
                <w:sz w:val="22"/>
                <w:szCs w:val="22"/>
              </w:rPr>
            </w:pPr>
            <w:r>
              <w:rPr>
                <w:rFonts w:eastAsia="Times New Roman" w:cs="Times New Roman"/>
                <w:i/>
                <w:iCs/>
                <w:color w:val="000000"/>
                <w:sz w:val="22"/>
                <w:szCs w:val="22"/>
              </w:rPr>
              <w:t>Design SC</w:t>
            </w:r>
            <w:r w:rsidRPr="0063206D">
              <w:rPr>
                <w:rFonts w:eastAsia="Times New Roman" w:cs="Times New Roman"/>
                <w:i/>
                <w:iCs/>
                <w:color w:val="000000"/>
                <w:sz w:val="22"/>
                <w:szCs w:val="22"/>
              </w:rPr>
              <w:t xml:space="preserve"> </w:t>
            </w:r>
          </w:p>
          <w:p w14:paraId="69D5946D" w14:textId="16031A8E" w:rsidR="00D62E13" w:rsidRPr="0063206D" w:rsidRDefault="00D62E13" w:rsidP="008F1CA8">
            <w:pPr>
              <w:spacing w:line="240" w:lineRule="auto"/>
              <w:rPr>
                <w:rFonts w:eastAsia="Times New Roman" w:cs="Times New Roman"/>
                <w:i/>
                <w:iCs/>
                <w:color w:val="000000"/>
                <w:sz w:val="22"/>
                <w:szCs w:val="22"/>
              </w:rPr>
            </w:pPr>
            <w:r>
              <w:rPr>
                <w:rFonts w:eastAsia="Times New Roman" w:cs="Times New Roman"/>
                <w:i/>
                <w:iCs/>
                <w:color w:val="000000"/>
                <w:sz w:val="22"/>
                <w:szCs w:val="22"/>
              </w:rPr>
              <w:t>(%)</w:t>
            </w:r>
            <w:r w:rsidRPr="0063206D">
              <w:rPr>
                <w:rFonts w:eastAsia="Times New Roman" w:cs="Times New Roman"/>
                <w:i/>
                <w:iCs/>
                <w:color w:val="000000"/>
                <w:sz w:val="22"/>
                <w:szCs w:val="22"/>
              </w:rPr>
              <w:t xml:space="preserve">          </w:t>
            </w:r>
          </w:p>
        </w:tc>
      </w:tr>
      <w:tr w:rsidR="00D62E13" w:rsidRPr="0063206D" w14:paraId="663B99CB" w14:textId="77777777" w:rsidTr="00E90148">
        <w:trPr>
          <w:trHeight w:val="315"/>
          <w:jc w:val="center"/>
        </w:trPr>
        <w:tc>
          <w:tcPr>
            <w:tcW w:w="452" w:type="dxa"/>
            <w:tcBorders>
              <w:top w:val="nil"/>
              <w:bottom w:val="single" w:sz="4" w:space="0" w:color="auto"/>
              <w:right w:val="single" w:sz="4" w:space="0" w:color="auto"/>
            </w:tcBorders>
            <w:shd w:val="clear" w:color="000000" w:fill="auto"/>
            <w:vAlign w:val="center"/>
            <w:hideMark/>
          </w:tcPr>
          <w:p w14:paraId="0A8A8699" w14:textId="77777777" w:rsidR="00D62E13" w:rsidRPr="0063206D" w:rsidRDefault="00D62E13" w:rsidP="008F1CA8">
            <w:pPr>
              <w:spacing w:line="240" w:lineRule="auto"/>
              <w:jc w:val="both"/>
              <w:rPr>
                <w:rFonts w:eastAsia="Times New Roman" w:cs="Times New Roman"/>
                <w:i/>
                <w:iCs/>
                <w:color w:val="000000"/>
                <w:sz w:val="22"/>
                <w:szCs w:val="22"/>
              </w:rPr>
            </w:pPr>
          </w:p>
        </w:tc>
        <w:tc>
          <w:tcPr>
            <w:tcW w:w="1584" w:type="dxa"/>
            <w:vMerge/>
            <w:tcBorders>
              <w:left w:val="single" w:sz="4" w:space="0" w:color="auto"/>
              <w:bottom w:val="single" w:sz="4" w:space="0" w:color="auto"/>
              <w:right w:val="nil"/>
            </w:tcBorders>
            <w:vAlign w:val="center"/>
            <w:hideMark/>
          </w:tcPr>
          <w:p w14:paraId="7F5A62FC" w14:textId="77777777" w:rsidR="00D62E13" w:rsidRPr="0063206D" w:rsidRDefault="00D62E13" w:rsidP="008F1CA8">
            <w:pPr>
              <w:spacing w:line="240" w:lineRule="auto"/>
              <w:jc w:val="left"/>
              <w:rPr>
                <w:rFonts w:eastAsia="Times New Roman" w:cs="Times New Roman"/>
                <w:i/>
                <w:iCs/>
                <w:color w:val="000000"/>
                <w:sz w:val="22"/>
                <w:szCs w:val="22"/>
              </w:rPr>
            </w:pPr>
          </w:p>
        </w:tc>
        <w:tc>
          <w:tcPr>
            <w:tcW w:w="720" w:type="dxa"/>
            <w:vMerge/>
            <w:tcBorders>
              <w:left w:val="nil"/>
              <w:bottom w:val="single" w:sz="4" w:space="0" w:color="auto"/>
              <w:right w:val="nil"/>
            </w:tcBorders>
          </w:tcPr>
          <w:p w14:paraId="499461B8" w14:textId="77777777" w:rsidR="00D62E13" w:rsidRPr="0063206D" w:rsidRDefault="00D62E13" w:rsidP="008F1CA8">
            <w:pPr>
              <w:spacing w:line="240" w:lineRule="auto"/>
              <w:jc w:val="left"/>
              <w:rPr>
                <w:rFonts w:eastAsia="Times New Roman" w:cs="Times New Roman"/>
                <w:i/>
                <w:iCs/>
                <w:color w:val="000000"/>
                <w:sz w:val="22"/>
                <w:szCs w:val="22"/>
              </w:rPr>
            </w:pPr>
          </w:p>
        </w:tc>
        <w:tc>
          <w:tcPr>
            <w:tcW w:w="1728" w:type="dxa"/>
            <w:vMerge/>
            <w:tcBorders>
              <w:left w:val="nil"/>
              <w:bottom w:val="single" w:sz="4" w:space="0" w:color="auto"/>
              <w:right w:val="nil"/>
            </w:tcBorders>
            <w:vAlign w:val="center"/>
            <w:hideMark/>
          </w:tcPr>
          <w:p w14:paraId="5C75B991" w14:textId="77777777" w:rsidR="00D62E13" w:rsidRPr="0063206D" w:rsidRDefault="00D62E13" w:rsidP="008F1CA8">
            <w:pPr>
              <w:spacing w:line="240" w:lineRule="auto"/>
              <w:jc w:val="left"/>
              <w:rPr>
                <w:rFonts w:eastAsia="Times New Roman" w:cs="Times New Roman"/>
                <w:i/>
                <w:iCs/>
                <w:color w:val="000000"/>
                <w:sz w:val="22"/>
                <w:szCs w:val="22"/>
              </w:rPr>
            </w:pPr>
          </w:p>
        </w:tc>
        <w:tc>
          <w:tcPr>
            <w:tcW w:w="1728" w:type="dxa"/>
            <w:vMerge/>
            <w:tcBorders>
              <w:left w:val="nil"/>
              <w:bottom w:val="single" w:sz="4" w:space="0" w:color="auto"/>
              <w:right w:val="single" w:sz="4" w:space="0" w:color="auto"/>
            </w:tcBorders>
            <w:vAlign w:val="center"/>
            <w:hideMark/>
          </w:tcPr>
          <w:p w14:paraId="2B5CD4D5" w14:textId="77777777" w:rsidR="00D62E13" w:rsidRPr="0063206D" w:rsidRDefault="00D62E13" w:rsidP="008F1CA8">
            <w:pPr>
              <w:spacing w:line="240" w:lineRule="auto"/>
              <w:jc w:val="left"/>
              <w:rPr>
                <w:rFonts w:eastAsia="Times New Roman" w:cs="Times New Roman"/>
                <w:i/>
                <w:iCs/>
                <w:color w:val="000000"/>
                <w:sz w:val="22"/>
                <w:szCs w:val="22"/>
              </w:rPr>
            </w:pPr>
          </w:p>
        </w:tc>
      </w:tr>
      <w:tr w:rsidR="00D62E13" w:rsidRPr="0063206D" w14:paraId="1A665EE8" w14:textId="77777777" w:rsidTr="00E90148">
        <w:trPr>
          <w:cantSplit/>
          <w:trHeight w:val="389"/>
          <w:jc w:val="center"/>
        </w:trPr>
        <w:tc>
          <w:tcPr>
            <w:tcW w:w="4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hideMark/>
          </w:tcPr>
          <w:p w14:paraId="1787F82F" w14:textId="77777777" w:rsidR="00D62E13" w:rsidRPr="0063206D" w:rsidRDefault="00D62E13" w:rsidP="008F1CA8">
            <w:pPr>
              <w:spacing w:line="240" w:lineRule="auto"/>
              <w:ind w:left="113" w:right="113"/>
              <w:rPr>
                <w:rFonts w:eastAsia="Times New Roman" w:cs="Times New Roman"/>
                <w:i/>
                <w:iCs/>
                <w:color w:val="000000"/>
                <w:sz w:val="20"/>
                <w:szCs w:val="20"/>
              </w:rPr>
            </w:pPr>
            <w:r w:rsidRPr="0063206D">
              <w:rPr>
                <w:rFonts w:eastAsia="Times New Roman" w:cs="Times New Roman"/>
                <w:i/>
                <w:iCs/>
                <w:color w:val="000000"/>
                <w:sz w:val="20"/>
                <w:szCs w:val="20"/>
              </w:rPr>
              <w:t>Niton XL3t</w:t>
            </w:r>
          </w:p>
          <w:p w14:paraId="5648EB14" w14:textId="77777777" w:rsidR="00D62E13" w:rsidRPr="0063206D" w:rsidRDefault="00D62E13" w:rsidP="008F1CA8">
            <w:pPr>
              <w:spacing w:line="240" w:lineRule="auto"/>
              <w:ind w:left="113" w:right="113"/>
              <w:rPr>
                <w:rFonts w:eastAsia="Times New Roman" w:cs="Times New Roman"/>
                <w:i/>
                <w:iCs/>
                <w:color w:val="000000"/>
                <w:sz w:val="20"/>
                <w:szCs w:val="20"/>
              </w:rPr>
            </w:pPr>
          </w:p>
        </w:tc>
        <w:tc>
          <w:tcPr>
            <w:tcW w:w="1584" w:type="dxa"/>
            <w:tcBorders>
              <w:top w:val="single" w:sz="4" w:space="0" w:color="auto"/>
              <w:left w:val="single" w:sz="4" w:space="0" w:color="auto"/>
              <w:bottom w:val="nil"/>
            </w:tcBorders>
            <w:shd w:val="clear" w:color="000000" w:fill="FFFFFF"/>
            <w:noWrap/>
            <w:vAlign w:val="center"/>
            <w:hideMark/>
          </w:tcPr>
          <w:p w14:paraId="466F4D76" w14:textId="3A7FB949"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w:t>
            </w:r>
          </w:p>
        </w:tc>
        <w:tc>
          <w:tcPr>
            <w:tcW w:w="720" w:type="dxa"/>
            <w:tcBorders>
              <w:top w:val="single" w:sz="4" w:space="0" w:color="auto"/>
              <w:left w:val="nil"/>
              <w:bottom w:val="nil"/>
              <w:right w:val="dashed" w:sz="4" w:space="0" w:color="000000"/>
            </w:tcBorders>
            <w:shd w:val="clear" w:color="000000" w:fill="FFFFFF"/>
            <w:vAlign w:val="center"/>
          </w:tcPr>
          <w:p w14:paraId="36FB70A0" w14:textId="079AD84C"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198</w:t>
            </w:r>
          </w:p>
        </w:tc>
        <w:tc>
          <w:tcPr>
            <w:tcW w:w="1728" w:type="dxa"/>
            <w:tcBorders>
              <w:top w:val="single" w:sz="4" w:space="0" w:color="auto"/>
              <w:left w:val="dashed" w:sz="4" w:space="0" w:color="000000"/>
              <w:bottom w:val="nil"/>
              <w:right w:val="nil"/>
            </w:tcBorders>
            <w:shd w:val="clear" w:color="000000" w:fill="FFFFFF"/>
            <w:noWrap/>
            <w:vAlign w:val="center"/>
            <w:hideMark/>
          </w:tcPr>
          <w:p w14:paraId="671C6BE9" w14:textId="0FB63884"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15.3</w:t>
            </w:r>
          </w:p>
        </w:tc>
        <w:tc>
          <w:tcPr>
            <w:tcW w:w="1728" w:type="dxa"/>
            <w:tcBorders>
              <w:top w:val="single" w:sz="4" w:space="0" w:color="auto"/>
              <w:left w:val="nil"/>
              <w:bottom w:val="nil"/>
              <w:right w:val="single" w:sz="8" w:space="0" w:color="000000"/>
            </w:tcBorders>
            <w:shd w:val="clear" w:color="000000" w:fill="FFFFFF"/>
            <w:vAlign w:val="center"/>
            <w:hideMark/>
          </w:tcPr>
          <w:p w14:paraId="4864B5EA" w14:textId="38C7571F"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15.0</w:t>
            </w:r>
          </w:p>
        </w:tc>
      </w:tr>
      <w:tr w:rsidR="00D62E13" w:rsidRPr="0063206D" w14:paraId="7BB363B0" w14:textId="77777777" w:rsidTr="00E90148">
        <w:trPr>
          <w:trHeight w:val="389"/>
          <w:jc w:val="center"/>
        </w:trPr>
        <w:tc>
          <w:tcPr>
            <w:tcW w:w="45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539FB4" w14:textId="77777777" w:rsidR="00D62E13" w:rsidRPr="0063206D" w:rsidRDefault="00D62E13" w:rsidP="008F1CA8">
            <w:pPr>
              <w:spacing w:line="240" w:lineRule="auto"/>
              <w:rPr>
                <w:rFonts w:eastAsia="Times New Roman" w:cs="Times New Roman"/>
                <w:i/>
                <w:iCs/>
                <w:color w:val="000000"/>
                <w:sz w:val="20"/>
                <w:szCs w:val="20"/>
              </w:rPr>
            </w:pPr>
          </w:p>
        </w:tc>
        <w:tc>
          <w:tcPr>
            <w:tcW w:w="1584" w:type="dxa"/>
            <w:tcBorders>
              <w:top w:val="nil"/>
              <w:left w:val="single" w:sz="4" w:space="0" w:color="auto"/>
              <w:bottom w:val="nil"/>
            </w:tcBorders>
            <w:shd w:val="clear" w:color="000000" w:fill="F2F2F2"/>
            <w:noWrap/>
            <w:vAlign w:val="center"/>
            <w:hideMark/>
          </w:tcPr>
          <w:p w14:paraId="7722A9C8" w14:textId="3908DB95"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2</w:t>
            </w:r>
          </w:p>
        </w:tc>
        <w:tc>
          <w:tcPr>
            <w:tcW w:w="720" w:type="dxa"/>
            <w:tcBorders>
              <w:top w:val="nil"/>
              <w:left w:val="nil"/>
              <w:bottom w:val="nil"/>
              <w:right w:val="dashed" w:sz="4" w:space="0" w:color="000000"/>
            </w:tcBorders>
            <w:shd w:val="clear" w:color="000000" w:fill="F2F2F2"/>
            <w:vAlign w:val="center"/>
          </w:tcPr>
          <w:p w14:paraId="07D8655B" w14:textId="77A7F7C6"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297</w:t>
            </w:r>
          </w:p>
        </w:tc>
        <w:tc>
          <w:tcPr>
            <w:tcW w:w="1728" w:type="dxa"/>
            <w:tcBorders>
              <w:top w:val="nil"/>
              <w:left w:val="dashed" w:sz="4" w:space="0" w:color="000000"/>
              <w:bottom w:val="nil"/>
              <w:right w:val="nil"/>
            </w:tcBorders>
            <w:shd w:val="clear" w:color="000000" w:fill="F2F2F2"/>
            <w:noWrap/>
            <w:vAlign w:val="center"/>
            <w:hideMark/>
          </w:tcPr>
          <w:p w14:paraId="13B505BD" w14:textId="7067742B"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12.6</w:t>
            </w:r>
          </w:p>
        </w:tc>
        <w:tc>
          <w:tcPr>
            <w:tcW w:w="1728" w:type="dxa"/>
            <w:tcBorders>
              <w:top w:val="nil"/>
              <w:left w:val="nil"/>
              <w:bottom w:val="nil"/>
              <w:right w:val="single" w:sz="8" w:space="0" w:color="000000"/>
            </w:tcBorders>
            <w:shd w:val="clear" w:color="000000" w:fill="F2F2F2"/>
            <w:vAlign w:val="center"/>
            <w:hideMark/>
          </w:tcPr>
          <w:p w14:paraId="22A9E78C" w14:textId="5266135C"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16.0</w:t>
            </w:r>
          </w:p>
        </w:tc>
      </w:tr>
      <w:tr w:rsidR="00D62E13" w:rsidRPr="0063206D" w14:paraId="3127ABEF" w14:textId="77777777" w:rsidTr="00E90148">
        <w:trPr>
          <w:trHeight w:val="389"/>
          <w:jc w:val="center"/>
        </w:trPr>
        <w:tc>
          <w:tcPr>
            <w:tcW w:w="45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044529" w14:textId="77777777" w:rsidR="00D62E13" w:rsidRPr="0063206D" w:rsidRDefault="00D62E13" w:rsidP="008F1CA8">
            <w:pPr>
              <w:spacing w:line="240" w:lineRule="auto"/>
              <w:rPr>
                <w:rFonts w:eastAsia="Times New Roman" w:cs="Times New Roman"/>
                <w:i/>
                <w:iCs/>
                <w:color w:val="000000"/>
                <w:sz w:val="20"/>
                <w:szCs w:val="20"/>
              </w:rPr>
            </w:pPr>
          </w:p>
        </w:tc>
        <w:tc>
          <w:tcPr>
            <w:tcW w:w="1584" w:type="dxa"/>
            <w:tcBorders>
              <w:top w:val="nil"/>
              <w:left w:val="single" w:sz="4" w:space="0" w:color="auto"/>
              <w:bottom w:val="single" w:sz="4" w:space="0" w:color="auto"/>
            </w:tcBorders>
            <w:shd w:val="clear" w:color="000000" w:fill="FFFFFF"/>
            <w:noWrap/>
            <w:vAlign w:val="center"/>
            <w:hideMark/>
          </w:tcPr>
          <w:p w14:paraId="3ADDF0DD" w14:textId="634DAA2A"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3</w:t>
            </w:r>
          </w:p>
        </w:tc>
        <w:tc>
          <w:tcPr>
            <w:tcW w:w="720" w:type="dxa"/>
            <w:tcBorders>
              <w:top w:val="nil"/>
              <w:left w:val="nil"/>
              <w:bottom w:val="single" w:sz="4" w:space="0" w:color="auto"/>
              <w:right w:val="dashed" w:sz="4" w:space="0" w:color="000000"/>
            </w:tcBorders>
            <w:shd w:val="clear" w:color="000000" w:fill="FFFFFF"/>
            <w:vAlign w:val="center"/>
          </w:tcPr>
          <w:p w14:paraId="6F6E2640" w14:textId="0BBDFC08"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198</w:t>
            </w:r>
          </w:p>
        </w:tc>
        <w:tc>
          <w:tcPr>
            <w:tcW w:w="1728" w:type="dxa"/>
            <w:tcBorders>
              <w:top w:val="nil"/>
              <w:left w:val="dashed" w:sz="4" w:space="0" w:color="000000"/>
              <w:bottom w:val="single" w:sz="4" w:space="0" w:color="auto"/>
              <w:right w:val="nil"/>
            </w:tcBorders>
            <w:shd w:val="clear" w:color="000000" w:fill="FFFFFF"/>
            <w:noWrap/>
            <w:vAlign w:val="center"/>
            <w:hideMark/>
          </w:tcPr>
          <w:p w14:paraId="6FBE4887" w14:textId="0205EFA6"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10.8</w:t>
            </w:r>
          </w:p>
        </w:tc>
        <w:tc>
          <w:tcPr>
            <w:tcW w:w="1728" w:type="dxa"/>
            <w:tcBorders>
              <w:top w:val="nil"/>
              <w:left w:val="nil"/>
              <w:bottom w:val="single" w:sz="4" w:space="0" w:color="auto"/>
              <w:right w:val="single" w:sz="8" w:space="0" w:color="000000"/>
            </w:tcBorders>
            <w:shd w:val="clear" w:color="000000" w:fill="FFFFFF"/>
            <w:vAlign w:val="center"/>
            <w:hideMark/>
          </w:tcPr>
          <w:p w14:paraId="71F156CE" w14:textId="31018BC3" w:rsidR="00D62E13" w:rsidRPr="0063206D" w:rsidRDefault="00D62E13" w:rsidP="008F1CA8">
            <w:pPr>
              <w:spacing w:line="240" w:lineRule="auto"/>
              <w:rPr>
                <w:rFonts w:eastAsia="Times New Roman" w:cs="Times New Roman"/>
                <w:i/>
                <w:iCs/>
                <w:color w:val="000000"/>
                <w:sz w:val="20"/>
                <w:szCs w:val="20"/>
              </w:rPr>
            </w:pPr>
            <w:r>
              <w:rPr>
                <w:rFonts w:eastAsia="Times New Roman" w:cs="Times New Roman"/>
                <w:i/>
                <w:iCs/>
                <w:color w:val="000000"/>
                <w:sz w:val="20"/>
                <w:szCs w:val="20"/>
              </w:rPr>
              <w:t>10.0</w:t>
            </w:r>
          </w:p>
        </w:tc>
      </w:tr>
    </w:tbl>
    <w:p w14:paraId="134BBCB7" w14:textId="77777777" w:rsidR="001A0F4E" w:rsidRDefault="001A0F4E" w:rsidP="001A0F4E">
      <w:pPr>
        <w:jc w:val="both"/>
        <w:rPr>
          <w:rFonts w:eastAsiaTheme="minorEastAsia"/>
          <w:b/>
        </w:rPr>
      </w:pPr>
    </w:p>
    <w:p w14:paraId="2AA7737F" w14:textId="77777777" w:rsidR="00705C44" w:rsidRDefault="00705C44" w:rsidP="001A0F4E">
      <w:pPr>
        <w:jc w:val="both"/>
        <w:rPr>
          <w:rFonts w:eastAsiaTheme="minorEastAsia"/>
          <w:b/>
        </w:rPr>
      </w:pPr>
    </w:p>
    <w:p w14:paraId="44FB8AEE" w14:textId="0DD45628" w:rsidR="00A2049D" w:rsidRDefault="00C40690" w:rsidP="007A3197">
      <w:pPr>
        <w:jc w:val="both"/>
        <w:rPr>
          <w:rFonts w:eastAsiaTheme="minorEastAsia"/>
          <w:b/>
        </w:rPr>
      </w:pPr>
      <w:r>
        <w:rPr>
          <w:rFonts w:eastAsiaTheme="minorEastAsia"/>
          <w:b/>
        </w:rPr>
        <w:tab/>
        <w:t>4.3.4</w:t>
      </w:r>
      <w:r w:rsidR="00C600FB">
        <w:rPr>
          <w:rFonts w:eastAsiaTheme="minorEastAsia"/>
          <w:b/>
        </w:rPr>
        <w:t xml:space="preserve"> Depth </w:t>
      </w:r>
      <w:r w:rsidR="00EA7B56">
        <w:rPr>
          <w:rFonts w:eastAsiaTheme="minorEastAsia"/>
          <w:b/>
        </w:rPr>
        <w:t xml:space="preserve">Stabilizer </w:t>
      </w:r>
      <w:r w:rsidR="007A3197">
        <w:rPr>
          <w:rFonts w:eastAsiaTheme="minorEastAsia"/>
          <w:b/>
        </w:rPr>
        <w:t>Homogeneity</w:t>
      </w:r>
    </w:p>
    <w:p w14:paraId="088537A3" w14:textId="707223DA" w:rsidR="00EE317F" w:rsidRDefault="00EE317F" w:rsidP="00457152">
      <w:pPr>
        <w:ind w:left="720" w:firstLine="720"/>
        <w:jc w:val="both"/>
        <w:rPr>
          <w:noProof/>
        </w:rPr>
      </w:pPr>
      <w:r>
        <w:rPr>
          <w:noProof/>
        </w:rPr>
        <w:t xml:space="preserve">Depth heterogeneity is observed in all three sites. Analysis indicates that as depth increases, </w:t>
      </w:r>
      <m:oMath>
        <m:r>
          <w:rPr>
            <w:rFonts w:ascii="Cambria Math" w:hAnsi="Cambria Math"/>
          </w:rPr>
          <m:t>SC</m:t>
        </m:r>
      </m:oMath>
      <w:r>
        <w:rPr>
          <w:noProof/>
        </w:rPr>
        <w:t xml:space="preserve"> decreases. This trend can be seen in </w:t>
      </w:r>
      <w:r>
        <w:rPr>
          <w:noProof/>
        </w:rPr>
        <w:fldChar w:fldCharType="begin"/>
      </w:r>
      <w:r>
        <w:rPr>
          <w:noProof/>
        </w:rPr>
        <w:instrText xml:space="preserve"> REF _Ref446473938 \h </w:instrText>
      </w:r>
      <w:r>
        <w:rPr>
          <w:noProof/>
        </w:rPr>
      </w:r>
      <w:r>
        <w:rPr>
          <w:noProof/>
        </w:rPr>
        <w:fldChar w:fldCharType="separate"/>
      </w:r>
      <w:r w:rsidR="00E90148">
        <w:t xml:space="preserve">Figure </w:t>
      </w:r>
      <w:r w:rsidR="00E90148">
        <w:rPr>
          <w:noProof/>
        </w:rPr>
        <w:t>38</w:t>
      </w:r>
      <w:r>
        <w:rPr>
          <w:noProof/>
        </w:rPr>
        <w:fldChar w:fldCharType="end"/>
      </w:r>
      <w:r>
        <w:rPr>
          <w:noProof/>
        </w:rPr>
        <w:t xml:space="preserve">. The degree of this decrease varies between sites. Ideally, </w:t>
      </w:r>
      <m:oMath>
        <m:r>
          <w:rPr>
            <w:rFonts w:ascii="Cambria Math" w:hAnsi="Cambria Math"/>
          </w:rPr>
          <m:t>SC</m:t>
        </m:r>
      </m:oMath>
      <w:r>
        <w:rPr>
          <w:noProof/>
        </w:rPr>
        <w:t xml:space="preserve"> measurements would stay constant to a depth of eight inches and </w:t>
      </w:r>
      <w:r w:rsidR="003D7EF3">
        <w:rPr>
          <w:noProof/>
        </w:rPr>
        <w:t>then drop to zero percent below</w:t>
      </w:r>
      <w:r>
        <w:rPr>
          <w:noProof/>
        </w:rPr>
        <w:t xml:space="preserve">. </w:t>
      </w:r>
      <w:r w:rsidR="003D7EF3">
        <w:rPr>
          <w:noProof/>
        </w:rPr>
        <w:t xml:space="preserve">While </w:t>
      </w:r>
      <m:oMath>
        <m:r>
          <w:rPr>
            <w:rFonts w:ascii="Cambria Math" w:hAnsi="Cambria Math"/>
          </w:rPr>
          <m:t>SC</m:t>
        </m:r>
      </m:oMath>
      <w:r w:rsidR="003D7EF3">
        <w:rPr>
          <w:noProof/>
        </w:rPr>
        <w:t xml:space="preserve"> does</w:t>
      </w:r>
      <w:r w:rsidR="00C1626B">
        <w:rPr>
          <w:noProof/>
        </w:rPr>
        <w:t xml:space="preserve"> decrease significantly below</w:t>
      </w:r>
      <w:r w:rsidR="0078751E">
        <w:rPr>
          <w:noProof/>
        </w:rPr>
        <w:t xml:space="preserve"> eight</w:t>
      </w:r>
      <w:r w:rsidR="003D7EF3">
        <w:rPr>
          <w:noProof/>
        </w:rPr>
        <w:t xml:space="preserve"> inches, there is still a large amount of stabilizer present at this depth.</w:t>
      </w:r>
      <w:r w:rsidR="00C1626B">
        <w:rPr>
          <w:noProof/>
        </w:rPr>
        <w:t xml:space="preserve"> </w:t>
      </w:r>
      <w:r>
        <w:rPr>
          <w:noProof/>
        </w:rPr>
        <w:t xml:space="preserve">This </w:t>
      </w:r>
      <w:r w:rsidR="003D7EF3">
        <w:rPr>
          <w:noProof/>
        </w:rPr>
        <w:t>conflicts with design specifications</w:t>
      </w:r>
      <w:r w:rsidR="004A7684">
        <w:rPr>
          <w:noProof/>
        </w:rPr>
        <w:t>.</w:t>
      </w:r>
    </w:p>
    <w:p w14:paraId="66D9121F" w14:textId="7D745448" w:rsidR="00EE317F" w:rsidRPr="00EE317F" w:rsidRDefault="00EE317F" w:rsidP="001A0F4E">
      <w:pPr>
        <w:jc w:val="both"/>
        <w:rPr>
          <w:rFonts w:eastAsiaTheme="minorEastAsia"/>
          <w:bCs/>
        </w:rPr>
      </w:pPr>
      <w:r>
        <w:rPr>
          <w:rFonts w:eastAsiaTheme="minorEastAsia"/>
          <w:b/>
        </w:rPr>
        <w:tab/>
      </w:r>
    </w:p>
    <w:p w14:paraId="1728555C" w14:textId="411D96C4" w:rsidR="00EE317F" w:rsidRDefault="002369BE" w:rsidP="00EE317F">
      <w:pPr>
        <w:rPr>
          <w:rFonts w:eastAsiaTheme="minorEastAsia"/>
          <w:b/>
        </w:rPr>
      </w:pPr>
      <w:r>
        <w:rPr>
          <w:rFonts w:eastAsiaTheme="minorEastAsia"/>
          <w:b/>
          <w:noProof/>
        </w:rPr>
        <w:lastRenderedPageBreak/>
        <w:drawing>
          <wp:inline distT="0" distB="0" distL="0" distR="0" wp14:anchorId="272DAD74" wp14:editId="12A650B3">
            <wp:extent cx="4480560" cy="2930893"/>
            <wp:effectExtent l="0" t="0" r="0" b="317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Figure 41.PNG"/>
                    <pic:cNvPicPr/>
                  </pic:nvPicPr>
                  <pic:blipFill>
                    <a:blip r:embed="rId53">
                      <a:extLst>
                        <a:ext uri="{28A0092B-C50C-407E-A947-70E740481C1C}">
                          <a14:useLocalDpi xmlns:a14="http://schemas.microsoft.com/office/drawing/2010/main" val="0"/>
                        </a:ext>
                      </a:extLst>
                    </a:blip>
                    <a:stretch>
                      <a:fillRect/>
                    </a:stretch>
                  </pic:blipFill>
                  <pic:spPr>
                    <a:xfrm>
                      <a:off x="0" y="0"/>
                      <a:ext cx="4480560" cy="2930893"/>
                    </a:xfrm>
                    <a:prstGeom prst="rect">
                      <a:avLst/>
                    </a:prstGeom>
                  </pic:spPr>
                </pic:pic>
              </a:graphicData>
            </a:graphic>
          </wp:inline>
        </w:drawing>
      </w:r>
    </w:p>
    <w:p w14:paraId="015F78CD" w14:textId="7B5BBED8" w:rsidR="00EE317F" w:rsidRDefault="00EE317F" w:rsidP="00EE317F">
      <w:pPr>
        <w:pStyle w:val="Caption"/>
      </w:pPr>
      <w:bookmarkStart w:id="131" w:name="_Ref446473938"/>
      <w:bookmarkStart w:id="132" w:name="_Toc447755376"/>
      <w:r>
        <w:t xml:space="preserve">Figure </w:t>
      </w:r>
      <w:r w:rsidR="00184FC2">
        <w:fldChar w:fldCharType="begin"/>
      </w:r>
      <w:r w:rsidR="00184FC2">
        <w:instrText xml:space="preserve"> SEQ Figure \* ARABIC </w:instrText>
      </w:r>
      <w:r w:rsidR="00184FC2">
        <w:fldChar w:fldCharType="separate"/>
      </w:r>
      <w:r w:rsidR="00E90148">
        <w:rPr>
          <w:noProof/>
        </w:rPr>
        <w:t>38</w:t>
      </w:r>
      <w:r w:rsidR="00184FC2">
        <w:rPr>
          <w:noProof/>
        </w:rPr>
        <w:fldChar w:fldCharType="end"/>
      </w:r>
      <w:bookmarkEnd w:id="131"/>
      <w:r>
        <w:t>: Depth Heterogeneity for All Sites</w:t>
      </w:r>
      <w:bookmarkEnd w:id="132"/>
    </w:p>
    <w:p w14:paraId="73FA9227" w14:textId="77777777" w:rsidR="004A7684" w:rsidRDefault="004A7684" w:rsidP="004A7684"/>
    <w:p w14:paraId="38452B5D" w14:textId="72BB9586" w:rsidR="004A7684" w:rsidRDefault="004A7684" w:rsidP="004A7684">
      <w:pPr>
        <w:jc w:val="both"/>
        <w:rPr>
          <w:rFonts w:eastAsiaTheme="minorEastAsia"/>
          <w:b/>
        </w:rPr>
      </w:pPr>
      <w:r>
        <w:rPr>
          <w:rFonts w:eastAsiaTheme="minorEastAsia"/>
          <w:b/>
        </w:rPr>
        <w:tab/>
      </w:r>
      <w:r>
        <w:rPr>
          <w:rFonts w:eastAsiaTheme="minorEastAsia"/>
          <w:b/>
        </w:rPr>
        <w:tab/>
        <w:t>4.3.</w:t>
      </w:r>
      <w:r w:rsidR="00C40690">
        <w:rPr>
          <w:rFonts w:eastAsiaTheme="minorEastAsia"/>
          <w:b/>
        </w:rPr>
        <w:t>4</w:t>
      </w:r>
      <w:r>
        <w:rPr>
          <w:rFonts w:eastAsiaTheme="minorEastAsia"/>
          <w:b/>
        </w:rPr>
        <w:t>.1 Site 1</w:t>
      </w:r>
    </w:p>
    <w:p w14:paraId="239E9E36" w14:textId="77AE2D8B" w:rsidR="00EE317F" w:rsidRPr="00CF0CEC" w:rsidRDefault="00002BCB" w:rsidP="0078751E">
      <w:pPr>
        <w:pStyle w:val="Caption"/>
        <w:spacing w:after="0" w:line="480" w:lineRule="auto"/>
        <w:ind w:left="1440" w:firstLine="720"/>
        <w:jc w:val="both"/>
        <w:rPr>
          <w:i w:val="0"/>
          <w:iCs w:val="0"/>
          <w:noProof/>
          <w:color w:val="auto"/>
          <w:szCs w:val="24"/>
        </w:rPr>
      </w:pPr>
      <w:r w:rsidRPr="00CF0CEC">
        <w:rPr>
          <w:i w:val="0"/>
          <w:iCs w:val="0"/>
          <w:noProof/>
          <w:color w:val="auto"/>
          <w:szCs w:val="24"/>
        </w:rPr>
        <w:t xml:space="preserve">The idealized depth distribution of </w:t>
      </w:r>
      <m:oMath>
        <m:r>
          <w:rPr>
            <w:rFonts w:ascii="Cambria Math" w:hAnsi="Cambria Math"/>
          </w:rPr>
          <m:t>SC</m:t>
        </m:r>
      </m:oMath>
      <w:r w:rsidR="004A7684" w:rsidRPr="00CF0CEC">
        <w:rPr>
          <w:i w:val="0"/>
          <w:iCs w:val="0"/>
          <w:noProof/>
          <w:color w:val="auto"/>
          <w:szCs w:val="24"/>
        </w:rPr>
        <w:t xml:space="preserve"> and corrected ex situ PHXRF measurements </w:t>
      </w:r>
      <w:r w:rsidRPr="00CF0CEC">
        <w:rPr>
          <w:i w:val="0"/>
          <w:iCs w:val="0"/>
          <w:noProof/>
          <w:color w:val="auto"/>
          <w:szCs w:val="24"/>
        </w:rPr>
        <w:t xml:space="preserve">with depth </w:t>
      </w:r>
      <w:r w:rsidR="004A7684" w:rsidRPr="00CF0CEC">
        <w:rPr>
          <w:i w:val="0"/>
          <w:iCs w:val="0"/>
          <w:noProof/>
          <w:color w:val="auto"/>
          <w:szCs w:val="24"/>
        </w:rPr>
        <w:t>for Site 1 are illustrated</w:t>
      </w:r>
      <w:r w:rsidR="00CF0CEC">
        <w:rPr>
          <w:i w:val="0"/>
          <w:iCs w:val="0"/>
          <w:noProof/>
          <w:color w:val="auto"/>
          <w:szCs w:val="24"/>
        </w:rPr>
        <w:t xml:space="preserve"> </w:t>
      </w:r>
      <w:r w:rsidR="00CF0CEC" w:rsidRPr="00CF0CEC">
        <w:rPr>
          <w:i w:val="0"/>
          <w:iCs w:val="0"/>
          <w:noProof/>
          <w:color w:val="auto"/>
          <w:szCs w:val="24"/>
        </w:rPr>
        <w:t xml:space="preserve">in </w:t>
      </w:r>
      <w:r w:rsidR="00CF0CEC" w:rsidRPr="00CF0CEC">
        <w:rPr>
          <w:i w:val="0"/>
          <w:iCs w:val="0"/>
          <w:noProof/>
          <w:color w:val="auto"/>
          <w:szCs w:val="24"/>
        </w:rPr>
        <w:fldChar w:fldCharType="begin"/>
      </w:r>
      <w:r w:rsidR="00CF0CEC" w:rsidRPr="00CF0CEC">
        <w:rPr>
          <w:i w:val="0"/>
          <w:iCs w:val="0"/>
          <w:noProof/>
          <w:color w:val="auto"/>
          <w:szCs w:val="24"/>
        </w:rPr>
        <w:instrText xml:space="preserve"> REF _Ref447063318 \h  \* MERGEFORMAT </w:instrText>
      </w:r>
      <w:r w:rsidR="00CF0CEC" w:rsidRPr="00CF0CEC">
        <w:rPr>
          <w:i w:val="0"/>
          <w:iCs w:val="0"/>
          <w:noProof/>
          <w:color w:val="auto"/>
          <w:szCs w:val="24"/>
        </w:rPr>
      </w:r>
      <w:r w:rsidR="00CF0CEC" w:rsidRPr="00CF0CEC">
        <w:rPr>
          <w:i w:val="0"/>
          <w:iCs w:val="0"/>
          <w:noProof/>
          <w:color w:val="auto"/>
          <w:szCs w:val="24"/>
        </w:rPr>
        <w:fldChar w:fldCharType="separate"/>
      </w:r>
      <w:r w:rsidR="00E90148" w:rsidRPr="00E90148">
        <w:rPr>
          <w:i w:val="0"/>
          <w:iCs w:val="0"/>
          <w:color w:val="auto"/>
        </w:rPr>
        <w:t xml:space="preserve">Figure </w:t>
      </w:r>
      <w:r w:rsidR="00E90148" w:rsidRPr="00E90148">
        <w:rPr>
          <w:i w:val="0"/>
          <w:iCs w:val="0"/>
          <w:noProof/>
          <w:color w:val="auto"/>
        </w:rPr>
        <w:t>39</w:t>
      </w:r>
      <w:r w:rsidR="00CF0CEC" w:rsidRPr="00CF0CEC">
        <w:rPr>
          <w:i w:val="0"/>
          <w:iCs w:val="0"/>
          <w:noProof/>
          <w:color w:val="auto"/>
          <w:szCs w:val="24"/>
        </w:rPr>
        <w:fldChar w:fldCharType="end"/>
      </w:r>
      <w:r w:rsidR="004A7684" w:rsidRPr="00CF0CEC">
        <w:rPr>
          <w:i w:val="0"/>
          <w:iCs w:val="0"/>
          <w:noProof/>
          <w:color w:val="auto"/>
          <w:szCs w:val="24"/>
        </w:rPr>
        <w:t xml:space="preserve">. As seen in both figures, </w:t>
      </w:r>
      <m:oMath>
        <m:r>
          <w:rPr>
            <w:rFonts w:ascii="Cambria Math" w:hAnsi="Cambria Math"/>
          </w:rPr>
          <m:t>SC</m:t>
        </m:r>
      </m:oMath>
      <w:r w:rsidR="004A7684" w:rsidRPr="00CF0CEC">
        <w:rPr>
          <w:i w:val="0"/>
          <w:iCs w:val="0"/>
          <w:noProof/>
          <w:color w:val="auto"/>
          <w:szCs w:val="24"/>
        </w:rPr>
        <w:t xml:space="preserve"> decreases </w:t>
      </w:r>
      <w:r w:rsidRPr="00CF0CEC">
        <w:rPr>
          <w:i w:val="0"/>
          <w:iCs w:val="0"/>
          <w:noProof/>
          <w:color w:val="auto"/>
          <w:szCs w:val="24"/>
        </w:rPr>
        <w:t>below a depth of 8 inches</w:t>
      </w:r>
      <w:r w:rsidR="004A7684" w:rsidRPr="00CF0CEC">
        <w:rPr>
          <w:i w:val="0"/>
          <w:iCs w:val="0"/>
          <w:noProof/>
          <w:color w:val="auto"/>
          <w:szCs w:val="24"/>
        </w:rPr>
        <w:t xml:space="preserve">. For depths 0 to 3, 3 to 6, 6 to 9, and 9 to 12 in, the </w:t>
      </w:r>
      <w:r w:rsidRPr="00CF0CEC">
        <w:rPr>
          <w:i w:val="0"/>
          <w:iCs w:val="0"/>
          <w:noProof/>
          <w:color w:val="auto"/>
          <w:szCs w:val="24"/>
        </w:rPr>
        <w:t>corrected</w:t>
      </w:r>
      <w:r w:rsidR="004A7684" w:rsidRPr="00CF0CEC">
        <w:rPr>
          <w:i w:val="0"/>
          <w:iCs w:val="0"/>
          <w:noProof/>
          <w:color w:val="auto"/>
          <w:szCs w:val="24"/>
        </w:rPr>
        <w:t xml:space="preserve"> </w:t>
      </w:r>
      <m:oMath>
        <m:r>
          <w:rPr>
            <w:rFonts w:ascii="Cambria Math" w:hAnsi="Cambria Math"/>
          </w:rPr>
          <m:t>SC</m:t>
        </m:r>
      </m:oMath>
      <w:r w:rsidR="004A7684" w:rsidRPr="00CF0CEC">
        <w:rPr>
          <w:i w:val="0"/>
          <w:iCs w:val="0"/>
          <w:noProof/>
          <w:color w:val="auto"/>
          <w:szCs w:val="24"/>
        </w:rPr>
        <w:t>s on average are measured as 16.2%, 15.2%, 14.4% and 5.4%</w:t>
      </w:r>
      <w:r w:rsidRPr="00CF0CEC">
        <w:rPr>
          <w:i w:val="0"/>
          <w:iCs w:val="0"/>
          <w:noProof/>
          <w:color w:val="auto"/>
          <w:szCs w:val="24"/>
        </w:rPr>
        <w:t>, respectively</w:t>
      </w:r>
      <w:r w:rsidR="004A7684" w:rsidRPr="00CF0CEC">
        <w:rPr>
          <w:i w:val="0"/>
          <w:iCs w:val="0"/>
          <w:noProof/>
          <w:color w:val="auto"/>
          <w:szCs w:val="24"/>
        </w:rPr>
        <w:t xml:space="preserve">. </w:t>
      </w:r>
      <w:r w:rsidR="00592213" w:rsidRPr="00CF0CEC">
        <w:rPr>
          <w:i w:val="0"/>
          <w:iCs w:val="0"/>
          <w:noProof/>
          <w:color w:val="auto"/>
          <w:szCs w:val="24"/>
        </w:rPr>
        <w:t xml:space="preserve">These </w:t>
      </w:r>
      <w:r w:rsidRPr="00CF0CEC">
        <w:rPr>
          <w:i w:val="0"/>
          <w:iCs w:val="0"/>
          <w:noProof/>
          <w:color w:val="auto"/>
          <w:szCs w:val="24"/>
        </w:rPr>
        <w:t xml:space="preserve">measured </w:t>
      </w:r>
      <m:oMath>
        <m:r>
          <w:rPr>
            <w:rFonts w:ascii="Cambria Math" w:hAnsi="Cambria Math"/>
          </w:rPr>
          <m:t>SC</m:t>
        </m:r>
      </m:oMath>
      <w:r w:rsidR="00592213" w:rsidRPr="00CF0CEC">
        <w:rPr>
          <w:i w:val="0"/>
          <w:iCs w:val="0"/>
          <w:noProof/>
          <w:color w:val="auto"/>
          <w:szCs w:val="24"/>
        </w:rPr>
        <w:t xml:space="preserve">s </w:t>
      </w:r>
      <w:r w:rsidRPr="00CF0CEC">
        <w:rPr>
          <w:i w:val="0"/>
          <w:iCs w:val="0"/>
          <w:noProof/>
          <w:color w:val="auto"/>
          <w:szCs w:val="24"/>
        </w:rPr>
        <w:t xml:space="preserve">are very close to the design CKD </w:t>
      </w:r>
      <m:oMath>
        <m:r>
          <w:rPr>
            <w:rFonts w:ascii="Cambria Math" w:hAnsi="Cambria Math"/>
          </w:rPr>
          <m:t>SC</m:t>
        </m:r>
      </m:oMath>
      <w:r w:rsidRPr="00CF0CEC">
        <w:rPr>
          <w:i w:val="0"/>
          <w:iCs w:val="0"/>
          <w:noProof/>
          <w:color w:val="auto"/>
          <w:szCs w:val="24"/>
        </w:rPr>
        <w:t xml:space="preserve"> of 15%. The depth analysis agrees with the spatial analysis in that a disproportion of stabilizer has migrated or has been improperly spread to the west side of the site. </w:t>
      </w:r>
      <w:r w:rsidR="00592213" w:rsidRPr="00CF0CEC">
        <w:rPr>
          <w:i w:val="0"/>
          <w:iCs w:val="0"/>
          <w:noProof/>
          <w:color w:val="auto"/>
          <w:szCs w:val="24"/>
        </w:rPr>
        <w:t xml:space="preserve">The last thing to note is the sharp drop off of </w:t>
      </w:r>
      <m:oMath>
        <m:r>
          <w:rPr>
            <w:rFonts w:ascii="Cambria Math" w:hAnsi="Cambria Math"/>
          </w:rPr>
          <m:t>SC</m:t>
        </m:r>
      </m:oMath>
      <w:r w:rsidR="00592213" w:rsidRPr="00CF0CEC">
        <w:rPr>
          <w:i w:val="0"/>
          <w:iCs w:val="0"/>
          <w:noProof/>
          <w:color w:val="auto"/>
          <w:szCs w:val="24"/>
        </w:rPr>
        <w:t xml:space="preserve"> from 9 to 12 inches. While </w:t>
      </w:r>
      <m:oMath>
        <m:r>
          <w:rPr>
            <w:rFonts w:ascii="Cambria Math" w:hAnsi="Cambria Math"/>
          </w:rPr>
          <m:t>SC</m:t>
        </m:r>
      </m:oMath>
      <w:r w:rsidR="00592213" w:rsidRPr="00CF0CEC">
        <w:rPr>
          <w:i w:val="0"/>
          <w:iCs w:val="0"/>
          <w:noProof/>
          <w:color w:val="auto"/>
          <w:szCs w:val="24"/>
        </w:rPr>
        <w:t xml:space="preserve"> does significantly decrease in this area, specifications call for this depth to remain untreated. Reasons for </w:t>
      </w:r>
      <m:oMath>
        <m:r>
          <w:rPr>
            <w:rFonts w:ascii="Cambria Math" w:hAnsi="Cambria Math"/>
          </w:rPr>
          <m:t>SC</m:t>
        </m:r>
      </m:oMath>
      <w:r w:rsidR="00592213" w:rsidRPr="00CF0CEC">
        <w:rPr>
          <w:i w:val="0"/>
          <w:iCs w:val="0"/>
          <w:noProof/>
          <w:color w:val="auto"/>
          <w:szCs w:val="24"/>
        </w:rPr>
        <w:t xml:space="preserve"> found at this depth may be a </w:t>
      </w:r>
      <w:r w:rsidR="00592213" w:rsidRPr="00CF0CEC">
        <w:rPr>
          <w:i w:val="0"/>
          <w:iCs w:val="0"/>
          <w:noProof/>
          <w:color w:val="auto"/>
          <w:szCs w:val="24"/>
        </w:rPr>
        <w:lastRenderedPageBreak/>
        <w:t xml:space="preserve">result of imprecise mixing depth on the mixing machines or leaching of stabilizer from the layers above this depth. </w:t>
      </w:r>
    </w:p>
    <w:p w14:paraId="69EB2F41" w14:textId="77777777" w:rsidR="008E6824" w:rsidRDefault="008E6824" w:rsidP="008E6824"/>
    <w:p w14:paraId="23445992" w14:textId="3F720E93" w:rsidR="00CF0CEC" w:rsidRDefault="001F3665" w:rsidP="00CF0CEC">
      <w:pPr>
        <w:pStyle w:val="Caption"/>
      </w:pPr>
      <w:bookmarkStart w:id="133" w:name="_Ref446474233"/>
      <w:r>
        <w:rPr>
          <w:noProof/>
        </w:rPr>
        <w:drawing>
          <wp:inline distT="0" distB="0" distL="0" distR="0" wp14:anchorId="15A5E483" wp14:editId="3F7A5803">
            <wp:extent cx="5135587" cy="301752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re 42.PNG"/>
                    <pic:cNvPicPr/>
                  </pic:nvPicPr>
                  <pic:blipFill>
                    <a:blip r:embed="rId54">
                      <a:extLst>
                        <a:ext uri="{28A0092B-C50C-407E-A947-70E740481C1C}">
                          <a14:useLocalDpi xmlns:a14="http://schemas.microsoft.com/office/drawing/2010/main" val="0"/>
                        </a:ext>
                      </a:extLst>
                    </a:blip>
                    <a:stretch>
                      <a:fillRect/>
                    </a:stretch>
                  </pic:blipFill>
                  <pic:spPr>
                    <a:xfrm>
                      <a:off x="0" y="0"/>
                      <a:ext cx="5135587" cy="3017520"/>
                    </a:xfrm>
                    <a:prstGeom prst="rect">
                      <a:avLst/>
                    </a:prstGeom>
                  </pic:spPr>
                </pic:pic>
              </a:graphicData>
            </a:graphic>
          </wp:inline>
        </w:drawing>
      </w:r>
    </w:p>
    <w:p w14:paraId="21A792E4" w14:textId="1F18ADA0" w:rsidR="00CB7023" w:rsidRDefault="00CB7023" w:rsidP="002369BE">
      <w:pPr>
        <w:pStyle w:val="Caption"/>
      </w:pPr>
      <w:bookmarkStart w:id="134" w:name="_Ref447063318"/>
      <w:bookmarkStart w:id="135" w:name="_Ref447063312"/>
      <w:bookmarkStart w:id="136" w:name="_Toc447755377"/>
      <w:r>
        <w:t xml:space="preserve">Figure </w:t>
      </w:r>
      <w:r w:rsidR="00184FC2">
        <w:fldChar w:fldCharType="begin"/>
      </w:r>
      <w:r w:rsidR="00184FC2">
        <w:instrText xml:space="preserve"> SEQ Figure \* ARABIC </w:instrText>
      </w:r>
      <w:r w:rsidR="00184FC2">
        <w:fldChar w:fldCharType="separate"/>
      </w:r>
      <w:r w:rsidR="00E90148">
        <w:rPr>
          <w:noProof/>
        </w:rPr>
        <w:t>39</w:t>
      </w:r>
      <w:r w:rsidR="00184FC2">
        <w:rPr>
          <w:noProof/>
        </w:rPr>
        <w:fldChar w:fldCharType="end"/>
      </w:r>
      <w:bookmarkEnd w:id="133"/>
      <w:bookmarkEnd w:id="134"/>
      <w:r>
        <w:t xml:space="preserve">: </w:t>
      </w:r>
      <w:r w:rsidR="008E6824">
        <w:t xml:space="preserve">Idealized </w:t>
      </w:r>
      <w:r w:rsidR="00145E2D">
        <w:t xml:space="preserve">(Left) and Corrected (Right) </w:t>
      </w:r>
      <w:r w:rsidR="00A74E68">
        <w:t>Depth Heterogeneity for Site 1</w:t>
      </w:r>
      <w:bookmarkEnd w:id="135"/>
      <w:bookmarkEnd w:id="136"/>
    </w:p>
    <w:p w14:paraId="08547E2A" w14:textId="77777777" w:rsidR="001221EA" w:rsidRDefault="001221EA" w:rsidP="00A74E68"/>
    <w:p w14:paraId="2BCF9C47" w14:textId="1D0F29DE" w:rsidR="00592213" w:rsidRDefault="00592213" w:rsidP="00592213">
      <w:pPr>
        <w:jc w:val="both"/>
        <w:rPr>
          <w:rFonts w:eastAsiaTheme="minorEastAsia"/>
          <w:b/>
        </w:rPr>
      </w:pPr>
      <w:r>
        <w:rPr>
          <w:rFonts w:eastAsiaTheme="minorEastAsia"/>
          <w:b/>
        </w:rPr>
        <w:tab/>
      </w:r>
      <w:r>
        <w:rPr>
          <w:rFonts w:eastAsiaTheme="minorEastAsia"/>
          <w:b/>
        </w:rPr>
        <w:tab/>
        <w:t>4.3.</w:t>
      </w:r>
      <w:r w:rsidR="00C40690">
        <w:rPr>
          <w:rFonts w:eastAsiaTheme="minorEastAsia"/>
          <w:b/>
        </w:rPr>
        <w:t>4</w:t>
      </w:r>
      <w:r>
        <w:rPr>
          <w:rFonts w:eastAsiaTheme="minorEastAsia"/>
          <w:b/>
        </w:rPr>
        <w:t>.2 Site 2</w:t>
      </w:r>
    </w:p>
    <w:p w14:paraId="56AB0990" w14:textId="46CE09A1" w:rsidR="00592213" w:rsidRDefault="00002BCB" w:rsidP="0078751E">
      <w:pPr>
        <w:ind w:left="1440" w:firstLine="720"/>
        <w:jc w:val="both"/>
        <w:rPr>
          <w:rFonts w:eastAsiaTheme="minorEastAsia"/>
          <w:b/>
        </w:rPr>
      </w:pPr>
      <w:r>
        <w:rPr>
          <w:noProof/>
        </w:rPr>
        <w:t xml:space="preserve">The idealized depth distribution of </w:t>
      </w:r>
      <m:oMath>
        <m:r>
          <w:rPr>
            <w:rFonts w:ascii="Cambria Math" w:hAnsi="Cambria Math"/>
          </w:rPr>
          <m:t>SC</m:t>
        </m:r>
      </m:oMath>
      <w:r>
        <w:rPr>
          <w:noProof/>
        </w:rPr>
        <w:t xml:space="preserve"> and corrected ex situ PHXRF measurements with depth </w:t>
      </w:r>
      <w:r w:rsidR="00DB0766">
        <w:rPr>
          <w:noProof/>
        </w:rPr>
        <w:t>for Site 2</w:t>
      </w:r>
      <w:r>
        <w:rPr>
          <w:noProof/>
        </w:rPr>
        <w:t xml:space="preserve"> are illustrated in </w:t>
      </w:r>
      <w:r w:rsidR="00F41526">
        <w:rPr>
          <w:noProof/>
        </w:rPr>
        <w:fldChar w:fldCharType="begin"/>
      </w:r>
      <w:r w:rsidR="00F41526">
        <w:rPr>
          <w:noProof/>
        </w:rPr>
        <w:instrText xml:space="preserve"> REF _Ref446475323 \h </w:instrText>
      </w:r>
      <w:r w:rsidR="00F41526">
        <w:rPr>
          <w:noProof/>
        </w:rPr>
      </w:r>
      <w:r w:rsidR="00F41526">
        <w:rPr>
          <w:noProof/>
        </w:rPr>
        <w:fldChar w:fldCharType="separate"/>
      </w:r>
      <w:r w:rsidR="00E90148">
        <w:t xml:space="preserve">Figure </w:t>
      </w:r>
      <w:r w:rsidR="00E90148">
        <w:rPr>
          <w:noProof/>
        </w:rPr>
        <w:t>40</w:t>
      </w:r>
      <w:r w:rsidR="00F41526">
        <w:rPr>
          <w:noProof/>
        </w:rPr>
        <w:fldChar w:fldCharType="end"/>
      </w:r>
      <w:r w:rsidR="00592213">
        <w:rPr>
          <w:noProof/>
        </w:rPr>
        <w:t xml:space="preserve">. </w:t>
      </w:r>
      <m:oMath>
        <m:r>
          <w:rPr>
            <w:rFonts w:ascii="Cambria Math" w:hAnsi="Cambria Math"/>
          </w:rPr>
          <m:t>SC</m:t>
        </m:r>
      </m:oMath>
      <w:r w:rsidR="00F41526">
        <w:rPr>
          <w:noProof/>
        </w:rPr>
        <w:t xml:space="preserve">s </w:t>
      </w:r>
      <w:r w:rsidR="00575692">
        <w:rPr>
          <w:noProof/>
        </w:rPr>
        <w:t xml:space="preserve">also </w:t>
      </w:r>
      <w:r w:rsidR="00F41526">
        <w:rPr>
          <w:noProof/>
        </w:rPr>
        <w:t>decrease with depth</w:t>
      </w:r>
      <w:r w:rsidR="00575692">
        <w:rPr>
          <w:noProof/>
        </w:rPr>
        <w:t xml:space="preserve"> in this site</w:t>
      </w:r>
      <w:r w:rsidR="00592213">
        <w:rPr>
          <w:noProof/>
        </w:rPr>
        <w:t xml:space="preserve">. For depths 0 to 3, 3 to 6, 6 to 9, and 9 to 12 in, the </w:t>
      </w:r>
      <w:r>
        <w:rPr>
          <w:noProof/>
        </w:rPr>
        <w:t>corrected</w:t>
      </w:r>
      <w:r w:rsidR="00592213">
        <w:rPr>
          <w:noProof/>
        </w:rPr>
        <w:t xml:space="preserve"> </w:t>
      </w:r>
      <m:oMath>
        <m:r>
          <w:rPr>
            <w:rFonts w:ascii="Cambria Math" w:hAnsi="Cambria Math"/>
          </w:rPr>
          <m:t>SC</m:t>
        </m:r>
      </m:oMath>
      <w:r w:rsidR="00592213">
        <w:rPr>
          <w:noProof/>
        </w:rPr>
        <w:t xml:space="preserve">s on average are measured as </w:t>
      </w:r>
      <w:r w:rsidR="00F41526">
        <w:rPr>
          <w:noProof/>
        </w:rPr>
        <w:t>15.0%, 12</w:t>
      </w:r>
      <w:r w:rsidR="00592213">
        <w:rPr>
          <w:noProof/>
        </w:rPr>
        <w:t>.</w:t>
      </w:r>
      <w:r w:rsidR="00F41526">
        <w:rPr>
          <w:noProof/>
        </w:rPr>
        <w:t>2%, 10.6% and 2.8</w:t>
      </w:r>
      <w:r w:rsidR="00592213">
        <w:rPr>
          <w:noProof/>
        </w:rPr>
        <w:t>%</w:t>
      </w:r>
      <w:r w:rsidR="00575692">
        <w:rPr>
          <w:noProof/>
        </w:rPr>
        <w:t>, respectively</w:t>
      </w:r>
      <w:r w:rsidR="00592213">
        <w:rPr>
          <w:noProof/>
        </w:rPr>
        <w:t xml:space="preserve">. </w:t>
      </w:r>
      <w:r w:rsidR="00575692">
        <w:rPr>
          <w:noProof/>
        </w:rPr>
        <w:t xml:space="preserve">These measured </w:t>
      </w:r>
      <m:oMath>
        <m:r>
          <w:rPr>
            <w:rFonts w:ascii="Cambria Math" w:hAnsi="Cambria Math"/>
          </w:rPr>
          <m:t>SC</m:t>
        </m:r>
      </m:oMath>
      <w:r w:rsidR="00575692">
        <w:rPr>
          <w:noProof/>
        </w:rPr>
        <w:t xml:space="preserve">s are relatively low compared to the design fly ash </w:t>
      </w:r>
      <m:oMath>
        <m:r>
          <w:rPr>
            <w:rFonts w:ascii="Cambria Math" w:hAnsi="Cambria Math"/>
          </w:rPr>
          <m:t>SC</m:t>
        </m:r>
      </m:oMath>
      <w:r w:rsidR="00575692">
        <w:rPr>
          <w:noProof/>
        </w:rPr>
        <w:t xml:space="preserve"> of 16%. </w:t>
      </w:r>
      <w:r w:rsidR="00592213">
        <w:rPr>
          <w:noProof/>
        </w:rPr>
        <w:t xml:space="preserve"> </w:t>
      </w:r>
      <w:r w:rsidR="00575692">
        <w:rPr>
          <w:noProof/>
        </w:rPr>
        <w:t>Similarly</w:t>
      </w:r>
      <w:r w:rsidR="00F41526">
        <w:rPr>
          <w:noProof/>
        </w:rPr>
        <w:t xml:space="preserve"> to Site 1, </w:t>
      </w:r>
      <w:r w:rsidR="00575692">
        <w:rPr>
          <w:noProof/>
        </w:rPr>
        <w:t>the stabilizer is u</w:t>
      </w:r>
      <w:r w:rsidR="00A1694C">
        <w:rPr>
          <w:noProof/>
        </w:rPr>
        <w:t>n</w:t>
      </w:r>
      <w:r w:rsidR="00575692">
        <w:rPr>
          <w:noProof/>
        </w:rPr>
        <w:t xml:space="preserve">proportionally distributed to the west side of the site. </w:t>
      </w:r>
      <w:r w:rsidR="00DB0766">
        <w:rPr>
          <w:noProof/>
        </w:rPr>
        <w:t xml:space="preserve">Also similarly to Site 1, </w:t>
      </w:r>
      <m:oMath>
        <m:r>
          <w:rPr>
            <w:rFonts w:ascii="Cambria Math" w:hAnsi="Cambria Math"/>
          </w:rPr>
          <m:t>SC</m:t>
        </m:r>
      </m:oMath>
      <w:r w:rsidR="00575692">
        <w:rPr>
          <w:noProof/>
        </w:rPr>
        <w:t xml:space="preserve"> reduces</w:t>
      </w:r>
      <w:r w:rsidR="00F41526">
        <w:rPr>
          <w:noProof/>
        </w:rPr>
        <w:t xml:space="preserve"> significantly in the 9 to 12 inch layer</w:t>
      </w:r>
      <w:r w:rsidR="00592213">
        <w:rPr>
          <w:noProof/>
        </w:rPr>
        <w:t xml:space="preserve">. </w:t>
      </w:r>
      <w:r w:rsidR="00F41526">
        <w:rPr>
          <w:noProof/>
        </w:rPr>
        <w:t xml:space="preserve">It </w:t>
      </w:r>
      <w:r w:rsidR="00F41526">
        <w:rPr>
          <w:noProof/>
        </w:rPr>
        <w:lastRenderedPageBreak/>
        <w:t xml:space="preserve">still, however, contains traces of </w:t>
      </w:r>
      <m:oMath>
        <m:r>
          <w:rPr>
            <w:rFonts w:ascii="Cambria Math" w:hAnsi="Cambria Math"/>
          </w:rPr>
          <m:t>SC</m:t>
        </m:r>
      </m:oMath>
      <w:r w:rsidR="00F41526">
        <w:rPr>
          <w:noProof/>
        </w:rPr>
        <w:t>, which conflicts with design specifications.</w:t>
      </w:r>
    </w:p>
    <w:p w14:paraId="6C419A76" w14:textId="77777777" w:rsidR="00592213" w:rsidRDefault="00592213" w:rsidP="00A74E68"/>
    <w:p w14:paraId="2FEC7CCF" w14:textId="438860BF" w:rsidR="002369BE" w:rsidRPr="00A74E68" w:rsidRDefault="00145E2D" w:rsidP="00A74E68">
      <w:r>
        <w:rPr>
          <w:noProof/>
        </w:rPr>
        <w:drawing>
          <wp:inline distT="0" distB="0" distL="0" distR="0" wp14:anchorId="61F446A4" wp14:editId="342DFB11">
            <wp:extent cx="4959460" cy="3657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 43.PNG"/>
                    <pic:cNvPicPr/>
                  </pic:nvPicPr>
                  <pic:blipFill rotWithShape="1">
                    <a:blip r:embed="rId55">
                      <a:extLst>
                        <a:ext uri="{28A0092B-C50C-407E-A947-70E740481C1C}">
                          <a14:useLocalDpi xmlns:a14="http://schemas.microsoft.com/office/drawing/2010/main" val="0"/>
                        </a:ext>
                      </a:extLst>
                    </a:blip>
                    <a:srcRect l="571" r="1"/>
                    <a:stretch/>
                  </pic:blipFill>
                  <pic:spPr bwMode="auto">
                    <a:xfrm>
                      <a:off x="0" y="0"/>
                      <a:ext cx="4959460" cy="3657600"/>
                    </a:xfrm>
                    <a:prstGeom prst="rect">
                      <a:avLst/>
                    </a:prstGeom>
                    <a:ln>
                      <a:noFill/>
                    </a:ln>
                    <a:extLst>
                      <a:ext uri="{53640926-AAD7-44D8-BBD7-CCE9431645EC}">
                        <a14:shadowObscured xmlns:a14="http://schemas.microsoft.com/office/drawing/2010/main"/>
                      </a:ext>
                    </a:extLst>
                  </pic:spPr>
                </pic:pic>
              </a:graphicData>
            </a:graphic>
          </wp:inline>
        </w:drawing>
      </w:r>
    </w:p>
    <w:p w14:paraId="29BAB6BA" w14:textId="36D1A85C" w:rsidR="00A74E68" w:rsidRDefault="00A74E68" w:rsidP="00A74E68">
      <w:pPr>
        <w:pStyle w:val="Caption"/>
      </w:pPr>
      <w:bookmarkStart w:id="137" w:name="_Ref446475323"/>
      <w:bookmarkStart w:id="138" w:name="_Toc447755378"/>
      <w:r>
        <w:t xml:space="preserve">Figure </w:t>
      </w:r>
      <w:r w:rsidR="00184FC2">
        <w:fldChar w:fldCharType="begin"/>
      </w:r>
      <w:r w:rsidR="00184FC2">
        <w:instrText xml:space="preserve"> SEQ Figure \* ARABIC </w:instrText>
      </w:r>
      <w:r w:rsidR="00184FC2">
        <w:fldChar w:fldCharType="separate"/>
      </w:r>
      <w:r w:rsidR="00E90148">
        <w:rPr>
          <w:noProof/>
        </w:rPr>
        <w:t>40</w:t>
      </w:r>
      <w:r w:rsidR="00184FC2">
        <w:rPr>
          <w:noProof/>
        </w:rPr>
        <w:fldChar w:fldCharType="end"/>
      </w:r>
      <w:bookmarkEnd w:id="137"/>
      <w:r>
        <w:t xml:space="preserve">: </w:t>
      </w:r>
      <w:r w:rsidR="001617B7">
        <w:t>Idealized</w:t>
      </w:r>
      <w:r w:rsidR="001F3665">
        <w:t xml:space="preserve"> (Left) and Corrected (Right)</w:t>
      </w:r>
      <w:r w:rsidR="001617B7">
        <w:t xml:space="preserve"> </w:t>
      </w:r>
      <w:r>
        <w:t>Depth Heterogeneity for Site 2</w:t>
      </w:r>
      <w:bookmarkEnd w:id="138"/>
    </w:p>
    <w:p w14:paraId="571D4304" w14:textId="77777777" w:rsidR="002369BE" w:rsidRDefault="002369BE" w:rsidP="002369BE"/>
    <w:p w14:paraId="36B961F5" w14:textId="68E02DDA" w:rsidR="00AA5605" w:rsidRDefault="00AA5605" w:rsidP="00AA5605">
      <w:pPr>
        <w:jc w:val="both"/>
        <w:rPr>
          <w:rFonts w:eastAsiaTheme="minorEastAsia"/>
          <w:b/>
        </w:rPr>
      </w:pPr>
      <w:r>
        <w:rPr>
          <w:rFonts w:eastAsiaTheme="minorEastAsia"/>
          <w:b/>
        </w:rPr>
        <w:tab/>
      </w:r>
      <w:r>
        <w:rPr>
          <w:rFonts w:eastAsiaTheme="minorEastAsia"/>
          <w:b/>
        </w:rPr>
        <w:tab/>
        <w:t>4.3.</w:t>
      </w:r>
      <w:r w:rsidR="00C40690">
        <w:rPr>
          <w:rFonts w:eastAsiaTheme="minorEastAsia"/>
          <w:b/>
        </w:rPr>
        <w:t>4</w:t>
      </w:r>
      <w:r>
        <w:rPr>
          <w:rFonts w:eastAsiaTheme="minorEastAsia"/>
          <w:b/>
        </w:rPr>
        <w:t>.3 Site 3</w:t>
      </w:r>
    </w:p>
    <w:p w14:paraId="00EFBD5D" w14:textId="75A3DFE1" w:rsidR="00AA5605" w:rsidRDefault="00AA5605" w:rsidP="0078751E">
      <w:pPr>
        <w:ind w:left="1440" w:firstLine="720"/>
        <w:jc w:val="both"/>
        <w:rPr>
          <w:rFonts w:eastAsiaTheme="minorEastAsia"/>
          <w:b/>
        </w:rPr>
      </w:pPr>
      <w:r>
        <w:rPr>
          <w:noProof/>
        </w:rPr>
        <w:t xml:space="preserve">Site 3 follows the same trends as Sites 1 and 2; </w:t>
      </w:r>
      <m:oMath>
        <m:r>
          <w:rPr>
            <w:rFonts w:ascii="Cambria Math" w:hAnsi="Cambria Math"/>
          </w:rPr>
          <m:t>SC</m:t>
        </m:r>
      </m:oMath>
      <w:r>
        <w:rPr>
          <w:noProof/>
        </w:rPr>
        <w:t xml:space="preserve">s decrease with depth for the layers that were able to be sampled. </w:t>
      </w:r>
      <w:r w:rsidR="00DB0766">
        <w:rPr>
          <w:noProof/>
        </w:rPr>
        <w:t xml:space="preserve">The idealized depth distribution of </w:t>
      </w:r>
      <m:oMath>
        <m:r>
          <w:rPr>
            <w:rFonts w:ascii="Cambria Math" w:hAnsi="Cambria Math"/>
          </w:rPr>
          <m:t>SC</m:t>
        </m:r>
      </m:oMath>
      <w:r w:rsidR="00DB0766">
        <w:rPr>
          <w:noProof/>
        </w:rPr>
        <w:t xml:space="preserve"> and corrected ex situ PHXRF measurements with depth for Site 3 are illustrated in </w:t>
      </w:r>
      <w:r>
        <w:rPr>
          <w:noProof/>
        </w:rPr>
        <w:fldChar w:fldCharType="begin"/>
      </w:r>
      <w:r>
        <w:rPr>
          <w:noProof/>
        </w:rPr>
        <w:instrText xml:space="preserve"> REF _Ref446475952 \h </w:instrText>
      </w:r>
      <w:r>
        <w:rPr>
          <w:noProof/>
        </w:rPr>
      </w:r>
      <w:r>
        <w:rPr>
          <w:noProof/>
        </w:rPr>
        <w:fldChar w:fldCharType="separate"/>
      </w:r>
      <w:r w:rsidR="00E90148">
        <w:t xml:space="preserve">Figure </w:t>
      </w:r>
      <w:r w:rsidR="00E90148">
        <w:rPr>
          <w:noProof/>
        </w:rPr>
        <w:t>41</w:t>
      </w:r>
      <w:r>
        <w:rPr>
          <w:noProof/>
        </w:rPr>
        <w:fldChar w:fldCharType="end"/>
      </w:r>
      <w:r>
        <w:rPr>
          <w:noProof/>
        </w:rPr>
        <w:t xml:space="preserve">. For depths 0 to 3 and 3 to 6 inches, the </w:t>
      </w:r>
      <w:r w:rsidR="00DB0766">
        <w:rPr>
          <w:noProof/>
        </w:rPr>
        <w:t>corrected</w:t>
      </w:r>
      <w:r>
        <w:rPr>
          <w:noProof/>
        </w:rPr>
        <w:t xml:space="preserve"> </w:t>
      </w:r>
      <m:oMath>
        <m:r>
          <w:rPr>
            <w:rFonts w:ascii="Cambria Math" w:hAnsi="Cambria Math"/>
          </w:rPr>
          <m:t>SC</m:t>
        </m:r>
      </m:oMath>
      <w:r>
        <w:rPr>
          <w:noProof/>
        </w:rPr>
        <w:t>s on average are measured as 11.3% and 10.4%</w:t>
      </w:r>
      <w:r w:rsidR="00DB0766">
        <w:rPr>
          <w:noProof/>
        </w:rPr>
        <w:t>, respectfully</w:t>
      </w:r>
      <w:r>
        <w:rPr>
          <w:noProof/>
        </w:rPr>
        <w:t xml:space="preserve">. These </w:t>
      </w:r>
      <m:oMath>
        <m:r>
          <w:rPr>
            <w:rFonts w:ascii="Cambria Math" w:hAnsi="Cambria Math"/>
          </w:rPr>
          <m:t>SC</m:t>
        </m:r>
      </m:oMath>
      <w:r>
        <w:rPr>
          <w:noProof/>
        </w:rPr>
        <w:t xml:space="preserve">s </w:t>
      </w:r>
      <w:r w:rsidR="00DB0766">
        <w:rPr>
          <w:noProof/>
        </w:rPr>
        <w:t xml:space="preserve">are relatively close to the design portland cement content of 10%. Measurements below 6 inches were unable to be obtained </w:t>
      </w:r>
      <w:r w:rsidR="00DB0766">
        <w:rPr>
          <w:noProof/>
        </w:rPr>
        <w:lastRenderedPageBreak/>
        <w:t>due to the stabilized subgrade setting up too quickly. Consequentially, t</w:t>
      </w:r>
      <w:r>
        <w:rPr>
          <w:noProof/>
        </w:rPr>
        <w:t xml:space="preserve">he drop off of </w:t>
      </w:r>
      <m:oMath>
        <m:r>
          <w:rPr>
            <w:rFonts w:ascii="Cambria Math" w:hAnsi="Cambria Math"/>
          </w:rPr>
          <m:t>SC</m:t>
        </m:r>
      </m:oMath>
      <w:r w:rsidR="00A1694C">
        <w:rPr>
          <w:noProof/>
        </w:rPr>
        <w:t xml:space="preserve"> in the 9 to 12 inch lay</w:t>
      </w:r>
      <w:r w:rsidR="00DB0766">
        <w:rPr>
          <w:noProof/>
        </w:rPr>
        <w:t>er can</w:t>
      </w:r>
      <w:r>
        <w:rPr>
          <w:noProof/>
        </w:rPr>
        <w:t>no</w:t>
      </w:r>
      <w:bookmarkStart w:id="139" w:name="_GoBack"/>
      <w:bookmarkEnd w:id="139"/>
      <w:r>
        <w:rPr>
          <w:noProof/>
        </w:rPr>
        <w:t>t be analyzed</w:t>
      </w:r>
      <w:r w:rsidR="00DB0766">
        <w:rPr>
          <w:noProof/>
        </w:rPr>
        <w:t>.</w:t>
      </w:r>
    </w:p>
    <w:p w14:paraId="0ACEB318" w14:textId="77777777" w:rsidR="00AA5605" w:rsidRDefault="00AA5605" w:rsidP="00AD2BB0"/>
    <w:p w14:paraId="57EB17C5" w14:textId="3887922C" w:rsidR="002369BE" w:rsidRDefault="00055C41" w:rsidP="00AD2BB0">
      <w:r>
        <w:rPr>
          <w:noProof/>
        </w:rPr>
        <w:drawing>
          <wp:inline distT="0" distB="0" distL="0" distR="0" wp14:anchorId="43FF7DEC" wp14:editId="6AACF0F6">
            <wp:extent cx="4705593" cy="33832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Figure 44.PNG"/>
                    <pic:cNvPicPr/>
                  </pic:nvPicPr>
                  <pic:blipFill rotWithShape="1">
                    <a:blip r:embed="rId56">
                      <a:extLst>
                        <a:ext uri="{28A0092B-C50C-407E-A947-70E740481C1C}">
                          <a14:useLocalDpi xmlns:a14="http://schemas.microsoft.com/office/drawing/2010/main" val="0"/>
                        </a:ext>
                      </a:extLst>
                    </a:blip>
                    <a:srcRect l="1143" t="1841"/>
                    <a:stretch/>
                  </pic:blipFill>
                  <pic:spPr bwMode="auto">
                    <a:xfrm>
                      <a:off x="0" y="0"/>
                      <a:ext cx="4705593" cy="3383280"/>
                    </a:xfrm>
                    <a:prstGeom prst="rect">
                      <a:avLst/>
                    </a:prstGeom>
                    <a:ln>
                      <a:noFill/>
                    </a:ln>
                    <a:extLst>
                      <a:ext uri="{53640926-AAD7-44D8-BBD7-CCE9431645EC}">
                        <a14:shadowObscured xmlns:a14="http://schemas.microsoft.com/office/drawing/2010/main"/>
                      </a:ext>
                    </a:extLst>
                  </pic:spPr>
                </pic:pic>
              </a:graphicData>
            </a:graphic>
          </wp:inline>
        </w:drawing>
      </w:r>
    </w:p>
    <w:p w14:paraId="4C0AB91F" w14:textId="56D68922" w:rsidR="00A74E68" w:rsidRDefault="00A74E68" w:rsidP="00A74E68">
      <w:pPr>
        <w:pStyle w:val="Caption"/>
      </w:pPr>
      <w:bookmarkStart w:id="140" w:name="_Ref446475952"/>
      <w:bookmarkStart w:id="141" w:name="_Toc447755379"/>
      <w:r>
        <w:t xml:space="preserve">Figure </w:t>
      </w:r>
      <w:r w:rsidR="00184FC2">
        <w:fldChar w:fldCharType="begin"/>
      </w:r>
      <w:r w:rsidR="00184FC2">
        <w:instrText xml:space="preserve"> SEQ Figure \* ARABIC </w:instrText>
      </w:r>
      <w:r w:rsidR="00184FC2">
        <w:fldChar w:fldCharType="separate"/>
      </w:r>
      <w:r w:rsidR="00E90148">
        <w:rPr>
          <w:noProof/>
        </w:rPr>
        <w:t>41</w:t>
      </w:r>
      <w:r w:rsidR="00184FC2">
        <w:rPr>
          <w:noProof/>
        </w:rPr>
        <w:fldChar w:fldCharType="end"/>
      </w:r>
      <w:bookmarkEnd w:id="140"/>
      <w:r>
        <w:t xml:space="preserve">: </w:t>
      </w:r>
      <w:r w:rsidR="00FC6229">
        <w:t>Idealized</w:t>
      </w:r>
      <w:r w:rsidR="00055C41">
        <w:t xml:space="preserve"> (Left) and Corrected (Right)</w:t>
      </w:r>
      <w:r w:rsidR="00FC6229">
        <w:t xml:space="preserve"> </w:t>
      </w:r>
      <w:r>
        <w:t>Depth Heterogeneity for Site 3</w:t>
      </w:r>
      <w:bookmarkEnd w:id="141"/>
    </w:p>
    <w:p w14:paraId="6DFC842D" w14:textId="671CBE88" w:rsidR="00AA5605" w:rsidRDefault="00AA5605" w:rsidP="00C600FB">
      <w:pPr>
        <w:jc w:val="both"/>
        <w:rPr>
          <w:rFonts w:eastAsiaTheme="minorEastAsia"/>
          <w:b/>
        </w:rPr>
      </w:pPr>
      <w:r>
        <w:rPr>
          <w:rFonts w:eastAsiaTheme="minorEastAsia"/>
          <w:b/>
        </w:rPr>
        <w:br w:type="page"/>
      </w:r>
    </w:p>
    <w:p w14:paraId="2C35982F" w14:textId="0106E3E9" w:rsidR="000719DA" w:rsidRDefault="00A2049D" w:rsidP="00A2049D">
      <w:pPr>
        <w:pStyle w:val="Heading1"/>
      </w:pPr>
      <w:r>
        <w:lastRenderedPageBreak/>
        <w:t>CHAPTER 5</w:t>
      </w:r>
    </w:p>
    <w:p w14:paraId="61011170" w14:textId="00621C8B" w:rsidR="00A2049D" w:rsidRDefault="00A2049D" w:rsidP="00A2049D">
      <w:pPr>
        <w:pStyle w:val="Heading1"/>
      </w:pPr>
      <w:r>
        <w:t>CONCLUSIONS AND RECOMMENDATIONS</w:t>
      </w:r>
    </w:p>
    <w:p w14:paraId="10CA6D83" w14:textId="77777777" w:rsidR="00777764" w:rsidRDefault="00777764" w:rsidP="00777764">
      <w:pPr>
        <w:pStyle w:val="NoSpacing"/>
      </w:pPr>
    </w:p>
    <w:p w14:paraId="1E14E862" w14:textId="77777777" w:rsidR="00777764" w:rsidRDefault="00777764" w:rsidP="00777764">
      <w:pPr>
        <w:pStyle w:val="NoSpacing"/>
      </w:pPr>
    </w:p>
    <w:p w14:paraId="40D8000D" w14:textId="07096B1F" w:rsidR="00777764" w:rsidRPr="00777764" w:rsidRDefault="00777764" w:rsidP="00777764">
      <w:pPr>
        <w:jc w:val="both"/>
        <w:rPr>
          <w:b/>
        </w:rPr>
      </w:pPr>
      <w:r w:rsidRPr="00777764">
        <w:rPr>
          <w:b/>
        </w:rPr>
        <w:t>5.1 Conclusions</w:t>
      </w:r>
    </w:p>
    <w:p w14:paraId="14CA6BF7" w14:textId="20A1B90B" w:rsidR="000719DA" w:rsidRDefault="000719DA" w:rsidP="008E225E">
      <w:pPr>
        <w:jc w:val="both"/>
        <w:rPr>
          <w:rFonts w:eastAsiaTheme="minorEastAsia"/>
          <w:bCs/>
        </w:rPr>
      </w:pPr>
      <w:r>
        <w:rPr>
          <w:rFonts w:eastAsiaTheme="minorEastAsia"/>
          <w:bCs/>
        </w:rPr>
        <w:tab/>
      </w:r>
      <w:r w:rsidR="007623FB">
        <w:rPr>
          <w:rFonts w:eastAsiaTheme="minorEastAsia"/>
          <w:bCs/>
        </w:rPr>
        <w:t xml:space="preserve">The purpose of this research was to validate PHXRF on stabilized subgrade projects for construction quality control and geotechnical forensic investigations. This was achieved through two comprehensive </w:t>
      </w:r>
      <w:r w:rsidR="00102C39">
        <w:rPr>
          <w:rFonts w:eastAsiaTheme="minorEastAsia"/>
          <w:bCs/>
        </w:rPr>
        <w:t>round</w:t>
      </w:r>
      <w:r w:rsidR="007623FB">
        <w:rPr>
          <w:rFonts w:eastAsiaTheme="minorEastAsia"/>
          <w:bCs/>
        </w:rPr>
        <w:t>s of experi</w:t>
      </w:r>
      <w:r w:rsidR="00C52714">
        <w:rPr>
          <w:rFonts w:eastAsiaTheme="minorEastAsia"/>
          <w:bCs/>
        </w:rPr>
        <w:t>ments: l</w:t>
      </w:r>
      <w:r w:rsidR="007623FB">
        <w:rPr>
          <w:rFonts w:eastAsiaTheme="minorEastAsia"/>
          <w:bCs/>
        </w:rPr>
        <w:t xml:space="preserve">aboratory testing and field testing. </w:t>
      </w:r>
      <w:r w:rsidR="00C52714">
        <w:rPr>
          <w:rFonts w:eastAsiaTheme="minorEastAsia"/>
          <w:bCs/>
        </w:rPr>
        <w:t>Laboratory</w:t>
      </w:r>
      <w:r w:rsidR="007623FB">
        <w:rPr>
          <w:rFonts w:eastAsiaTheme="minorEastAsia"/>
          <w:bCs/>
        </w:rPr>
        <w:t xml:space="preserve"> testing sought to </w:t>
      </w:r>
      <w:r w:rsidR="00C52714">
        <w:rPr>
          <w:rFonts w:eastAsiaTheme="minorEastAsia"/>
          <w:bCs/>
        </w:rPr>
        <w:t xml:space="preserve">assess the effects of scan duration, </w:t>
      </w:r>
      <w:r w:rsidR="008E225E">
        <w:rPr>
          <w:rFonts w:eastAsiaTheme="minorEastAsia"/>
          <w:bCs/>
        </w:rPr>
        <w:t>scan technique</w:t>
      </w:r>
      <w:r w:rsidR="00C52714">
        <w:rPr>
          <w:rFonts w:eastAsiaTheme="minorEastAsia"/>
          <w:bCs/>
        </w:rPr>
        <w:t xml:space="preserve">, </w:t>
      </w:r>
      <w:r w:rsidR="008E225E">
        <w:rPr>
          <w:rFonts w:eastAsiaTheme="minorEastAsia"/>
          <w:bCs/>
        </w:rPr>
        <w:t>sample particle size</w:t>
      </w:r>
      <w:r w:rsidR="00C52714">
        <w:rPr>
          <w:rFonts w:eastAsiaTheme="minorEastAsia"/>
          <w:bCs/>
        </w:rPr>
        <w:t xml:space="preserve">, and </w:t>
      </w:r>
      <w:r w:rsidR="008E225E">
        <w:rPr>
          <w:rFonts w:eastAsiaTheme="minorEastAsia"/>
          <w:bCs/>
        </w:rPr>
        <w:t xml:space="preserve">sample type </w:t>
      </w:r>
      <w:r w:rsidR="00C52714">
        <w:rPr>
          <w:rFonts w:eastAsiaTheme="minorEastAsia"/>
          <w:bCs/>
        </w:rPr>
        <w:t xml:space="preserve">on the precision and accuracy of the </w:t>
      </w:r>
      <m:oMath>
        <m:r>
          <w:rPr>
            <w:rFonts w:ascii="Cambria Math" w:hAnsi="Cambria Math"/>
          </w:rPr>
          <m:t>SC</m:t>
        </m:r>
      </m:oMath>
      <w:r w:rsidR="00C52714">
        <w:rPr>
          <w:rFonts w:eastAsiaTheme="minorEastAsia"/>
          <w:bCs/>
        </w:rPr>
        <w:t xml:space="preserve"> measurements of the PHXRF devices. Field testing sought to assess the in situ and ex situ accuracy of the </w:t>
      </w:r>
      <m:oMath>
        <m:r>
          <w:rPr>
            <w:rFonts w:ascii="Cambria Math" w:hAnsi="Cambria Math"/>
          </w:rPr>
          <m:t>SC</m:t>
        </m:r>
      </m:oMath>
      <w:r w:rsidR="00C52714">
        <w:rPr>
          <w:rFonts w:eastAsiaTheme="minorEastAsia"/>
          <w:bCs/>
        </w:rPr>
        <w:t xml:space="preserve"> measurements from the PHXRF devices as well as assess relative spatial and depth </w:t>
      </w:r>
      <m:oMath>
        <m:r>
          <w:rPr>
            <w:rFonts w:ascii="Cambria Math" w:hAnsi="Cambria Math"/>
          </w:rPr>
          <m:t>SC</m:t>
        </m:r>
      </m:oMath>
      <w:r w:rsidR="00C52714">
        <w:rPr>
          <w:rFonts w:eastAsiaTheme="minorEastAsia"/>
          <w:bCs/>
        </w:rPr>
        <w:t xml:space="preserve"> homogeneity of the tested sites. This study ultimately aimed to answer the following questions:</w:t>
      </w:r>
    </w:p>
    <w:p w14:paraId="42FF9F1D" w14:textId="70A7F2B4" w:rsidR="00AC4994" w:rsidRDefault="00AC4994" w:rsidP="00457152">
      <w:pPr>
        <w:pStyle w:val="ListParagraph"/>
        <w:numPr>
          <w:ilvl w:val="0"/>
          <w:numId w:val="28"/>
        </w:numPr>
        <w:jc w:val="both"/>
        <w:rPr>
          <w:rFonts w:eastAsiaTheme="minorEastAsia"/>
          <w:bCs/>
        </w:rPr>
      </w:pPr>
      <w:r>
        <w:rPr>
          <w:rFonts w:eastAsiaTheme="minorEastAsia"/>
          <w:bCs/>
        </w:rPr>
        <w:t xml:space="preserve">What preparation technique yields the most accurate PHXRF </w:t>
      </w:r>
      <m:oMath>
        <m:r>
          <w:rPr>
            <w:rFonts w:ascii="Cambria Math" w:hAnsi="Cambria Math"/>
          </w:rPr>
          <m:t>SC</m:t>
        </m:r>
      </m:oMath>
      <w:r>
        <w:rPr>
          <w:rFonts w:eastAsiaTheme="minorEastAsia"/>
          <w:bCs/>
        </w:rPr>
        <w:t xml:space="preserve"> measurements? Is this preparation technique feasible in the field?</w:t>
      </w:r>
    </w:p>
    <w:p w14:paraId="6387EC3B" w14:textId="640CB3A8" w:rsidR="00AC4994" w:rsidRDefault="00AC4994" w:rsidP="00457152">
      <w:pPr>
        <w:pStyle w:val="ListParagraph"/>
        <w:numPr>
          <w:ilvl w:val="0"/>
          <w:numId w:val="28"/>
        </w:numPr>
        <w:jc w:val="both"/>
        <w:rPr>
          <w:rFonts w:eastAsiaTheme="minorEastAsia"/>
          <w:bCs/>
        </w:rPr>
      </w:pPr>
      <w:r>
        <w:rPr>
          <w:rFonts w:eastAsiaTheme="minorEastAsia"/>
          <w:bCs/>
        </w:rPr>
        <w:t xml:space="preserve">What PHXRF device and analysis method should be used to achieve the most accurate PHXRF </w:t>
      </w:r>
      <m:oMath>
        <m:r>
          <w:rPr>
            <w:rFonts w:ascii="Cambria Math" w:hAnsi="Cambria Math"/>
          </w:rPr>
          <m:t>SC</m:t>
        </m:r>
      </m:oMath>
      <w:r>
        <w:rPr>
          <w:rFonts w:eastAsiaTheme="minorEastAsia"/>
          <w:bCs/>
        </w:rPr>
        <w:t xml:space="preserve"> measurements?</w:t>
      </w:r>
    </w:p>
    <w:p w14:paraId="707E8552" w14:textId="44AD4E1E" w:rsidR="00AC4994" w:rsidRDefault="00AC4994" w:rsidP="00457152">
      <w:pPr>
        <w:pStyle w:val="ListParagraph"/>
        <w:numPr>
          <w:ilvl w:val="0"/>
          <w:numId w:val="28"/>
        </w:numPr>
        <w:jc w:val="both"/>
        <w:rPr>
          <w:rFonts w:eastAsiaTheme="minorEastAsia"/>
          <w:bCs/>
        </w:rPr>
      </w:pPr>
      <w:r>
        <w:rPr>
          <w:rFonts w:eastAsiaTheme="minorEastAsia"/>
          <w:bCs/>
        </w:rPr>
        <w:t xml:space="preserve">What is the precision and accuracy of in situ and ex situ PHXRF </w:t>
      </w:r>
      <m:oMath>
        <m:r>
          <w:rPr>
            <w:rFonts w:ascii="Cambria Math" w:hAnsi="Cambria Math"/>
          </w:rPr>
          <m:t>SC</m:t>
        </m:r>
      </m:oMath>
      <w:r>
        <w:rPr>
          <w:rFonts w:eastAsiaTheme="minorEastAsia"/>
          <w:bCs/>
        </w:rPr>
        <w:t xml:space="preserve"> measurements? Is PHXRF</w:t>
      </w:r>
      <w:r w:rsidR="00EA7B56">
        <w:rPr>
          <w:rFonts w:eastAsiaTheme="minorEastAsia"/>
          <w:bCs/>
        </w:rPr>
        <w:t xml:space="preserve"> spectrometry</w:t>
      </w:r>
      <w:r>
        <w:rPr>
          <w:rFonts w:eastAsiaTheme="minorEastAsia"/>
          <w:bCs/>
        </w:rPr>
        <w:t xml:space="preserve"> a viable option for measuring </w:t>
      </w:r>
      <m:oMath>
        <m:r>
          <w:rPr>
            <w:rFonts w:ascii="Cambria Math" w:hAnsi="Cambria Math"/>
          </w:rPr>
          <m:t>SC</m:t>
        </m:r>
      </m:oMath>
      <w:r>
        <w:rPr>
          <w:rFonts w:eastAsiaTheme="minorEastAsia"/>
          <w:bCs/>
        </w:rPr>
        <w:t xml:space="preserve"> in stabilized subgrade soils?</w:t>
      </w:r>
    </w:p>
    <w:p w14:paraId="40CD9E97" w14:textId="662DC416" w:rsidR="00AC4994" w:rsidRDefault="00AC4994" w:rsidP="00AC4994">
      <w:pPr>
        <w:pStyle w:val="ListParagraph"/>
        <w:numPr>
          <w:ilvl w:val="0"/>
          <w:numId w:val="28"/>
        </w:numPr>
        <w:jc w:val="both"/>
        <w:rPr>
          <w:rFonts w:eastAsiaTheme="minorEastAsia"/>
          <w:bCs/>
        </w:rPr>
      </w:pPr>
      <w:r>
        <w:rPr>
          <w:rFonts w:eastAsiaTheme="minorEastAsia"/>
          <w:bCs/>
        </w:rPr>
        <w:t xml:space="preserve">Is PHXRF </w:t>
      </w:r>
      <w:r w:rsidR="00EA7B56">
        <w:rPr>
          <w:rFonts w:eastAsiaTheme="minorEastAsia"/>
          <w:bCs/>
        </w:rPr>
        <w:t xml:space="preserve">spectrometry </w:t>
      </w:r>
      <w:r>
        <w:rPr>
          <w:rFonts w:eastAsiaTheme="minorEastAsia"/>
          <w:bCs/>
        </w:rPr>
        <w:t>a viable option for assessing spatial and depth homogeneity in the field?</w:t>
      </w:r>
    </w:p>
    <w:p w14:paraId="27CA7DBE" w14:textId="0D5441B2" w:rsidR="00102C39" w:rsidRDefault="00102C39" w:rsidP="00DE6812">
      <w:pPr>
        <w:jc w:val="both"/>
        <w:rPr>
          <w:rFonts w:eastAsiaTheme="minorEastAsia"/>
          <w:bCs/>
        </w:rPr>
      </w:pPr>
      <w:r>
        <w:rPr>
          <w:rFonts w:eastAsiaTheme="minorEastAsia"/>
          <w:bCs/>
        </w:rPr>
        <w:lastRenderedPageBreak/>
        <w:t>The main findings of the research are detailed in Chapter 4</w:t>
      </w:r>
      <w:r w:rsidR="00DE6812">
        <w:rPr>
          <w:rFonts w:eastAsiaTheme="minorEastAsia"/>
          <w:bCs/>
        </w:rPr>
        <w:t>. T</w:t>
      </w:r>
      <w:r>
        <w:rPr>
          <w:rFonts w:eastAsiaTheme="minorEastAsia"/>
          <w:bCs/>
        </w:rPr>
        <w:t>his chapter will synthesize the findings to ans</w:t>
      </w:r>
      <w:r w:rsidR="00DE6812">
        <w:rPr>
          <w:rFonts w:eastAsiaTheme="minorEastAsia"/>
          <w:bCs/>
        </w:rPr>
        <w:t>wer the questions stated above.</w:t>
      </w:r>
    </w:p>
    <w:p w14:paraId="163C25C5" w14:textId="14A15529" w:rsidR="00EA7B56" w:rsidRPr="00EA7B56" w:rsidRDefault="00EA7B56" w:rsidP="008E225E">
      <w:pPr>
        <w:ind w:left="720"/>
        <w:jc w:val="both"/>
        <w:rPr>
          <w:rFonts w:eastAsiaTheme="minorEastAsia"/>
          <w:bCs/>
        </w:rPr>
      </w:pPr>
      <w:r>
        <w:rPr>
          <w:rFonts w:eastAsiaTheme="minorEastAsia"/>
          <w:bCs/>
        </w:rPr>
        <w:t xml:space="preserve">1. </w:t>
      </w:r>
      <w:r w:rsidRPr="00EA7B56">
        <w:rPr>
          <w:rFonts w:eastAsiaTheme="minorEastAsia"/>
          <w:bCs/>
        </w:rPr>
        <w:t xml:space="preserve">What preparation technique yields the most accurate PHXRF </w:t>
      </w:r>
      <m:oMath>
        <m:r>
          <w:rPr>
            <w:rFonts w:ascii="Cambria Math" w:hAnsi="Cambria Math"/>
          </w:rPr>
          <m:t>SC</m:t>
        </m:r>
      </m:oMath>
      <w:r w:rsidRPr="00EA7B56">
        <w:rPr>
          <w:rFonts w:eastAsiaTheme="minorEastAsia"/>
          <w:bCs/>
        </w:rPr>
        <w:t xml:space="preserve"> measurements? Is this preparation technique feasible in the field?</w:t>
      </w:r>
    </w:p>
    <w:p w14:paraId="5860382E" w14:textId="3EB8B640" w:rsidR="00687DD6" w:rsidRDefault="00687DD6" w:rsidP="00687DD6">
      <w:pPr>
        <w:pStyle w:val="ListParagraph"/>
        <w:numPr>
          <w:ilvl w:val="0"/>
          <w:numId w:val="20"/>
        </w:numPr>
        <w:jc w:val="both"/>
        <w:rPr>
          <w:rFonts w:eastAsiaTheme="minorEastAsia"/>
          <w:bCs/>
        </w:rPr>
      </w:pPr>
      <w:r>
        <w:rPr>
          <w:rFonts w:eastAsiaTheme="minorEastAsia"/>
          <w:bCs/>
        </w:rPr>
        <w:t>Longer scan durations neither improve nor hinder PHXRF precision and accuracy and are therefore considered negligible. For the sake of efficiency, all PHXRF measurements should be limited to 60 seconds.</w:t>
      </w:r>
    </w:p>
    <w:p w14:paraId="0BDB87CE" w14:textId="63273B8B" w:rsidR="00687DD6" w:rsidRDefault="00332F59" w:rsidP="00457152">
      <w:pPr>
        <w:pStyle w:val="ListParagraph"/>
        <w:numPr>
          <w:ilvl w:val="0"/>
          <w:numId w:val="20"/>
        </w:numPr>
        <w:jc w:val="both"/>
        <w:rPr>
          <w:rFonts w:eastAsiaTheme="minorEastAsia"/>
          <w:bCs/>
        </w:rPr>
      </w:pPr>
      <w:r>
        <w:rPr>
          <w:rFonts w:eastAsiaTheme="minorEastAsia"/>
          <w:bCs/>
        </w:rPr>
        <w:t xml:space="preserve">Strong correlations are present between smaller particle size samples and improved PHXRF accuracy, but not precision. The samples with particle sizes </w:t>
      </w:r>
      <w:r w:rsidR="008140C0">
        <w:rPr>
          <w:rFonts w:eastAsiaTheme="minorEastAsia"/>
          <w:bCs/>
        </w:rPr>
        <w:t>passing</w:t>
      </w:r>
      <w:r>
        <w:rPr>
          <w:rFonts w:eastAsiaTheme="minorEastAsia"/>
          <w:bCs/>
        </w:rPr>
        <w:t xml:space="preserve"> the No. 2</w:t>
      </w:r>
      <w:r w:rsidR="008140C0">
        <w:rPr>
          <w:rFonts w:eastAsiaTheme="minorEastAsia"/>
          <w:bCs/>
        </w:rPr>
        <w:t>00 sieve have</w:t>
      </w:r>
      <w:r>
        <w:rPr>
          <w:rFonts w:eastAsiaTheme="minorEastAsia"/>
          <w:bCs/>
        </w:rPr>
        <w:t xml:space="preserve"> the smallest variability in discrete measurements </w:t>
      </w:r>
      <w:r w:rsidR="008140C0">
        <w:rPr>
          <w:rFonts w:eastAsiaTheme="minorEastAsia"/>
          <w:bCs/>
        </w:rPr>
        <w:t xml:space="preserve">relative to </w:t>
      </w:r>
      <w:r>
        <w:rPr>
          <w:rFonts w:eastAsiaTheme="minorEastAsia"/>
          <w:bCs/>
        </w:rPr>
        <w:t xml:space="preserve">the true </w:t>
      </w:r>
      <m:oMath>
        <m:r>
          <w:rPr>
            <w:rFonts w:ascii="Cambria Math" w:hAnsi="Cambria Math"/>
          </w:rPr>
          <m:t>SC</m:t>
        </m:r>
      </m:oMath>
      <w:r>
        <w:rPr>
          <w:rFonts w:eastAsiaTheme="minorEastAsia"/>
          <w:bCs/>
        </w:rPr>
        <w:t xml:space="preserve"> of the soil, whereas the passing No. 4 </w:t>
      </w:r>
      <w:r w:rsidR="008140C0">
        <w:rPr>
          <w:rFonts w:eastAsiaTheme="minorEastAsia"/>
          <w:bCs/>
        </w:rPr>
        <w:t>sieve</w:t>
      </w:r>
      <w:r>
        <w:rPr>
          <w:rFonts w:eastAsiaTheme="minorEastAsia"/>
          <w:bCs/>
        </w:rPr>
        <w:t xml:space="preserve"> samples ha</w:t>
      </w:r>
      <w:r w:rsidR="008140C0">
        <w:rPr>
          <w:rFonts w:eastAsiaTheme="minorEastAsia"/>
          <w:bCs/>
        </w:rPr>
        <w:t>ve</w:t>
      </w:r>
      <w:r>
        <w:rPr>
          <w:rFonts w:eastAsiaTheme="minorEastAsia"/>
          <w:bCs/>
        </w:rPr>
        <w:t xml:space="preserve"> the larges</w:t>
      </w:r>
      <w:r w:rsidR="008140C0">
        <w:rPr>
          <w:rFonts w:eastAsiaTheme="minorEastAsia"/>
          <w:bCs/>
        </w:rPr>
        <w:t>t</w:t>
      </w:r>
      <w:r>
        <w:rPr>
          <w:rFonts w:eastAsiaTheme="minorEastAsia"/>
          <w:bCs/>
        </w:rPr>
        <w:t>.</w:t>
      </w:r>
      <w:r w:rsidR="008140C0">
        <w:rPr>
          <w:rFonts w:eastAsiaTheme="minorEastAsia"/>
          <w:bCs/>
        </w:rPr>
        <w:t xml:space="preserve"> This is likely due to the reduction of elemental concentrations by milling. Milling samples passed the No. 200 sieve, however, is not very practical in the field. </w:t>
      </w:r>
      <w:r w:rsidR="00AD35D5">
        <w:rPr>
          <w:rFonts w:eastAsiaTheme="minorEastAsia"/>
          <w:bCs/>
        </w:rPr>
        <w:t>S</w:t>
      </w:r>
      <w:r w:rsidR="008140C0">
        <w:rPr>
          <w:rFonts w:eastAsiaTheme="minorEastAsia"/>
          <w:bCs/>
        </w:rPr>
        <w:t>ignificant benefits in terms of PHXRF accuracy are observed when particle sizes are reduced from pass</w:t>
      </w:r>
      <w:r w:rsidR="00AD35D5">
        <w:rPr>
          <w:rFonts w:eastAsiaTheme="minorEastAsia"/>
          <w:bCs/>
        </w:rPr>
        <w:t>ing No. 4 to passing No. 40, yet the benefits are</w:t>
      </w:r>
      <w:r w:rsidR="008140C0">
        <w:rPr>
          <w:rFonts w:eastAsiaTheme="minorEastAsia"/>
          <w:bCs/>
        </w:rPr>
        <w:t xml:space="preserve"> less significant when particle sizes are reduced further. </w:t>
      </w:r>
      <w:r w:rsidR="00FD0741">
        <w:rPr>
          <w:rFonts w:eastAsiaTheme="minorEastAsia"/>
          <w:bCs/>
        </w:rPr>
        <w:t>F</w:t>
      </w:r>
      <w:r w:rsidR="008140C0">
        <w:rPr>
          <w:rFonts w:eastAsiaTheme="minorEastAsia"/>
          <w:bCs/>
        </w:rPr>
        <w:t>ield preparation should be limited to milling samples passed a No. 40 sieve.</w:t>
      </w:r>
    </w:p>
    <w:p w14:paraId="2C8055BC" w14:textId="36C27EE3" w:rsidR="008140C0" w:rsidRDefault="00940B7B" w:rsidP="008E225E">
      <w:pPr>
        <w:pStyle w:val="ListParagraph"/>
        <w:numPr>
          <w:ilvl w:val="0"/>
          <w:numId w:val="20"/>
        </w:numPr>
        <w:jc w:val="both"/>
        <w:rPr>
          <w:rFonts w:eastAsiaTheme="minorEastAsia"/>
          <w:bCs/>
        </w:rPr>
      </w:pPr>
      <w:r>
        <w:rPr>
          <w:rFonts w:eastAsiaTheme="minorEastAsia"/>
          <w:bCs/>
        </w:rPr>
        <w:t>The relationship between sample type and the precision and accuracy of the PHXRF devices is inconclusive</w:t>
      </w:r>
      <w:r w:rsidR="008B2CA9">
        <w:rPr>
          <w:rFonts w:eastAsiaTheme="minorEastAsia"/>
          <w:bCs/>
        </w:rPr>
        <w:t xml:space="preserve"> due to c</w:t>
      </w:r>
      <w:r>
        <w:rPr>
          <w:rFonts w:eastAsiaTheme="minorEastAsia"/>
          <w:bCs/>
        </w:rPr>
        <w:t>onflicting r</w:t>
      </w:r>
      <w:r w:rsidR="008B2CA9">
        <w:rPr>
          <w:rFonts w:eastAsiaTheme="minorEastAsia"/>
          <w:bCs/>
        </w:rPr>
        <w:t xml:space="preserve">esults between OHC </w:t>
      </w:r>
      <w:r>
        <w:rPr>
          <w:rFonts w:eastAsiaTheme="minorEastAsia"/>
          <w:bCs/>
        </w:rPr>
        <w:t xml:space="preserve">and SGB </w:t>
      </w:r>
      <w:r w:rsidR="008B2CA9">
        <w:rPr>
          <w:rFonts w:eastAsiaTheme="minorEastAsia"/>
          <w:bCs/>
        </w:rPr>
        <w:t xml:space="preserve">samples. </w:t>
      </w:r>
      <w:r w:rsidR="00070EA4">
        <w:rPr>
          <w:rFonts w:eastAsiaTheme="minorEastAsia"/>
          <w:bCs/>
        </w:rPr>
        <w:t xml:space="preserve">It should be noted that the preparation of pressed pellets is a laborious endeavor. It takes approximately 15 minutes to produce one pressed pellet sample, whereas it only takes approximately </w:t>
      </w:r>
      <w:r w:rsidR="00070EA4">
        <w:rPr>
          <w:rFonts w:eastAsiaTheme="minorEastAsia"/>
          <w:bCs/>
        </w:rPr>
        <w:lastRenderedPageBreak/>
        <w:t>one minute to produce a powder sample. In some c</w:t>
      </w:r>
      <w:r w:rsidR="002C2888">
        <w:rPr>
          <w:rFonts w:eastAsiaTheme="minorEastAsia"/>
          <w:bCs/>
        </w:rPr>
        <w:t>ases, such as field applications where hundreds of samples may need to be processed</w:t>
      </w:r>
      <w:r w:rsidR="00070EA4">
        <w:rPr>
          <w:rFonts w:eastAsiaTheme="minorEastAsia"/>
          <w:bCs/>
        </w:rPr>
        <w:t xml:space="preserve">, it may be </w:t>
      </w:r>
      <w:r w:rsidR="008E225E">
        <w:rPr>
          <w:rFonts w:eastAsiaTheme="minorEastAsia"/>
          <w:bCs/>
        </w:rPr>
        <w:t>reasonable</w:t>
      </w:r>
      <w:r w:rsidR="00070EA4">
        <w:rPr>
          <w:rFonts w:eastAsiaTheme="minorEastAsia"/>
          <w:bCs/>
        </w:rPr>
        <w:t xml:space="preserve"> to forgo the increase in measurement accuracy</w:t>
      </w:r>
      <w:r w:rsidR="008E225E">
        <w:rPr>
          <w:rFonts w:eastAsiaTheme="minorEastAsia"/>
          <w:bCs/>
        </w:rPr>
        <w:t xml:space="preserve"> from pressed pellets</w:t>
      </w:r>
      <w:r w:rsidR="00070EA4">
        <w:rPr>
          <w:rFonts w:eastAsiaTheme="minorEastAsia"/>
          <w:bCs/>
        </w:rPr>
        <w:t xml:space="preserve"> for practicality purposes.</w:t>
      </w:r>
    </w:p>
    <w:p w14:paraId="5A080C36" w14:textId="41CF71BD" w:rsidR="002C2888" w:rsidRPr="002C2888" w:rsidRDefault="008E225E" w:rsidP="008E225E">
      <w:pPr>
        <w:pStyle w:val="ListParagraph"/>
        <w:jc w:val="both"/>
        <w:rPr>
          <w:rFonts w:eastAsiaTheme="minorEastAsia"/>
          <w:bCs/>
        </w:rPr>
      </w:pPr>
      <w:r>
        <w:rPr>
          <w:rFonts w:eastAsiaTheme="minorEastAsia"/>
          <w:bCs/>
        </w:rPr>
        <w:t xml:space="preserve">2. </w:t>
      </w:r>
      <w:r w:rsidR="002C2888" w:rsidRPr="002C2888">
        <w:rPr>
          <w:rFonts w:eastAsiaTheme="minorEastAsia"/>
          <w:bCs/>
        </w:rPr>
        <w:t xml:space="preserve">What PHXRF device and analysis method should be used to achieve the most accurate PHXRF </w:t>
      </w:r>
      <m:oMath>
        <m:r>
          <w:rPr>
            <w:rFonts w:ascii="Cambria Math" w:hAnsi="Cambria Math"/>
          </w:rPr>
          <m:t>SC</m:t>
        </m:r>
      </m:oMath>
      <w:r w:rsidR="002C2888" w:rsidRPr="002C2888">
        <w:rPr>
          <w:rFonts w:eastAsiaTheme="minorEastAsia"/>
          <w:bCs/>
        </w:rPr>
        <w:t xml:space="preserve"> measurements?</w:t>
      </w:r>
    </w:p>
    <w:p w14:paraId="54A5DFB0" w14:textId="73242174" w:rsidR="00070EA4" w:rsidRDefault="004023F0" w:rsidP="00C87E8E">
      <w:pPr>
        <w:pStyle w:val="ListParagraph"/>
        <w:numPr>
          <w:ilvl w:val="0"/>
          <w:numId w:val="22"/>
        </w:numPr>
        <w:jc w:val="both"/>
        <w:rPr>
          <w:rFonts w:eastAsiaTheme="minorEastAsia"/>
          <w:bCs/>
        </w:rPr>
      </w:pPr>
      <w:r>
        <w:rPr>
          <w:rFonts w:eastAsiaTheme="minorEastAsia"/>
          <w:bCs/>
        </w:rPr>
        <w:t>E</w:t>
      </w:r>
      <w:r w:rsidR="00C87E8E">
        <w:rPr>
          <w:rFonts w:eastAsiaTheme="minorEastAsia"/>
          <w:bCs/>
        </w:rPr>
        <w:t>ither a standard scanning technique</w:t>
      </w:r>
      <w:r w:rsidR="00213D8C">
        <w:rPr>
          <w:rFonts w:eastAsiaTheme="minorEastAsia"/>
          <w:bCs/>
        </w:rPr>
        <w:t xml:space="preserve">, where a sample is scanned at the same location three times, </w:t>
      </w:r>
      <w:r w:rsidR="00C87E8E">
        <w:rPr>
          <w:rFonts w:eastAsiaTheme="minorEastAsia"/>
          <w:bCs/>
        </w:rPr>
        <w:t xml:space="preserve">or a </w:t>
      </w:r>
      <w:r w:rsidR="00213D8C">
        <w:rPr>
          <w:rFonts w:eastAsiaTheme="minorEastAsia"/>
          <w:bCs/>
        </w:rPr>
        <w:t>quartering scanning technique, where a sample is rotated 90</w:t>
      </w:r>
      <w:r w:rsidR="00213D8C">
        <w:rPr>
          <w:rFonts w:eastAsiaTheme="minorEastAsia" w:cs="Times New Roman"/>
          <w:bCs/>
        </w:rPr>
        <w:t>°</w:t>
      </w:r>
      <w:r w:rsidR="00213D8C">
        <w:rPr>
          <w:rFonts w:eastAsiaTheme="minorEastAsia"/>
          <w:bCs/>
        </w:rPr>
        <w:t xml:space="preserve"> after each scan</w:t>
      </w:r>
      <w:r w:rsidR="00C87E8E">
        <w:rPr>
          <w:rFonts w:eastAsiaTheme="minorEastAsia"/>
          <w:bCs/>
        </w:rPr>
        <w:t xml:space="preserve">, may be appropriate for PHXRF </w:t>
      </w:r>
      <m:oMath>
        <m:r>
          <w:rPr>
            <w:rFonts w:ascii="Cambria Math" w:eastAsiaTheme="minorEastAsia" w:hAnsi="Cambria Math"/>
          </w:rPr>
          <m:t>SC</m:t>
        </m:r>
      </m:oMath>
      <w:r w:rsidR="00C87E8E">
        <w:rPr>
          <w:rFonts w:eastAsiaTheme="minorEastAsia"/>
          <w:bCs/>
        </w:rPr>
        <w:t xml:space="preserve"> measurements</w:t>
      </w:r>
      <w:r w:rsidR="00213D8C">
        <w:rPr>
          <w:rFonts w:eastAsiaTheme="minorEastAsia"/>
          <w:bCs/>
        </w:rPr>
        <w:t>.</w:t>
      </w:r>
      <w:r w:rsidR="00C87E8E">
        <w:rPr>
          <w:rFonts w:eastAsiaTheme="minorEastAsia"/>
          <w:bCs/>
        </w:rPr>
        <w:t xml:space="preserve"> Quartering techniques, however, provide a unique opportunity to assess sample homogeneity if the PHXRF in use has a small X-ray beam footprint.</w:t>
      </w:r>
    </w:p>
    <w:p w14:paraId="5A83E79F" w14:textId="774C10B6" w:rsidR="00213D8C" w:rsidRDefault="00B03EEA" w:rsidP="00457152">
      <w:pPr>
        <w:pStyle w:val="ListParagraph"/>
        <w:numPr>
          <w:ilvl w:val="0"/>
          <w:numId w:val="22"/>
        </w:numPr>
        <w:jc w:val="both"/>
        <w:rPr>
          <w:rFonts w:eastAsiaTheme="minorEastAsia"/>
          <w:bCs/>
        </w:rPr>
      </w:pPr>
      <w:r>
        <w:rPr>
          <w:rFonts w:eastAsiaTheme="minorEastAsia"/>
          <w:bCs/>
        </w:rPr>
        <w:t xml:space="preserve">The S1 Titan PHXRF had far more accurate measurements for the OHC samples, whereas the Niton XL3t had far more accurate measurements for the SGB samples. </w:t>
      </w:r>
      <w:r w:rsidR="00F1682A">
        <w:rPr>
          <w:rFonts w:eastAsiaTheme="minorEastAsia"/>
          <w:bCs/>
        </w:rPr>
        <w:t xml:space="preserve">This may be more of a testament to the factory soil calibrations on the respective devices as opposed to their limitations. In an unknown soil situation, the Niton XL3t is the more appropriate device to use because its deviations relative to the true </w:t>
      </w:r>
      <m:oMath>
        <m:r>
          <w:rPr>
            <w:rFonts w:ascii="Cambria Math" w:hAnsi="Cambria Math"/>
          </w:rPr>
          <m:t>SC</m:t>
        </m:r>
      </m:oMath>
      <w:r w:rsidR="00F1682A">
        <w:rPr>
          <w:rFonts w:eastAsiaTheme="minorEastAsia"/>
          <w:bCs/>
        </w:rPr>
        <w:t xml:space="preserve"> are on average less than those of the S1 Titan.</w:t>
      </w:r>
    </w:p>
    <w:p w14:paraId="1F139EF2" w14:textId="11ED93E9" w:rsidR="00645CB2" w:rsidRPr="008E225E" w:rsidRDefault="008E225E" w:rsidP="008E225E">
      <w:pPr>
        <w:ind w:left="720"/>
        <w:jc w:val="both"/>
        <w:rPr>
          <w:rFonts w:eastAsiaTheme="minorEastAsia"/>
          <w:bCs/>
        </w:rPr>
      </w:pPr>
      <w:r>
        <w:rPr>
          <w:rFonts w:eastAsiaTheme="minorEastAsia"/>
          <w:bCs/>
        </w:rPr>
        <w:t xml:space="preserve">3. </w:t>
      </w:r>
      <w:r w:rsidR="00645CB2" w:rsidRPr="008E225E">
        <w:rPr>
          <w:rFonts w:eastAsiaTheme="minorEastAsia"/>
          <w:bCs/>
        </w:rPr>
        <w:t xml:space="preserve">What is the precision and accuracy of in situ and ex situ PHXRF </w:t>
      </w:r>
      <m:oMath>
        <m:r>
          <w:rPr>
            <w:rFonts w:ascii="Cambria Math" w:hAnsi="Cambria Math"/>
          </w:rPr>
          <m:t>SC</m:t>
        </m:r>
      </m:oMath>
      <w:r w:rsidR="00645CB2" w:rsidRPr="008E225E">
        <w:rPr>
          <w:rFonts w:eastAsiaTheme="minorEastAsia"/>
          <w:bCs/>
        </w:rPr>
        <w:t xml:space="preserve"> measurements? Is PHXRF</w:t>
      </w:r>
      <w:r w:rsidR="00EA7B56" w:rsidRPr="008E225E">
        <w:rPr>
          <w:rFonts w:eastAsiaTheme="minorEastAsia"/>
          <w:bCs/>
        </w:rPr>
        <w:t xml:space="preserve"> spectrometry</w:t>
      </w:r>
      <w:r w:rsidR="00645CB2" w:rsidRPr="008E225E">
        <w:rPr>
          <w:rFonts w:eastAsiaTheme="minorEastAsia"/>
          <w:bCs/>
        </w:rPr>
        <w:t xml:space="preserve"> a viable option for measuring </w:t>
      </w:r>
      <m:oMath>
        <m:r>
          <w:rPr>
            <w:rFonts w:ascii="Cambria Math" w:hAnsi="Cambria Math"/>
          </w:rPr>
          <m:t>SC</m:t>
        </m:r>
      </m:oMath>
      <w:r w:rsidR="00645CB2" w:rsidRPr="008E225E">
        <w:rPr>
          <w:rFonts w:eastAsiaTheme="minorEastAsia"/>
          <w:bCs/>
        </w:rPr>
        <w:t xml:space="preserve"> in stabilized subgrade soils?</w:t>
      </w:r>
    </w:p>
    <w:p w14:paraId="29DD8E57" w14:textId="25B6DE26" w:rsidR="00F1682A" w:rsidRPr="00645CB2" w:rsidRDefault="00F1682A" w:rsidP="00457152">
      <w:pPr>
        <w:pStyle w:val="ListParagraph"/>
        <w:numPr>
          <w:ilvl w:val="0"/>
          <w:numId w:val="23"/>
        </w:numPr>
        <w:jc w:val="both"/>
        <w:rPr>
          <w:rFonts w:eastAsiaTheme="minorEastAsia"/>
          <w:bCs/>
        </w:rPr>
      </w:pPr>
      <w:r w:rsidRPr="00645CB2">
        <w:rPr>
          <w:rFonts w:eastAsiaTheme="minorEastAsia"/>
          <w:bCs/>
        </w:rPr>
        <w:lastRenderedPageBreak/>
        <w:t xml:space="preserve">The PHXRF device performed poorly in situ. The average </w:t>
      </w:r>
      <w:r w:rsidR="008617EB" w:rsidRPr="00645CB2">
        <w:rPr>
          <w:rFonts w:eastAsiaTheme="minorEastAsia"/>
          <w:bCs/>
        </w:rPr>
        <w:t xml:space="preserve">STDEV for these measurements is upwards of 2.1%, the </w:t>
      </w:r>
      <w:r w:rsidRPr="00645CB2">
        <w:rPr>
          <w:rFonts w:eastAsiaTheme="minorEastAsia"/>
          <w:bCs/>
        </w:rPr>
        <w:t>RMSD upwards of 24.0%</w:t>
      </w:r>
      <w:r w:rsidR="008617EB" w:rsidRPr="00645CB2">
        <w:rPr>
          <w:rFonts w:eastAsiaTheme="minorEastAsia"/>
          <w:bCs/>
        </w:rPr>
        <w:t xml:space="preserve">, and no linear relationship </w:t>
      </w:r>
      <w:r w:rsidR="0010188F" w:rsidRPr="00645CB2">
        <w:rPr>
          <w:rFonts w:eastAsiaTheme="minorEastAsia"/>
          <w:bCs/>
        </w:rPr>
        <w:t>between in</w:t>
      </w:r>
      <w:r w:rsidR="008617EB" w:rsidRPr="00645CB2">
        <w:rPr>
          <w:rFonts w:eastAsiaTheme="minorEastAsia"/>
          <w:bCs/>
        </w:rPr>
        <w:t xml:space="preserve"> situ measurement</w:t>
      </w:r>
      <w:r w:rsidR="0010188F" w:rsidRPr="00645CB2">
        <w:rPr>
          <w:rFonts w:eastAsiaTheme="minorEastAsia"/>
          <w:bCs/>
        </w:rPr>
        <w:t>s</w:t>
      </w:r>
      <w:r w:rsidR="008617EB" w:rsidRPr="00645CB2">
        <w:rPr>
          <w:rFonts w:eastAsiaTheme="minorEastAsia"/>
          <w:bCs/>
        </w:rPr>
        <w:t xml:space="preserve"> and true </w:t>
      </w:r>
      <m:oMath>
        <m:r>
          <w:rPr>
            <w:rFonts w:ascii="Cambria Math" w:hAnsi="Cambria Math"/>
          </w:rPr>
          <m:t>SC</m:t>
        </m:r>
      </m:oMath>
      <w:r w:rsidR="0010188F" w:rsidRPr="00645CB2">
        <w:rPr>
          <w:rFonts w:eastAsiaTheme="minorEastAsia"/>
          <w:bCs/>
        </w:rPr>
        <w:t>s</w:t>
      </w:r>
      <w:r w:rsidR="008617EB" w:rsidRPr="00645CB2">
        <w:rPr>
          <w:rFonts w:eastAsiaTheme="minorEastAsia"/>
          <w:bCs/>
        </w:rPr>
        <w:t xml:space="preserve"> is observed in the data</w:t>
      </w:r>
      <w:r w:rsidRPr="00645CB2">
        <w:rPr>
          <w:rFonts w:eastAsiaTheme="minorEastAsia"/>
          <w:bCs/>
        </w:rPr>
        <w:t xml:space="preserve">. </w:t>
      </w:r>
      <w:r w:rsidR="008617EB" w:rsidRPr="00645CB2">
        <w:rPr>
          <w:rFonts w:eastAsiaTheme="minorEastAsia"/>
          <w:bCs/>
        </w:rPr>
        <w:t>The</w:t>
      </w:r>
      <w:r w:rsidRPr="00645CB2">
        <w:rPr>
          <w:rFonts w:eastAsiaTheme="minorEastAsia"/>
          <w:bCs/>
        </w:rPr>
        <w:t>s</w:t>
      </w:r>
      <w:r w:rsidR="008617EB" w:rsidRPr="00645CB2">
        <w:rPr>
          <w:rFonts w:eastAsiaTheme="minorEastAsia"/>
          <w:bCs/>
        </w:rPr>
        <w:t>e</w:t>
      </w:r>
      <w:r w:rsidRPr="00645CB2">
        <w:rPr>
          <w:rFonts w:eastAsiaTheme="minorEastAsia"/>
          <w:bCs/>
        </w:rPr>
        <w:t xml:space="preserve"> ina</w:t>
      </w:r>
      <w:r w:rsidR="008617EB" w:rsidRPr="00645CB2">
        <w:rPr>
          <w:rFonts w:eastAsiaTheme="minorEastAsia"/>
          <w:bCs/>
        </w:rPr>
        <w:t>ccuracies</w:t>
      </w:r>
      <w:r w:rsidRPr="00645CB2">
        <w:rPr>
          <w:rFonts w:eastAsiaTheme="minorEastAsia"/>
          <w:bCs/>
        </w:rPr>
        <w:t xml:space="preserve"> </w:t>
      </w:r>
      <w:r w:rsidR="008617EB" w:rsidRPr="00645CB2">
        <w:rPr>
          <w:rFonts w:eastAsiaTheme="minorEastAsia"/>
          <w:bCs/>
        </w:rPr>
        <w:t xml:space="preserve">are </w:t>
      </w:r>
      <w:r w:rsidR="0010188F" w:rsidRPr="00645CB2">
        <w:rPr>
          <w:rFonts w:eastAsiaTheme="minorEastAsia"/>
          <w:bCs/>
        </w:rPr>
        <w:t xml:space="preserve">not </w:t>
      </w:r>
      <w:r w:rsidR="00BE0C7B" w:rsidRPr="00645CB2">
        <w:rPr>
          <w:rFonts w:eastAsiaTheme="minorEastAsia"/>
          <w:bCs/>
        </w:rPr>
        <w:t>surprising</w:t>
      </w:r>
      <w:r w:rsidR="008617EB" w:rsidRPr="00645CB2">
        <w:rPr>
          <w:rFonts w:eastAsiaTheme="minorEastAsia"/>
          <w:bCs/>
        </w:rPr>
        <w:t xml:space="preserve"> th</w:t>
      </w:r>
      <w:r w:rsidRPr="00645CB2">
        <w:rPr>
          <w:rFonts w:eastAsiaTheme="minorEastAsia"/>
          <w:bCs/>
        </w:rPr>
        <w:t xml:space="preserve">ough because the literature heavily stresses the importance of sample preparation. Possible causes for in situ inaccuracies could be a number of things like </w:t>
      </w:r>
      <w:r w:rsidR="008617EB" w:rsidRPr="00645CB2">
        <w:rPr>
          <w:rFonts w:eastAsiaTheme="minorEastAsia"/>
          <w:bCs/>
        </w:rPr>
        <w:t xml:space="preserve">excessive surface roughness, the presence of elemental concentrations, the presence of oxygen, wind blowing material into the scan window, and the presence of moisture. It is for many of these reasons that in situ measurements are deemed inadequate when determining </w:t>
      </w:r>
      <m:oMath>
        <m:r>
          <w:rPr>
            <w:rFonts w:ascii="Cambria Math" w:hAnsi="Cambria Math"/>
          </w:rPr>
          <m:t>SC</m:t>
        </m:r>
      </m:oMath>
      <w:r w:rsidR="008617EB" w:rsidRPr="00645CB2">
        <w:rPr>
          <w:rFonts w:eastAsiaTheme="minorEastAsia"/>
          <w:bCs/>
        </w:rPr>
        <w:t xml:space="preserve"> in subgrade soils.</w:t>
      </w:r>
    </w:p>
    <w:p w14:paraId="56B2E542" w14:textId="2471E68C" w:rsidR="008617EB" w:rsidRDefault="0010188F" w:rsidP="00457152">
      <w:pPr>
        <w:pStyle w:val="ListParagraph"/>
        <w:numPr>
          <w:ilvl w:val="0"/>
          <w:numId w:val="23"/>
        </w:numPr>
        <w:jc w:val="both"/>
        <w:rPr>
          <w:rFonts w:eastAsiaTheme="minorEastAsia"/>
          <w:bCs/>
        </w:rPr>
      </w:pPr>
      <w:r>
        <w:rPr>
          <w:rFonts w:eastAsiaTheme="minorEastAsia"/>
          <w:bCs/>
        </w:rPr>
        <w:t xml:space="preserve">The PHXRF device performed well ex situ. </w:t>
      </w:r>
      <w:r w:rsidR="00F91158">
        <w:rPr>
          <w:rFonts w:eastAsiaTheme="minorEastAsia"/>
          <w:bCs/>
        </w:rPr>
        <w:t xml:space="preserve">The </w:t>
      </w:r>
      <w:r w:rsidR="00BE0C7B">
        <w:rPr>
          <w:rFonts w:eastAsiaTheme="minorEastAsia"/>
          <w:bCs/>
        </w:rPr>
        <w:t xml:space="preserve">STDEV was steady around </w:t>
      </w:r>
      <w:r w:rsidR="00F91158">
        <w:rPr>
          <w:rFonts w:eastAsiaTheme="minorEastAsia"/>
          <w:bCs/>
        </w:rPr>
        <w:t xml:space="preserve">0.449% and the RMSD around 9.818%, which is about half of those observed in the in situ measurements. While these errors are far outside of limitations, they are consistent and remarkably linear. The linear relationship between ex situ measurements and true </w:t>
      </w:r>
      <m:oMath>
        <m:r>
          <w:rPr>
            <w:rFonts w:ascii="Cambria Math" w:hAnsi="Cambria Math"/>
          </w:rPr>
          <m:t>SC</m:t>
        </m:r>
      </m:oMath>
      <w:r w:rsidR="00F91158">
        <w:rPr>
          <w:rFonts w:eastAsiaTheme="minorEastAsia"/>
          <w:bCs/>
        </w:rPr>
        <w:t>s has an R</w:t>
      </w:r>
      <w:r w:rsidR="00F91158" w:rsidRPr="00781084">
        <w:rPr>
          <w:rFonts w:eastAsiaTheme="minorEastAsia"/>
          <w:bCs/>
          <w:vertAlign w:val="superscript"/>
        </w:rPr>
        <w:t>2</w:t>
      </w:r>
      <w:r w:rsidR="00F91158">
        <w:rPr>
          <w:rFonts w:eastAsiaTheme="minorEastAsia"/>
          <w:bCs/>
        </w:rPr>
        <w:t xml:space="preserve"> value of 0.925. Therefore, ex situ measurements can be mathematically corrected using the equation of the regression line between ex situ measurements and true </w:t>
      </w:r>
      <m:oMath>
        <m:r>
          <w:rPr>
            <w:rFonts w:ascii="Cambria Math" w:hAnsi="Cambria Math"/>
          </w:rPr>
          <m:t>SC</m:t>
        </m:r>
      </m:oMath>
      <w:r w:rsidR="00F91158">
        <w:rPr>
          <w:rFonts w:eastAsiaTheme="minorEastAsia"/>
          <w:bCs/>
        </w:rPr>
        <w:t xml:space="preserve">s. </w:t>
      </w:r>
      <w:r w:rsidR="00A7089E">
        <w:rPr>
          <w:rFonts w:eastAsiaTheme="minorEastAsia"/>
          <w:bCs/>
        </w:rPr>
        <w:t>Consequentially</w:t>
      </w:r>
      <w:r w:rsidR="00F91158">
        <w:rPr>
          <w:rFonts w:eastAsiaTheme="minorEastAsia"/>
          <w:bCs/>
        </w:rPr>
        <w:t xml:space="preserve">, corrected ex situ PHXRF </w:t>
      </w:r>
      <m:oMath>
        <m:r>
          <w:rPr>
            <w:rFonts w:ascii="Cambria Math" w:hAnsi="Cambria Math"/>
          </w:rPr>
          <m:t>SC</m:t>
        </m:r>
      </m:oMath>
      <w:r w:rsidR="00F91158">
        <w:rPr>
          <w:rFonts w:eastAsiaTheme="minorEastAsia"/>
          <w:bCs/>
        </w:rPr>
        <w:t xml:space="preserve"> measurements may be </w:t>
      </w:r>
      <w:r w:rsidR="00645CB2">
        <w:rPr>
          <w:rFonts w:eastAsiaTheme="minorEastAsia"/>
          <w:bCs/>
        </w:rPr>
        <w:t>a viable option for</w:t>
      </w:r>
      <w:r w:rsidR="00F91158">
        <w:rPr>
          <w:rFonts w:eastAsiaTheme="minorEastAsia"/>
          <w:bCs/>
        </w:rPr>
        <w:t xml:space="preserve"> determining </w:t>
      </w:r>
      <m:oMath>
        <m:r>
          <w:rPr>
            <w:rFonts w:ascii="Cambria Math" w:hAnsi="Cambria Math"/>
          </w:rPr>
          <m:t>SC</m:t>
        </m:r>
      </m:oMath>
      <w:r w:rsidR="00F91158">
        <w:rPr>
          <w:rFonts w:eastAsiaTheme="minorEastAsia"/>
          <w:bCs/>
        </w:rPr>
        <w:t xml:space="preserve"> in </w:t>
      </w:r>
      <w:r w:rsidR="00645CB2">
        <w:rPr>
          <w:rFonts w:eastAsiaTheme="minorEastAsia"/>
          <w:bCs/>
        </w:rPr>
        <w:t xml:space="preserve">stabilized </w:t>
      </w:r>
      <w:r w:rsidR="00F91158">
        <w:rPr>
          <w:rFonts w:eastAsiaTheme="minorEastAsia"/>
          <w:bCs/>
        </w:rPr>
        <w:t>subgrade soils.</w:t>
      </w:r>
    </w:p>
    <w:p w14:paraId="7F135050" w14:textId="54E3E0B3" w:rsidR="00645CB2" w:rsidRPr="008E225E" w:rsidRDefault="008E225E" w:rsidP="008E225E">
      <w:pPr>
        <w:ind w:left="720"/>
        <w:jc w:val="both"/>
        <w:rPr>
          <w:rFonts w:eastAsiaTheme="minorEastAsia"/>
          <w:bCs/>
        </w:rPr>
      </w:pPr>
      <w:r>
        <w:rPr>
          <w:rFonts w:eastAsiaTheme="minorEastAsia"/>
          <w:bCs/>
        </w:rPr>
        <w:t xml:space="preserve">4. </w:t>
      </w:r>
      <w:r w:rsidR="00645CB2" w:rsidRPr="008E225E">
        <w:rPr>
          <w:rFonts w:eastAsiaTheme="minorEastAsia"/>
          <w:bCs/>
        </w:rPr>
        <w:t xml:space="preserve">Is PHXRF </w:t>
      </w:r>
      <w:r w:rsidR="00EA7B56" w:rsidRPr="008E225E">
        <w:rPr>
          <w:rFonts w:eastAsiaTheme="minorEastAsia"/>
          <w:bCs/>
        </w:rPr>
        <w:t xml:space="preserve">spectrometry </w:t>
      </w:r>
      <w:r w:rsidR="00645CB2" w:rsidRPr="008E225E">
        <w:rPr>
          <w:rFonts w:eastAsiaTheme="minorEastAsia"/>
          <w:bCs/>
        </w:rPr>
        <w:t>a viable option for assessing spatial and depth homogeneity in the field?</w:t>
      </w:r>
    </w:p>
    <w:p w14:paraId="3251177C" w14:textId="3817194E" w:rsidR="00645CB2" w:rsidRDefault="00084172" w:rsidP="008E225E">
      <w:pPr>
        <w:pStyle w:val="ListParagraph"/>
        <w:numPr>
          <w:ilvl w:val="1"/>
          <w:numId w:val="19"/>
        </w:numPr>
        <w:jc w:val="both"/>
        <w:rPr>
          <w:rFonts w:eastAsiaTheme="minorEastAsia"/>
          <w:bCs/>
        </w:rPr>
      </w:pPr>
      <w:r>
        <w:rPr>
          <w:rFonts w:eastAsiaTheme="minorEastAsia"/>
          <w:bCs/>
        </w:rPr>
        <w:lastRenderedPageBreak/>
        <w:t xml:space="preserve">The PHXRF device proved to be a useful tool when assessing spatial distribution of </w:t>
      </w:r>
      <m:oMath>
        <m:r>
          <w:rPr>
            <w:rFonts w:ascii="Cambria Math" w:hAnsi="Cambria Math"/>
          </w:rPr>
          <m:t>SC</m:t>
        </m:r>
      </m:oMath>
      <w:r>
        <w:rPr>
          <w:rFonts w:eastAsiaTheme="minorEastAsia"/>
          <w:bCs/>
        </w:rPr>
        <w:t xml:space="preserve"> throughout three tested sites. The average </w:t>
      </w:r>
      <m:oMath>
        <m:r>
          <w:rPr>
            <w:rFonts w:ascii="Cambria Math" w:hAnsi="Cambria Math"/>
          </w:rPr>
          <m:t>SC</m:t>
        </m:r>
      </m:oMath>
      <w:r>
        <w:rPr>
          <w:rFonts w:eastAsiaTheme="minorEastAsia"/>
          <w:bCs/>
        </w:rPr>
        <w:t xml:space="preserve">s measured in the design volume of the sites are often within </w:t>
      </w:r>
      <w:r>
        <w:rPr>
          <w:rFonts w:eastAsiaTheme="minorEastAsia" w:cs="Times New Roman"/>
          <w:bCs/>
        </w:rPr>
        <w:t>±</w:t>
      </w:r>
      <w:r>
        <w:rPr>
          <w:rFonts w:eastAsiaTheme="minorEastAsia"/>
          <w:bCs/>
        </w:rPr>
        <w:t xml:space="preserve">1% of the design </w:t>
      </w:r>
      <m:oMath>
        <m:r>
          <w:rPr>
            <w:rFonts w:ascii="Cambria Math" w:hAnsi="Cambria Math"/>
          </w:rPr>
          <m:t>SC</m:t>
        </m:r>
      </m:oMath>
      <w:r>
        <w:rPr>
          <w:rFonts w:eastAsiaTheme="minorEastAsia"/>
          <w:bCs/>
        </w:rPr>
        <w:t xml:space="preserve">, which is encouraging. Spatial variability is found to be an issue </w:t>
      </w:r>
      <w:r w:rsidR="00164CAE">
        <w:rPr>
          <w:rFonts w:eastAsiaTheme="minorEastAsia"/>
          <w:bCs/>
        </w:rPr>
        <w:t xml:space="preserve">on </w:t>
      </w:r>
      <w:r>
        <w:rPr>
          <w:rFonts w:eastAsiaTheme="minorEastAsia"/>
          <w:bCs/>
        </w:rPr>
        <w:t>all sites. PHXRF is a very helpful and convenient way of gathering the data needed to assess the spatial heterogeneity of stabilized subgrade sites.</w:t>
      </w:r>
    </w:p>
    <w:p w14:paraId="14AAEFCB" w14:textId="480B5391" w:rsidR="00DB0766" w:rsidRDefault="00DB0766" w:rsidP="008E225E">
      <w:pPr>
        <w:pStyle w:val="ListParagraph"/>
        <w:numPr>
          <w:ilvl w:val="1"/>
          <w:numId w:val="19"/>
        </w:numPr>
        <w:jc w:val="both"/>
        <w:rPr>
          <w:rFonts w:eastAsiaTheme="minorEastAsia"/>
          <w:bCs/>
        </w:rPr>
      </w:pPr>
      <w:r w:rsidRPr="00F02024">
        <w:rPr>
          <w:rFonts w:eastAsiaTheme="minorEastAsia"/>
          <w:bCs/>
        </w:rPr>
        <w:t xml:space="preserve">The PHXRF device proved to be a useful tool when assessing depth distribution of </w:t>
      </w:r>
      <m:oMath>
        <m:r>
          <w:rPr>
            <w:rFonts w:ascii="Cambria Math" w:hAnsi="Cambria Math"/>
          </w:rPr>
          <m:t>SC</m:t>
        </m:r>
      </m:oMath>
      <w:r w:rsidRPr="00F02024">
        <w:rPr>
          <w:rFonts w:eastAsiaTheme="minorEastAsia"/>
          <w:bCs/>
        </w:rPr>
        <w:t xml:space="preserve"> for many of the same reasons as stated for the spatial distribution assessment. The PHXRF measurements detect a decrease in </w:t>
      </w:r>
      <m:oMath>
        <m:r>
          <w:rPr>
            <w:rFonts w:ascii="Cambria Math" w:hAnsi="Cambria Math"/>
          </w:rPr>
          <m:t>SC</m:t>
        </m:r>
      </m:oMath>
      <w:r w:rsidRPr="00F02024">
        <w:rPr>
          <w:rFonts w:eastAsiaTheme="minorEastAsia"/>
          <w:bCs/>
        </w:rPr>
        <w:t xml:space="preserve"> throughout the design depth of all three sites. </w:t>
      </w:r>
      <w:r w:rsidR="00F02024" w:rsidRPr="00F02024">
        <w:rPr>
          <w:rFonts w:eastAsiaTheme="minorEastAsia"/>
          <w:bCs/>
        </w:rPr>
        <w:t xml:space="preserve">Additionally, the device measures notable amounts of chemical stabilizer below the design depth, which conflicts with specifications. These measurements are easily used to populate a contour chart to illustrate depth heterogeneity throughout stabilized subgrade sites. </w:t>
      </w:r>
    </w:p>
    <w:p w14:paraId="08480156" w14:textId="735D826A" w:rsidR="00F02024" w:rsidRDefault="00743225" w:rsidP="00457152">
      <w:pPr>
        <w:ind w:firstLine="720"/>
        <w:jc w:val="both"/>
        <w:rPr>
          <w:rFonts w:eastAsiaTheme="minorEastAsia"/>
          <w:bCs/>
        </w:rPr>
      </w:pPr>
      <w:r>
        <w:rPr>
          <w:rFonts w:eastAsiaTheme="minorEastAsia"/>
          <w:bCs/>
        </w:rPr>
        <w:t xml:space="preserve">Cultivating this technology aligns directly with the Southern Plains Transportation Center’s (SPTC) mission to develop comprehensive, cost-effective, and imminently implementable solutions to critical infrastructure-related issues facing the transportation systems of the region and the nation. Creating an accurate, </w:t>
      </w:r>
      <w:r w:rsidR="00B46BAE">
        <w:rPr>
          <w:rFonts w:eastAsiaTheme="minorEastAsia"/>
          <w:bCs/>
        </w:rPr>
        <w:t>portable</w:t>
      </w:r>
      <w:r>
        <w:rPr>
          <w:rFonts w:eastAsiaTheme="minorEastAsia"/>
          <w:bCs/>
        </w:rPr>
        <w:t xml:space="preserve">, and efficient method for determining </w:t>
      </w:r>
      <m:oMath>
        <m:r>
          <w:rPr>
            <w:rFonts w:ascii="Cambria Math" w:hAnsi="Cambria Math"/>
          </w:rPr>
          <m:t>SC</m:t>
        </m:r>
      </m:oMath>
      <w:r>
        <w:rPr>
          <w:rFonts w:eastAsiaTheme="minorEastAsia"/>
          <w:bCs/>
        </w:rPr>
        <w:t xml:space="preserve"> will enable inspectors to enac</w:t>
      </w:r>
      <w:r w:rsidR="00B46BAE">
        <w:rPr>
          <w:rFonts w:eastAsiaTheme="minorEastAsia"/>
          <w:bCs/>
        </w:rPr>
        <w:t xml:space="preserve">t improved quality control measures during constructions, leading to more reliable and safer roadways. Additionally, this technology will save time and provide more complete data during forensic geotechnical investigations, leading to cost savings and a deeper understanding </w:t>
      </w:r>
      <w:r w:rsidR="00B46BAE">
        <w:rPr>
          <w:rFonts w:eastAsiaTheme="minorEastAsia"/>
          <w:bCs/>
        </w:rPr>
        <w:lastRenderedPageBreak/>
        <w:t xml:space="preserve">of stabilization issues. It is the authors hope that this technology will lead to higher quality roadways at levels previously unobtainable. </w:t>
      </w:r>
    </w:p>
    <w:p w14:paraId="2C32DB3F" w14:textId="77777777" w:rsidR="00777764" w:rsidRDefault="00777764" w:rsidP="00777764">
      <w:pPr>
        <w:jc w:val="both"/>
        <w:rPr>
          <w:rFonts w:eastAsiaTheme="minorEastAsia"/>
          <w:bCs/>
        </w:rPr>
      </w:pPr>
    </w:p>
    <w:p w14:paraId="64B5536E" w14:textId="0C70A29F" w:rsidR="00777764" w:rsidRPr="00777764" w:rsidRDefault="00777764" w:rsidP="00777764">
      <w:pPr>
        <w:jc w:val="both"/>
        <w:rPr>
          <w:b/>
        </w:rPr>
      </w:pPr>
      <w:r w:rsidRPr="00777764">
        <w:rPr>
          <w:b/>
        </w:rPr>
        <w:t>5.</w:t>
      </w:r>
      <w:r>
        <w:rPr>
          <w:b/>
        </w:rPr>
        <w:t>2</w:t>
      </w:r>
      <w:r w:rsidRPr="00777764">
        <w:rPr>
          <w:b/>
        </w:rPr>
        <w:t xml:space="preserve"> </w:t>
      </w:r>
      <w:r>
        <w:rPr>
          <w:b/>
        </w:rPr>
        <w:t>Recommendations for Future Research</w:t>
      </w:r>
    </w:p>
    <w:p w14:paraId="3611D216" w14:textId="095659DC" w:rsidR="00777764" w:rsidRDefault="00777764" w:rsidP="00D64417">
      <w:pPr>
        <w:jc w:val="both"/>
        <w:rPr>
          <w:rFonts w:eastAsiaTheme="minorEastAsia"/>
          <w:bCs/>
        </w:rPr>
      </w:pPr>
      <w:r>
        <w:rPr>
          <w:rFonts w:eastAsiaTheme="minorEastAsia"/>
          <w:bCs/>
        </w:rPr>
        <w:tab/>
      </w:r>
      <w:r w:rsidR="00743225">
        <w:rPr>
          <w:rFonts w:eastAsiaTheme="minorEastAsia"/>
          <w:bCs/>
        </w:rPr>
        <w:t xml:space="preserve">Before </w:t>
      </w:r>
      <w:r w:rsidR="00BE0AB4">
        <w:rPr>
          <w:rFonts w:eastAsiaTheme="minorEastAsia"/>
          <w:bCs/>
        </w:rPr>
        <w:t>the push for policy changes</w:t>
      </w:r>
      <w:r w:rsidR="00B91981">
        <w:rPr>
          <w:rFonts w:eastAsiaTheme="minorEastAsia"/>
          <w:bCs/>
        </w:rPr>
        <w:t xml:space="preserve"> is</w:t>
      </w:r>
      <w:r w:rsidR="00B46BAE">
        <w:rPr>
          <w:rFonts w:eastAsiaTheme="minorEastAsia"/>
          <w:bCs/>
        </w:rPr>
        <w:t xml:space="preserve"> made to include PHXRF spectrometry as part of the quality control protocols for subgrade stabilization in the southern plains states, more field testing will need to be completed to further verify the accuracy and feasibility of implementing this technology. It is recommended that two to seven more </w:t>
      </w:r>
      <w:r w:rsidR="00BE0AB4">
        <w:rPr>
          <w:rFonts w:eastAsiaTheme="minorEastAsia"/>
          <w:bCs/>
        </w:rPr>
        <w:t xml:space="preserve">subgrade stabilization sites be measured. Additionally, it may be beneficial to retain stabilized subgrade samples from around the region to build an application specific calibration on the PHXRF devices. This will take thousands of samples to create a comprehensive reference library for the device to compare </w:t>
      </w:r>
      <w:r w:rsidR="00D64417">
        <w:rPr>
          <w:rFonts w:eastAsiaTheme="minorEastAsia"/>
          <w:bCs/>
        </w:rPr>
        <w:t>a discrete measurement to. The only way to build such an elaborate library is to continuously add known samples over a period of time.</w:t>
      </w:r>
    </w:p>
    <w:p w14:paraId="4EF61832" w14:textId="50CFFA4A" w:rsidR="00C87E8E" w:rsidRDefault="00C87E8E" w:rsidP="00BA6D7D">
      <w:pPr>
        <w:jc w:val="both"/>
        <w:rPr>
          <w:rFonts w:eastAsiaTheme="minorEastAsia"/>
          <w:bCs/>
        </w:rPr>
      </w:pPr>
      <w:r>
        <w:rPr>
          <w:rFonts w:eastAsiaTheme="minorEastAsia"/>
          <w:bCs/>
        </w:rPr>
        <w:tab/>
      </w:r>
      <w:r w:rsidR="00BA6D7D">
        <w:rPr>
          <w:rFonts w:eastAsiaTheme="minorEastAsia"/>
          <w:bCs/>
        </w:rPr>
        <w:t>An a</w:t>
      </w:r>
      <w:r>
        <w:rPr>
          <w:rFonts w:eastAsiaTheme="minorEastAsia"/>
          <w:bCs/>
        </w:rPr>
        <w:t>dditional research</w:t>
      </w:r>
      <w:r w:rsidR="00BA6D7D">
        <w:rPr>
          <w:rFonts w:eastAsiaTheme="minorEastAsia"/>
          <w:bCs/>
        </w:rPr>
        <w:t xml:space="preserve"> recommendation</w:t>
      </w:r>
      <w:r>
        <w:rPr>
          <w:rFonts w:eastAsiaTheme="minorEastAsia"/>
          <w:bCs/>
        </w:rPr>
        <w:t xml:space="preserve"> include</w:t>
      </w:r>
      <w:r w:rsidR="00BA6D7D">
        <w:rPr>
          <w:rFonts w:eastAsiaTheme="minorEastAsia"/>
          <w:bCs/>
        </w:rPr>
        <w:t>s</w:t>
      </w:r>
      <w:r>
        <w:rPr>
          <w:rFonts w:eastAsiaTheme="minorEastAsia"/>
          <w:bCs/>
        </w:rPr>
        <w:t xml:space="preserve"> conducting further studies on pressed pellet</w:t>
      </w:r>
      <w:r w:rsidR="00BA6D7D">
        <w:rPr>
          <w:rFonts w:eastAsiaTheme="minorEastAsia"/>
          <w:bCs/>
        </w:rPr>
        <w:t xml:space="preserve"> versus powder samples to determine conclusively which sample type is more conducive for PHXRF </w:t>
      </w:r>
      <m:oMath>
        <m:r>
          <w:rPr>
            <w:rFonts w:ascii="Cambria Math" w:eastAsiaTheme="minorEastAsia" w:hAnsi="Cambria Math"/>
          </w:rPr>
          <m:t>SC</m:t>
        </m:r>
      </m:oMath>
      <w:r w:rsidR="00BA6D7D">
        <w:rPr>
          <w:rFonts w:eastAsiaTheme="minorEastAsia"/>
          <w:bCs/>
        </w:rPr>
        <w:t xml:space="preserve"> measurements. Also, it may be beneficial to look into why OHC and SGB samples so often yielded conflicting results. Perhaps PHXRF </w:t>
      </w:r>
      <m:oMath>
        <m:r>
          <w:rPr>
            <w:rFonts w:ascii="Cambria Math" w:eastAsiaTheme="minorEastAsia" w:hAnsi="Cambria Math"/>
          </w:rPr>
          <m:t>SC</m:t>
        </m:r>
      </m:oMath>
      <w:r w:rsidR="00BA6D7D">
        <w:rPr>
          <w:rFonts w:eastAsiaTheme="minorEastAsia"/>
          <w:bCs/>
        </w:rPr>
        <w:t xml:space="preserve"> measurements may be affected by the mineralogy of the samples. </w:t>
      </w:r>
    </w:p>
    <w:p w14:paraId="7A4A2183" w14:textId="5F9C4FFE" w:rsidR="004615B4" w:rsidRPr="007F0BEF" w:rsidRDefault="00B91981" w:rsidP="00AF11B9">
      <w:pPr>
        <w:jc w:val="both"/>
        <w:rPr>
          <w:rFonts w:eastAsiaTheme="minorEastAsia"/>
          <w:b/>
        </w:rPr>
      </w:pPr>
      <w:r>
        <w:rPr>
          <w:rFonts w:eastAsiaTheme="minorEastAsia"/>
          <w:bCs/>
        </w:rPr>
        <w:tab/>
        <w:t>Furthermore, it may be beneficial to examine leaching in stabilized soils. Laboratory tests may be able to determine how fast an</w:t>
      </w:r>
      <w:r w:rsidR="00DB0F0E">
        <w:rPr>
          <w:rFonts w:eastAsiaTheme="minorEastAsia"/>
          <w:bCs/>
        </w:rPr>
        <w:t>d how much stabilizer leaches f</w:t>
      </w:r>
      <w:r>
        <w:rPr>
          <w:rFonts w:eastAsiaTheme="minorEastAsia"/>
          <w:bCs/>
        </w:rPr>
        <w:t>r</w:t>
      </w:r>
      <w:r w:rsidR="00DB0F0E">
        <w:rPr>
          <w:rFonts w:eastAsiaTheme="minorEastAsia"/>
          <w:bCs/>
        </w:rPr>
        <w:t>o</w:t>
      </w:r>
      <w:r>
        <w:rPr>
          <w:rFonts w:eastAsiaTheme="minorEastAsia"/>
          <w:bCs/>
        </w:rPr>
        <w:t xml:space="preserve">m stabilized soils. PHXRF spectrometry can then be used to determine how much stabilizer to add back into the soil </w:t>
      </w:r>
      <w:r w:rsidR="00AF11B9">
        <w:rPr>
          <w:rFonts w:eastAsiaTheme="minorEastAsia"/>
          <w:bCs/>
        </w:rPr>
        <w:t>for it to achieve its</w:t>
      </w:r>
      <w:r w:rsidR="00DB0F0E">
        <w:rPr>
          <w:rFonts w:eastAsiaTheme="minorEastAsia"/>
          <w:bCs/>
        </w:rPr>
        <w:t xml:space="preserve"> </w:t>
      </w:r>
      <w:r w:rsidR="00AF11B9">
        <w:rPr>
          <w:rFonts w:eastAsiaTheme="minorEastAsia"/>
          <w:bCs/>
        </w:rPr>
        <w:t>design strength.</w:t>
      </w:r>
    </w:p>
    <w:p w14:paraId="0589A843" w14:textId="3F13EF02" w:rsidR="005002F3" w:rsidRPr="00451791" w:rsidRDefault="005002F3" w:rsidP="004615B4">
      <w:pPr>
        <w:jc w:val="both"/>
        <w:rPr>
          <w:rFonts w:eastAsiaTheme="minorEastAsia"/>
          <w:bCs/>
        </w:rPr>
        <w:sectPr w:rsidR="005002F3" w:rsidRPr="00451791" w:rsidSect="00A45898">
          <w:pgSz w:w="12240" w:h="15840"/>
          <w:pgMar w:top="1440" w:right="1440" w:bottom="1440" w:left="2304" w:header="720" w:footer="144" w:gutter="0"/>
          <w:cols w:space="720"/>
          <w:docGrid w:linePitch="360"/>
        </w:sectPr>
      </w:pPr>
    </w:p>
    <w:p w14:paraId="1D8ACC93" w14:textId="0ECB03E4" w:rsidR="009C5B90" w:rsidRDefault="009C5B90" w:rsidP="004615B4">
      <w:pPr>
        <w:pStyle w:val="Heading1"/>
      </w:pPr>
      <w:r>
        <w:lastRenderedPageBreak/>
        <w:t xml:space="preserve">CHAPTER </w:t>
      </w:r>
      <w:r w:rsidR="00A2049D">
        <w:t>6</w:t>
      </w:r>
    </w:p>
    <w:p w14:paraId="27242AEA" w14:textId="4D835617" w:rsidR="009C5B90" w:rsidRDefault="009C5B90" w:rsidP="006427AD">
      <w:pPr>
        <w:pStyle w:val="Heading1"/>
      </w:pPr>
      <w:r>
        <w:t>SCHEDULE</w:t>
      </w:r>
    </w:p>
    <w:tbl>
      <w:tblPr>
        <w:tblW w:w="8640" w:type="dxa"/>
        <w:jc w:val="center"/>
        <w:tblLook w:val="04A0" w:firstRow="1" w:lastRow="0" w:firstColumn="1" w:lastColumn="0" w:noHBand="0" w:noVBand="1"/>
      </w:tblPr>
      <w:tblGrid>
        <w:gridCol w:w="1728"/>
        <w:gridCol w:w="1728"/>
        <w:gridCol w:w="5184"/>
      </w:tblGrid>
      <w:tr w:rsidR="00626BA1" w:rsidRPr="00626BA1" w14:paraId="7EA1CA55" w14:textId="77777777" w:rsidTr="00717205">
        <w:trPr>
          <w:trHeight w:val="300"/>
          <w:jc w:val="center"/>
        </w:trPr>
        <w:tc>
          <w:tcPr>
            <w:tcW w:w="1728" w:type="dxa"/>
            <w:tcBorders>
              <w:top w:val="nil"/>
              <w:left w:val="nil"/>
              <w:bottom w:val="nil"/>
              <w:right w:val="nil"/>
            </w:tcBorders>
            <w:shd w:val="clear" w:color="000000" w:fill="000000"/>
            <w:noWrap/>
            <w:vAlign w:val="bottom"/>
            <w:hideMark/>
          </w:tcPr>
          <w:p w14:paraId="1B2977A4" w14:textId="77777777" w:rsidR="00626BA1" w:rsidRPr="00626BA1" w:rsidRDefault="00626BA1" w:rsidP="00626BA1">
            <w:pPr>
              <w:spacing w:line="240" w:lineRule="auto"/>
              <w:jc w:val="left"/>
              <w:rPr>
                <w:rFonts w:eastAsia="Times New Roman" w:cs="Times New Roman"/>
                <w:b/>
                <w:bCs/>
                <w:color w:val="FFFFFF"/>
                <w:sz w:val="22"/>
                <w:szCs w:val="22"/>
              </w:rPr>
            </w:pPr>
            <w:r w:rsidRPr="00626BA1">
              <w:rPr>
                <w:rFonts w:eastAsia="Times New Roman" w:cs="Times New Roman"/>
                <w:b/>
                <w:bCs/>
                <w:color w:val="FFFFFF"/>
                <w:sz w:val="22"/>
                <w:szCs w:val="22"/>
              </w:rPr>
              <w:t>Date</w:t>
            </w:r>
          </w:p>
        </w:tc>
        <w:tc>
          <w:tcPr>
            <w:tcW w:w="1728" w:type="dxa"/>
            <w:tcBorders>
              <w:top w:val="nil"/>
              <w:left w:val="nil"/>
              <w:bottom w:val="nil"/>
              <w:right w:val="nil"/>
            </w:tcBorders>
            <w:shd w:val="clear" w:color="000000" w:fill="000000"/>
            <w:noWrap/>
            <w:vAlign w:val="bottom"/>
            <w:hideMark/>
          </w:tcPr>
          <w:p w14:paraId="20DF831B" w14:textId="77777777" w:rsidR="00626BA1" w:rsidRPr="00626BA1" w:rsidRDefault="00626BA1" w:rsidP="00626BA1">
            <w:pPr>
              <w:spacing w:line="240" w:lineRule="auto"/>
              <w:jc w:val="left"/>
              <w:rPr>
                <w:rFonts w:eastAsia="Times New Roman" w:cs="Times New Roman"/>
                <w:b/>
                <w:bCs/>
                <w:color w:val="FFFFFF"/>
                <w:sz w:val="22"/>
                <w:szCs w:val="22"/>
              </w:rPr>
            </w:pPr>
            <w:r w:rsidRPr="00626BA1">
              <w:rPr>
                <w:rFonts w:eastAsia="Times New Roman" w:cs="Times New Roman"/>
                <w:b/>
                <w:bCs/>
                <w:color w:val="FFFFFF"/>
                <w:sz w:val="22"/>
                <w:szCs w:val="22"/>
              </w:rPr>
              <w:t>Location</w:t>
            </w:r>
          </w:p>
        </w:tc>
        <w:tc>
          <w:tcPr>
            <w:tcW w:w="5184" w:type="dxa"/>
            <w:tcBorders>
              <w:top w:val="nil"/>
              <w:left w:val="nil"/>
              <w:bottom w:val="nil"/>
              <w:right w:val="nil"/>
            </w:tcBorders>
            <w:shd w:val="clear" w:color="000000" w:fill="000000"/>
            <w:noWrap/>
            <w:vAlign w:val="bottom"/>
            <w:hideMark/>
          </w:tcPr>
          <w:p w14:paraId="39B562F3" w14:textId="77777777" w:rsidR="00626BA1" w:rsidRPr="005168EC" w:rsidRDefault="00626BA1" w:rsidP="00626BA1">
            <w:pPr>
              <w:spacing w:line="240" w:lineRule="auto"/>
              <w:jc w:val="left"/>
              <w:rPr>
                <w:rFonts w:eastAsia="Times New Roman" w:cs="Times New Roman"/>
                <w:b/>
                <w:bCs/>
                <w:color w:val="FFFFFF"/>
                <w:sz w:val="20"/>
                <w:szCs w:val="20"/>
              </w:rPr>
            </w:pPr>
            <w:r w:rsidRPr="005168EC">
              <w:rPr>
                <w:rFonts w:eastAsia="Times New Roman" w:cs="Times New Roman"/>
                <w:b/>
                <w:bCs/>
                <w:color w:val="FFFFFF"/>
                <w:sz w:val="20"/>
                <w:szCs w:val="20"/>
              </w:rPr>
              <w:t>Activity</w:t>
            </w:r>
          </w:p>
        </w:tc>
      </w:tr>
      <w:tr w:rsidR="00626BA1" w:rsidRPr="00626BA1" w14:paraId="4C47718E" w14:textId="77777777" w:rsidTr="00717205">
        <w:trPr>
          <w:trHeight w:val="300"/>
          <w:jc w:val="center"/>
        </w:trPr>
        <w:tc>
          <w:tcPr>
            <w:tcW w:w="1728" w:type="dxa"/>
            <w:tcBorders>
              <w:top w:val="single" w:sz="4" w:space="0" w:color="auto"/>
              <w:left w:val="single" w:sz="4" w:space="0" w:color="auto"/>
              <w:bottom w:val="nil"/>
              <w:right w:val="single" w:sz="4" w:space="0" w:color="auto"/>
            </w:tcBorders>
            <w:shd w:val="clear" w:color="auto" w:fill="auto"/>
            <w:noWrap/>
            <w:vAlign w:val="center"/>
            <w:hideMark/>
          </w:tcPr>
          <w:p w14:paraId="1FDC18B7" w14:textId="0E338E96"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October 2013 - </w:t>
            </w:r>
          </w:p>
        </w:tc>
        <w:tc>
          <w:tcPr>
            <w:tcW w:w="1728" w:type="dxa"/>
            <w:tcBorders>
              <w:top w:val="single" w:sz="4" w:space="0" w:color="auto"/>
              <w:left w:val="nil"/>
              <w:bottom w:val="nil"/>
              <w:right w:val="single" w:sz="4" w:space="0" w:color="auto"/>
            </w:tcBorders>
            <w:shd w:val="clear" w:color="auto" w:fill="auto"/>
            <w:noWrap/>
            <w:vAlign w:val="center"/>
            <w:hideMark/>
          </w:tcPr>
          <w:p w14:paraId="59ACE571" w14:textId="7404938E"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single" w:sz="4" w:space="0" w:color="auto"/>
              <w:left w:val="nil"/>
              <w:bottom w:val="nil"/>
              <w:right w:val="single" w:sz="4" w:space="0" w:color="auto"/>
            </w:tcBorders>
            <w:shd w:val="clear" w:color="auto" w:fill="auto"/>
            <w:noWrap/>
            <w:vAlign w:val="center"/>
            <w:hideMark/>
          </w:tcPr>
          <w:p w14:paraId="58EB0C65"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Literature Review</w:t>
            </w:r>
          </w:p>
        </w:tc>
      </w:tr>
      <w:tr w:rsidR="00626BA1" w:rsidRPr="00626BA1" w14:paraId="560E2AEB"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6BDC3FE2" w14:textId="6AF1BB46"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r w:rsidR="005168EC" w:rsidRPr="005168EC">
              <w:rPr>
                <w:rFonts w:eastAsia="Times New Roman" w:cs="Times New Roman"/>
                <w:color w:val="000000"/>
                <w:sz w:val="20"/>
                <w:szCs w:val="20"/>
              </w:rPr>
              <w:t>May 2014</w:t>
            </w:r>
          </w:p>
        </w:tc>
        <w:tc>
          <w:tcPr>
            <w:tcW w:w="1728" w:type="dxa"/>
            <w:tcBorders>
              <w:top w:val="nil"/>
              <w:left w:val="nil"/>
              <w:bottom w:val="nil"/>
              <w:right w:val="single" w:sz="4" w:space="0" w:color="auto"/>
            </w:tcBorders>
            <w:shd w:val="clear" w:color="auto" w:fill="auto"/>
            <w:noWrap/>
            <w:vAlign w:val="center"/>
            <w:hideMark/>
          </w:tcPr>
          <w:p w14:paraId="7B8B9F22" w14:textId="32C8A73C" w:rsidR="00626BA1"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of </w:t>
            </w:r>
            <w:r w:rsidR="00626BA1" w:rsidRPr="005168EC">
              <w:rPr>
                <w:rFonts w:eastAsia="Times New Roman" w:cs="Times New Roman"/>
                <w:color w:val="000000"/>
                <w:sz w:val="20"/>
                <w:szCs w:val="20"/>
              </w:rPr>
              <w:t>Oklahoma</w:t>
            </w:r>
          </w:p>
        </w:tc>
        <w:tc>
          <w:tcPr>
            <w:tcW w:w="5184" w:type="dxa"/>
            <w:tcBorders>
              <w:top w:val="nil"/>
              <w:left w:val="nil"/>
              <w:bottom w:val="nil"/>
              <w:right w:val="single" w:sz="4" w:space="0" w:color="auto"/>
            </w:tcBorders>
            <w:shd w:val="clear" w:color="auto" w:fill="auto"/>
            <w:noWrap/>
            <w:vAlign w:val="center"/>
            <w:hideMark/>
          </w:tcPr>
          <w:p w14:paraId="3664DA0E"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Learn science behind XRF Spectrometry</w:t>
            </w:r>
          </w:p>
        </w:tc>
      </w:tr>
      <w:tr w:rsidR="00626BA1" w:rsidRPr="00626BA1" w14:paraId="7121FCA6"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78915F6C"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7C069B35"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247D2C87"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Review XRF sample preparation methods</w:t>
            </w:r>
          </w:p>
        </w:tc>
      </w:tr>
      <w:tr w:rsidR="00626BA1" w:rsidRPr="00626BA1" w14:paraId="718BDF93"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3FE662B1"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0464F9D8"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30D18945"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Learn limitations of XRF spectrometry</w:t>
            </w:r>
          </w:p>
        </w:tc>
      </w:tr>
      <w:tr w:rsidR="00626BA1" w:rsidRPr="00626BA1" w14:paraId="5D4DB54B"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1E0CFD7F"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7365A49C"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1D68ECB6"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Survey current subgrade stabilization methods </w:t>
            </w:r>
          </w:p>
        </w:tc>
      </w:tr>
      <w:tr w:rsidR="00626BA1" w:rsidRPr="00626BA1" w14:paraId="35525A51"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0930DA69"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single" w:sz="4" w:space="0" w:color="auto"/>
              <w:right w:val="single" w:sz="4" w:space="0" w:color="auto"/>
            </w:tcBorders>
            <w:shd w:val="clear" w:color="auto" w:fill="auto"/>
            <w:noWrap/>
            <w:vAlign w:val="center"/>
            <w:hideMark/>
          </w:tcPr>
          <w:p w14:paraId="3237B1A8"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single" w:sz="4" w:space="0" w:color="auto"/>
              <w:right w:val="single" w:sz="4" w:space="0" w:color="auto"/>
            </w:tcBorders>
            <w:shd w:val="clear" w:color="auto" w:fill="auto"/>
            <w:noWrap/>
            <w:vAlign w:val="center"/>
            <w:hideMark/>
          </w:tcPr>
          <w:p w14:paraId="1DA746C3"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Review soil analysis with XRF spectrometry</w:t>
            </w:r>
          </w:p>
        </w:tc>
      </w:tr>
      <w:tr w:rsidR="005168EC" w:rsidRPr="00626BA1" w14:paraId="5586A1D3"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335FA719" w14:textId="671B626D"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May - </w:t>
            </w:r>
          </w:p>
        </w:tc>
        <w:tc>
          <w:tcPr>
            <w:tcW w:w="1728" w:type="dxa"/>
            <w:tcBorders>
              <w:top w:val="nil"/>
              <w:left w:val="nil"/>
              <w:bottom w:val="nil"/>
              <w:right w:val="single" w:sz="4" w:space="0" w:color="auto"/>
            </w:tcBorders>
            <w:shd w:val="clear" w:color="auto" w:fill="auto"/>
            <w:noWrap/>
            <w:vAlign w:val="center"/>
            <w:hideMark/>
          </w:tcPr>
          <w:p w14:paraId="779A4378" w14:textId="1243712F"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nil"/>
              <w:left w:val="nil"/>
              <w:bottom w:val="nil"/>
              <w:right w:val="single" w:sz="4" w:space="0" w:color="auto"/>
            </w:tcBorders>
            <w:shd w:val="clear" w:color="auto" w:fill="auto"/>
            <w:noWrap/>
            <w:vAlign w:val="center"/>
            <w:hideMark/>
          </w:tcPr>
          <w:p w14:paraId="741B472E"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XRF Sample Preparation</w:t>
            </w:r>
          </w:p>
        </w:tc>
      </w:tr>
      <w:tr w:rsidR="005168EC" w:rsidRPr="00626BA1" w14:paraId="2B7F3992"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28FB0E12" w14:textId="209BDCD8"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July 2014</w:t>
            </w:r>
          </w:p>
        </w:tc>
        <w:tc>
          <w:tcPr>
            <w:tcW w:w="1728" w:type="dxa"/>
            <w:tcBorders>
              <w:top w:val="nil"/>
              <w:left w:val="nil"/>
              <w:bottom w:val="nil"/>
              <w:right w:val="single" w:sz="4" w:space="0" w:color="auto"/>
            </w:tcBorders>
            <w:shd w:val="clear" w:color="auto" w:fill="auto"/>
            <w:noWrap/>
            <w:vAlign w:val="center"/>
            <w:hideMark/>
          </w:tcPr>
          <w:p w14:paraId="42578A07" w14:textId="526974CC"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of Oklahoma</w:t>
            </w:r>
          </w:p>
        </w:tc>
        <w:tc>
          <w:tcPr>
            <w:tcW w:w="5184" w:type="dxa"/>
            <w:tcBorders>
              <w:top w:val="nil"/>
              <w:left w:val="nil"/>
              <w:bottom w:val="nil"/>
              <w:right w:val="single" w:sz="4" w:space="0" w:color="auto"/>
            </w:tcBorders>
            <w:shd w:val="clear" w:color="auto" w:fill="auto"/>
            <w:noWrap/>
            <w:vAlign w:val="center"/>
            <w:hideMark/>
          </w:tcPr>
          <w:p w14:paraId="3356FEF1"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Complete mix design of soil/stabilizer samples</w:t>
            </w:r>
          </w:p>
        </w:tc>
      </w:tr>
      <w:tr w:rsidR="00626BA1" w:rsidRPr="00626BA1" w14:paraId="415DC185"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4AD05D98"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nil"/>
            </w:tcBorders>
            <w:shd w:val="clear" w:color="auto" w:fill="auto"/>
            <w:noWrap/>
            <w:vAlign w:val="center"/>
            <w:hideMark/>
          </w:tcPr>
          <w:p w14:paraId="36A37BF7" w14:textId="45A4886A" w:rsidR="00626BA1" w:rsidRPr="005168EC" w:rsidRDefault="005168EC" w:rsidP="005168EC">
            <w:pPr>
              <w:spacing w:line="240" w:lineRule="auto"/>
              <w:jc w:val="left"/>
              <w:rPr>
                <w:rFonts w:eastAsia="Times New Roman" w:cs="Times New Roman"/>
                <w:color w:val="000000"/>
                <w:sz w:val="20"/>
                <w:szCs w:val="20"/>
              </w:rPr>
            </w:pPr>
            <w:r>
              <w:rPr>
                <w:rFonts w:eastAsia="Times New Roman" w:cs="Times New Roman"/>
                <w:color w:val="000000"/>
                <w:sz w:val="20"/>
                <w:szCs w:val="20"/>
              </w:rPr>
              <w:t xml:space="preserve">and </w:t>
            </w:r>
            <w:r w:rsidRPr="005168EC">
              <w:rPr>
                <w:rFonts w:eastAsia="Times New Roman" w:cs="Times New Roman"/>
                <w:color w:val="000000"/>
                <w:sz w:val="20"/>
                <w:szCs w:val="20"/>
              </w:rPr>
              <w:t>ODOT</w:t>
            </w:r>
          </w:p>
        </w:tc>
        <w:tc>
          <w:tcPr>
            <w:tcW w:w="5184" w:type="dxa"/>
            <w:tcBorders>
              <w:top w:val="nil"/>
              <w:left w:val="single" w:sz="4" w:space="0" w:color="auto"/>
              <w:bottom w:val="nil"/>
              <w:right w:val="single" w:sz="4" w:space="0" w:color="auto"/>
            </w:tcBorders>
            <w:shd w:val="clear" w:color="auto" w:fill="auto"/>
            <w:noWrap/>
            <w:vAlign w:val="center"/>
            <w:hideMark/>
          </w:tcPr>
          <w:p w14:paraId="38D79437" w14:textId="1963659C"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Mix </w:t>
            </w:r>
            <w:r w:rsidR="00F40C96" w:rsidRPr="005168EC">
              <w:rPr>
                <w:rFonts w:eastAsia="Times New Roman" w:cs="Times New Roman"/>
                <w:color w:val="000000"/>
                <w:sz w:val="20"/>
                <w:szCs w:val="20"/>
              </w:rPr>
              <w:t>samples to various stabilizer contents</w:t>
            </w:r>
          </w:p>
        </w:tc>
      </w:tr>
      <w:tr w:rsidR="00626BA1" w:rsidRPr="00626BA1" w14:paraId="3E1EF8A0"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44D5E65B"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5CF2FF22" w14:textId="619BABAE" w:rsidR="00626BA1"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Materials</w:t>
            </w:r>
          </w:p>
        </w:tc>
        <w:tc>
          <w:tcPr>
            <w:tcW w:w="5184" w:type="dxa"/>
            <w:tcBorders>
              <w:top w:val="nil"/>
              <w:left w:val="nil"/>
              <w:bottom w:val="nil"/>
              <w:right w:val="single" w:sz="4" w:space="0" w:color="auto"/>
            </w:tcBorders>
            <w:shd w:val="clear" w:color="auto" w:fill="auto"/>
            <w:noWrap/>
            <w:vAlign w:val="center"/>
            <w:hideMark/>
          </w:tcPr>
          <w:p w14:paraId="71329F87" w14:textId="4EA6D1AA"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w:t>
            </w:r>
            <w:r w:rsidR="00F40C96" w:rsidRPr="005168EC">
              <w:rPr>
                <w:rFonts w:eastAsia="Times New Roman" w:cs="Times New Roman"/>
                <w:color w:val="000000"/>
                <w:sz w:val="20"/>
                <w:szCs w:val="20"/>
              </w:rPr>
              <w:t xml:space="preserve">  Mill</w:t>
            </w:r>
            <w:r w:rsidRPr="005168EC">
              <w:rPr>
                <w:rFonts w:eastAsia="Times New Roman" w:cs="Times New Roman"/>
                <w:color w:val="000000"/>
                <w:sz w:val="20"/>
                <w:szCs w:val="20"/>
              </w:rPr>
              <w:t xml:space="preserve"> samples to specified fineness</w:t>
            </w:r>
          </w:p>
        </w:tc>
      </w:tr>
      <w:tr w:rsidR="00626BA1" w:rsidRPr="00626BA1" w14:paraId="2E2E2075"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534F242"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single" w:sz="4" w:space="0" w:color="auto"/>
              <w:right w:val="single" w:sz="4" w:space="0" w:color="auto"/>
            </w:tcBorders>
            <w:shd w:val="clear" w:color="auto" w:fill="auto"/>
            <w:noWrap/>
            <w:vAlign w:val="center"/>
            <w:hideMark/>
          </w:tcPr>
          <w:p w14:paraId="1B3EA98B" w14:textId="4BC1B724"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Laboratory</w:t>
            </w:r>
          </w:p>
        </w:tc>
        <w:tc>
          <w:tcPr>
            <w:tcW w:w="5184" w:type="dxa"/>
            <w:tcBorders>
              <w:top w:val="nil"/>
              <w:left w:val="nil"/>
              <w:bottom w:val="single" w:sz="4" w:space="0" w:color="auto"/>
              <w:right w:val="single" w:sz="4" w:space="0" w:color="auto"/>
            </w:tcBorders>
            <w:shd w:val="clear" w:color="auto" w:fill="auto"/>
            <w:noWrap/>
            <w:vAlign w:val="center"/>
            <w:hideMark/>
          </w:tcPr>
          <w:p w14:paraId="4DFAEB9F" w14:textId="1C81A15C"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w:t>
            </w:r>
            <w:r w:rsidR="002209F2" w:rsidRPr="005168EC">
              <w:rPr>
                <w:rFonts w:eastAsia="Times New Roman" w:cs="Times New Roman"/>
                <w:color w:val="000000"/>
                <w:sz w:val="20"/>
                <w:szCs w:val="20"/>
              </w:rPr>
              <w:t xml:space="preserve">   Create pressed pellet</w:t>
            </w:r>
            <w:r w:rsidRPr="005168EC">
              <w:rPr>
                <w:rFonts w:eastAsia="Times New Roman" w:cs="Times New Roman"/>
                <w:color w:val="000000"/>
                <w:sz w:val="20"/>
                <w:szCs w:val="20"/>
              </w:rPr>
              <w:t xml:space="preserve"> and powder samples</w:t>
            </w:r>
          </w:p>
        </w:tc>
      </w:tr>
      <w:tr w:rsidR="005168EC" w:rsidRPr="00626BA1" w14:paraId="07BD7F36"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3A9FFF59"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July 2014</w:t>
            </w:r>
          </w:p>
        </w:tc>
        <w:tc>
          <w:tcPr>
            <w:tcW w:w="1728" w:type="dxa"/>
            <w:tcBorders>
              <w:top w:val="nil"/>
              <w:left w:val="nil"/>
              <w:bottom w:val="nil"/>
              <w:right w:val="single" w:sz="4" w:space="0" w:color="auto"/>
            </w:tcBorders>
            <w:shd w:val="clear" w:color="auto" w:fill="auto"/>
            <w:noWrap/>
            <w:vAlign w:val="center"/>
            <w:hideMark/>
          </w:tcPr>
          <w:p w14:paraId="2713C0D1" w14:textId="2B655EAC"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nil"/>
              <w:left w:val="nil"/>
              <w:bottom w:val="nil"/>
              <w:right w:val="single" w:sz="4" w:space="0" w:color="auto"/>
            </w:tcBorders>
            <w:shd w:val="clear" w:color="auto" w:fill="auto"/>
            <w:noWrap/>
            <w:vAlign w:val="center"/>
            <w:hideMark/>
          </w:tcPr>
          <w:p w14:paraId="3BD8D057" w14:textId="3745E95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Laboratory Testing with PHXRF Spectrometer</w:t>
            </w:r>
          </w:p>
        </w:tc>
      </w:tr>
      <w:tr w:rsidR="005168EC" w:rsidRPr="00626BA1" w14:paraId="135681B4"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0BC5F9C9"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450C4C37" w14:textId="3CD0277E"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of Oklahoma</w:t>
            </w:r>
          </w:p>
        </w:tc>
        <w:tc>
          <w:tcPr>
            <w:tcW w:w="5184" w:type="dxa"/>
            <w:tcBorders>
              <w:top w:val="nil"/>
              <w:left w:val="nil"/>
              <w:bottom w:val="single" w:sz="4" w:space="0" w:color="auto"/>
              <w:right w:val="single" w:sz="4" w:space="0" w:color="auto"/>
            </w:tcBorders>
            <w:shd w:val="clear" w:color="auto" w:fill="auto"/>
            <w:noWrap/>
            <w:vAlign w:val="center"/>
            <w:hideMark/>
          </w:tcPr>
          <w:p w14:paraId="03D4BCAA"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Take CaO measurements with Bruker S1 Titan</w:t>
            </w:r>
          </w:p>
        </w:tc>
      </w:tr>
      <w:tr w:rsidR="005168EC" w:rsidRPr="00626BA1" w14:paraId="07393D20"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78BA95DA" w14:textId="7874F2A1"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July - </w:t>
            </w:r>
          </w:p>
        </w:tc>
        <w:tc>
          <w:tcPr>
            <w:tcW w:w="1728" w:type="dxa"/>
            <w:tcBorders>
              <w:top w:val="single" w:sz="4" w:space="0" w:color="auto"/>
              <w:left w:val="nil"/>
              <w:bottom w:val="nil"/>
              <w:right w:val="single" w:sz="4" w:space="0" w:color="auto"/>
            </w:tcBorders>
            <w:shd w:val="clear" w:color="auto" w:fill="auto"/>
            <w:noWrap/>
            <w:vAlign w:val="center"/>
            <w:hideMark/>
          </w:tcPr>
          <w:p w14:paraId="2913C6A1" w14:textId="1456B532"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nil"/>
              <w:left w:val="nil"/>
              <w:bottom w:val="nil"/>
              <w:right w:val="single" w:sz="4" w:space="0" w:color="auto"/>
            </w:tcBorders>
            <w:shd w:val="clear" w:color="auto" w:fill="auto"/>
            <w:noWrap/>
            <w:vAlign w:val="center"/>
            <w:hideMark/>
          </w:tcPr>
          <w:p w14:paraId="76B7E0D5" w14:textId="39410C34"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Analyze PHXRF Data</w:t>
            </w:r>
          </w:p>
        </w:tc>
      </w:tr>
      <w:tr w:rsidR="005168EC" w:rsidRPr="00626BA1" w14:paraId="4FFA389B"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39EA9DE9" w14:textId="398D1448"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December 2014</w:t>
            </w:r>
          </w:p>
        </w:tc>
        <w:tc>
          <w:tcPr>
            <w:tcW w:w="1728" w:type="dxa"/>
            <w:tcBorders>
              <w:top w:val="nil"/>
              <w:left w:val="nil"/>
              <w:bottom w:val="nil"/>
              <w:right w:val="single" w:sz="4" w:space="0" w:color="auto"/>
            </w:tcBorders>
            <w:shd w:val="clear" w:color="auto" w:fill="auto"/>
            <w:noWrap/>
            <w:vAlign w:val="center"/>
            <w:hideMark/>
          </w:tcPr>
          <w:p w14:paraId="78B8D0B4" w14:textId="79BAF51F"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of Oklahoma</w:t>
            </w:r>
          </w:p>
        </w:tc>
        <w:tc>
          <w:tcPr>
            <w:tcW w:w="5184" w:type="dxa"/>
            <w:tcBorders>
              <w:top w:val="nil"/>
              <w:left w:val="nil"/>
              <w:bottom w:val="nil"/>
              <w:right w:val="single" w:sz="4" w:space="0" w:color="auto"/>
            </w:tcBorders>
            <w:shd w:val="clear" w:color="auto" w:fill="auto"/>
            <w:noWrap/>
            <w:vAlign w:val="center"/>
            <w:hideMark/>
          </w:tcPr>
          <w:p w14:paraId="652B7A28" w14:textId="5F66B2FA"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Analyze precision and accuracy of Bruker S1 Titan</w:t>
            </w:r>
          </w:p>
        </w:tc>
      </w:tr>
      <w:tr w:rsidR="00626BA1" w:rsidRPr="00626BA1" w14:paraId="615CF75D"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4D5A779C"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22AB8BB1"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2A1ACDFC" w14:textId="1DEE7DA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Determine if </w:t>
            </w:r>
            <w:r w:rsidR="00F40C96" w:rsidRPr="005168EC">
              <w:rPr>
                <w:rFonts w:eastAsia="Times New Roman" w:cs="Times New Roman"/>
                <w:color w:val="000000"/>
                <w:sz w:val="20"/>
                <w:szCs w:val="20"/>
              </w:rPr>
              <w:t xml:space="preserve">scan intervals affect accuracy </w:t>
            </w:r>
          </w:p>
        </w:tc>
      </w:tr>
      <w:tr w:rsidR="00626BA1" w:rsidRPr="00626BA1" w14:paraId="1F191FC3"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68A9B2D"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single" w:sz="4" w:space="0" w:color="auto"/>
              <w:right w:val="single" w:sz="4" w:space="0" w:color="auto"/>
            </w:tcBorders>
            <w:shd w:val="clear" w:color="auto" w:fill="auto"/>
            <w:noWrap/>
            <w:vAlign w:val="center"/>
            <w:hideMark/>
          </w:tcPr>
          <w:p w14:paraId="4E6FF8DF"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single" w:sz="4" w:space="0" w:color="auto"/>
              <w:right w:val="single" w:sz="4" w:space="0" w:color="auto"/>
            </w:tcBorders>
            <w:shd w:val="clear" w:color="auto" w:fill="auto"/>
            <w:noWrap/>
            <w:vAlign w:val="center"/>
            <w:hideMark/>
          </w:tcPr>
          <w:p w14:paraId="38AB4F97" w14:textId="61573D11"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Determine if </w:t>
            </w:r>
            <w:r w:rsidR="00F40C96" w:rsidRPr="005168EC">
              <w:rPr>
                <w:rFonts w:eastAsia="Times New Roman" w:cs="Times New Roman"/>
                <w:color w:val="000000"/>
                <w:sz w:val="20"/>
                <w:szCs w:val="20"/>
              </w:rPr>
              <w:t>sample particle size affects accuracy</w:t>
            </w:r>
          </w:p>
        </w:tc>
      </w:tr>
      <w:tr w:rsidR="005168EC" w:rsidRPr="00626BA1" w14:paraId="13A8C063"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21E42F65"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January 2015</w:t>
            </w:r>
          </w:p>
        </w:tc>
        <w:tc>
          <w:tcPr>
            <w:tcW w:w="1728" w:type="dxa"/>
            <w:tcBorders>
              <w:top w:val="nil"/>
              <w:left w:val="nil"/>
              <w:bottom w:val="nil"/>
              <w:right w:val="single" w:sz="4" w:space="0" w:color="auto"/>
            </w:tcBorders>
            <w:shd w:val="clear" w:color="auto" w:fill="auto"/>
            <w:noWrap/>
            <w:vAlign w:val="center"/>
            <w:hideMark/>
          </w:tcPr>
          <w:p w14:paraId="49FAE7F8" w14:textId="61B5CE79"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nil"/>
              <w:left w:val="nil"/>
              <w:bottom w:val="nil"/>
              <w:right w:val="single" w:sz="4" w:space="0" w:color="auto"/>
            </w:tcBorders>
            <w:shd w:val="clear" w:color="auto" w:fill="auto"/>
            <w:noWrap/>
            <w:vAlign w:val="center"/>
            <w:hideMark/>
          </w:tcPr>
          <w:p w14:paraId="39A1EA5D" w14:textId="73B6CB22"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Laboratory Testing with PHXRF Spectrometer</w:t>
            </w:r>
          </w:p>
        </w:tc>
      </w:tr>
      <w:tr w:rsidR="005168EC" w:rsidRPr="00626BA1" w14:paraId="78D1BAF8"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BE95E32"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52CF81E6" w14:textId="36A4F5AE"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of Oklahoma</w:t>
            </w:r>
          </w:p>
        </w:tc>
        <w:tc>
          <w:tcPr>
            <w:tcW w:w="5184" w:type="dxa"/>
            <w:tcBorders>
              <w:top w:val="nil"/>
              <w:left w:val="nil"/>
              <w:bottom w:val="single" w:sz="4" w:space="0" w:color="auto"/>
              <w:right w:val="single" w:sz="4" w:space="0" w:color="auto"/>
            </w:tcBorders>
            <w:shd w:val="clear" w:color="auto" w:fill="auto"/>
            <w:noWrap/>
            <w:vAlign w:val="center"/>
            <w:hideMark/>
          </w:tcPr>
          <w:p w14:paraId="7DB7374F"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Take CaO measurements with Niton XL3t GOLDD+</w:t>
            </w:r>
          </w:p>
        </w:tc>
      </w:tr>
      <w:tr w:rsidR="005168EC" w:rsidRPr="00626BA1" w14:paraId="0CC5E879"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20FEC43E" w14:textId="7C2B820C"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January - </w:t>
            </w:r>
          </w:p>
        </w:tc>
        <w:tc>
          <w:tcPr>
            <w:tcW w:w="1728" w:type="dxa"/>
            <w:tcBorders>
              <w:top w:val="single" w:sz="4" w:space="0" w:color="auto"/>
              <w:left w:val="nil"/>
              <w:bottom w:val="nil"/>
              <w:right w:val="single" w:sz="4" w:space="0" w:color="auto"/>
            </w:tcBorders>
            <w:shd w:val="clear" w:color="auto" w:fill="auto"/>
            <w:noWrap/>
            <w:vAlign w:val="center"/>
            <w:hideMark/>
          </w:tcPr>
          <w:p w14:paraId="68BB33A5" w14:textId="2E9D5934"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nil"/>
              <w:left w:val="nil"/>
              <w:bottom w:val="nil"/>
              <w:right w:val="single" w:sz="4" w:space="0" w:color="auto"/>
            </w:tcBorders>
            <w:shd w:val="clear" w:color="auto" w:fill="auto"/>
            <w:noWrap/>
            <w:vAlign w:val="center"/>
            <w:hideMark/>
          </w:tcPr>
          <w:p w14:paraId="70B938D3" w14:textId="5020EAE5"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Analyze PHXRF Data</w:t>
            </w:r>
          </w:p>
        </w:tc>
      </w:tr>
      <w:tr w:rsidR="005168EC" w:rsidRPr="00626BA1" w14:paraId="0FCFBDDA"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1F741A23" w14:textId="2C290BA9"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May 2015</w:t>
            </w:r>
          </w:p>
        </w:tc>
        <w:tc>
          <w:tcPr>
            <w:tcW w:w="1728" w:type="dxa"/>
            <w:tcBorders>
              <w:top w:val="nil"/>
              <w:left w:val="nil"/>
              <w:bottom w:val="nil"/>
              <w:right w:val="single" w:sz="4" w:space="0" w:color="auto"/>
            </w:tcBorders>
            <w:shd w:val="clear" w:color="auto" w:fill="auto"/>
            <w:noWrap/>
            <w:vAlign w:val="center"/>
            <w:hideMark/>
          </w:tcPr>
          <w:p w14:paraId="441B82B0" w14:textId="2A662D75"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of Oklahoma</w:t>
            </w:r>
          </w:p>
        </w:tc>
        <w:tc>
          <w:tcPr>
            <w:tcW w:w="5184" w:type="dxa"/>
            <w:tcBorders>
              <w:top w:val="nil"/>
              <w:left w:val="nil"/>
              <w:bottom w:val="nil"/>
              <w:right w:val="single" w:sz="4" w:space="0" w:color="auto"/>
            </w:tcBorders>
            <w:shd w:val="clear" w:color="auto" w:fill="auto"/>
            <w:noWrap/>
            <w:vAlign w:val="center"/>
            <w:hideMark/>
          </w:tcPr>
          <w:p w14:paraId="6E7168D6" w14:textId="47ABC4FE"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Analyze precision and accuracy of Niton XL3t GOLDD+</w:t>
            </w:r>
          </w:p>
        </w:tc>
      </w:tr>
      <w:tr w:rsidR="00626BA1" w:rsidRPr="00626BA1" w14:paraId="5B5A1FE5"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2FB2FB16"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005738E3"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2D2E114A"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Determine if sample particle size affects accuracy</w:t>
            </w:r>
          </w:p>
        </w:tc>
      </w:tr>
      <w:tr w:rsidR="00626BA1" w:rsidRPr="00626BA1" w14:paraId="1BF08E5E"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2B867E84"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61B05E20"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4617D91A" w14:textId="6AE0DCA0"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Determine if scan </w:t>
            </w:r>
            <w:r w:rsidR="00011C5B" w:rsidRPr="005168EC">
              <w:rPr>
                <w:rFonts w:eastAsia="Times New Roman" w:cs="Times New Roman"/>
                <w:color w:val="000000"/>
                <w:sz w:val="20"/>
                <w:szCs w:val="20"/>
              </w:rPr>
              <w:t>technique</w:t>
            </w:r>
            <w:r w:rsidRPr="005168EC">
              <w:rPr>
                <w:rFonts w:eastAsia="Times New Roman" w:cs="Times New Roman"/>
                <w:color w:val="000000"/>
                <w:sz w:val="20"/>
                <w:szCs w:val="20"/>
              </w:rPr>
              <w:t xml:space="preserve"> affect accuracy</w:t>
            </w:r>
          </w:p>
        </w:tc>
      </w:tr>
      <w:tr w:rsidR="00626BA1" w:rsidRPr="00626BA1" w14:paraId="356A06F6"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76927068"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single" w:sz="4" w:space="0" w:color="auto"/>
              <w:right w:val="single" w:sz="4" w:space="0" w:color="auto"/>
            </w:tcBorders>
            <w:shd w:val="clear" w:color="auto" w:fill="auto"/>
            <w:noWrap/>
            <w:vAlign w:val="center"/>
            <w:hideMark/>
          </w:tcPr>
          <w:p w14:paraId="6AEF31D3"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single" w:sz="4" w:space="0" w:color="auto"/>
              <w:right w:val="single" w:sz="4" w:space="0" w:color="auto"/>
            </w:tcBorders>
            <w:shd w:val="clear" w:color="auto" w:fill="auto"/>
            <w:noWrap/>
            <w:vAlign w:val="center"/>
            <w:hideMark/>
          </w:tcPr>
          <w:p w14:paraId="75576928"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Compare accuracy between the two XRF devices</w:t>
            </w:r>
          </w:p>
        </w:tc>
      </w:tr>
      <w:tr w:rsidR="00626BA1" w:rsidRPr="00626BA1" w14:paraId="77E561B0"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3F99E6B5" w14:textId="21F6B906"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May - </w:t>
            </w:r>
          </w:p>
        </w:tc>
        <w:tc>
          <w:tcPr>
            <w:tcW w:w="1728" w:type="dxa"/>
            <w:tcBorders>
              <w:top w:val="nil"/>
              <w:left w:val="nil"/>
              <w:bottom w:val="nil"/>
              <w:right w:val="single" w:sz="4" w:space="0" w:color="auto"/>
            </w:tcBorders>
            <w:shd w:val="clear" w:color="auto" w:fill="auto"/>
            <w:noWrap/>
            <w:vAlign w:val="center"/>
            <w:hideMark/>
          </w:tcPr>
          <w:p w14:paraId="0E347158"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Various</w:t>
            </w:r>
          </w:p>
        </w:tc>
        <w:tc>
          <w:tcPr>
            <w:tcW w:w="5184" w:type="dxa"/>
            <w:tcBorders>
              <w:top w:val="nil"/>
              <w:left w:val="nil"/>
              <w:bottom w:val="nil"/>
              <w:right w:val="single" w:sz="4" w:space="0" w:color="auto"/>
            </w:tcBorders>
            <w:shd w:val="clear" w:color="auto" w:fill="auto"/>
            <w:noWrap/>
            <w:vAlign w:val="center"/>
            <w:hideMark/>
          </w:tcPr>
          <w:p w14:paraId="0CECEA4E" w14:textId="71331765"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Field Testing with </w:t>
            </w:r>
            <w:r w:rsidR="00825F9D" w:rsidRPr="005168EC">
              <w:rPr>
                <w:rFonts w:eastAsia="Times New Roman" w:cs="Times New Roman"/>
                <w:color w:val="000000"/>
                <w:sz w:val="20"/>
                <w:szCs w:val="20"/>
              </w:rPr>
              <w:t>PH</w:t>
            </w:r>
            <w:r w:rsidRPr="005168EC">
              <w:rPr>
                <w:rFonts w:eastAsia="Times New Roman" w:cs="Times New Roman"/>
                <w:color w:val="000000"/>
                <w:sz w:val="20"/>
                <w:szCs w:val="20"/>
              </w:rPr>
              <w:t>XRF Spectrometer</w:t>
            </w:r>
          </w:p>
        </w:tc>
      </w:tr>
      <w:tr w:rsidR="00626BA1" w:rsidRPr="00626BA1" w14:paraId="724B421A"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35E19559" w14:textId="1124DFAB"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r w:rsidR="005168EC" w:rsidRPr="005168EC">
              <w:rPr>
                <w:rFonts w:eastAsia="Times New Roman" w:cs="Times New Roman"/>
                <w:color w:val="000000"/>
                <w:sz w:val="20"/>
                <w:szCs w:val="20"/>
              </w:rPr>
              <w:t>September 2015</w:t>
            </w:r>
          </w:p>
        </w:tc>
        <w:tc>
          <w:tcPr>
            <w:tcW w:w="1728" w:type="dxa"/>
            <w:tcBorders>
              <w:top w:val="nil"/>
              <w:left w:val="nil"/>
              <w:bottom w:val="nil"/>
              <w:right w:val="single" w:sz="4" w:space="0" w:color="auto"/>
            </w:tcBorders>
            <w:shd w:val="clear" w:color="auto" w:fill="auto"/>
            <w:noWrap/>
            <w:vAlign w:val="center"/>
            <w:hideMark/>
          </w:tcPr>
          <w:p w14:paraId="2A2B4D47" w14:textId="36E882DA"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Construction </w:t>
            </w:r>
          </w:p>
        </w:tc>
        <w:tc>
          <w:tcPr>
            <w:tcW w:w="5184" w:type="dxa"/>
            <w:tcBorders>
              <w:top w:val="nil"/>
              <w:left w:val="nil"/>
              <w:bottom w:val="nil"/>
              <w:right w:val="single" w:sz="4" w:space="0" w:color="auto"/>
            </w:tcBorders>
            <w:shd w:val="clear" w:color="auto" w:fill="auto"/>
            <w:noWrap/>
            <w:vAlign w:val="center"/>
            <w:hideMark/>
          </w:tcPr>
          <w:p w14:paraId="5A405D61"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Take CaO measurements with Niton XL3t GOLDD+</w:t>
            </w:r>
          </w:p>
        </w:tc>
      </w:tr>
      <w:tr w:rsidR="00626BA1" w:rsidRPr="00626BA1" w14:paraId="37A6ADA9"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4C33E6EA"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single" w:sz="4" w:space="0" w:color="auto"/>
              <w:right w:val="single" w:sz="4" w:space="0" w:color="auto"/>
            </w:tcBorders>
            <w:shd w:val="clear" w:color="auto" w:fill="auto"/>
            <w:noWrap/>
            <w:vAlign w:val="center"/>
            <w:hideMark/>
          </w:tcPr>
          <w:p w14:paraId="7E2E886E" w14:textId="127A741C" w:rsidR="00626BA1"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Sites</w:t>
            </w:r>
          </w:p>
        </w:tc>
        <w:tc>
          <w:tcPr>
            <w:tcW w:w="5184" w:type="dxa"/>
            <w:tcBorders>
              <w:top w:val="nil"/>
              <w:left w:val="nil"/>
              <w:bottom w:val="single" w:sz="4" w:space="0" w:color="auto"/>
              <w:right w:val="single" w:sz="4" w:space="0" w:color="auto"/>
            </w:tcBorders>
            <w:shd w:val="clear" w:color="auto" w:fill="auto"/>
            <w:noWrap/>
            <w:vAlign w:val="center"/>
            <w:hideMark/>
          </w:tcPr>
          <w:p w14:paraId="5A34D39A"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Collect samples to bring back to the laboratory</w:t>
            </w:r>
          </w:p>
        </w:tc>
      </w:tr>
      <w:tr w:rsidR="005168EC" w:rsidRPr="00626BA1" w14:paraId="0367F44E"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106109C2" w14:textId="541B5ACB"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September - </w:t>
            </w:r>
          </w:p>
        </w:tc>
        <w:tc>
          <w:tcPr>
            <w:tcW w:w="1728" w:type="dxa"/>
            <w:tcBorders>
              <w:top w:val="nil"/>
              <w:left w:val="nil"/>
              <w:bottom w:val="nil"/>
              <w:right w:val="single" w:sz="4" w:space="0" w:color="auto"/>
            </w:tcBorders>
            <w:shd w:val="clear" w:color="auto" w:fill="auto"/>
            <w:noWrap/>
            <w:vAlign w:val="center"/>
            <w:hideMark/>
          </w:tcPr>
          <w:p w14:paraId="75C01763" w14:textId="4D76CC4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nil"/>
              <w:left w:val="nil"/>
              <w:bottom w:val="nil"/>
              <w:right w:val="single" w:sz="4" w:space="0" w:color="auto"/>
            </w:tcBorders>
            <w:shd w:val="clear" w:color="auto" w:fill="auto"/>
            <w:noWrap/>
            <w:vAlign w:val="center"/>
            <w:hideMark/>
          </w:tcPr>
          <w:p w14:paraId="654E2ED8" w14:textId="4320054C"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Analyze PHXRF Data</w:t>
            </w:r>
          </w:p>
        </w:tc>
      </w:tr>
      <w:tr w:rsidR="005168EC" w:rsidRPr="00626BA1" w14:paraId="24B2F3B7"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46141406" w14:textId="3876F19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December 2015</w:t>
            </w:r>
          </w:p>
        </w:tc>
        <w:tc>
          <w:tcPr>
            <w:tcW w:w="1728" w:type="dxa"/>
            <w:tcBorders>
              <w:top w:val="nil"/>
              <w:left w:val="nil"/>
              <w:bottom w:val="nil"/>
              <w:right w:val="single" w:sz="4" w:space="0" w:color="auto"/>
            </w:tcBorders>
            <w:shd w:val="clear" w:color="auto" w:fill="auto"/>
            <w:noWrap/>
            <w:vAlign w:val="center"/>
            <w:hideMark/>
          </w:tcPr>
          <w:p w14:paraId="0B511328" w14:textId="2A402BF9"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of Oklahoma</w:t>
            </w:r>
          </w:p>
        </w:tc>
        <w:tc>
          <w:tcPr>
            <w:tcW w:w="5184" w:type="dxa"/>
            <w:tcBorders>
              <w:top w:val="nil"/>
              <w:left w:val="nil"/>
              <w:bottom w:val="nil"/>
              <w:right w:val="single" w:sz="4" w:space="0" w:color="auto"/>
            </w:tcBorders>
            <w:shd w:val="clear" w:color="auto" w:fill="auto"/>
            <w:noWrap/>
            <w:vAlign w:val="center"/>
            <w:hideMark/>
          </w:tcPr>
          <w:p w14:paraId="4058AB5D"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Compare field accuracy to laboratory accuracy</w:t>
            </w:r>
          </w:p>
        </w:tc>
      </w:tr>
      <w:tr w:rsidR="00626BA1" w:rsidRPr="00626BA1" w14:paraId="4AF92A52"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003C80A9"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2C208A52"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776724BC"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Identify trends in the data</w:t>
            </w:r>
          </w:p>
        </w:tc>
      </w:tr>
      <w:tr w:rsidR="00626BA1" w:rsidRPr="00626BA1" w14:paraId="4818C22D"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53D96687"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563F219B"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4EF92BF9"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Identify possible sources of error</w:t>
            </w:r>
          </w:p>
        </w:tc>
      </w:tr>
      <w:tr w:rsidR="00626BA1" w:rsidRPr="00626BA1" w14:paraId="6F640D81"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78DE2690"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nil"/>
              <w:right w:val="single" w:sz="4" w:space="0" w:color="auto"/>
            </w:tcBorders>
            <w:shd w:val="clear" w:color="auto" w:fill="auto"/>
            <w:noWrap/>
            <w:vAlign w:val="center"/>
            <w:hideMark/>
          </w:tcPr>
          <w:p w14:paraId="7D7A69EE"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nil"/>
              <w:right w:val="single" w:sz="4" w:space="0" w:color="auto"/>
            </w:tcBorders>
            <w:shd w:val="clear" w:color="auto" w:fill="auto"/>
            <w:noWrap/>
            <w:vAlign w:val="center"/>
            <w:hideMark/>
          </w:tcPr>
          <w:p w14:paraId="5C3EC6F8"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Develop field methodology</w:t>
            </w:r>
          </w:p>
        </w:tc>
      </w:tr>
      <w:tr w:rsidR="00626BA1" w:rsidRPr="00626BA1" w14:paraId="48694743"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C66FFE7"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single" w:sz="4" w:space="0" w:color="auto"/>
              <w:right w:val="single" w:sz="4" w:space="0" w:color="auto"/>
            </w:tcBorders>
            <w:shd w:val="clear" w:color="auto" w:fill="auto"/>
            <w:noWrap/>
            <w:vAlign w:val="center"/>
            <w:hideMark/>
          </w:tcPr>
          <w:p w14:paraId="46742C71"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5184" w:type="dxa"/>
            <w:tcBorders>
              <w:top w:val="nil"/>
              <w:left w:val="nil"/>
              <w:bottom w:val="single" w:sz="4" w:space="0" w:color="auto"/>
              <w:right w:val="single" w:sz="4" w:space="0" w:color="auto"/>
            </w:tcBorders>
            <w:shd w:val="clear" w:color="auto" w:fill="auto"/>
            <w:noWrap/>
            <w:vAlign w:val="center"/>
            <w:hideMark/>
          </w:tcPr>
          <w:p w14:paraId="71D9B7B3" w14:textId="77777777" w:rsidR="00626BA1" w:rsidRPr="005168EC" w:rsidRDefault="00626BA1"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     Make recommendations regarding application</w:t>
            </w:r>
          </w:p>
        </w:tc>
      </w:tr>
      <w:tr w:rsidR="005168EC" w:rsidRPr="00626BA1" w14:paraId="27D14CF5"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09DFAB49" w14:textId="6DB994BF"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December 2015 - </w:t>
            </w:r>
          </w:p>
        </w:tc>
        <w:tc>
          <w:tcPr>
            <w:tcW w:w="1728" w:type="dxa"/>
            <w:tcBorders>
              <w:top w:val="nil"/>
              <w:left w:val="nil"/>
              <w:bottom w:val="nil"/>
              <w:right w:val="single" w:sz="4" w:space="0" w:color="auto"/>
            </w:tcBorders>
            <w:shd w:val="clear" w:color="auto" w:fill="auto"/>
            <w:noWrap/>
            <w:vAlign w:val="center"/>
            <w:hideMark/>
          </w:tcPr>
          <w:p w14:paraId="64BAD01B" w14:textId="7A34E0C5"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nil"/>
              <w:left w:val="nil"/>
              <w:bottom w:val="nil"/>
              <w:right w:val="single" w:sz="4" w:space="0" w:color="auto"/>
            </w:tcBorders>
            <w:shd w:val="clear" w:color="auto" w:fill="auto"/>
            <w:noWrap/>
            <w:vAlign w:val="center"/>
            <w:hideMark/>
          </w:tcPr>
          <w:p w14:paraId="6DCE8BAD"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Write Thesis</w:t>
            </w:r>
          </w:p>
        </w:tc>
      </w:tr>
      <w:tr w:rsidR="005168EC" w:rsidRPr="00626BA1" w14:paraId="66299E2D"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23821611" w14:textId="038C5954"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April 2016</w:t>
            </w:r>
          </w:p>
        </w:tc>
        <w:tc>
          <w:tcPr>
            <w:tcW w:w="1728" w:type="dxa"/>
            <w:tcBorders>
              <w:top w:val="nil"/>
              <w:left w:val="nil"/>
              <w:bottom w:val="single" w:sz="4" w:space="0" w:color="auto"/>
              <w:right w:val="single" w:sz="4" w:space="0" w:color="auto"/>
            </w:tcBorders>
            <w:shd w:val="clear" w:color="auto" w:fill="auto"/>
            <w:noWrap/>
            <w:vAlign w:val="center"/>
            <w:hideMark/>
          </w:tcPr>
          <w:p w14:paraId="50955374" w14:textId="64501E8E"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of Oklahoma</w:t>
            </w:r>
          </w:p>
        </w:tc>
        <w:tc>
          <w:tcPr>
            <w:tcW w:w="5184" w:type="dxa"/>
            <w:tcBorders>
              <w:top w:val="nil"/>
              <w:left w:val="nil"/>
              <w:bottom w:val="single" w:sz="4" w:space="0" w:color="auto"/>
              <w:right w:val="single" w:sz="4" w:space="0" w:color="auto"/>
            </w:tcBorders>
            <w:shd w:val="clear" w:color="auto" w:fill="auto"/>
            <w:noWrap/>
            <w:vAlign w:val="center"/>
            <w:hideMark/>
          </w:tcPr>
          <w:p w14:paraId="0BAF7BB6"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r>
      <w:tr w:rsidR="005168EC" w:rsidRPr="00626BA1" w14:paraId="50D72A80" w14:textId="77777777" w:rsidTr="00717205">
        <w:trPr>
          <w:trHeight w:val="300"/>
          <w:jc w:val="center"/>
        </w:trPr>
        <w:tc>
          <w:tcPr>
            <w:tcW w:w="1728" w:type="dxa"/>
            <w:tcBorders>
              <w:top w:val="nil"/>
              <w:left w:val="single" w:sz="4" w:space="0" w:color="auto"/>
              <w:bottom w:val="nil"/>
              <w:right w:val="single" w:sz="4" w:space="0" w:color="auto"/>
            </w:tcBorders>
            <w:shd w:val="clear" w:color="auto" w:fill="auto"/>
            <w:noWrap/>
            <w:vAlign w:val="center"/>
            <w:hideMark/>
          </w:tcPr>
          <w:p w14:paraId="65A612DD" w14:textId="68B18A04"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April 2016</w:t>
            </w:r>
          </w:p>
        </w:tc>
        <w:tc>
          <w:tcPr>
            <w:tcW w:w="1728" w:type="dxa"/>
            <w:tcBorders>
              <w:top w:val="nil"/>
              <w:left w:val="nil"/>
              <w:bottom w:val="nil"/>
              <w:right w:val="single" w:sz="4" w:space="0" w:color="auto"/>
            </w:tcBorders>
            <w:shd w:val="clear" w:color="auto" w:fill="auto"/>
            <w:noWrap/>
            <w:vAlign w:val="center"/>
            <w:hideMark/>
          </w:tcPr>
          <w:p w14:paraId="2F2EA56B" w14:textId="0B4EB32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xml:space="preserve">The University </w:t>
            </w:r>
          </w:p>
        </w:tc>
        <w:tc>
          <w:tcPr>
            <w:tcW w:w="5184" w:type="dxa"/>
            <w:tcBorders>
              <w:top w:val="nil"/>
              <w:left w:val="nil"/>
              <w:bottom w:val="nil"/>
              <w:right w:val="single" w:sz="4" w:space="0" w:color="auto"/>
            </w:tcBorders>
            <w:shd w:val="clear" w:color="auto" w:fill="auto"/>
            <w:noWrap/>
            <w:vAlign w:val="center"/>
            <w:hideMark/>
          </w:tcPr>
          <w:p w14:paraId="2B8CBA63"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Defend Thesis</w:t>
            </w:r>
          </w:p>
        </w:tc>
      </w:tr>
      <w:tr w:rsidR="005168EC" w:rsidRPr="00626BA1" w14:paraId="1EE5461F" w14:textId="77777777" w:rsidTr="00717205">
        <w:trPr>
          <w:trHeight w:val="300"/>
          <w:jc w:val="center"/>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14:paraId="698655BA"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c>
          <w:tcPr>
            <w:tcW w:w="1728" w:type="dxa"/>
            <w:tcBorders>
              <w:top w:val="nil"/>
              <w:left w:val="nil"/>
              <w:bottom w:val="single" w:sz="4" w:space="0" w:color="auto"/>
              <w:right w:val="single" w:sz="4" w:space="0" w:color="auto"/>
            </w:tcBorders>
            <w:shd w:val="clear" w:color="auto" w:fill="auto"/>
            <w:noWrap/>
            <w:vAlign w:val="center"/>
            <w:hideMark/>
          </w:tcPr>
          <w:p w14:paraId="6193A99E" w14:textId="3AEB44CD"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of Oklahoma</w:t>
            </w:r>
          </w:p>
        </w:tc>
        <w:tc>
          <w:tcPr>
            <w:tcW w:w="5184" w:type="dxa"/>
            <w:tcBorders>
              <w:top w:val="nil"/>
              <w:left w:val="nil"/>
              <w:bottom w:val="single" w:sz="4" w:space="0" w:color="auto"/>
              <w:right w:val="single" w:sz="4" w:space="0" w:color="auto"/>
            </w:tcBorders>
            <w:shd w:val="clear" w:color="auto" w:fill="auto"/>
            <w:noWrap/>
            <w:vAlign w:val="center"/>
            <w:hideMark/>
          </w:tcPr>
          <w:p w14:paraId="78DF058F" w14:textId="77777777" w:rsidR="005168EC" w:rsidRPr="005168EC" w:rsidRDefault="005168EC" w:rsidP="005168EC">
            <w:pPr>
              <w:spacing w:line="240" w:lineRule="auto"/>
              <w:jc w:val="left"/>
              <w:rPr>
                <w:rFonts w:eastAsia="Times New Roman" w:cs="Times New Roman"/>
                <w:color w:val="000000"/>
                <w:sz w:val="20"/>
                <w:szCs w:val="20"/>
              </w:rPr>
            </w:pPr>
            <w:r w:rsidRPr="005168EC">
              <w:rPr>
                <w:rFonts w:eastAsia="Times New Roman" w:cs="Times New Roman"/>
                <w:color w:val="000000"/>
                <w:sz w:val="20"/>
                <w:szCs w:val="20"/>
              </w:rPr>
              <w:t> </w:t>
            </w:r>
          </w:p>
        </w:tc>
      </w:tr>
    </w:tbl>
    <w:p w14:paraId="2D7FA06E" w14:textId="77777777" w:rsidR="007F7E3D" w:rsidRDefault="007F7E3D" w:rsidP="007F7E3D">
      <w:pPr>
        <w:jc w:val="both"/>
        <w:rPr>
          <w:b/>
        </w:rPr>
        <w:sectPr w:rsidR="007F7E3D" w:rsidSect="00A45898">
          <w:pgSz w:w="12240" w:h="15840"/>
          <w:pgMar w:top="1440" w:right="1440" w:bottom="1440" w:left="2304" w:header="720" w:footer="144" w:gutter="0"/>
          <w:cols w:space="720"/>
          <w:docGrid w:linePitch="360"/>
        </w:sectPr>
      </w:pPr>
    </w:p>
    <w:p w14:paraId="63AA2A80" w14:textId="0AB22DED" w:rsidR="00873C0F" w:rsidRDefault="004615B4" w:rsidP="006427AD">
      <w:pPr>
        <w:pStyle w:val="Heading1"/>
      </w:pPr>
      <w:r>
        <w:lastRenderedPageBreak/>
        <w:t>C</w:t>
      </w:r>
      <w:r w:rsidR="00A2049D">
        <w:t>HAPTER 7</w:t>
      </w:r>
    </w:p>
    <w:p w14:paraId="122D5CA0" w14:textId="77777777" w:rsidR="00DB3BA3" w:rsidRDefault="00DB3BA3" w:rsidP="006427AD">
      <w:pPr>
        <w:pStyle w:val="Heading1"/>
      </w:pPr>
      <w:r>
        <w:t>REFERENCES</w:t>
      </w:r>
    </w:p>
    <w:p w14:paraId="71471DB8" w14:textId="77777777" w:rsidR="00DB3BA3" w:rsidRDefault="00DB3BA3" w:rsidP="00DD5A87">
      <w:pPr>
        <w:rPr>
          <w:b/>
        </w:rPr>
      </w:pPr>
    </w:p>
    <w:p w14:paraId="02A7E5D3" w14:textId="62E24BBF" w:rsidR="00C577DF" w:rsidRPr="00C577DF" w:rsidRDefault="00C577DF" w:rsidP="00B00086">
      <w:pPr>
        <w:spacing w:line="240" w:lineRule="auto"/>
        <w:jc w:val="left"/>
      </w:pPr>
      <w:r>
        <w:t xml:space="preserve">Abdelbagi, M., Eltayeb, M., Rahman, S., and M. Elboraie. “Source Identification of Airborne Elements in Industrial Area by XRF Technique.” </w:t>
      </w:r>
      <w:r>
        <w:rPr>
          <w:i/>
          <w:iCs/>
        </w:rPr>
        <w:t>Indian Journal of Science and Technology,</w:t>
      </w:r>
      <w:r>
        <w:t xml:space="preserve"> Vol. 4 No. 7 (2011): 824-827. Web. 4 Dec. 2015.</w:t>
      </w:r>
    </w:p>
    <w:p w14:paraId="7E289269" w14:textId="77777777" w:rsidR="00C577DF" w:rsidRDefault="00C577DF" w:rsidP="00B00086">
      <w:pPr>
        <w:spacing w:line="240" w:lineRule="auto"/>
        <w:jc w:val="left"/>
      </w:pPr>
    </w:p>
    <w:p w14:paraId="01CE601D" w14:textId="77777777" w:rsidR="001565C8" w:rsidRDefault="001565C8" w:rsidP="00B00086">
      <w:pPr>
        <w:spacing w:line="240" w:lineRule="auto"/>
        <w:jc w:val="left"/>
      </w:pPr>
      <w:r>
        <w:t xml:space="preserve">American Society of Civil Engineers. “Code of Ethics.” </w:t>
      </w:r>
      <w:r>
        <w:rPr>
          <w:i/>
        </w:rPr>
        <w:t>ASCE</w:t>
      </w:r>
      <w:r>
        <w:t>.org. ASCE, 23 Jul. 2006. Web. 5 Mar. 2015.</w:t>
      </w:r>
    </w:p>
    <w:p w14:paraId="615B2CB1" w14:textId="77777777" w:rsidR="001565C8" w:rsidRDefault="001565C8" w:rsidP="00B00086">
      <w:pPr>
        <w:spacing w:line="240" w:lineRule="auto"/>
        <w:jc w:val="left"/>
      </w:pPr>
    </w:p>
    <w:p w14:paraId="4691A39B" w14:textId="77777777" w:rsidR="00BE5E76" w:rsidRDefault="00BE5E76" w:rsidP="00B00086">
      <w:pPr>
        <w:spacing w:line="240" w:lineRule="auto"/>
        <w:jc w:val="left"/>
        <w:rPr>
          <w:rFonts w:asciiTheme="majorBidi" w:hAnsiTheme="majorBidi" w:cstheme="majorBidi"/>
        </w:rPr>
      </w:pPr>
      <w:r>
        <w:t xml:space="preserve">Arkansas State Highway and Transportation Department. </w:t>
      </w:r>
      <w:r>
        <w:rPr>
          <w:i/>
          <w:iCs/>
        </w:rPr>
        <w:t xml:space="preserve">Arkansas 2014 </w:t>
      </w:r>
      <w:r w:rsidRPr="003D41F8">
        <w:rPr>
          <w:rFonts w:asciiTheme="majorBidi" w:hAnsiTheme="majorBidi" w:cstheme="majorBidi"/>
          <w:i/>
          <w:iCs/>
        </w:rPr>
        <w:t>Standard Specif</w:t>
      </w:r>
      <w:r>
        <w:rPr>
          <w:rFonts w:asciiTheme="majorBidi" w:hAnsiTheme="majorBidi" w:cstheme="majorBidi"/>
          <w:i/>
          <w:iCs/>
        </w:rPr>
        <w:t xml:space="preserve">ication for Highway Construction. </w:t>
      </w:r>
      <w:r>
        <w:rPr>
          <w:rFonts w:asciiTheme="majorBidi" w:hAnsiTheme="majorBidi" w:cstheme="majorBidi"/>
        </w:rPr>
        <w:t>Little Rock: Arkansas State Highway and Transportation Department, 2014. Web. 20 Oct. 2015.</w:t>
      </w:r>
    </w:p>
    <w:p w14:paraId="08FAC546" w14:textId="77777777" w:rsidR="00425C61" w:rsidRDefault="00425C61" w:rsidP="00B00086">
      <w:pPr>
        <w:spacing w:line="240" w:lineRule="auto"/>
        <w:jc w:val="left"/>
        <w:rPr>
          <w:rFonts w:asciiTheme="majorBidi" w:hAnsiTheme="majorBidi" w:cstheme="majorBidi"/>
        </w:rPr>
      </w:pPr>
    </w:p>
    <w:p w14:paraId="176EC3B5" w14:textId="7E31F5DC" w:rsidR="00425C61" w:rsidRPr="00425C61" w:rsidRDefault="00425C61" w:rsidP="00B00086">
      <w:pPr>
        <w:spacing w:line="240" w:lineRule="auto"/>
        <w:jc w:val="left"/>
        <w:rPr>
          <w:rFonts w:asciiTheme="majorBidi" w:hAnsiTheme="majorBidi" w:cstheme="majorBidi"/>
        </w:rPr>
      </w:pPr>
      <w:r>
        <w:rPr>
          <w:rFonts w:asciiTheme="majorBidi" w:hAnsiTheme="majorBidi" w:cstheme="majorBidi"/>
        </w:rPr>
        <w:t xml:space="preserve">Arora, S. and A. Aydilek. “Class F Fly Ash Amended Soils as Highway Base Materials.” </w:t>
      </w:r>
      <w:r>
        <w:rPr>
          <w:rFonts w:asciiTheme="majorBidi" w:hAnsiTheme="majorBidi" w:cstheme="majorBidi"/>
          <w:i/>
          <w:iCs/>
        </w:rPr>
        <w:t>Journal of Materials in Civil Engineering,</w:t>
      </w:r>
      <w:r>
        <w:rPr>
          <w:rFonts w:asciiTheme="majorBidi" w:hAnsiTheme="majorBidi" w:cstheme="majorBidi"/>
        </w:rPr>
        <w:t xml:space="preserve"> Vol. 17 No. 6 (2005): 640-649. Web. 24 Nov. 2015.</w:t>
      </w:r>
    </w:p>
    <w:p w14:paraId="6C283F23" w14:textId="77777777" w:rsidR="00BE5E76" w:rsidRDefault="00BE5E76" w:rsidP="00B00086">
      <w:pPr>
        <w:spacing w:line="240" w:lineRule="auto"/>
        <w:jc w:val="left"/>
      </w:pPr>
    </w:p>
    <w:p w14:paraId="4C7481B9" w14:textId="5980841F" w:rsidR="002C6C23" w:rsidRPr="002C6C23" w:rsidRDefault="002C6C23" w:rsidP="00B00086">
      <w:pPr>
        <w:spacing w:line="240" w:lineRule="auto"/>
        <w:jc w:val="left"/>
      </w:pPr>
      <w:r>
        <w:t xml:space="preserve">Arzhantsev, S., Li, X., and J. Kauffman. “Rapid Limit Tests for Metal Impurities in Pharmaceutical Materials by </w:t>
      </w:r>
      <w:r w:rsidR="00771F08">
        <w:t>X-ray</w:t>
      </w:r>
      <w:r>
        <w:t xml:space="preserve"> Fluorescence Spectroscopy Using Wavelet Transform Filtering.” </w:t>
      </w:r>
      <w:r>
        <w:rPr>
          <w:i/>
          <w:iCs/>
        </w:rPr>
        <w:t>Analytical Chemistry,</w:t>
      </w:r>
      <w:r>
        <w:t xml:space="preserve"> Vol. 83 (2011): 1061-1068. </w:t>
      </w:r>
      <w:r w:rsidR="003C5ACE">
        <w:t>Web. 4 Dec. 2015.</w:t>
      </w:r>
    </w:p>
    <w:p w14:paraId="2CA16E53" w14:textId="77777777" w:rsidR="002C6C23" w:rsidRPr="00DD5A87" w:rsidRDefault="002C6C23" w:rsidP="00B00086">
      <w:pPr>
        <w:spacing w:line="240" w:lineRule="auto"/>
        <w:jc w:val="left"/>
      </w:pPr>
    </w:p>
    <w:p w14:paraId="1FE726A2" w14:textId="77777777" w:rsidR="00DD5A87" w:rsidRPr="00DD5A87" w:rsidRDefault="00DD5A87" w:rsidP="00B00086">
      <w:pPr>
        <w:spacing w:line="240" w:lineRule="auto"/>
        <w:jc w:val="left"/>
      </w:pPr>
      <w:r w:rsidRPr="00DD5A87">
        <w:t xml:space="preserve">ASTM D3155-11: Standard Test Method for Lime Content of Uncured Soil-Lime Mixtures, </w:t>
      </w:r>
      <w:r w:rsidRPr="00DD5A87">
        <w:rPr>
          <w:i/>
          <w:iCs/>
        </w:rPr>
        <w:t xml:space="preserve">Annual Book of ASTM Standards, </w:t>
      </w:r>
      <w:r w:rsidRPr="00DD5A87">
        <w:t>ASTM International, West Conshohocken, PA, 2011.</w:t>
      </w:r>
    </w:p>
    <w:p w14:paraId="01C1DA9D" w14:textId="77777777" w:rsidR="00DD5A87" w:rsidRPr="00DD5A87" w:rsidRDefault="00DD5A87" w:rsidP="00B00086">
      <w:pPr>
        <w:spacing w:line="240" w:lineRule="auto"/>
        <w:jc w:val="left"/>
      </w:pPr>
    </w:p>
    <w:p w14:paraId="04EC70A3" w14:textId="77777777" w:rsidR="00DD5A87" w:rsidRPr="00DD5A87" w:rsidRDefault="00DD5A87" w:rsidP="00B00086">
      <w:pPr>
        <w:spacing w:line="240" w:lineRule="auto"/>
        <w:jc w:val="left"/>
        <w:rPr>
          <w:b/>
        </w:rPr>
      </w:pPr>
      <w:r w:rsidRPr="00DD5A87">
        <w:t xml:space="preserve">ASTM D2216-10: Standard Test Method for Laboratory Determination of Water (Moisture) Content of Soil and Rock by Mass, </w:t>
      </w:r>
      <w:r w:rsidRPr="00DD5A87">
        <w:rPr>
          <w:i/>
          <w:iCs/>
        </w:rPr>
        <w:t xml:space="preserve">Annual Book of ASTM Standards, </w:t>
      </w:r>
      <w:r w:rsidRPr="00DD5A87">
        <w:t>ASTM International, West Conshohocken, PA, 2010.</w:t>
      </w:r>
    </w:p>
    <w:p w14:paraId="7DA9C826" w14:textId="77777777" w:rsidR="00DD5A87" w:rsidRPr="00DD5A87" w:rsidRDefault="00DD5A87" w:rsidP="00B00086">
      <w:pPr>
        <w:spacing w:line="240" w:lineRule="auto"/>
        <w:jc w:val="left"/>
      </w:pPr>
    </w:p>
    <w:p w14:paraId="75704DB5" w14:textId="77777777" w:rsidR="00DD5A87" w:rsidRDefault="00DD5A87" w:rsidP="00B00086">
      <w:pPr>
        <w:spacing w:line="240" w:lineRule="auto"/>
        <w:jc w:val="left"/>
      </w:pPr>
      <w:r w:rsidRPr="00DD5A87">
        <w:t xml:space="preserve">ASTM D422-63(2007)e2: Standard Test Method for Particle-Size Analysis of Soils, </w:t>
      </w:r>
      <w:r w:rsidRPr="00DD5A87">
        <w:rPr>
          <w:i/>
          <w:iCs/>
        </w:rPr>
        <w:t xml:space="preserve">Annual Book of ASTM Standards, </w:t>
      </w:r>
      <w:r w:rsidRPr="00DD5A87">
        <w:t>ASTM International, West Conshohocken, PA, 2007.</w:t>
      </w:r>
    </w:p>
    <w:p w14:paraId="47BA08B9" w14:textId="77777777" w:rsidR="00425C61" w:rsidRDefault="00425C61" w:rsidP="00B00086">
      <w:pPr>
        <w:spacing w:line="240" w:lineRule="auto"/>
        <w:jc w:val="left"/>
      </w:pPr>
    </w:p>
    <w:p w14:paraId="46ED8F34" w14:textId="40F5EA71" w:rsidR="00425C61" w:rsidRDefault="00425C61" w:rsidP="00B00086">
      <w:pPr>
        <w:spacing w:line="240" w:lineRule="auto"/>
        <w:jc w:val="left"/>
      </w:pPr>
      <w:r>
        <w:t xml:space="preserve">Athanasopoulou, A. “Addition of Lime and Fly Ash to Improve Highway Subgrade Soils.” </w:t>
      </w:r>
      <w:r>
        <w:rPr>
          <w:i/>
          <w:iCs/>
        </w:rPr>
        <w:t xml:space="preserve">Journal of Materials in Civil Engineering, </w:t>
      </w:r>
      <w:r>
        <w:t xml:space="preserve">Vol. 26 No. 4 (2014): 773-775. Web. </w:t>
      </w:r>
      <w:r w:rsidR="000A3B10">
        <w:t>24 Nov. 2015</w:t>
      </w:r>
      <w:r>
        <w:t>.</w:t>
      </w:r>
    </w:p>
    <w:p w14:paraId="7992229C" w14:textId="77777777" w:rsidR="00715E97" w:rsidRDefault="00715E97" w:rsidP="00B00086">
      <w:pPr>
        <w:spacing w:line="240" w:lineRule="auto"/>
        <w:jc w:val="left"/>
      </w:pPr>
    </w:p>
    <w:p w14:paraId="76EFA738" w14:textId="58B9C3AA" w:rsidR="00AA4F90" w:rsidRPr="00AA4F90" w:rsidRDefault="00AA4F90" w:rsidP="00B00086">
      <w:pPr>
        <w:spacing w:line="240" w:lineRule="auto"/>
        <w:jc w:val="left"/>
      </w:pPr>
      <w:r>
        <w:t xml:space="preserve">Aykut, S., Edil, T., Bin-Shafique, M., Acosta, H., and C. Benson. “Soft Subgrades’ Stabilization by Using Various Fly Ashes.” </w:t>
      </w:r>
      <w:r>
        <w:rPr>
          <w:i/>
          <w:iCs/>
        </w:rPr>
        <w:t xml:space="preserve">Resources, Conservation and Recycling, </w:t>
      </w:r>
      <w:r>
        <w:t>Vol. 46 (2006): 365-376. Web. 24 Nov. 2015.</w:t>
      </w:r>
    </w:p>
    <w:p w14:paraId="62EEF851" w14:textId="77777777" w:rsidR="00AA4F90" w:rsidRDefault="00AA4F90" w:rsidP="00B00086">
      <w:pPr>
        <w:spacing w:line="240" w:lineRule="auto"/>
        <w:jc w:val="left"/>
      </w:pPr>
    </w:p>
    <w:p w14:paraId="6163A278" w14:textId="2F871CC1" w:rsidR="00056ABE" w:rsidRPr="00056ABE" w:rsidRDefault="00056ABE" w:rsidP="00B00086">
      <w:pPr>
        <w:spacing w:line="240" w:lineRule="auto"/>
        <w:jc w:val="left"/>
      </w:pPr>
      <w:r>
        <w:lastRenderedPageBreak/>
        <w:t xml:space="preserve">Barkla, C. and A. Sadler. “The Absorption of </w:t>
      </w:r>
      <w:r w:rsidR="00771F08">
        <w:t>X-ray</w:t>
      </w:r>
      <w:r>
        <w:t xml:space="preserve">s.” </w:t>
      </w:r>
      <w:r>
        <w:rPr>
          <w:i/>
          <w:iCs/>
        </w:rPr>
        <w:t>Nature</w:t>
      </w:r>
      <w:r>
        <w:t>, Vol. 80 No. 2054 (1909): 37. Web. 5 Dec. 2015.</w:t>
      </w:r>
    </w:p>
    <w:p w14:paraId="465CC2FD" w14:textId="77777777" w:rsidR="00056ABE" w:rsidRDefault="00056ABE" w:rsidP="00B00086">
      <w:pPr>
        <w:spacing w:line="240" w:lineRule="auto"/>
        <w:jc w:val="left"/>
      </w:pPr>
    </w:p>
    <w:p w14:paraId="7646B374" w14:textId="53A3FA8D" w:rsidR="00715E97" w:rsidRPr="00715E97" w:rsidRDefault="00715E97" w:rsidP="00B00086">
      <w:pPr>
        <w:spacing w:line="240" w:lineRule="auto"/>
        <w:jc w:val="left"/>
        <w:rPr>
          <w:b/>
        </w:rPr>
      </w:pPr>
      <w:r>
        <w:t xml:space="preserve">Bell, F. “Lime Stabilization of Clay Soils.” </w:t>
      </w:r>
      <w:r>
        <w:rPr>
          <w:i/>
          <w:iCs/>
        </w:rPr>
        <w:t xml:space="preserve">Bulletin of the International Association of Engineering Geology, </w:t>
      </w:r>
      <w:r>
        <w:t>Vol. 39 No. 1 (1989): 67-74. Web. 24 Nov. 2015.</w:t>
      </w:r>
    </w:p>
    <w:p w14:paraId="706209AB" w14:textId="77777777" w:rsidR="00DD5A87" w:rsidRDefault="00DD5A87" w:rsidP="00B00086">
      <w:pPr>
        <w:spacing w:line="240" w:lineRule="auto"/>
        <w:jc w:val="left"/>
      </w:pPr>
    </w:p>
    <w:p w14:paraId="3198B5A4" w14:textId="1D2F9F6D" w:rsidR="00C577DF" w:rsidRDefault="00C577DF" w:rsidP="00B00086">
      <w:pPr>
        <w:spacing w:line="240" w:lineRule="auto"/>
        <w:jc w:val="left"/>
      </w:pPr>
      <w:r>
        <w:t xml:space="preserve">Binstock, D., Gutknecht, W., and A. McWilliams. “Lead in Soil by Field-Portable </w:t>
      </w:r>
      <w:r w:rsidR="00771F08">
        <w:t>X-ray</w:t>
      </w:r>
      <w:r>
        <w:t xml:space="preserve"> Fluorescence Spectrometry - An Examination of Paired In Situ and Laboratory ICP-AES Results.” </w:t>
      </w:r>
      <w:r>
        <w:rPr>
          <w:i/>
          <w:iCs/>
        </w:rPr>
        <w:t xml:space="preserve">REMEDIATION, </w:t>
      </w:r>
      <w:r>
        <w:t>Summer (2008): 55-61. Web. 4 Dec. 2015.</w:t>
      </w:r>
    </w:p>
    <w:p w14:paraId="3638DAB0" w14:textId="77777777" w:rsidR="00BF0DFE" w:rsidRDefault="00BF0DFE" w:rsidP="00B00086">
      <w:pPr>
        <w:spacing w:line="240" w:lineRule="auto"/>
        <w:jc w:val="left"/>
      </w:pPr>
    </w:p>
    <w:p w14:paraId="3E2A51B4" w14:textId="0DE215A2" w:rsidR="00BF0DFE" w:rsidRPr="00BF0DFE" w:rsidRDefault="00BF0DFE" w:rsidP="00B00086">
      <w:pPr>
        <w:spacing w:line="240" w:lineRule="auto"/>
        <w:jc w:val="left"/>
      </w:pPr>
      <w:r>
        <w:t>Bruker. “</w:t>
      </w:r>
      <w:r w:rsidRPr="0086611A">
        <w:t>How Does X-Ray Fluorescence (XRF) Work?</w:t>
      </w:r>
      <w:r>
        <w:t xml:space="preserve">” </w:t>
      </w:r>
      <w:r w:rsidRPr="0086611A">
        <w:rPr>
          <w:i/>
          <w:iCs/>
        </w:rPr>
        <w:t>S2 Ranger Brochure</w:t>
      </w:r>
      <w:r>
        <w:t>.</w:t>
      </w:r>
      <w:r w:rsidR="0086611A">
        <w:t xml:space="preserve"> Bruker, 2013. Web. 29 Mar. 2016.</w:t>
      </w:r>
      <w:r>
        <w:t xml:space="preserve"> </w:t>
      </w:r>
    </w:p>
    <w:p w14:paraId="4A7D2055" w14:textId="77777777" w:rsidR="00C577DF" w:rsidRDefault="00C577DF" w:rsidP="00B00086">
      <w:pPr>
        <w:spacing w:line="240" w:lineRule="auto"/>
        <w:jc w:val="left"/>
      </w:pPr>
    </w:p>
    <w:p w14:paraId="55BB02A3" w14:textId="7773C9AD" w:rsidR="00425C61" w:rsidRDefault="00425C61" w:rsidP="00B00086">
      <w:pPr>
        <w:spacing w:line="240" w:lineRule="auto"/>
        <w:jc w:val="left"/>
      </w:pPr>
      <w:r w:rsidRPr="00DD5A87">
        <w:t>Cerato</w:t>
      </w:r>
      <w:r>
        <w:t>, A. and G</w:t>
      </w:r>
      <w:r w:rsidRPr="00DD5A87">
        <w:t xml:space="preserve">. Miller. “Determination of Soil Stabilizer Content Using </w:t>
      </w:r>
      <w:r w:rsidR="00771F08">
        <w:t>X-ray</w:t>
      </w:r>
      <w:r w:rsidRPr="00DD5A87">
        <w:t xml:space="preserve"> Fluorescence.” </w:t>
      </w:r>
      <w:r>
        <w:rPr>
          <w:i/>
        </w:rPr>
        <w:t>Geotechnical Testing Journal,</w:t>
      </w:r>
      <w:r w:rsidRPr="00DD5A87">
        <w:t xml:space="preserve"> Vol. 36, No. 5 (2013): 781-785. PDF.</w:t>
      </w:r>
    </w:p>
    <w:p w14:paraId="06F8847E" w14:textId="77777777" w:rsidR="00877FC0" w:rsidRDefault="00877FC0" w:rsidP="00B00086">
      <w:pPr>
        <w:spacing w:line="240" w:lineRule="auto"/>
        <w:jc w:val="left"/>
      </w:pPr>
    </w:p>
    <w:p w14:paraId="2E0EEC4F" w14:textId="47DFE813" w:rsidR="009A4DE9" w:rsidRDefault="009A4DE9" w:rsidP="00B00086">
      <w:pPr>
        <w:spacing w:line="240" w:lineRule="auto"/>
        <w:jc w:val="left"/>
      </w:pPr>
      <w:r>
        <w:t>Elliot, R., Dennis, N., and Y. Qiu. “Permanent Deformation of Subgrade Soils.” Mack-Blackwell Transportation Center FR 1069 (1998). Web. 24 Nov. 2015.</w:t>
      </w:r>
    </w:p>
    <w:p w14:paraId="5342E1DE" w14:textId="77777777" w:rsidR="009A4DE9" w:rsidRDefault="009A4DE9" w:rsidP="00B00086">
      <w:pPr>
        <w:spacing w:line="240" w:lineRule="auto"/>
        <w:jc w:val="left"/>
      </w:pPr>
    </w:p>
    <w:p w14:paraId="552B4EC5" w14:textId="569CF483" w:rsidR="002328AC" w:rsidRPr="002328AC" w:rsidRDefault="002328AC" w:rsidP="00B00086">
      <w:pPr>
        <w:spacing w:line="240" w:lineRule="auto"/>
        <w:jc w:val="left"/>
      </w:pPr>
      <w:r>
        <w:t xml:space="preserve">Forster, N. and P. Grave. “Non-Destructive PXRF Analysis of Museum-Curated Obsidian from the Near East.” </w:t>
      </w:r>
      <w:r>
        <w:rPr>
          <w:i/>
          <w:iCs/>
        </w:rPr>
        <w:t>Journal of Archaeological Science</w:t>
      </w:r>
      <w:r>
        <w:t>, Vol. 39: 728-736. Web. 4 Dec. 2015.</w:t>
      </w:r>
    </w:p>
    <w:p w14:paraId="7979AEBC" w14:textId="77777777" w:rsidR="002328AC" w:rsidRDefault="002328AC" w:rsidP="00B00086">
      <w:pPr>
        <w:spacing w:line="240" w:lineRule="auto"/>
        <w:jc w:val="left"/>
      </w:pPr>
    </w:p>
    <w:p w14:paraId="4FC4C507" w14:textId="4A83A803" w:rsidR="004C517A" w:rsidRPr="004C517A" w:rsidRDefault="004C517A" w:rsidP="00B00086">
      <w:pPr>
        <w:spacing w:line="240" w:lineRule="auto"/>
        <w:jc w:val="left"/>
      </w:pPr>
      <w:r>
        <w:t xml:space="preserve">Frahm, E. “Validity of “Off-the-Shelf” Handheld Portable XRF for Sourcing Near Eastern Obsidian Chip Debris.” </w:t>
      </w:r>
      <w:r>
        <w:rPr>
          <w:i/>
          <w:iCs/>
        </w:rPr>
        <w:t>Journal of Archaeological Science,</w:t>
      </w:r>
      <w:r>
        <w:t xml:space="preserve"> Vol. 40 (2013): 1080-1092. 4. Dec. 2015.</w:t>
      </w:r>
    </w:p>
    <w:p w14:paraId="3D10FCF3" w14:textId="77777777" w:rsidR="004C517A" w:rsidRDefault="004C517A" w:rsidP="00B00086">
      <w:pPr>
        <w:spacing w:line="240" w:lineRule="auto"/>
        <w:jc w:val="left"/>
      </w:pPr>
    </w:p>
    <w:p w14:paraId="35791613" w14:textId="346AED47" w:rsidR="00AD7DDA" w:rsidRPr="00C77873" w:rsidRDefault="00AD7DDA" w:rsidP="00B00086">
      <w:pPr>
        <w:spacing w:line="240" w:lineRule="auto"/>
        <w:jc w:val="left"/>
      </w:pPr>
      <w:r>
        <w:t xml:space="preserve">Fredlund, D. “The Prediction and Performance of Structures on Expansive Soils.” </w:t>
      </w:r>
      <w:r>
        <w:rPr>
          <w:i/>
          <w:iCs/>
        </w:rPr>
        <w:t xml:space="preserve">Proceedings, </w:t>
      </w:r>
      <w:r w:rsidR="00C77873">
        <w:rPr>
          <w:i/>
          <w:iCs/>
        </w:rPr>
        <w:t>Predication</w:t>
      </w:r>
      <w:r>
        <w:rPr>
          <w:i/>
          <w:iCs/>
        </w:rPr>
        <w:t>, and Performance in Geotechnical Engineering</w:t>
      </w:r>
      <w:r w:rsidR="00C77873">
        <w:t>. Calgary, AB. 17-19 Jun. 1987. Web. 24 Nov. 2015.</w:t>
      </w:r>
    </w:p>
    <w:p w14:paraId="74E97883" w14:textId="77777777" w:rsidR="00C77873" w:rsidRPr="00AD7DDA" w:rsidRDefault="00C77873" w:rsidP="00B00086">
      <w:pPr>
        <w:spacing w:line="240" w:lineRule="auto"/>
        <w:jc w:val="left"/>
        <w:rPr>
          <w:i/>
          <w:iCs/>
        </w:rPr>
      </w:pPr>
    </w:p>
    <w:p w14:paraId="0E1AD708" w14:textId="4CE425C5" w:rsidR="00321AC6" w:rsidRDefault="00C05AF7" w:rsidP="00B00086">
      <w:pPr>
        <w:spacing w:line="240" w:lineRule="auto"/>
        <w:jc w:val="left"/>
      </w:pPr>
      <w:r>
        <w:t>Gatz, T</w:t>
      </w:r>
      <w:r w:rsidR="00321AC6" w:rsidRPr="00321AC6">
        <w:t>. “Oklahoma Transportation Research Day.” Oklahoma Department of Transportation and Southern Plains Transportation Center. Moore Norman Technology Center, Oklahoma City, OK. 20 Oct. 2015. Address.</w:t>
      </w:r>
    </w:p>
    <w:p w14:paraId="54CFD41B" w14:textId="77777777" w:rsidR="00715E97" w:rsidRDefault="00715E97" w:rsidP="00B00086">
      <w:pPr>
        <w:spacing w:line="240" w:lineRule="auto"/>
        <w:jc w:val="left"/>
      </w:pPr>
    </w:p>
    <w:p w14:paraId="4408E454" w14:textId="4457B470" w:rsidR="00715E97" w:rsidRDefault="00715E97" w:rsidP="00B00086">
      <w:pPr>
        <w:spacing w:line="240" w:lineRule="auto"/>
        <w:jc w:val="left"/>
      </w:pPr>
      <w:r>
        <w:t xml:space="preserve">Holland, J. and C. Griffin. “Cement and Lime Stabilization of Melbourne Pavement Subgrade Soils.” </w:t>
      </w:r>
      <w:r>
        <w:rPr>
          <w:i/>
          <w:iCs/>
        </w:rPr>
        <w:t>3</w:t>
      </w:r>
      <w:r w:rsidRPr="00715E97">
        <w:rPr>
          <w:i/>
          <w:iCs/>
          <w:vertAlign w:val="superscript"/>
        </w:rPr>
        <w:t>rd</w:t>
      </w:r>
      <w:r>
        <w:rPr>
          <w:i/>
          <w:iCs/>
        </w:rPr>
        <w:t xml:space="preserve"> Australia-New Zealand Conference of Geomechanics,</w:t>
      </w:r>
      <w:r>
        <w:t xml:space="preserve"> Vol. 1 (1980): 1191-1195. Web. 24 Nov. 2015.</w:t>
      </w:r>
    </w:p>
    <w:p w14:paraId="1B1E910B" w14:textId="77777777" w:rsidR="00B9710B" w:rsidRDefault="00B9710B" w:rsidP="00B00086">
      <w:pPr>
        <w:spacing w:line="240" w:lineRule="auto"/>
        <w:jc w:val="left"/>
      </w:pPr>
    </w:p>
    <w:p w14:paraId="4F9461E5" w14:textId="341FDCD5" w:rsidR="00DC34DC" w:rsidRDefault="00DC34DC" w:rsidP="00B00086">
      <w:pPr>
        <w:spacing w:line="240" w:lineRule="auto"/>
        <w:jc w:val="left"/>
      </w:pPr>
      <w:r>
        <w:t xml:space="preserve">Houston, S. “Pavement Problems Caused by Collapsible Subgrades.” </w:t>
      </w:r>
      <w:r>
        <w:rPr>
          <w:i/>
          <w:iCs/>
        </w:rPr>
        <w:t>Journal of Transportation Engineering,</w:t>
      </w:r>
      <w:r>
        <w:t xml:space="preserve"> Vol. 114 No. 6 (1988): 673-683. Web. 25 Nov. 2015.</w:t>
      </w:r>
    </w:p>
    <w:p w14:paraId="77B9F604" w14:textId="77777777" w:rsidR="00DC34DC" w:rsidRPr="00DC34DC" w:rsidRDefault="00DC34DC" w:rsidP="00B00086">
      <w:pPr>
        <w:spacing w:line="240" w:lineRule="auto"/>
        <w:jc w:val="left"/>
      </w:pPr>
    </w:p>
    <w:p w14:paraId="7EAF24AA" w14:textId="45C2A905" w:rsidR="00B9710B" w:rsidRDefault="00B9710B" w:rsidP="00B00086">
      <w:pPr>
        <w:spacing w:line="240" w:lineRule="auto"/>
        <w:jc w:val="left"/>
      </w:pPr>
      <w:r>
        <w:t xml:space="preserve">Houston. S., Houston, W., and C. Lawrence. “Collapsible Soil Engineering in Highway Infrastructure Development.” </w:t>
      </w:r>
      <w:r>
        <w:rPr>
          <w:i/>
          <w:iCs/>
        </w:rPr>
        <w:t>Journal of Transportation Engineering,</w:t>
      </w:r>
      <w:r>
        <w:t xml:space="preserve"> Vol. 128 No. 3 (2002): 295-300. Web. 25 Nov. 2015.</w:t>
      </w:r>
    </w:p>
    <w:p w14:paraId="6A31C896" w14:textId="77777777" w:rsidR="00AD7DDA" w:rsidRDefault="00AD7DDA" w:rsidP="00B00086">
      <w:pPr>
        <w:spacing w:line="240" w:lineRule="auto"/>
        <w:jc w:val="left"/>
      </w:pPr>
    </w:p>
    <w:p w14:paraId="12E91CA1" w14:textId="5B9F8D8A" w:rsidR="00AD7DDA" w:rsidRPr="00AD7DDA" w:rsidRDefault="00AD7DDA" w:rsidP="00B00086">
      <w:pPr>
        <w:spacing w:line="240" w:lineRule="auto"/>
        <w:jc w:val="left"/>
        <w:rPr>
          <w:i/>
          <w:iCs/>
        </w:rPr>
      </w:pPr>
      <w:r>
        <w:lastRenderedPageBreak/>
        <w:t xml:space="preserve">Howayek, A., Huang, P., Bisnett, R., and M. Santagata. “Identification and Behavior of Collapsible Soils.” </w:t>
      </w:r>
      <w:r w:rsidR="00872858" w:rsidRPr="00872858">
        <w:t>Joint Transportation R</w:t>
      </w:r>
      <w:r w:rsidR="00872858">
        <w:t>esearch Program Technical Report 2011/12 (2011). Web. 25 Nov. 2015.</w:t>
      </w:r>
    </w:p>
    <w:p w14:paraId="3302EC57" w14:textId="77777777" w:rsidR="0091190A" w:rsidRDefault="0091190A" w:rsidP="00B00086">
      <w:pPr>
        <w:spacing w:line="240" w:lineRule="auto"/>
        <w:jc w:val="left"/>
      </w:pPr>
    </w:p>
    <w:p w14:paraId="12318513" w14:textId="45450617" w:rsidR="0091190A" w:rsidRDefault="0091190A" w:rsidP="00B00086">
      <w:pPr>
        <w:spacing w:line="240" w:lineRule="auto"/>
        <w:jc w:val="left"/>
      </w:pPr>
      <w:r>
        <w:t>Huang, Y. “Pavement Analysis and Design 1</w:t>
      </w:r>
      <w:r w:rsidRPr="0091190A">
        <w:rPr>
          <w:vertAlign w:val="superscript"/>
        </w:rPr>
        <w:t>st</w:t>
      </w:r>
      <w:r>
        <w:t xml:space="preserve"> Edition.” Englewood Cliffs: Prentice Hall, 1993. Web. 24 Nov. 2015.</w:t>
      </w:r>
    </w:p>
    <w:p w14:paraId="444BB334" w14:textId="77777777" w:rsidR="00D77FDC" w:rsidRDefault="00D77FDC" w:rsidP="00B00086">
      <w:pPr>
        <w:spacing w:line="240" w:lineRule="auto"/>
        <w:jc w:val="left"/>
      </w:pPr>
    </w:p>
    <w:p w14:paraId="27269CE5" w14:textId="79308B2D" w:rsidR="00D77FDC" w:rsidRPr="00D77FDC" w:rsidRDefault="00D77FDC" w:rsidP="00B00086">
      <w:pPr>
        <w:spacing w:line="240" w:lineRule="auto"/>
        <w:jc w:val="left"/>
      </w:pPr>
      <w:r>
        <w:t>H</w:t>
      </w:r>
      <w:r>
        <w:rPr>
          <w:rFonts w:cs="Times New Roman"/>
        </w:rPr>
        <w:t>ü</w:t>
      </w:r>
      <w:r>
        <w:t>rkamp, K., Raab, T., and J. V</w:t>
      </w:r>
      <w:r>
        <w:rPr>
          <w:rFonts w:cs="Times New Roman"/>
        </w:rPr>
        <w:t>ö</w:t>
      </w:r>
      <w:r>
        <w:t xml:space="preserve">lkel. “Two and Three-Dimensional Quantification of Lead Contamination in Alluvial Soils of a Historic Mining Area Using Field Portable </w:t>
      </w:r>
      <w:r w:rsidR="00771F08">
        <w:t>X-ray</w:t>
      </w:r>
      <w:r>
        <w:t xml:space="preserve"> Fluorescence (FPXRF) Analysis.” </w:t>
      </w:r>
      <w:r>
        <w:rPr>
          <w:i/>
          <w:iCs/>
        </w:rPr>
        <w:t>Geomorphology</w:t>
      </w:r>
      <w:r>
        <w:t>, No. 110 (2009): 28-36. Web. 4 Dec. 2015.</w:t>
      </w:r>
    </w:p>
    <w:p w14:paraId="4D6583D7" w14:textId="77777777" w:rsidR="005A507F" w:rsidRPr="00321AC6" w:rsidRDefault="005A507F" w:rsidP="00B00086">
      <w:pPr>
        <w:spacing w:line="240" w:lineRule="auto"/>
        <w:jc w:val="left"/>
      </w:pPr>
    </w:p>
    <w:p w14:paraId="50D8A48F" w14:textId="0FA3F96A" w:rsidR="00651B51" w:rsidRDefault="00651B51" w:rsidP="00B00086">
      <w:pPr>
        <w:spacing w:line="240" w:lineRule="auto"/>
        <w:jc w:val="left"/>
      </w:pPr>
      <w:r w:rsidRPr="00651B51">
        <w:t xml:space="preserve">Imanishi, Y., Bando, A., Komatani, S., Wada, S., and </w:t>
      </w:r>
      <w:r w:rsidR="00C05AF7">
        <w:t>K. Tsuji</w:t>
      </w:r>
      <w:r w:rsidRPr="00651B51">
        <w:t xml:space="preserve">. “Experimental Parameters for XRF Analysis of Soils.” </w:t>
      </w:r>
      <w:r w:rsidRPr="00425C61">
        <w:rPr>
          <w:i/>
          <w:iCs/>
        </w:rPr>
        <w:t>International Centre for Diffraction Data</w:t>
      </w:r>
      <w:r w:rsidRPr="00651B51">
        <w:t xml:space="preserve"> (2010): 248-255. Web. 26 Jan. 2015.</w:t>
      </w:r>
    </w:p>
    <w:p w14:paraId="135740B8" w14:textId="77777777" w:rsidR="00DF60A7" w:rsidRDefault="00DF60A7" w:rsidP="00B00086">
      <w:pPr>
        <w:spacing w:line="240" w:lineRule="auto"/>
        <w:jc w:val="left"/>
      </w:pPr>
    </w:p>
    <w:p w14:paraId="155A8280" w14:textId="4DDDDF44" w:rsidR="00DF60A7" w:rsidRPr="00DF60A7" w:rsidRDefault="00DF60A7" w:rsidP="00B00086">
      <w:pPr>
        <w:spacing w:line="240" w:lineRule="auto"/>
        <w:jc w:val="left"/>
      </w:pPr>
      <w:r>
        <w:t xml:space="preserve">Insley, H. and R. Ewell. “Thermal Behavior of the Kaolin Minerals.” </w:t>
      </w:r>
      <w:r>
        <w:rPr>
          <w:i/>
          <w:iCs/>
        </w:rPr>
        <w:t>Journal of Research of the National Bureau of Standards,</w:t>
      </w:r>
      <w:r>
        <w:t xml:space="preserve"> Vol. 14 (1935): 615-627. Web. 4 Dec. 2015.</w:t>
      </w:r>
    </w:p>
    <w:p w14:paraId="5605F5D5" w14:textId="77777777" w:rsidR="00BF4C4D" w:rsidRDefault="00BF4C4D" w:rsidP="00B00086">
      <w:pPr>
        <w:spacing w:line="240" w:lineRule="auto"/>
        <w:jc w:val="left"/>
      </w:pPr>
    </w:p>
    <w:p w14:paraId="0F1E289B" w14:textId="1257FABC" w:rsidR="002C6C23" w:rsidRDefault="002C6C23" w:rsidP="00B00086">
      <w:pPr>
        <w:spacing w:line="240" w:lineRule="auto"/>
        <w:jc w:val="left"/>
      </w:pPr>
      <w:r>
        <w:t xml:space="preserve">Kim, N., Kim, J., Ahn, K., and B. Lee. “Use of Field-Portable </w:t>
      </w:r>
      <w:r w:rsidR="00771F08">
        <w:t>X-ray</w:t>
      </w:r>
      <w:r>
        <w:t xml:space="preserve"> Fluorescence (FPXRF) Analyzer to Measure Airborne Lead Levels in Korean Workplaces.” </w:t>
      </w:r>
      <w:r>
        <w:rPr>
          <w:i/>
          <w:iCs/>
        </w:rPr>
        <w:t>Journal of Occupational Health</w:t>
      </w:r>
      <w:r>
        <w:t xml:space="preserve">, Vol. 49 (2007): 493-498. Web. 4 Dec. 2015.  </w:t>
      </w:r>
    </w:p>
    <w:p w14:paraId="13088C91" w14:textId="77777777" w:rsidR="002C6C23" w:rsidRDefault="002C6C23" w:rsidP="00B00086">
      <w:pPr>
        <w:spacing w:line="240" w:lineRule="auto"/>
        <w:jc w:val="left"/>
      </w:pPr>
    </w:p>
    <w:p w14:paraId="3DB4CFBC" w14:textId="5C53F3B6" w:rsidR="00BF4C4D" w:rsidRPr="00BF4C4D" w:rsidRDefault="00BF4C4D" w:rsidP="00B00086">
      <w:pPr>
        <w:spacing w:line="240" w:lineRule="auto"/>
        <w:jc w:val="left"/>
      </w:pPr>
      <w:r>
        <w:t xml:space="preserve">Kolias, S., Kasselouri-Rigopoulou, V., and A. Karahalios. “Stabilisation of Clayey Soils with High Calcium Fly Ash and Cement.” </w:t>
      </w:r>
      <w:r>
        <w:rPr>
          <w:i/>
          <w:iCs/>
        </w:rPr>
        <w:t>Cement &amp; Concrete Composites,</w:t>
      </w:r>
      <w:r>
        <w:t xml:space="preserve"> Vol. 27 (2005): 301-313. Web. 24 Nov. 2015.</w:t>
      </w:r>
    </w:p>
    <w:p w14:paraId="37D05956" w14:textId="77777777" w:rsidR="000708E0" w:rsidRDefault="000708E0" w:rsidP="00B00086">
      <w:pPr>
        <w:spacing w:line="240" w:lineRule="auto"/>
        <w:jc w:val="left"/>
      </w:pPr>
    </w:p>
    <w:p w14:paraId="4F001886" w14:textId="0A448D14" w:rsidR="000708E0" w:rsidRDefault="000708E0" w:rsidP="00B00086">
      <w:pPr>
        <w:spacing w:line="240" w:lineRule="auto"/>
        <w:jc w:val="left"/>
      </w:pPr>
      <w:r>
        <w:t xml:space="preserve">Krohn, J., and J. Slosson. “Assessment of Expansive Soils in the United States.” </w:t>
      </w:r>
      <w:r w:rsidRPr="00715E97">
        <w:rPr>
          <w:i/>
          <w:iCs/>
        </w:rPr>
        <w:t>Conference Proceedings. 4</w:t>
      </w:r>
      <w:r w:rsidRPr="00715E97">
        <w:rPr>
          <w:i/>
          <w:iCs/>
          <w:vertAlign w:val="superscript"/>
        </w:rPr>
        <w:t>th</w:t>
      </w:r>
      <w:r w:rsidRPr="00715E97">
        <w:rPr>
          <w:i/>
          <w:iCs/>
        </w:rPr>
        <w:t xml:space="preserve"> International Conference on Expansive Soil</w:t>
      </w:r>
      <w:r>
        <w:t xml:space="preserve"> (1980): 596-608. Web. 24 Nov. 2015.</w:t>
      </w:r>
    </w:p>
    <w:p w14:paraId="1AF18DA5" w14:textId="77777777" w:rsidR="00651B51" w:rsidRPr="00651B51" w:rsidRDefault="00651B51" w:rsidP="00B00086">
      <w:pPr>
        <w:spacing w:line="240" w:lineRule="auto"/>
        <w:jc w:val="left"/>
      </w:pPr>
    </w:p>
    <w:p w14:paraId="63CF18A6" w14:textId="456BCF52" w:rsidR="00651B51" w:rsidRDefault="0091190A" w:rsidP="00B00086">
      <w:pPr>
        <w:spacing w:line="240" w:lineRule="auto"/>
        <w:jc w:val="left"/>
      </w:pPr>
      <w:r>
        <w:t>Krusberski, N</w:t>
      </w:r>
      <w:r w:rsidR="00651B51" w:rsidRPr="00651B51">
        <w:t>. “Exploring Potential Errors in XRF Analysis.” Analytical Challenges in Metallurgy. The Southern African Institute of Mining and Metallurgy. Johannesburg: SAIMM, 2006. 1-8. Web. 26 Jan. 2015.</w:t>
      </w:r>
    </w:p>
    <w:p w14:paraId="46B1CF69" w14:textId="77777777" w:rsidR="006B2AAB" w:rsidRDefault="006B2AAB" w:rsidP="00B00086">
      <w:pPr>
        <w:spacing w:line="240" w:lineRule="auto"/>
        <w:jc w:val="left"/>
      </w:pPr>
    </w:p>
    <w:p w14:paraId="71671469" w14:textId="6AE2692D" w:rsidR="000A7E66" w:rsidRPr="000A7E66" w:rsidRDefault="000A7E66" w:rsidP="00B00086">
      <w:pPr>
        <w:spacing w:line="240" w:lineRule="auto"/>
        <w:jc w:val="left"/>
      </w:pPr>
      <w:r>
        <w:t xml:space="preserve">Kulikov, E., Latham, K., and M. Adams. “Classification and Discrimination of Some Cosmetic Face Powders using XRF Spectrometry with Chemometric Data Analysis.” </w:t>
      </w:r>
      <w:r w:rsidR="00771F08">
        <w:rPr>
          <w:i/>
          <w:iCs/>
        </w:rPr>
        <w:t>X-ray</w:t>
      </w:r>
      <w:r>
        <w:rPr>
          <w:i/>
          <w:iCs/>
        </w:rPr>
        <w:t xml:space="preserve"> Spectrometry, </w:t>
      </w:r>
      <w:r>
        <w:t>Vol. 41 (2012): 410-415. Web. 4 Dec. 2015.</w:t>
      </w:r>
    </w:p>
    <w:p w14:paraId="1A86F4A9" w14:textId="77777777" w:rsidR="000A7E66" w:rsidRDefault="000A7E66" w:rsidP="00B00086">
      <w:pPr>
        <w:spacing w:line="240" w:lineRule="auto"/>
        <w:jc w:val="left"/>
      </w:pPr>
    </w:p>
    <w:p w14:paraId="2E6EDC04" w14:textId="02AA2841" w:rsidR="006B2AAB" w:rsidRDefault="006B2AAB" w:rsidP="00B00086">
      <w:pPr>
        <w:spacing w:line="240" w:lineRule="auto"/>
        <w:jc w:val="left"/>
      </w:pPr>
      <w:r>
        <w:t xml:space="preserve">Lawton, E., Fragaszy, R., and M. Hetherington. “Review of Wetting-Induced Collapse in Compacted Soil.” </w:t>
      </w:r>
      <w:r>
        <w:rPr>
          <w:i/>
          <w:iCs/>
        </w:rPr>
        <w:t>Journal of Geotechnical Engineering</w:t>
      </w:r>
      <w:r w:rsidR="00715E97">
        <w:rPr>
          <w:i/>
          <w:iCs/>
        </w:rPr>
        <w:t>,</w:t>
      </w:r>
      <w:r>
        <w:t xml:space="preserve"> Vol. 118 No. 9 (1992): 1376-1394. Web. 24 Nov. 2015. </w:t>
      </w:r>
    </w:p>
    <w:p w14:paraId="73B2155C" w14:textId="77777777" w:rsidR="00715E97" w:rsidRDefault="00715E97" w:rsidP="00B00086">
      <w:pPr>
        <w:spacing w:line="240" w:lineRule="auto"/>
        <w:jc w:val="left"/>
      </w:pPr>
    </w:p>
    <w:p w14:paraId="11EA611D" w14:textId="46569F27" w:rsidR="00715E97" w:rsidRDefault="00715E97" w:rsidP="00B00086">
      <w:pPr>
        <w:spacing w:line="240" w:lineRule="auto"/>
        <w:jc w:val="left"/>
      </w:pPr>
      <w:r>
        <w:lastRenderedPageBreak/>
        <w:t xml:space="preserve">Li, L., Edil, T. and C. Benson. “Properties of Pavement Geomaterials Stabilized with Fly Ash.” </w:t>
      </w:r>
      <w:r>
        <w:rPr>
          <w:i/>
          <w:iCs/>
        </w:rPr>
        <w:t>2009 World of Coal Ash Conference,</w:t>
      </w:r>
      <w:r>
        <w:t xml:space="preserve"> University of Kentucky Center for Applied Energy Research, Lexington, KY, 2009. Web. 24 Nov. 2015.</w:t>
      </w:r>
    </w:p>
    <w:p w14:paraId="1FD48889" w14:textId="77777777" w:rsidR="0082146E" w:rsidRPr="00715E97" w:rsidRDefault="0082146E" w:rsidP="00B00086">
      <w:pPr>
        <w:spacing w:line="240" w:lineRule="auto"/>
        <w:jc w:val="left"/>
      </w:pPr>
    </w:p>
    <w:p w14:paraId="3786B96D" w14:textId="77777777" w:rsidR="0082146E" w:rsidRPr="00F35ACE" w:rsidRDefault="0082146E" w:rsidP="00B00086">
      <w:pPr>
        <w:tabs>
          <w:tab w:val="left" w:pos="360"/>
        </w:tabs>
        <w:spacing w:line="240" w:lineRule="auto"/>
        <w:jc w:val="left"/>
      </w:pPr>
      <w:r>
        <w:t xml:space="preserve">Lin, B., Cerato, A., Madden, A., and M. Madden. “Effect of Fly Ash on the Behavior of Expansive Soils: Microscopic Analysis.” </w:t>
      </w:r>
      <w:r>
        <w:rPr>
          <w:i/>
          <w:iCs/>
        </w:rPr>
        <w:t>Environmental &amp; Engineering Geoscience,</w:t>
      </w:r>
      <w:r>
        <w:t xml:space="preserve"> Vol. 19 No. 1 (2013): 85-94. Web. 24 Nov. 2015.</w:t>
      </w:r>
    </w:p>
    <w:p w14:paraId="4BDA3043" w14:textId="77777777" w:rsidR="00BE5E76" w:rsidRDefault="00BE5E76" w:rsidP="00B00086">
      <w:pPr>
        <w:spacing w:line="240" w:lineRule="auto"/>
        <w:jc w:val="left"/>
        <w:rPr>
          <w:rFonts w:asciiTheme="majorBidi" w:hAnsiTheme="majorBidi" w:cstheme="majorBidi"/>
        </w:rPr>
      </w:pPr>
    </w:p>
    <w:p w14:paraId="0C7A67E3" w14:textId="77777777" w:rsidR="00BE5E76" w:rsidRDefault="00BE5E76" w:rsidP="00B00086">
      <w:pPr>
        <w:spacing w:line="240" w:lineRule="auto"/>
        <w:jc w:val="left"/>
        <w:rPr>
          <w:rFonts w:asciiTheme="majorBidi" w:hAnsiTheme="majorBidi" w:cstheme="majorBidi"/>
        </w:rPr>
      </w:pPr>
      <w:r>
        <w:rPr>
          <w:rFonts w:asciiTheme="majorBidi" w:hAnsiTheme="majorBidi" w:cstheme="majorBidi"/>
        </w:rPr>
        <w:t xml:space="preserve">Louisiana Department of Transportation and Development. </w:t>
      </w:r>
      <w:r>
        <w:rPr>
          <w:rFonts w:asciiTheme="majorBidi" w:hAnsiTheme="majorBidi" w:cstheme="majorBidi"/>
          <w:i/>
          <w:iCs/>
        </w:rPr>
        <w:t>Louisiana Standard Specifications for Roads and Bridges.</w:t>
      </w:r>
      <w:r>
        <w:rPr>
          <w:rFonts w:asciiTheme="majorBidi" w:hAnsiTheme="majorBidi" w:cstheme="majorBidi"/>
        </w:rPr>
        <w:t xml:space="preserve"> Baton Rouge: Louisiana Department of Transportation and Development, 2006. Web. 20 Oct. 2015.</w:t>
      </w:r>
    </w:p>
    <w:p w14:paraId="795EE194" w14:textId="77777777" w:rsidR="0091190A" w:rsidRDefault="0091190A" w:rsidP="00B00086">
      <w:pPr>
        <w:spacing w:line="240" w:lineRule="auto"/>
        <w:jc w:val="left"/>
        <w:rPr>
          <w:rFonts w:asciiTheme="majorBidi" w:hAnsiTheme="majorBidi" w:cstheme="majorBidi"/>
        </w:rPr>
      </w:pPr>
    </w:p>
    <w:p w14:paraId="4800E1C0" w14:textId="1028A8F1" w:rsidR="0091190A" w:rsidRDefault="0091190A" w:rsidP="00B00086">
      <w:pPr>
        <w:spacing w:line="240" w:lineRule="auto"/>
        <w:jc w:val="left"/>
        <w:rPr>
          <w:rFonts w:asciiTheme="majorBidi" w:hAnsiTheme="majorBidi" w:cstheme="majorBidi"/>
        </w:rPr>
      </w:pPr>
      <w:r>
        <w:rPr>
          <w:rFonts w:asciiTheme="majorBidi" w:hAnsiTheme="majorBidi" w:cstheme="majorBidi"/>
        </w:rPr>
        <w:t>Majidzadeh, K., Bayomy, F., and S. Khedr. “Rutting Evaluation of Subgrade Soils in Ohio.” Transportation Research Record</w:t>
      </w:r>
      <w:r w:rsidR="00C05AF7">
        <w:rPr>
          <w:rFonts w:asciiTheme="majorBidi" w:hAnsiTheme="majorBidi" w:cstheme="majorBidi"/>
        </w:rPr>
        <w:t xml:space="preserve"> 671 (1978): np. Web. 24 Nov. 2015.</w:t>
      </w:r>
    </w:p>
    <w:p w14:paraId="09FD0CA1" w14:textId="77777777" w:rsidR="00BE5E76" w:rsidRDefault="00BE5E76" w:rsidP="00B00086">
      <w:pPr>
        <w:spacing w:line="240" w:lineRule="auto"/>
        <w:jc w:val="left"/>
      </w:pPr>
    </w:p>
    <w:p w14:paraId="0E9FB7E9" w14:textId="48AED6B3" w:rsidR="003C5ACE" w:rsidRPr="003C5ACE" w:rsidRDefault="003C5ACE" w:rsidP="00B00086">
      <w:pPr>
        <w:spacing w:line="240" w:lineRule="auto"/>
        <w:jc w:val="left"/>
      </w:pPr>
      <w:r>
        <w:t>Margu</w:t>
      </w:r>
      <w:r>
        <w:rPr>
          <w:rFonts w:cs="Times New Roman"/>
        </w:rPr>
        <w:t>í</w:t>
      </w:r>
      <w:r>
        <w:t>, E., Van Meel, K., Van Grieken, R., Buend</w:t>
      </w:r>
      <w:r>
        <w:rPr>
          <w:rFonts w:cs="Times New Roman"/>
        </w:rPr>
        <w:t>í</w:t>
      </w:r>
      <w:r>
        <w:t>a, A., Font</w:t>
      </w:r>
      <w:r>
        <w:rPr>
          <w:rFonts w:cs="Times New Roman"/>
        </w:rPr>
        <w:t>à</w:t>
      </w:r>
      <w:r>
        <w:t xml:space="preserve">s, C., Hidalgo, M., and I. Queralt. “Method for the Determination of Pd-Catalyst Residues in Active Pharmaceutical Ingredients by Means of High-Energy Polarized-Beam Energy Dispersive </w:t>
      </w:r>
      <w:r w:rsidR="00771F08">
        <w:t>X-ray</w:t>
      </w:r>
      <w:r>
        <w:t xml:space="preserve"> Fluorescence.” </w:t>
      </w:r>
      <w:r>
        <w:rPr>
          <w:i/>
          <w:iCs/>
        </w:rPr>
        <w:t>Analytical Chemistry,</w:t>
      </w:r>
      <w:r>
        <w:t xml:space="preserve"> Vol. 81 (2009): 1404-1410. Web. 4 Dec. 2015.</w:t>
      </w:r>
    </w:p>
    <w:p w14:paraId="205F0EA2" w14:textId="77777777" w:rsidR="003C5ACE" w:rsidRPr="00651B51" w:rsidRDefault="003C5ACE" w:rsidP="00B00086">
      <w:pPr>
        <w:spacing w:line="240" w:lineRule="auto"/>
        <w:jc w:val="left"/>
      </w:pPr>
    </w:p>
    <w:p w14:paraId="5B47D74D" w14:textId="2938D148" w:rsidR="00651B51" w:rsidRPr="00651B51" w:rsidRDefault="00651B51" w:rsidP="00B00086">
      <w:pPr>
        <w:spacing w:line="240" w:lineRule="auto"/>
        <w:jc w:val="left"/>
      </w:pPr>
      <w:r w:rsidRPr="00651B51">
        <w:t xml:space="preserve">Markowicz, A. “An Overview of Quantification Methods in Energy-Dispersive </w:t>
      </w:r>
      <w:r w:rsidR="00771F08">
        <w:t>X-ray</w:t>
      </w:r>
      <w:r w:rsidRPr="00651B51">
        <w:t xml:space="preserve"> Fluorescence Analysis.” </w:t>
      </w:r>
      <w:r w:rsidRPr="00715E97">
        <w:rPr>
          <w:i/>
          <w:iCs/>
        </w:rPr>
        <w:t>Pramana Journal of Physics</w:t>
      </w:r>
      <w:r w:rsidR="00715E97">
        <w:rPr>
          <w:i/>
          <w:iCs/>
        </w:rPr>
        <w:t>,</w:t>
      </w:r>
      <w:r w:rsidRPr="00651B51">
        <w:t xml:space="preserve"> </w:t>
      </w:r>
      <w:r w:rsidR="00715E97">
        <w:t xml:space="preserve">Vol. 76 No. </w:t>
      </w:r>
      <w:r w:rsidRPr="00651B51">
        <w:t>2 (2011): 321-329. Web. 26 Jan. 2015.</w:t>
      </w:r>
    </w:p>
    <w:p w14:paraId="6E1B89E6" w14:textId="77777777" w:rsidR="00651B51" w:rsidRPr="00651B51" w:rsidRDefault="00651B51" w:rsidP="00B00086">
      <w:pPr>
        <w:spacing w:line="240" w:lineRule="auto"/>
        <w:jc w:val="left"/>
      </w:pPr>
    </w:p>
    <w:p w14:paraId="31863018" w14:textId="4414CBCA" w:rsidR="00651B51" w:rsidRDefault="00651B51" w:rsidP="00B00086">
      <w:pPr>
        <w:spacing w:line="240" w:lineRule="auto"/>
        <w:jc w:val="left"/>
      </w:pPr>
      <w:r w:rsidRPr="00651B51">
        <w:t xml:space="preserve">Maruyama, Y., Ogawa, K., Okada, T., and </w:t>
      </w:r>
      <w:r w:rsidR="0091190A">
        <w:t>M. Kato</w:t>
      </w:r>
      <w:r w:rsidRPr="00651B51">
        <w:t xml:space="preserve">. “Laboratory Experiments of Particle Size Effect in </w:t>
      </w:r>
      <w:r w:rsidR="00771F08">
        <w:t>X-ray</w:t>
      </w:r>
      <w:r w:rsidRPr="00651B51">
        <w:t xml:space="preserve"> Fluorescence and Implications to Remote </w:t>
      </w:r>
      <w:r w:rsidR="00771F08">
        <w:t>X-ray</w:t>
      </w:r>
      <w:r w:rsidRPr="00651B51">
        <w:t xml:space="preserve"> Spectrometry of Lunar Regolith </w:t>
      </w:r>
      <w:r w:rsidR="007F1D48" w:rsidRPr="00651B51">
        <w:t>Surface</w:t>
      </w:r>
      <w:r w:rsidRPr="00651B51">
        <w:t xml:space="preserve">.” </w:t>
      </w:r>
      <w:r w:rsidRPr="00715E97">
        <w:rPr>
          <w:i/>
          <w:iCs/>
        </w:rPr>
        <w:t>Earth Planets Space</w:t>
      </w:r>
      <w:r w:rsidR="00715E97">
        <w:rPr>
          <w:i/>
          <w:iCs/>
        </w:rPr>
        <w:t xml:space="preserve">, </w:t>
      </w:r>
      <w:r w:rsidR="00715E97">
        <w:t>Vol.</w:t>
      </w:r>
      <w:r w:rsidRPr="00651B51">
        <w:t xml:space="preserve"> 60 (2008): 293-297. Web. 26 Jan. 2015.</w:t>
      </w:r>
    </w:p>
    <w:p w14:paraId="1302F4F3" w14:textId="77777777" w:rsidR="008E043E" w:rsidRDefault="008E043E" w:rsidP="00B00086">
      <w:pPr>
        <w:spacing w:line="240" w:lineRule="auto"/>
        <w:jc w:val="left"/>
      </w:pPr>
    </w:p>
    <w:p w14:paraId="083F8E3E" w14:textId="21A3585E" w:rsidR="004C517A" w:rsidRPr="004C517A" w:rsidRDefault="004C517A" w:rsidP="00B00086">
      <w:pPr>
        <w:spacing w:line="240" w:lineRule="auto"/>
        <w:jc w:val="left"/>
      </w:pPr>
      <w:r>
        <w:t>Millhauser, J., Rodr</w:t>
      </w:r>
      <w:r>
        <w:rPr>
          <w:rFonts w:cs="Times New Roman"/>
        </w:rPr>
        <w:t>í</w:t>
      </w:r>
      <w:r>
        <w:t>guez-Alegr</w:t>
      </w:r>
      <w:r>
        <w:rPr>
          <w:rFonts w:cs="Times New Roman"/>
        </w:rPr>
        <w:t>í</w:t>
      </w:r>
      <w:r>
        <w:t xml:space="preserve">a, E., and M. Glascock. “Testing the Accuracy of Portable </w:t>
      </w:r>
      <w:r w:rsidR="00771F08">
        <w:t>X-ray</w:t>
      </w:r>
      <w:r>
        <w:t xml:space="preserve"> Fluorescence to Study Aztec and Colonial Obsidian Supply at Xaltocan, Mexico.” </w:t>
      </w:r>
      <w:r>
        <w:rPr>
          <w:i/>
          <w:iCs/>
        </w:rPr>
        <w:t>Journal of Archaeological Science,</w:t>
      </w:r>
      <w:r>
        <w:t xml:space="preserve"> Vol. 38 (2011): 3141-3152. Web. 4 Dec. 2015.</w:t>
      </w:r>
    </w:p>
    <w:p w14:paraId="09409C65" w14:textId="77777777" w:rsidR="004C517A" w:rsidRDefault="004C517A" w:rsidP="00B00086">
      <w:pPr>
        <w:spacing w:line="240" w:lineRule="auto"/>
        <w:jc w:val="left"/>
      </w:pPr>
    </w:p>
    <w:p w14:paraId="737BCC2A" w14:textId="79C46D01" w:rsidR="008E043E" w:rsidRDefault="008E043E" w:rsidP="00B00086">
      <w:pPr>
        <w:spacing w:line="240" w:lineRule="auto"/>
        <w:jc w:val="left"/>
      </w:pPr>
      <w:r>
        <w:t xml:space="preserve">Mishra, A., Dhawan, S., and R Sudhakar. “Analysis of Swelling and Shrinkage Behavior of Compacted Clays.” </w:t>
      </w:r>
      <w:r>
        <w:rPr>
          <w:i/>
          <w:iCs/>
        </w:rPr>
        <w:t xml:space="preserve">Geotechnical and Geological Engineering, </w:t>
      </w:r>
      <w:r w:rsidR="00C2270F">
        <w:t>Vol. 28 (2008): 289-298. Web. 25 Nov. 2015.</w:t>
      </w:r>
    </w:p>
    <w:p w14:paraId="2D13FB14" w14:textId="77777777" w:rsidR="00056ABE" w:rsidRDefault="00056ABE" w:rsidP="00B00086">
      <w:pPr>
        <w:spacing w:line="240" w:lineRule="auto"/>
        <w:jc w:val="left"/>
      </w:pPr>
    </w:p>
    <w:p w14:paraId="1F1185A2" w14:textId="4F031DAE" w:rsidR="003C5ACE" w:rsidRPr="003C5ACE" w:rsidRDefault="003C5ACE" w:rsidP="00B00086">
      <w:pPr>
        <w:spacing w:line="240" w:lineRule="auto"/>
        <w:jc w:val="left"/>
      </w:pPr>
      <w:r>
        <w:t>Moradi, M., Zenouzi, S., Ahmadi, K., and A. Aghakhani. “Graphene Oxide-Based Solid Phase Extraction of Vitamin B</w:t>
      </w:r>
      <w:r>
        <w:rPr>
          <w:vertAlign w:val="subscript"/>
        </w:rPr>
        <w:t>12</w:t>
      </w:r>
      <w:r>
        <w:t xml:space="preserve"> from Pharmaceutical Formulations and its Determination by </w:t>
      </w:r>
      <w:r w:rsidR="00771F08">
        <w:t>X-ray</w:t>
      </w:r>
      <w:r>
        <w:t xml:space="preserve"> Fluorescence.” </w:t>
      </w:r>
      <w:r w:rsidR="00771F08">
        <w:rPr>
          <w:i/>
          <w:iCs/>
        </w:rPr>
        <w:t>X-ray</w:t>
      </w:r>
      <w:r>
        <w:rPr>
          <w:i/>
          <w:iCs/>
        </w:rPr>
        <w:t xml:space="preserve"> Spectrometry,</w:t>
      </w:r>
      <w:r>
        <w:t xml:space="preserve"> Vol. 44 (2015): 16-23. Web. </w:t>
      </w:r>
      <w:r w:rsidR="00EA7941">
        <w:t>4 Dec. 2015.</w:t>
      </w:r>
    </w:p>
    <w:p w14:paraId="7E40494D" w14:textId="77777777" w:rsidR="003C5ACE" w:rsidRDefault="003C5ACE" w:rsidP="00B00086">
      <w:pPr>
        <w:spacing w:line="240" w:lineRule="auto"/>
        <w:jc w:val="left"/>
      </w:pPr>
    </w:p>
    <w:p w14:paraId="72940747" w14:textId="18A26127" w:rsidR="00056ABE" w:rsidRDefault="00056ABE" w:rsidP="00B00086">
      <w:pPr>
        <w:spacing w:line="240" w:lineRule="auto"/>
        <w:jc w:val="left"/>
      </w:pPr>
      <w:r>
        <w:t xml:space="preserve">Moseley, H. “High Frequency Spectra of Elements.” </w:t>
      </w:r>
      <w:r>
        <w:rPr>
          <w:i/>
          <w:iCs/>
        </w:rPr>
        <w:t>The Philosophers Magazine</w:t>
      </w:r>
      <w:r w:rsidR="00D9177A">
        <w:t>, Vol. 26 (1913): 1024-1034. Web. 6 Dec. 2015.</w:t>
      </w:r>
    </w:p>
    <w:p w14:paraId="2E9EAEBD" w14:textId="77777777" w:rsidR="00D9177A" w:rsidRDefault="00D9177A" w:rsidP="00B00086">
      <w:pPr>
        <w:spacing w:line="240" w:lineRule="auto"/>
        <w:jc w:val="left"/>
      </w:pPr>
    </w:p>
    <w:p w14:paraId="7CD04CC6" w14:textId="329B6929" w:rsidR="002C6C23" w:rsidRDefault="00D9177A" w:rsidP="00B00086">
      <w:pPr>
        <w:spacing w:line="240" w:lineRule="auto"/>
        <w:jc w:val="left"/>
      </w:pPr>
      <w:r>
        <w:t xml:space="preserve">Moseley, H. “High Frequency Spectra of Elements.” </w:t>
      </w:r>
      <w:r>
        <w:rPr>
          <w:i/>
          <w:iCs/>
        </w:rPr>
        <w:t>The Philosophers Magazine</w:t>
      </w:r>
      <w:r>
        <w:t>, Vol. 27 (1914): 703-713. Web. 6 Dec. 2015.</w:t>
      </w:r>
    </w:p>
    <w:p w14:paraId="2875DC80" w14:textId="47D67130" w:rsidR="00D9177A" w:rsidRPr="00D9177A" w:rsidRDefault="00D9177A" w:rsidP="00B00086">
      <w:pPr>
        <w:spacing w:line="240" w:lineRule="auto"/>
        <w:jc w:val="left"/>
      </w:pPr>
    </w:p>
    <w:p w14:paraId="13A535D4" w14:textId="77777777" w:rsidR="00BE5E76" w:rsidRDefault="00BE5E76" w:rsidP="00B00086">
      <w:pPr>
        <w:spacing w:line="240" w:lineRule="auto"/>
        <w:jc w:val="left"/>
      </w:pPr>
    </w:p>
    <w:p w14:paraId="51D1D27E" w14:textId="4F758899" w:rsidR="001A1224" w:rsidRDefault="001A1224" w:rsidP="00B00086">
      <w:pPr>
        <w:spacing w:line="240" w:lineRule="auto"/>
        <w:jc w:val="left"/>
      </w:pPr>
      <w:r>
        <w:t>National Lime Association. “Lime-Treated Soil Construction Manual: Lime Stabilization &amp; Lime Modification.” Arlington: National Lime Association, Bulletin 326, 2004. Web. 24 Nov. 2015.</w:t>
      </w:r>
    </w:p>
    <w:p w14:paraId="7984FE0B" w14:textId="77777777" w:rsidR="001A1224" w:rsidRPr="00651B51" w:rsidRDefault="001A1224" w:rsidP="00B00086">
      <w:pPr>
        <w:spacing w:line="240" w:lineRule="auto"/>
        <w:jc w:val="left"/>
      </w:pPr>
    </w:p>
    <w:p w14:paraId="70AF643C" w14:textId="77777777" w:rsidR="00BE5E76" w:rsidRDefault="00BE5E76" w:rsidP="00B00086">
      <w:pPr>
        <w:spacing w:line="240" w:lineRule="auto"/>
        <w:jc w:val="left"/>
        <w:rPr>
          <w:rFonts w:asciiTheme="majorBidi" w:hAnsiTheme="majorBidi" w:cstheme="majorBidi"/>
        </w:rPr>
      </w:pPr>
      <w:r>
        <w:rPr>
          <w:rFonts w:asciiTheme="majorBidi" w:hAnsiTheme="majorBidi" w:cstheme="majorBidi"/>
        </w:rPr>
        <w:t xml:space="preserve">New Mexico Department of Transportation. </w:t>
      </w:r>
      <w:r>
        <w:rPr>
          <w:rFonts w:asciiTheme="majorBidi" w:hAnsiTheme="majorBidi" w:cstheme="majorBidi"/>
          <w:i/>
          <w:iCs/>
        </w:rPr>
        <w:t>Standard Specifications for Highway and Bridge Construction 2014 Edition.</w:t>
      </w:r>
      <w:r>
        <w:rPr>
          <w:rFonts w:asciiTheme="majorBidi" w:hAnsiTheme="majorBidi" w:cstheme="majorBidi"/>
        </w:rPr>
        <w:t xml:space="preserve"> Santa Fe: New Mexico Department of Transportation, 2014. Web. 20 Oct. 2015.</w:t>
      </w:r>
    </w:p>
    <w:p w14:paraId="36DCAC79" w14:textId="77777777" w:rsidR="00BE5E76" w:rsidRDefault="00BE5E76" w:rsidP="00B00086">
      <w:pPr>
        <w:spacing w:line="240" w:lineRule="auto"/>
        <w:jc w:val="left"/>
        <w:rPr>
          <w:rFonts w:asciiTheme="majorBidi" w:hAnsiTheme="majorBidi" w:cstheme="majorBidi"/>
        </w:rPr>
      </w:pPr>
    </w:p>
    <w:p w14:paraId="05841314" w14:textId="77777777" w:rsidR="00BE5E76" w:rsidRDefault="00BE5E76" w:rsidP="00B00086">
      <w:pPr>
        <w:spacing w:line="240" w:lineRule="auto"/>
        <w:jc w:val="left"/>
        <w:rPr>
          <w:rFonts w:asciiTheme="majorBidi" w:hAnsiTheme="majorBidi" w:cstheme="majorBidi"/>
        </w:rPr>
      </w:pPr>
      <w:r>
        <w:rPr>
          <w:rFonts w:asciiTheme="majorBidi" w:hAnsiTheme="majorBidi" w:cstheme="majorBidi"/>
        </w:rPr>
        <w:t xml:space="preserve">Oklahoma Department of Transportation. </w:t>
      </w:r>
      <w:r>
        <w:rPr>
          <w:rFonts w:asciiTheme="majorBidi" w:hAnsiTheme="majorBidi" w:cstheme="majorBidi"/>
          <w:i/>
          <w:iCs/>
        </w:rPr>
        <w:t xml:space="preserve">2009 Standard Specifications Book. </w:t>
      </w:r>
      <w:r>
        <w:rPr>
          <w:rFonts w:asciiTheme="majorBidi" w:hAnsiTheme="majorBidi" w:cstheme="majorBidi"/>
        </w:rPr>
        <w:t>Oklahoma City: Oklahoma Department of Transportation, 2009. Web. 20 Oct. 2015.</w:t>
      </w:r>
    </w:p>
    <w:p w14:paraId="7B35FF25" w14:textId="77777777" w:rsidR="00321AC6" w:rsidRDefault="00321AC6" w:rsidP="00B00086">
      <w:pPr>
        <w:spacing w:line="240" w:lineRule="auto"/>
        <w:jc w:val="left"/>
      </w:pPr>
    </w:p>
    <w:p w14:paraId="7BA011A2" w14:textId="378F2A28" w:rsidR="00EA7941" w:rsidRPr="00D95CD8" w:rsidRDefault="00EA7941" w:rsidP="00B00086">
      <w:pPr>
        <w:spacing w:line="240" w:lineRule="auto"/>
        <w:jc w:val="left"/>
      </w:pPr>
      <w:r>
        <w:t>Ortiz, R., Mariotti, K., Schwab, N., Sabin, G., Rocha, W., Castro, E., Limberger, R., Mayorga, P., Bueno, M., and W. Rom</w:t>
      </w:r>
      <w:r>
        <w:rPr>
          <w:rFonts w:cs="Times New Roman"/>
        </w:rPr>
        <w:t>ã</w:t>
      </w:r>
      <w:r>
        <w:t xml:space="preserve">o. “Fingerprinting of Sildenafil Citrate and Tadalafil Tablets in Pharmaceutical Formulations via </w:t>
      </w:r>
      <w:r w:rsidR="00771F08">
        <w:t>X-ray</w:t>
      </w:r>
      <w:r>
        <w:t xml:space="preserve"> Fluorescence (XRF) Spectrometry.” </w:t>
      </w:r>
      <w:r w:rsidR="00D95CD8">
        <w:rPr>
          <w:i/>
          <w:iCs/>
        </w:rPr>
        <w:t>Journal of Pharmaceutical and Biomedical Analysis,</w:t>
      </w:r>
      <w:r w:rsidR="00D95CD8">
        <w:t xml:space="preserve"> Vol. 58 (2012): 7-11. Web. 4 Dec. 2015.</w:t>
      </w:r>
    </w:p>
    <w:p w14:paraId="46D16E22" w14:textId="77777777" w:rsidR="00EA7941" w:rsidRDefault="00EA7941" w:rsidP="00B00086">
      <w:pPr>
        <w:spacing w:line="240" w:lineRule="auto"/>
        <w:jc w:val="left"/>
      </w:pPr>
    </w:p>
    <w:p w14:paraId="501A728B" w14:textId="5302DF8A" w:rsidR="000A7E66" w:rsidRPr="000A7E66" w:rsidRDefault="000A7E66" w:rsidP="00B00086">
      <w:pPr>
        <w:spacing w:line="240" w:lineRule="auto"/>
        <w:jc w:val="left"/>
      </w:pPr>
      <w:r>
        <w:t xml:space="preserve">Palmer, P., Jacobs, R., Baker, P., Ferguson, K., and S. Webber. “Use of Field-Portable XRF Analyzers for Rapid Screening of Toxic Elements in FDA-Regulated Products.” </w:t>
      </w:r>
      <w:r>
        <w:rPr>
          <w:i/>
          <w:iCs/>
        </w:rPr>
        <w:t xml:space="preserve">Journal of Agriculture and Food Chemistry, </w:t>
      </w:r>
      <w:r>
        <w:t>Vol. 57 No. 7 (2009): 2605-2613. Web. 4 Dec. 2015.</w:t>
      </w:r>
    </w:p>
    <w:p w14:paraId="21A92945" w14:textId="77777777" w:rsidR="000A7E66" w:rsidRDefault="000A7E66" w:rsidP="00B00086">
      <w:pPr>
        <w:spacing w:line="240" w:lineRule="auto"/>
        <w:jc w:val="left"/>
      </w:pPr>
    </w:p>
    <w:p w14:paraId="29E5D605" w14:textId="612BE5B0" w:rsidR="00603030" w:rsidRPr="00603030" w:rsidRDefault="00603030" w:rsidP="00B00086">
      <w:pPr>
        <w:spacing w:line="240" w:lineRule="auto"/>
        <w:jc w:val="left"/>
      </w:pPr>
      <w:r>
        <w:t xml:space="preserve">Parsons, C., Grabulosa, E., Pili, E., Floor, G., Roman-Ross, G., and L. Charlet. “Quantification of Trace Arsenic in Soils by Field-Portable </w:t>
      </w:r>
      <w:r w:rsidR="00771F08">
        <w:t>X-ray</w:t>
      </w:r>
      <w:r>
        <w:t xml:space="preserve"> Fluorescence Spectrometry: Considerations for Sample Preparation and Measurement Conditions.” </w:t>
      </w:r>
      <w:r>
        <w:rPr>
          <w:i/>
          <w:iCs/>
        </w:rPr>
        <w:t xml:space="preserve">Journal of Hazardous Materials, </w:t>
      </w:r>
      <w:r>
        <w:t>Vol. 262 (2013): 1213-1222. Web. 4 Dec. 2015.</w:t>
      </w:r>
    </w:p>
    <w:p w14:paraId="7150594D" w14:textId="77777777" w:rsidR="00603030" w:rsidRDefault="00603030" w:rsidP="00B00086">
      <w:pPr>
        <w:spacing w:line="240" w:lineRule="auto"/>
        <w:jc w:val="left"/>
      </w:pPr>
    </w:p>
    <w:p w14:paraId="7E632C4A" w14:textId="19DA04E1" w:rsidR="002C4425" w:rsidRDefault="002C4425" w:rsidP="00B00086">
      <w:pPr>
        <w:spacing w:line="240" w:lineRule="auto"/>
        <w:jc w:val="left"/>
      </w:pPr>
      <w:r>
        <w:t>Parsons, R., Keebone, E., and J. Milburn. “Use of Cement Kiln Dust for Subgrade Stabilization.” Kansas Department of Transportation Final Report KS-04-3 (2004). Web. 25 Nov. 2015.</w:t>
      </w:r>
    </w:p>
    <w:p w14:paraId="5085932A" w14:textId="7523EDB5" w:rsidR="002C4425" w:rsidRDefault="002C4425" w:rsidP="00B00086">
      <w:pPr>
        <w:spacing w:line="240" w:lineRule="auto"/>
        <w:jc w:val="left"/>
      </w:pPr>
      <w:r>
        <w:t xml:space="preserve"> </w:t>
      </w:r>
    </w:p>
    <w:p w14:paraId="4419AFBB" w14:textId="2012D828" w:rsidR="00321AC6" w:rsidRDefault="0091190A" w:rsidP="00B00086">
      <w:pPr>
        <w:spacing w:line="240" w:lineRule="auto"/>
        <w:jc w:val="left"/>
      </w:pPr>
      <w:r>
        <w:t>Patterson, M</w:t>
      </w:r>
      <w:r w:rsidR="00321AC6" w:rsidRPr="00321AC6">
        <w:t>. “Oklahoma Transportation Research Day.” Oklahoma Department of Transportation and Southern Plains Transportation Center. Moore Norman Technology Center, Oklahoma City, OK. 20 Oct. 2015. Keynote Speaker.</w:t>
      </w:r>
    </w:p>
    <w:p w14:paraId="5F660F55" w14:textId="77777777" w:rsidR="00F834DE" w:rsidRDefault="00F834DE" w:rsidP="00B00086">
      <w:pPr>
        <w:spacing w:line="240" w:lineRule="auto"/>
        <w:jc w:val="left"/>
      </w:pPr>
    </w:p>
    <w:p w14:paraId="69671A0D" w14:textId="6A263281" w:rsidR="00F834DE" w:rsidRDefault="00F834DE" w:rsidP="00B00086">
      <w:pPr>
        <w:spacing w:line="240" w:lineRule="auto"/>
        <w:jc w:val="left"/>
      </w:pPr>
      <w:r>
        <w:t>Ramsey, Rick. Personal Interview. 12 Feb. 2014.</w:t>
      </w:r>
    </w:p>
    <w:p w14:paraId="618A34DC" w14:textId="77777777" w:rsidR="00321AC6" w:rsidRDefault="00321AC6" w:rsidP="00B00086">
      <w:pPr>
        <w:spacing w:line="240" w:lineRule="auto"/>
        <w:jc w:val="left"/>
      </w:pPr>
    </w:p>
    <w:p w14:paraId="38BD8EBD" w14:textId="2BF10FD1" w:rsidR="002F53FC" w:rsidRPr="002F53FC" w:rsidRDefault="002F53FC" w:rsidP="00B00086">
      <w:pPr>
        <w:spacing w:line="240" w:lineRule="auto"/>
        <w:jc w:val="left"/>
      </w:pPr>
      <w:r>
        <w:t xml:space="preserve">Salahudeen, A., Eberemu, A., and K. Osinubi. “Assessment of Cement Kiln Dust-Treated Expansive Soil for the Construction of Flexible Pavements.” </w:t>
      </w:r>
      <w:r>
        <w:rPr>
          <w:i/>
          <w:iCs/>
        </w:rPr>
        <w:t>Geotechnical and Geological Engineering</w:t>
      </w:r>
      <w:r>
        <w:t>, Vol. 32 No. 4 (2014): 923-931. Web. 25 Nov. 2015.</w:t>
      </w:r>
    </w:p>
    <w:p w14:paraId="5B19AB7F" w14:textId="77777777" w:rsidR="002F53FC" w:rsidRDefault="002F53FC" w:rsidP="00B00086">
      <w:pPr>
        <w:spacing w:line="240" w:lineRule="auto"/>
        <w:jc w:val="left"/>
      </w:pPr>
    </w:p>
    <w:p w14:paraId="2621B2C7" w14:textId="5A371CA7" w:rsidR="006B57C3" w:rsidRPr="006B57C3" w:rsidRDefault="006B57C3" w:rsidP="00B00086">
      <w:pPr>
        <w:spacing w:line="240" w:lineRule="auto"/>
        <w:jc w:val="left"/>
      </w:pPr>
      <w:r>
        <w:lastRenderedPageBreak/>
        <w:t xml:space="preserve">Shackley, S. </w:t>
      </w:r>
      <w:r w:rsidR="00771F08">
        <w:rPr>
          <w:i/>
          <w:iCs/>
        </w:rPr>
        <w:t>X-ray</w:t>
      </w:r>
      <w:r>
        <w:rPr>
          <w:i/>
          <w:iCs/>
        </w:rPr>
        <w:t xml:space="preserve"> Fluorescence Spectrometry (XRF) in Geoarchaeology. </w:t>
      </w:r>
      <w:r>
        <w:t>New York: Springer Science+Business Media, LLC</w:t>
      </w:r>
      <w:r w:rsidR="006509CB">
        <w:t>, 2011. Web. 3 Dec. 2015.</w:t>
      </w:r>
    </w:p>
    <w:p w14:paraId="076E1B80" w14:textId="77777777" w:rsidR="006B57C3" w:rsidRDefault="006B57C3" w:rsidP="00B00086">
      <w:pPr>
        <w:spacing w:line="240" w:lineRule="auto"/>
        <w:jc w:val="left"/>
      </w:pPr>
    </w:p>
    <w:p w14:paraId="06FF80DC" w14:textId="77777777" w:rsidR="00E41917" w:rsidRDefault="00E41917" w:rsidP="00B00086">
      <w:pPr>
        <w:spacing w:line="240" w:lineRule="auto"/>
        <w:jc w:val="left"/>
      </w:pPr>
      <w:r>
        <w:t xml:space="preserve">Singh, S. </w:t>
      </w:r>
      <w:r>
        <w:rPr>
          <w:i/>
        </w:rPr>
        <w:t>Critical Reasons for Crashes Investigated in the National Motor Vehicle Crash Causation Survey.</w:t>
      </w:r>
      <w:r>
        <w:t xml:space="preserve"> Washington: GPO, 2015. Web. 5 Mar. 2015.</w:t>
      </w:r>
    </w:p>
    <w:p w14:paraId="0CA87341" w14:textId="77777777" w:rsidR="00BE5E76" w:rsidRDefault="00BE5E76" w:rsidP="00B00086">
      <w:pPr>
        <w:spacing w:line="240" w:lineRule="auto"/>
        <w:jc w:val="left"/>
      </w:pPr>
    </w:p>
    <w:p w14:paraId="3BAA1F10" w14:textId="21F8175B" w:rsidR="001565C8" w:rsidRDefault="001565C8" w:rsidP="00B00086">
      <w:pPr>
        <w:spacing w:line="240" w:lineRule="auto"/>
        <w:jc w:val="left"/>
      </w:pPr>
      <w:r>
        <w:t>Solanki, P., Khoury, N., and M. Zaman. “Engineering</w:t>
      </w:r>
      <w:r w:rsidR="004A5F2A">
        <w:t xml:space="preserve"> Properties of Stabilized Subgrade Soil for Implementation of the AASHTO 2002 Pavement Design Guide.” Final Report - FHWA-OK-08</w:t>
      </w:r>
      <w:r w:rsidR="00FF70EF">
        <w:t>-10 ODOT SPR Item Number 2185</w:t>
      </w:r>
      <w:r w:rsidR="00876713">
        <w:t xml:space="preserve"> (2009). 4 Dec. 2015.</w:t>
      </w:r>
      <w:r w:rsidR="004A5F2A">
        <w:t xml:space="preserve"> </w:t>
      </w:r>
    </w:p>
    <w:p w14:paraId="0876801C" w14:textId="77777777" w:rsidR="001565C8" w:rsidRDefault="001565C8" w:rsidP="00B00086">
      <w:pPr>
        <w:spacing w:line="240" w:lineRule="auto"/>
        <w:jc w:val="left"/>
      </w:pPr>
    </w:p>
    <w:p w14:paraId="30468671" w14:textId="018F17D5" w:rsidR="000A7E66" w:rsidRPr="000A7E66" w:rsidRDefault="000A7E66" w:rsidP="00B00086">
      <w:pPr>
        <w:spacing w:line="240" w:lineRule="auto"/>
        <w:jc w:val="left"/>
      </w:pPr>
      <w:r>
        <w:t xml:space="preserve">Sun, Z., Quan, Y., and Y. Sun. “Elemental Analysis of White Electrical Tapes by Wavelength Dispersive </w:t>
      </w:r>
      <w:r w:rsidR="00771F08">
        <w:t>X-ray</w:t>
      </w:r>
      <w:r>
        <w:t xml:space="preserve"> Fluorescence Spectrometry.” </w:t>
      </w:r>
      <w:r>
        <w:rPr>
          <w:i/>
          <w:iCs/>
        </w:rPr>
        <w:t xml:space="preserve">Forensic Science International, </w:t>
      </w:r>
      <w:r>
        <w:t>Vol. 232 (2013): 169-172. Web. 4 Dec. 2015.</w:t>
      </w:r>
    </w:p>
    <w:p w14:paraId="1CA05BFE" w14:textId="77777777" w:rsidR="000A7E66" w:rsidRPr="00E41917" w:rsidRDefault="000A7E66" w:rsidP="00B00086">
      <w:pPr>
        <w:spacing w:line="240" w:lineRule="auto"/>
        <w:jc w:val="left"/>
      </w:pPr>
    </w:p>
    <w:p w14:paraId="06C347DC" w14:textId="77777777" w:rsidR="00BE5E76" w:rsidRPr="00BE5E76" w:rsidRDefault="00BE5E76" w:rsidP="00B00086">
      <w:pPr>
        <w:spacing w:line="240" w:lineRule="auto"/>
        <w:jc w:val="left"/>
        <w:rPr>
          <w:rFonts w:asciiTheme="majorBidi" w:hAnsiTheme="majorBidi" w:cstheme="majorBidi"/>
        </w:rPr>
      </w:pPr>
      <w:r>
        <w:rPr>
          <w:rFonts w:asciiTheme="majorBidi" w:hAnsiTheme="majorBidi" w:cstheme="majorBidi"/>
        </w:rPr>
        <w:t xml:space="preserve">Texas Department of Transportation. </w:t>
      </w:r>
      <w:r>
        <w:rPr>
          <w:rFonts w:asciiTheme="majorBidi" w:hAnsiTheme="majorBidi" w:cstheme="majorBidi"/>
          <w:i/>
          <w:iCs/>
        </w:rPr>
        <w:t xml:space="preserve">Standard Specifications for Construction and Maintenance of Highways, Streets, and Bridges. </w:t>
      </w:r>
      <w:r>
        <w:rPr>
          <w:rFonts w:asciiTheme="majorBidi" w:hAnsiTheme="majorBidi" w:cstheme="majorBidi"/>
        </w:rPr>
        <w:t>Austin: Texas Department of Transportation, 2014. Web. 20 Oct. 2015.</w:t>
      </w:r>
    </w:p>
    <w:p w14:paraId="12FF3C69" w14:textId="77777777" w:rsidR="00E41917" w:rsidRDefault="00E41917" w:rsidP="00B00086">
      <w:pPr>
        <w:spacing w:line="240" w:lineRule="auto"/>
        <w:jc w:val="left"/>
      </w:pPr>
    </w:p>
    <w:p w14:paraId="64BD3C5E" w14:textId="0D0AFCD5" w:rsidR="00877FC0" w:rsidRDefault="00715E97" w:rsidP="00B00086">
      <w:pPr>
        <w:spacing w:line="240" w:lineRule="auto"/>
        <w:jc w:val="left"/>
      </w:pPr>
      <w:r>
        <w:t>United States</w:t>
      </w:r>
      <w:r w:rsidR="00877FC0">
        <w:t xml:space="preserve"> Department of Transportation. Federal Highway Administration. Office of Highway Policy Information. </w:t>
      </w:r>
      <w:r w:rsidR="00877FC0">
        <w:rPr>
          <w:i/>
        </w:rPr>
        <w:t>Our Nation’s Highways</w:t>
      </w:r>
      <w:r w:rsidR="00067900">
        <w:rPr>
          <w:i/>
        </w:rPr>
        <w:t xml:space="preserve"> 2000</w:t>
      </w:r>
      <w:r w:rsidR="00877FC0">
        <w:rPr>
          <w:i/>
        </w:rPr>
        <w:t>.</w:t>
      </w:r>
      <w:r w:rsidR="00877FC0">
        <w:t xml:space="preserve"> Washington</w:t>
      </w:r>
      <w:r w:rsidR="00E41917">
        <w:t>: GPO</w:t>
      </w:r>
      <w:r w:rsidR="00877FC0">
        <w:t>, 2000. Web. 5 Mar. 2015.</w:t>
      </w:r>
    </w:p>
    <w:p w14:paraId="4AC1D324" w14:textId="77777777" w:rsidR="00067900" w:rsidRDefault="00067900" w:rsidP="00B00086">
      <w:pPr>
        <w:spacing w:line="240" w:lineRule="auto"/>
        <w:jc w:val="left"/>
      </w:pPr>
    </w:p>
    <w:p w14:paraId="5D7BBFBB" w14:textId="1C37B81D" w:rsidR="00067900" w:rsidRDefault="00715E97" w:rsidP="00B00086">
      <w:pPr>
        <w:spacing w:line="240" w:lineRule="auto"/>
        <w:jc w:val="left"/>
      </w:pPr>
      <w:r>
        <w:t>United States</w:t>
      </w:r>
      <w:r w:rsidR="00067900">
        <w:t xml:space="preserve"> Department of Transportation. Federal Highway Administration. Office of Highway Policy Information. </w:t>
      </w:r>
      <w:r w:rsidR="00067900">
        <w:rPr>
          <w:i/>
        </w:rPr>
        <w:t>Our Nation’s Highways 2011.</w:t>
      </w:r>
      <w:r w:rsidR="00067900">
        <w:t xml:space="preserve"> </w:t>
      </w:r>
      <w:r w:rsidR="00E41917">
        <w:t>Washington: GPO</w:t>
      </w:r>
      <w:r w:rsidR="00067900">
        <w:t>, 2011. Web. 5 Mar. 2015.</w:t>
      </w:r>
    </w:p>
    <w:p w14:paraId="1E80CFC1" w14:textId="77777777" w:rsidR="00C577DF" w:rsidRDefault="00C577DF" w:rsidP="00B00086">
      <w:pPr>
        <w:spacing w:line="240" w:lineRule="auto"/>
        <w:jc w:val="left"/>
      </w:pPr>
    </w:p>
    <w:p w14:paraId="4EAEF222" w14:textId="1F1164E8" w:rsidR="00C577DF" w:rsidRDefault="00C577DF" w:rsidP="00B00086">
      <w:pPr>
        <w:spacing w:line="240" w:lineRule="auto"/>
        <w:jc w:val="left"/>
      </w:pPr>
      <w:r>
        <w:t xml:space="preserve">Zawisza, B. and R. Sitko. “Determination of Trace Elements in Suspension and Filtrates of Drinking and Surface Water by Wavelength-Dispersive </w:t>
      </w:r>
      <w:r w:rsidR="00771F08">
        <w:t>X-ray</w:t>
      </w:r>
      <w:r>
        <w:t xml:space="preserve"> Fluorescence Spectrometry.” </w:t>
      </w:r>
      <w:r>
        <w:rPr>
          <w:i/>
          <w:iCs/>
        </w:rPr>
        <w:t>Analytical and Bioanalytical Chemistry,</w:t>
      </w:r>
      <w:r>
        <w:t xml:space="preserve"> Vol. 384 (2006): 1600-1604. Web. 4 Dec. 2015.</w:t>
      </w:r>
    </w:p>
    <w:sectPr w:rsidR="00C577DF" w:rsidSect="00A45898">
      <w:pgSz w:w="12240" w:h="15840"/>
      <w:pgMar w:top="1440" w:right="1440" w:bottom="1440" w:left="2304"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FCB18" w14:textId="77777777" w:rsidR="00184FC2" w:rsidRDefault="00184FC2" w:rsidP="00F64D94">
      <w:pPr>
        <w:spacing w:line="240" w:lineRule="auto"/>
      </w:pPr>
      <w:r>
        <w:separator/>
      </w:r>
    </w:p>
  </w:endnote>
  <w:endnote w:type="continuationSeparator" w:id="0">
    <w:p w14:paraId="2A376396" w14:textId="77777777" w:rsidR="00184FC2" w:rsidRDefault="00184FC2" w:rsidP="00F64D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7CAC5" w14:textId="7B5091EA" w:rsidR="00D0002C" w:rsidRDefault="00D0002C">
    <w:pPr>
      <w:pStyle w:val="Footer"/>
    </w:pPr>
  </w:p>
  <w:p w14:paraId="1B5B7037" w14:textId="77777777" w:rsidR="00D0002C" w:rsidRDefault="00D000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F9234" w14:textId="77777777" w:rsidR="00D0002C" w:rsidRDefault="00184FC2">
    <w:pPr>
      <w:pStyle w:val="Footer"/>
    </w:pPr>
    <w:sdt>
      <w:sdtPr>
        <w:id w:val="-322662034"/>
        <w:docPartObj>
          <w:docPartGallery w:val="Page Numbers (Bottom of Page)"/>
          <w:docPartUnique/>
        </w:docPartObj>
      </w:sdtPr>
      <w:sdtEndPr>
        <w:rPr>
          <w:noProof/>
        </w:rPr>
      </w:sdtEndPr>
      <w:sdtContent>
        <w:r w:rsidR="00D0002C">
          <w:fldChar w:fldCharType="begin"/>
        </w:r>
        <w:r w:rsidR="00D0002C">
          <w:instrText xml:space="preserve"> PAGE   \* MERGEFORMAT </w:instrText>
        </w:r>
        <w:r w:rsidR="00D0002C">
          <w:fldChar w:fldCharType="separate"/>
        </w:r>
        <w:r w:rsidR="00A1694C">
          <w:rPr>
            <w:noProof/>
          </w:rPr>
          <w:t>iv</w:t>
        </w:r>
        <w:r w:rsidR="00D0002C">
          <w:rPr>
            <w:noProof/>
          </w:rPr>
          <w:fldChar w:fldCharType="end"/>
        </w:r>
      </w:sdtContent>
    </w:sdt>
  </w:p>
  <w:p w14:paraId="3ED8A896" w14:textId="77777777" w:rsidR="00D0002C" w:rsidRDefault="00D000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140C5" w14:textId="65384AD3" w:rsidR="00D0002C" w:rsidRDefault="00D0002C" w:rsidP="00CD1C66">
    <w:pPr>
      <w:pStyle w:val="Footer"/>
      <w:tabs>
        <w:tab w:val="center" w:pos="4248"/>
        <w:tab w:val="left" w:pos="5261"/>
      </w:tabs>
      <w:jc w:val="left"/>
    </w:pPr>
    <w:r>
      <w:tab/>
    </w:r>
    <w:sdt>
      <w:sdtPr>
        <w:id w:val="-6701820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1694C">
          <w:rPr>
            <w:noProof/>
          </w:rPr>
          <w:t>xviii</w:t>
        </w:r>
        <w:r>
          <w:rPr>
            <w:noProof/>
          </w:rPr>
          <w:fldChar w:fldCharType="end"/>
        </w:r>
      </w:sdtContent>
    </w:sdt>
    <w:r>
      <w:rPr>
        <w:noProof/>
      </w:rPr>
      <w:tab/>
    </w:r>
    <w:r>
      <w:rPr>
        <w:noProof/>
      </w:rPr>
      <w:tab/>
    </w:r>
  </w:p>
  <w:p w14:paraId="4040AD9D" w14:textId="77777777" w:rsidR="00D0002C" w:rsidRDefault="00D0002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41CFC" w14:textId="77777777" w:rsidR="00D0002C" w:rsidRDefault="00184FC2">
    <w:pPr>
      <w:pStyle w:val="Footer"/>
    </w:pPr>
    <w:sdt>
      <w:sdtPr>
        <w:id w:val="-532041091"/>
        <w:docPartObj>
          <w:docPartGallery w:val="Page Numbers (Bottom of Page)"/>
          <w:docPartUnique/>
        </w:docPartObj>
      </w:sdtPr>
      <w:sdtEndPr>
        <w:rPr>
          <w:noProof/>
        </w:rPr>
      </w:sdtEndPr>
      <w:sdtContent>
        <w:r w:rsidR="00D0002C">
          <w:fldChar w:fldCharType="begin"/>
        </w:r>
        <w:r w:rsidR="00D0002C">
          <w:instrText xml:space="preserve"> PAGE   \* MERGEFORMAT </w:instrText>
        </w:r>
        <w:r w:rsidR="00D0002C">
          <w:fldChar w:fldCharType="separate"/>
        </w:r>
        <w:r w:rsidR="00A1694C">
          <w:rPr>
            <w:noProof/>
          </w:rPr>
          <w:t>96</w:t>
        </w:r>
        <w:r w:rsidR="00D0002C">
          <w:rPr>
            <w:noProof/>
          </w:rPr>
          <w:fldChar w:fldCharType="end"/>
        </w:r>
      </w:sdtContent>
    </w:sdt>
  </w:p>
  <w:p w14:paraId="1118D022" w14:textId="77777777" w:rsidR="00D0002C" w:rsidRDefault="00D000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54FB8" w14:textId="77777777" w:rsidR="00184FC2" w:rsidRDefault="00184FC2" w:rsidP="00F64D94">
      <w:pPr>
        <w:spacing w:line="240" w:lineRule="auto"/>
      </w:pPr>
      <w:r>
        <w:separator/>
      </w:r>
    </w:p>
  </w:footnote>
  <w:footnote w:type="continuationSeparator" w:id="0">
    <w:p w14:paraId="7268F3E5" w14:textId="77777777" w:rsidR="00184FC2" w:rsidRDefault="00184FC2" w:rsidP="00F64D9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1DD15" w14:textId="77777777" w:rsidR="00D0002C" w:rsidRDefault="00D000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34F64" w14:textId="77777777" w:rsidR="00D0002C" w:rsidRDefault="00D000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75CE"/>
    <w:multiLevelType w:val="multilevel"/>
    <w:tmpl w:val="7EAE4C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92564"/>
    <w:multiLevelType w:val="hybridMultilevel"/>
    <w:tmpl w:val="29FE5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12F21"/>
    <w:multiLevelType w:val="multilevel"/>
    <w:tmpl w:val="8B90BD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146F24"/>
    <w:multiLevelType w:val="multilevel"/>
    <w:tmpl w:val="25408388"/>
    <w:lvl w:ilvl="0">
      <w:start w:val="2"/>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10165F6F"/>
    <w:multiLevelType w:val="hybridMultilevel"/>
    <w:tmpl w:val="8AB23A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61F7B"/>
    <w:multiLevelType w:val="hybridMultilevel"/>
    <w:tmpl w:val="4DC864B8"/>
    <w:lvl w:ilvl="0" w:tplc="988A5C6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D5970"/>
    <w:multiLevelType w:val="hybridMultilevel"/>
    <w:tmpl w:val="7F16CC62"/>
    <w:lvl w:ilvl="0" w:tplc="037863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0951B9"/>
    <w:multiLevelType w:val="hybridMultilevel"/>
    <w:tmpl w:val="CD76ADE6"/>
    <w:lvl w:ilvl="0" w:tplc="209ECF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715993"/>
    <w:multiLevelType w:val="hybridMultilevel"/>
    <w:tmpl w:val="325A0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202A5B"/>
    <w:multiLevelType w:val="hybridMultilevel"/>
    <w:tmpl w:val="2766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01C7D"/>
    <w:multiLevelType w:val="hybridMultilevel"/>
    <w:tmpl w:val="99F48FF6"/>
    <w:lvl w:ilvl="0" w:tplc="4558C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890646"/>
    <w:multiLevelType w:val="hybridMultilevel"/>
    <w:tmpl w:val="B4DE1B72"/>
    <w:lvl w:ilvl="0" w:tplc="9A8C5CBA">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4A55A7"/>
    <w:multiLevelType w:val="hybridMultilevel"/>
    <w:tmpl w:val="73AE377A"/>
    <w:lvl w:ilvl="0" w:tplc="BC98CA4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B950C8"/>
    <w:multiLevelType w:val="hybridMultilevel"/>
    <w:tmpl w:val="8A265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F02A85"/>
    <w:multiLevelType w:val="multilevel"/>
    <w:tmpl w:val="EE8E3B8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985305A"/>
    <w:multiLevelType w:val="hybridMultilevel"/>
    <w:tmpl w:val="621EA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A030689"/>
    <w:multiLevelType w:val="hybridMultilevel"/>
    <w:tmpl w:val="DE82BFD8"/>
    <w:lvl w:ilvl="0" w:tplc="9A8C5CBA">
      <w:start w:val="1"/>
      <w:numFmt w:val="decimal"/>
      <w:lvlText w:val="%1)"/>
      <w:lvlJc w:val="left"/>
      <w:pPr>
        <w:ind w:left="9360" w:hanging="360"/>
      </w:pPr>
      <w:rPr>
        <w:rFonts w:asciiTheme="majorBidi" w:hAnsiTheme="majorBidi" w:cstheme="majorBidi"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4C551760"/>
    <w:multiLevelType w:val="hybridMultilevel"/>
    <w:tmpl w:val="AC6A0AD4"/>
    <w:lvl w:ilvl="0" w:tplc="037863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BC7C88"/>
    <w:multiLevelType w:val="hybridMultilevel"/>
    <w:tmpl w:val="880472F0"/>
    <w:lvl w:ilvl="0" w:tplc="9A8C5CBA">
      <w:start w:val="1"/>
      <w:numFmt w:val="decimal"/>
      <w:lvlText w:val="%1)"/>
      <w:lvlJc w:val="left"/>
      <w:pPr>
        <w:ind w:left="2160" w:hanging="360"/>
      </w:pPr>
      <w:rPr>
        <w:rFonts w:asciiTheme="majorBidi" w:hAnsiTheme="majorBidi" w:cstheme="majorBid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AA64AFC"/>
    <w:multiLevelType w:val="hybridMultilevel"/>
    <w:tmpl w:val="33C8E4F0"/>
    <w:lvl w:ilvl="0" w:tplc="0409000F">
      <w:start w:val="1"/>
      <w:numFmt w:val="decimal"/>
      <w:lvlText w:val="%1."/>
      <w:lvlJc w:val="left"/>
      <w:pPr>
        <w:ind w:left="720" w:hanging="360"/>
      </w:pPr>
      <w:rPr>
        <w:rFonts w:hint="default"/>
      </w:rPr>
    </w:lvl>
    <w:lvl w:ilvl="1" w:tplc="8550B2BE">
      <w:start w:val="1"/>
      <w:numFmt w:val="lowerLetter"/>
      <w:lvlText w:val="%2."/>
      <w:lvlJc w:val="left"/>
      <w:pPr>
        <w:ind w:left="1440" w:hanging="360"/>
      </w:pPr>
      <w:rPr>
        <w:rFonts w:ascii="Times New Roman" w:eastAsiaTheme="minorEastAsia" w:hAnsi="Times New Roman"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11335"/>
    <w:multiLevelType w:val="hybridMultilevel"/>
    <w:tmpl w:val="C650A332"/>
    <w:lvl w:ilvl="0" w:tplc="8F1839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EC21AA"/>
    <w:multiLevelType w:val="multilevel"/>
    <w:tmpl w:val="7EAE4C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4B1D9D"/>
    <w:multiLevelType w:val="hybridMultilevel"/>
    <w:tmpl w:val="325A0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C84E1F"/>
    <w:multiLevelType w:val="multilevel"/>
    <w:tmpl w:val="73201B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211F46"/>
    <w:multiLevelType w:val="hybridMultilevel"/>
    <w:tmpl w:val="F5B6F4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CA013DC"/>
    <w:multiLevelType w:val="multilevel"/>
    <w:tmpl w:val="017C5F2A"/>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F3631C0"/>
    <w:multiLevelType w:val="hybridMultilevel"/>
    <w:tmpl w:val="42B0D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375017"/>
    <w:multiLevelType w:val="multilevel"/>
    <w:tmpl w:val="62524246"/>
    <w:lvl w:ilvl="0">
      <w:start w:val="1"/>
      <w:numFmt w:val="decimal"/>
      <w:pStyle w:val="Heading2"/>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A893A40"/>
    <w:multiLevelType w:val="multilevel"/>
    <w:tmpl w:val="E30CFEC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9F3CFB"/>
    <w:multiLevelType w:val="hybridMultilevel"/>
    <w:tmpl w:val="4B768458"/>
    <w:lvl w:ilvl="0" w:tplc="9A8C5CBA">
      <w:start w:val="1"/>
      <w:numFmt w:val="decimal"/>
      <w:lvlText w:val="%1)"/>
      <w:lvlJc w:val="left"/>
      <w:pPr>
        <w:ind w:left="5760" w:hanging="360"/>
      </w:pPr>
      <w:rPr>
        <w:rFonts w:asciiTheme="majorBidi" w:hAnsiTheme="majorBidi" w:cstheme="majorBidi" w:hint="default"/>
      </w:rPr>
    </w:lvl>
    <w:lvl w:ilvl="1" w:tplc="04090019">
      <w:start w:val="1"/>
      <w:numFmt w:val="lowerLetter"/>
      <w:lvlText w:val="%2."/>
      <w:lvlJc w:val="left"/>
      <w:pPr>
        <w:ind w:left="6480" w:hanging="360"/>
      </w:pPr>
    </w:lvl>
    <w:lvl w:ilvl="2" w:tplc="0409001B">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num w:numId="1">
    <w:abstractNumId w:val="9"/>
  </w:num>
  <w:num w:numId="2">
    <w:abstractNumId w:val="23"/>
  </w:num>
  <w:num w:numId="3">
    <w:abstractNumId w:val="29"/>
  </w:num>
  <w:num w:numId="4">
    <w:abstractNumId w:val="18"/>
  </w:num>
  <w:num w:numId="5">
    <w:abstractNumId w:val="11"/>
  </w:num>
  <w:num w:numId="6">
    <w:abstractNumId w:val="15"/>
  </w:num>
  <w:num w:numId="7">
    <w:abstractNumId w:val="24"/>
  </w:num>
  <w:num w:numId="8">
    <w:abstractNumId w:val="1"/>
  </w:num>
  <w:num w:numId="9">
    <w:abstractNumId w:val="28"/>
  </w:num>
  <w:num w:numId="10">
    <w:abstractNumId w:val="10"/>
  </w:num>
  <w:num w:numId="11">
    <w:abstractNumId w:val="21"/>
  </w:num>
  <w:num w:numId="12">
    <w:abstractNumId w:val="16"/>
  </w:num>
  <w:num w:numId="13">
    <w:abstractNumId w:val="27"/>
  </w:num>
  <w:num w:numId="14">
    <w:abstractNumId w:val="0"/>
  </w:num>
  <w:num w:numId="15">
    <w:abstractNumId w:val="25"/>
  </w:num>
  <w:num w:numId="16">
    <w:abstractNumId w:val="14"/>
  </w:num>
  <w:num w:numId="17">
    <w:abstractNumId w:val="20"/>
  </w:num>
  <w:num w:numId="18">
    <w:abstractNumId w:val="8"/>
  </w:num>
  <w:num w:numId="19">
    <w:abstractNumId w:val="19"/>
  </w:num>
  <w:num w:numId="20">
    <w:abstractNumId w:val="6"/>
  </w:num>
  <w:num w:numId="21">
    <w:abstractNumId w:val="4"/>
  </w:num>
  <w:num w:numId="22">
    <w:abstractNumId w:val="17"/>
  </w:num>
  <w:num w:numId="23">
    <w:abstractNumId w:val="7"/>
  </w:num>
  <w:num w:numId="24">
    <w:abstractNumId w:val="22"/>
  </w:num>
  <w:num w:numId="25">
    <w:abstractNumId w:val="13"/>
  </w:num>
  <w:num w:numId="26">
    <w:abstractNumId w:val="5"/>
  </w:num>
  <w:num w:numId="27">
    <w:abstractNumId w:val="3"/>
  </w:num>
  <w:num w:numId="28">
    <w:abstractNumId w:val="26"/>
  </w:num>
  <w:num w:numId="29">
    <w:abstractNumId w:val="12"/>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D94"/>
    <w:rsid w:val="00002BCB"/>
    <w:rsid w:val="00004E93"/>
    <w:rsid w:val="00006F4D"/>
    <w:rsid w:val="0000779B"/>
    <w:rsid w:val="0001046C"/>
    <w:rsid w:val="00011C5B"/>
    <w:rsid w:val="00012D56"/>
    <w:rsid w:val="000153B7"/>
    <w:rsid w:val="000155A9"/>
    <w:rsid w:val="00016720"/>
    <w:rsid w:val="00020422"/>
    <w:rsid w:val="000205CE"/>
    <w:rsid w:val="000228B9"/>
    <w:rsid w:val="00024894"/>
    <w:rsid w:val="00025CE2"/>
    <w:rsid w:val="00027915"/>
    <w:rsid w:val="0003077D"/>
    <w:rsid w:val="00030820"/>
    <w:rsid w:val="00035BEF"/>
    <w:rsid w:val="00037342"/>
    <w:rsid w:val="0004162A"/>
    <w:rsid w:val="00041652"/>
    <w:rsid w:val="00043410"/>
    <w:rsid w:val="00045438"/>
    <w:rsid w:val="000459F8"/>
    <w:rsid w:val="00047EAC"/>
    <w:rsid w:val="00050F6A"/>
    <w:rsid w:val="000525F5"/>
    <w:rsid w:val="00053085"/>
    <w:rsid w:val="00055A31"/>
    <w:rsid w:val="00055C41"/>
    <w:rsid w:val="00056ABE"/>
    <w:rsid w:val="00057D08"/>
    <w:rsid w:val="00060D79"/>
    <w:rsid w:val="00063AB4"/>
    <w:rsid w:val="000653F2"/>
    <w:rsid w:val="00066948"/>
    <w:rsid w:val="00066CD3"/>
    <w:rsid w:val="00067900"/>
    <w:rsid w:val="00067A4A"/>
    <w:rsid w:val="000708E0"/>
    <w:rsid w:val="00070EA4"/>
    <w:rsid w:val="000719DA"/>
    <w:rsid w:val="000727C0"/>
    <w:rsid w:val="00075BB1"/>
    <w:rsid w:val="00076D8B"/>
    <w:rsid w:val="00077AB0"/>
    <w:rsid w:val="000800E9"/>
    <w:rsid w:val="00080891"/>
    <w:rsid w:val="00080D4E"/>
    <w:rsid w:val="0008126D"/>
    <w:rsid w:val="000820C2"/>
    <w:rsid w:val="00084172"/>
    <w:rsid w:val="0009167B"/>
    <w:rsid w:val="00093346"/>
    <w:rsid w:val="00097172"/>
    <w:rsid w:val="000A1DC0"/>
    <w:rsid w:val="000A1F1C"/>
    <w:rsid w:val="000A2A9D"/>
    <w:rsid w:val="000A3122"/>
    <w:rsid w:val="000A316F"/>
    <w:rsid w:val="000A3B10"/>
    <w:rsid w:val="000A4908"/>
    <w:rsid w:val="000A54B8"/>
    <w:rsid w:val="000A759D"/>
    <w:rsid w:val="000A7E66"/>
    <w:rsid w:val="000B376C"/>
    <w:rsid w:val="000B3B76"/>
    <w:rsid w:val="000B3DE1"/>
    <w:rsid w:val="000B5D7D"/>
    <w:rsid w:val="000B6B0C"/>
    <w:rsid w:val="000C104D"/>
    <w:rsid w:val="000C11F1"/>
    <w:rsid w:val="000C158F"/>
    <w:rsid w:val="000C2990"/>
    <w:rsid w:val="000C3D21"/>
    <w:rsid w:val="000C4D4A"/>
    <w:rsid w:val="000C5D35"/>
    <w:rsid w:val="000C7DB0"/>
    <w:rsid w:val="000D0A48"/>
    <w:rsid w:val="000D106C"/>
    <w:rsid w:val="000D18DA"/>
    <w:rsid w:val="000D7E62"/>
    <w:rsid w:val="000E2EA3"/>
    <w:rsid w:val="000E50B6"/>
    <w:rsid w:val="000E53D3"/>
    <w:rsid w:val="000F11AF"/>
    <w:rsid w:val="000F650C"/>
    <w:rsid w:val="0010188F"/>
    <w:rsid w:val="00102C39"/>
    <w:rsid w:val="00103A82"/>
    <w:rsid w:val="001075E9"/>
    <w:rsid w:val="001102DF"/>
    <w:rsid w:val="001112AD"/>
    <w:rsid w:val="00116E5E"/>
    <w:rsid w:val="00117654"/>
    <w:rsid w:val="0012127F"/>
    <w:rsid w:val="001221EA"/>
    <w:rsid w:val="0012238F"/>
    <w:rsid w:val="001261AB"/>
    <w:rsid w:val="00127965"/>
    <w:rsid w:val="00127BBF"/>
    <w:rsid w:val="00127EE9"/>
    <w:rsid w:val="00130528"/>
    <w:rsid w:val="00131056"/>
    <w:rsid w:val="00131647"/>
    <w:rsid w:val="001320EB"/>
    <w:rsid w:val="00140D94"/>
    <w:rsid w:val="00142DCA"/>
    <w:rsid w:val="00143A80"/>
    <w:rsid w:val="00143C37"/>
    <w:rsid w:val="0014534A"/>
    <w:rsid w:val="00145E2D"/>
    <w:rsid w:val="001472D1"/>
    <w:rsid w:val="00147963"/>
    <w:rsid w:val="00150432"/>
    <w:rsid w:val="0015153F"/>
    <w:rsid w:val="001528E7"/>
    <w:rsid w:val="0015357F"/>
    <w:rsid w:val="001548C0"/>
    <w:rsid w:val="00155162"/>
    <w:rsid w:val="001565C8"/>
    <w:rsid w:val="00157E64"/>
    <w:rsid w:val="0016044E"/>
    <w:rsid w:val="00160CE5"/>
    <w:rsid w:val="00160CF7"/>
    <w:rsid w:val="001617B7"/>
    <w:rsid w:val="00163849"/>
    <w:rsid w:val="00164B18"/>
    <w:rsid w:val="00164CAE"/>
    <w:rsid w:val="0016511D"/>
    <w:rsid w:val="00167FDC"/>
    <w:rsid w:val="0017057B"/>
    <w:rsid w:val="001706A5"/>
    <w:rsid w:val="00170A72"/>
    <w:rsid w:val="00173BCE"/>
    <w:rsid w:val="0017472F"/>
    <w:rsid w:val="00174B94"/>
    <w:rsid w:val="00175936"/>
    <w:rsid w:val="001764CF"/>
    <w:rsid w:val="00182EF0"/>
    <w:rsid w:val="00184FC2"/>
    <w:rsid w:val="00190241"/>
    <w:rsid w:val="00190595"/>
    <w:rsid w:val="00190965"/>
    <w:rsid w:val="001913C5"/>
    <w:rsid w:val="0019203C"/>
    <w:rsid w:val="001920F0"/>
    <w:rsid w:val="00193650"/>
    <w:rsid w:val="00196934"/>
    <w:rsid w:val="001A0F4E"/>
    <w:rsid w:val="001A1224"/>
    <w:rsid w:val="001A1993"/>
    <w:rsid w:val="001A2371"/>
    <w:rsid w:val="001A2655"/>
    <w:rsid w:val="001A6B93"/>
    <w:rsid w:val="001B14D1"/>
    <w:rsid w:val="001B2180"/>
    <w:rsid w:val="001B3482"/>
    <w:rsid w:val="001B38B5"/>
    <w:rsid w:val="001B3937"/>
    <w:rsid w:val="001B40D5"/>
    <w:rsid w:val="001B45A7"/>
    <w:rsid w:val="001C012F"/>
    <w:rsid w:val="001C43E6"/>
    <w:rsid w:val="001C46FD"/>
    <w:rsid w:val="001C5C8A"/>
    <w:rsid w:val="001C643A"/>
    <w:rsid w:val="001C69DE"/>
    <w:rsid w:val="001D63F1"/>
    <w:rsid w:val="001D7D16"/>
    <w:rsid w:val="001E0D96"/>
    <w:rsid w:val="001E15C2"/>
    <w:rsid w:val="001E265C"/>
    <w:rsid w:val="001E28E2"/>
    <w:rsid w:val="001E60B3"/>
    <w:rsid w:val="001E6B02"/>
    <w:rsid w:val="001E7442"/>
    <w:rsid w:val="001E7631"/>
    <w:rsid w:val="001F0B8C"/>
    <w:rsid w:val="001F0C8F"/>
    <w:rsid w:val="001F16A2"/>
    <w:rsid w:val="001F1BAA"/>
    <w:rsid w:val="001F2F66"/>
    <w:rsid w:val="001F3665"/>
    <w:rsid w:val="001F4B3C"/>
    <w:rsid w:val="00202728"/>
    <w:rsid w:val="002043EB"/>
    <w:rsid w:val="002046FF"/>
    <w:rsid w:val="0020754F"/>
    <w:rsid w:val="00207D7B"/>
    <w:rsid w:val="00211395"/>
    <w:rsid w:val="00211C33"/>
    <w:rsid w:val="00213D8C"/>
    <w:rsid w:val="002159EC"/>
    <w:rsid w:val="002206DD"/>
    <w:rsid w:val="002209F2"/>
    <w:rsid w:val="00223CE2"/>
    <w:rsid w:val="00223D80"/>
    <w:rsid w:val="00224F7E"/>
    <w:rsid w:val="00224FAF"/>
    <w:rsid w:val="0022599C"/>
    <w:rsid w:val="00226808"/>
    <w:rsid w:val="002312DF"/>
    <w:rsid w:val="002328AC"/>
    <w:rsid w:val="00233A29"/>
    <w:rsid w:val="00234709"/>
    <w:rsid w:val="002369BE"/>
    <w:rsid w:val="002408AD"/>
    <w:rsid w:val="00241249"/>
    <w:rsid w:val="0024128E"/>
    <w:rsid w:val="002412B1"/>
    <w:rsid w:val="0024220B"/>
    <w:rsid w:val="00245A10"/>
    <w:rsid w:val="002502EB"/>
    <w:rsid w:val="00250AF0"/>
    <w:rsid w:val="002518BB"/>
    <w:rsid w:val="002521DF"/>
    <w:rsid w:val="002522A9"/>
    <w:rsid w:val="00254033"/>
    <w:rsid w:val="002550B6"/>
    <w:rsid w:val="0025526B"/>
    <w:rsid w:val="00255AC8"/>
    <w:rsid w:val="00260E4E"/>
    <w:rsid w:val="002630B0"/>
    <w:rsid w:val="00265468"/>
    <w:rsid w:val="00265B16"/>
    <w:rsid w:val="00267710"/>
    <w:rsid w:val="00270450"/>
    <w:rsid w:val="002719D8"/>
    <w:rsid w:val="00272713"/>
    <w:rsid w:val="002759D9"/>
    <w:rsid w:val="00277442"/>
    <w:rsid w:val="00280993"/>
    <w:rsid w:val="00283B28"/>
    <w:rsid w:val="00293F78"/>
    <w:rsid w:val="002955A4"/>
    <w:rsid w:val="00296D7F"/>
    <w:rsid w:val="002A0246"/>
    <w:rsid w:val="002A24FD"/>
    <w:rsid w:val="002A4128"/>
    <w:rsid w:val="002A4C64"/>
    <w:rsid w:val="002A507B"/>
    <w:rsid w:val="002A50C2"/>
    <w:rsid w:val="002A5187"/>
    <w:rsid w:val="002A5C6B"/>
    <w:rsid w:val="002B2036"/>
    <w:rsid w:val="002B21CC"/>
    <w:rsid w:val="002B342E"/>
    <w:rsid w:val="002B445A"/>
    <w:rsid w:val="002B4CF4"/>
    <w:rsid w:val="002B74DC"/>
    <w:rsid w:val="002B751B"/>
    <w:rsid w:val="002C0489"/>
    <w:rsid w:val="002C2888"/>
    <w:rsid w:val="002C4425"/>
    <w:rsid w:val="002C672D"/>
    <w:rsid w:val="002C6C23"/>
    <w:rsid w:val="002D245F"/>
    <w:rsid w:val="002D430C"/>
    <w:rsid w:val="002E1173"/>
    <w:rsid w:val="002E13E6"/>
    <w:rsid w:val="002E3F4C"/>
    <w:rsid w:val="002E4B5D"/>
    <w:rsid w:val="002E7A6C"/>
    <w:rsid w:val="002F1108"/>
    <w:rsid w:val="002F2E17"/>
    <w:rsid w:val="002F372A"/>
    <w:rsid w:val="002F3C4D"/>
    <w:rsid w:val="002F4C46"/>
    <w:rsid w:val="002F4FCD"/>
    <w:rsid w:val="002F53FC"/>
    <w:rsid w:val="002F5C97"/>
    <w:rsid w:val="002F6194"/>
    <w:rsid w:val="0030061D"/>
    <w:rsid w:val="003047D3"/>
    <w:rsid w:val="00305D31"/>
    <w:rsid w:val="003122FF"/>
    <w:rsid w:val="003130B2"/>
    <w:rsid w:val="00316D9B"/>
    <w:rsid w:val="00317B65"/>
    <w:rsid w:val="00320C99"/>
    <w:rsid w:val="00321AC6"/>
    <w:rsid w:val="00323EDA"/>
    <w:rsid w:val="0032504D"/>
    <w:rsid w:val="00327A80"/>
    <w:rsid w:val="00327E61"/>
    <w:rsid w:val="00332705"/>
    <w:rsid w:val="00332F59"/>
    <w:rsid w:val="00334B14"/>
    <w:rsid w:val="003404FA"/>
    <w:rsid w:val="003412AF"/>
    <w:rsid w:val="003430AF"/>
    <w:rsid w:val="00345744"/>
    <w:rsid w:val="003462B0"/>
    <w:rsid w:val="003468A9"/>
    <w:rsid w:val="00347426"/>
    <w:rsid w:val="003518CF"/>
    <w:rsid w:val="00352EA5"/>
    <w:rsid w:val="003535A1"/>
    <w:rsid w:val="003536FA"/>
    <w:rsid w:val="00354845"/>
    <w:rsid w:val="003551DD"/>
    <w:rsid w:val="00356438"/>
    <w:rsid w:val="003579E9"/>
    <w:rsid w:val="00357FD0"/>
    <w:rsid w:val="00360BAA"/>
    <w:rsid w:val="00365870"/>
    <w:rsid w:val="003720A3"/>
    <w:rsid w:val="003747D0"/>
    <w:rsid w:val="003749F8"/>
    <w:rsid w:val="00377678"/>
    <w:rsid w:val="0038076C"/>
    <w:rsid w:val="003817A3"/>
    <w:rsid w:val="0038192F"/>
    <w:rsid w:val="003820BE"/>
    <w:rsid w:val="00383992"/>
    <w:rsid w:val="00384CE5"/>
    <w:rsid w:val="00386E5F"/>
    <w:rsid w:val="0039314B"/>
    <w:rsid w:val="00393783"/>
    <w:rsid w:val="0039412B"/>
    <w:rsid w:val="003A1A3A"/>
    <w:rsid w:val="003A2D1A"/>
    <w:rsid w:val="003A638F"/>
    <w:rsid w:val="003B1009"/>
    <w:rsid w:val="003B3E42"/>
    <w:rsid w:val="003B42ED"/>
    <w:rsid w:val="003B44DE"/>
    <w:rsid w:val="003B5016"/>
    <w:rsid w:val="003C1C86"/>
    <w:rsid w:val="003C45B6"/>
    <w:rsid w:val="003C559A"/>
    <w:rsid w:val="003C5ACE"/>
    <w:rsid w:val="003D0151"/>
    <w:rsid w:val="003D0823"/>
    <w:rsid w:val="003D0FAA"/>
    <w:rsid w:val="003D16FA"/>
    <w:rsid w:val="003D2BC6"/>
    <w:rsid w:val="003D3F7E"/>
    <w:rsid w:val="003D61FC"/>
    <w:rsid w:val="003D7EF3"/>
    <w:rsid w:val="003E0F1A"/>
    <w:rsid w:val="003E2FDC"/>
    <w:rsid w:val="003E3AE1"/>
    <w:rsid w:val="003E5DD9"/>
    <w:rsid w:val="003E6677"/>
    <w:rsid w:val="003F0773"/>
    <w:rsid w:val="003F2AC8"/>
    <w:rsid w:val="003F2B1D"/>
    <w:rsid w:val="003F4ACC"/>
    <w:rsid w:val="003F661D"/>
    <w:rsid w:val="004023F0"/>
    <w:rsid w:val="00407638"/>
    <w:rsid w:val="00412181"/>
    <w:rsid w:val="004124A6"/>
    <w:rsid w:val="004149AC"/>
    <w:rsid w:val="00420531"/>
    <w:rsid w:val="00420895"/>
    <w:rsid w:val="004239C8"/>
    <w:rsid w:val="004252F5"/>
    <w:rsid w:val="004256C0"/>
    <w:rsid w:val="00425C61"/>
    <w:rsid w:val="00427839"/>
    <w:rsid w:val="00427D9A"/>
    <w:rsid w:val="004300C0"/>
    <w:rsid w:val="00435061"/>
    <w:rsid w:val="00436E9A"/>
    <w:rsid w:val="0044257D"/>
    <w:rsid w:val="00443FEF"/>
    <w:rsid w:val="00447BAC"/>
    <w:rsid w:val="00451791"/>
    <w:rsid w:val="00451B5A"/>
    <w:rsid w:val="00452550"/>
    <w:rsid w:val="00453F2C"/>
    <w:rsid w:val="0045587E"/>
    <w:rsid w:val="00457152"/>
    <w:rsid w:val="004615B4"/>
    <w:rsid w:val="00463453"/>
    <w:rsid w:val="00463893"/>
    <w:rsid w:val="00465DEE"/>
    <w:rsid w:val="00466739"/>
    <w:rsid w:val="00467F6A"/>
    <w:rsid w:val="00470303"/>
    <w:rsid w:val="00470E7B"/>
    <w:rsid w:val="00475E28"/>
    <w:rsid w:val="004768A4"/>
    <w:rsid w:val="00480FAB"/>
    <w:rsid w:val="00483899"/>
    <w:rsid w:val="00486123"/>
    <w:rsid w:val="004877B2"/>
    <w:rsid w:val="00487C1C"/>
    <w:rsid w:val="0049008A"/>
    <w:rsid w:val="0049170F"/>
    <w:rsid w:val="00493BC4"/>
    <w:rsid w:val="00496091"/>
    <w:rsid w:val="00497887"/>
    <w:rsid w:val="004A12F3"/>
    <w:rsid w:val="004A2313"/>
    <w:rsid w:val="004A2A63"/>
    <w:rsid w:val="004A5F2A"/>
    <w:rsid w:val="004A75EB"/>
    <w:rsid w:val="004A7684"/>
    <w:rsid w:val="004B5F8A"/>
    <w:rsid w:val="004B7A08"/>
    <w:rsid w:val="004C1602"/>
    <w:rsid w:val="004C22C8"/>
    <w:rsid w:val="004C3D07"/>
    <w:rsid w:val="004C4683"/>
    <w:rsid w:val="004C517A"/>
    <w:rsid w:val="004C5328"/>
    <w:rsid w:val="004C73EB"/>
    <w:rsid w:val="004D0296"/>
    <w:rsid w:val="004D0D66"/>
    <w:rsid w:val="004D3FEF"/>
    <w:rsid w:val="004D51C5"/>
    <w:rsid w:val="004D535F"/>
    <w:rsid w:val="004D6193"/>
    <w:rsid w:val="004D74A7"/>
    <w:rsid w:val="004D7FB0"/>
    <w:rsid w:val="004E18BA"/>
    <w:rsid w:val="004E227E"/>
    <w:rsid w:val="004E322F"/>
    <w:rsid w:val="004E49BA"/>
    <w:rsid w:val="004F34E4"/>
    <w:rsid w:val="004F4E9A"/>
    <w:rsid w:val="004F744D"/>
    <w:rsid w:val="005002F3"/>
    <w:rsid w:val="00504A25"/>
    <w:rsid w:val="00510B1C"/>
    <w:rsid w:val="00510CE0"/>
    <w:rsid w:val="00511E90"/>
    <w:rsid w:val="00512349"/>
    <w:rsid w:val="005152DC"/>
    <w:rsid w:val="005162DB"/>
    <w:rsid w:val="005168EC"/>
    <w:rsid w:val="00517324"/>
    <w:rsid w:val="005206E9"/>
    <w:rsid w:val="00522C23"/>
    <w:rsid w:val="0052482E"/>
    <w:rsid w:val="005259B1"/>
    <w:rsid w:val="00532E0F"/>
    <w:rsid w:val="00541F69"/>
    <w:rsid w:val="00542DE8"/>
    <w:rsid w:val="00545205"/>
    <w:rsid w:val="00545A15"/>
    <w:rsid w:val="005461B5"/>
    <w:rsid w:val="0055126B"/>
    <w:rsid w:val="00552542"/>
    <w:rsid w:val="0055384C"/>
    <w:rsid w:val="00553906"/>
    <w:rsid w:val="00553F80"/>
    <w:rsid w:val="005544B7"/>
    <w:rsid w:val="00563243"/>
    <w:rsid w:val="00563762"/>
    <w:rsid w:val="00565069"/>
    <w:rsid w:val="005663FC"/>
    <w:rsid w:val="00566A2E"/>
    <w:rsid w:val="00567F44"/>
    <w:rsid w:val="00570AE8"/>
    <w:rsid w:val="005720A0"/>
    <w:rsid w:val="0057214B"/>
    <w:rsid w:val="00572B64"/>
    <w:rsid w:val="00573507"/>
    <w:rsid w:val="00575692"/>
    <w:rsid w:val="00575C2E"/>
    <w:rsid w:val="00577E3E"/>
    <w:rsid w:val="00583259"/>
    <w:rsid w:val="00583977"/>
    <w:rsid w:val="00583B0B"/>
    <w:rsid w:val="00586DE4"/>
    <w:rsid w:val="00587619"/>
    <w:rsid w:val="00587906"/>
    <w:rsid w:val="00587F0F"/>
    <w:rsid w:val="00592213"/>
    <w:rsid w:val="00592323"/>
    <w:rsid w:val="0059235A"/>
    <w:rsid w:val="00593D3F"/>
    <w:rsid w:val="00594940"/>
    <w:rsid w:val="005A0460"/>
    <w:rsid w:val="005A155E"/>
    <w:rsid w:val="005A30D5"/>
    <w:rsid w:val="005A507F"/>
    <w:rsid w:val="005B02EB"/>
    <w:rsid w:val="005B2315"/>
    <w:rsid w:val="005B32B0"/>
    <w:rsid w:val="005B3971"/>
    <w:rsid w:val="005B3CC7"/>
    <w:rsid w:val="005B5F82"/>
    <w:rsid w:val="005B6BCA"/>
    <w:rsid w:val="005B7649"/>
    <w:rsid w:val="005C0288"/>
    <w:rsid w:val="005C15CC"/>
    <w:rsid w:val="005C198D"/>
    <w:rsid w:val="005C26B5"/>
    <w:rsid w:val="005C2E60"/>
    <w:rsid w:val="005C6809"/>
    <w:rsid w:val="005D0A0F"/>
    <w:rsid w:val="005D2546"/>
    <w:rsid w:val="005D55A6"/>
    <w:rsid w:val="005D5683"/>
    <w:rsid w:val="005D64DC"/>
    <w:rsid w:val="005D67A2"/>
    <w:rsid w:val="005D7DB6"/>
    <w:rsid w:val="005E02A2"/>
    <w:rsid w:val="005E1295"/>
    <w:rsid w:val="005E230D"/>
    <w:rsid w:val="005E47E1"/>
    <w:rsid w:val="005E7E0C"/>
    <w:rsid w:val="005F0DA1"/>
    <w:rsid w:val="005F301A"/>
    <w:rsid w:val="005F3193"/>
    <w:rsid w:val="005F3D80"/>
    <w:rsid w:val="00600DC9"/>
    <w:rsid w:val="006021E6"/>
    <w:rsid w:val="00602449"/>
    <w:rsid w:val="00602477"/>
    <w:rsid w:val="0060247B"/>
    <w:rsid w:val="00603030"/>
    <w:rsid w:val="00603D40"/>
    <w:rsid w:val="006052E7"/>
    <w:rsid w:val="00607A42"/>
    <w:rsid w:val="006114D0"/>
    <w:rsid w:val="00611C18"/>
    <w:rsid w:val="00613ACE"/>
    <w:rsid w:val="00613E54"/>
    <w:rsid w:val="00614A51"/>
    <w:rsid w:val="006160D6"/>
    <w:rsid w:val="00616E37"/>
    <w:rsid w:val="006230E0"/>
    <w:rsid w:val="00624F0C"/>
    <w:rsid w:val="00625A14"/>
    <w:rsid w:val="0062682A"/>
    <w:rsid w:val="00626BA1"/>
    <w:rsid w:val="0062706B"/>
    <w:rsid w:val="006279DF"/>
    <w:rsid w:val="00627A44"/>
    <w:rsid w:val="00627BCA"/>
    <w:rsid w:val="006304DF"/>
    <w:rsid w:val="006306FE"/>
    <w:rsid w:val="0063206D"/>
    <w:rsid w:val="00632C01"/>
    <w:rsid w:val="00633490"/>
    <w:rsid w:val="00634DC8"/>
    <w:rsid w:val="00635A26"/>
    <w:rsid w:val="0063776A"/>
    <w:rsid w:val="006378D8"/>
    <w:rsid w:val="00640D6A"/>
    <w:rsid w:val="00641224"/>
    <w:rsid w:val="006427AD"/>
    <w:rsid w:val="00643374"/>
    <w:rsid w:val="00645190"/>
    <w:rsid w:val="0064529B"/>
    <w:rsid w:val="00645CB2"/>
    <w:rsid w:val="00646F12"/>
    <w:rsid w:val="00650618"/>
    <w:rsid w:val="006509CB"/>
    <w:rsid w:val="006512E0"/>
    <w:rsid w:val="00651A6D"/>
    <w:rsid w:val="00651B51"/>
    <w:rsid w:val="00652129"/>
    <w:rsid w:val="00653389"/>
    <w:rsid w:val="0065376B"/>
    <w:rsid w:val="00653D82"/>
    <w:rsid w:val="00654A37"/>
    <w:rsid w:val="006555D0"/>
    <w:rsid w:val="006613CC"/>
    <w:rsid w:val="00662193"/>
    <w:rsid w:val="006630C6"/>
    <w:rsid w:val="006648D1"/>
    <w:rsid w:val="006649D0"/>
    <w:rsid w:val="00664A62"/>
    <w:rsid w:val="006651B5"/>
    <w:rsid w:val="006651B8"/>
    <w:rsid w:val="006655AB"/>
    <w:rsid w:val="00671A91"/>
    <w:rsid w:val="00672100"/>
    <w:rsid w:val="006723AF"/>
    <w:rsid w:val="006765C6"/>
    <w:rsid w:val="00677D27"/>
    <w:rsid w:val="00681655"/>
    <w:rsid w:val="00685328"/>
    <w:rsid w:val="00687DD6"/>
    <w:rsid w:val="00690B6F"/>
    <w:rsid w:val="00690CFD"/>
    <w:rsid w:val="00690DB9"/>
    <w:rsid w:val="00692E10"/>
    <w:rsid w:val="00693361"/>
    <w:rsid w:val="00693728"/>
    <w:rsid w:val="00693839"/>
    <w:rsid w:val="0069444D"/>
    <w:rsid w:val="00696350"/>
    <w:rsid w:val="00696A43"/>
    <w:rsid w:val="006A070F"/>
    <w:rsid w:val="006A18D8"/>
    <w:rsid w:val="006A258C"/>
    <w:rsid w:val="006A3377"/>
    <w:rsid w:val="006A4B48"/>
    <w:rsid w:val="006A4B89"/>
    <w:rsid w:val="006A67B6"/>
    <w:rsid w:val="006B094D"/>
    <w:rsid w:val="006B0EF5"/>
    <w:rsid w:val="006B2AAB"/>
    <w:rsid w:val="006B2AC1"/>
    <w:rsid w:val="006B387C"/>
    <w:rsid w:val="006B57C3"/>
    <w:rsid w:val="006B7989"/>
    <w:rsid w:val="006C1A42"/>
    <w:rsid w:val="006C2978"/>
    <w:rsid w:val="006C2D40"/>
    <w:rsid w:val="006C4B95"/>
    <w:rsid w:val="006C617F"/>
    <w:rsid w:val="006D0AA5"/>
    <w:rsid w:val="006D0B74"/>
    <w:rsid w:val="006D2FD4"/>
    <w:rsid w:val="006D4EA5"/>
    <w:rsid w:val="006D69E3"/>
    <w:rsid w:val="006E0189"/>
    <w:rsid w:val="006E0B30"/>
    <w:rsid w:val="006E13A2"/>
    <w:rsid w:val="006E39EB"/>
    <w:rsid w:val="006E3B41"/>
    <w:rsid w:val="006E4995"/>
    <w:rsid w:val="006E6007"/>
    <w:rsid w:val="006E7DC5"/>
    <w:rsid w:val="006F2D95"/>
    <w:rsid w:val="006F2D9B"/>
    <w:rsid w:val="006F3CE0"/>
    <w:rsid w:val="006F52F8"/>
    <w:rsid w:val="006F7DF1"/>
    <w:rsid w:val="00700EF5"/>
    <w:rsid w:val="00701646"/>
    <w:rsid w:val="00701B24"/>
    <w:rsid w:val="00702DCD"/>
    <w:rsid w:val="00703AD5"/>
    <w:rsid w:val="00705C44"/>
    <w:rsid w:val="00707886"/>
    <w:rsid w:val="00713597"/>
    <w:rsid w:val="00715047"/>
    <w:rsid w:val="00715E97"/>
    <w:rsid w:val="00717205"/>
    <w:rsid w:val="00717AE4"/>
    <w:rsid w:val="007274D6"/>
    <w:rsid w:val="007314C0"/>
    <w:rsid w:val="00735403"/>
    <w:rsid w:val="00735FB5"/>
    <w:rsid w:val="00740805"/>
    <w:rsid w:val="00741AE5"/>
    <w:rsid w:val="00741E00"/>
    <w:rsid w:val="00743225"/>
    <w:rsid w:val="0074489D"/>
    <w:rsid w:val="00747EC7"/>
    <w:rsid w:val="00750A11"/>
    <w:rsid w:val="00750B79"/>
    <w:rsid w:val="00753B87"/>
    <w:rsid w:val="00754B11"/>
    <w:rsid w:val="00755A05"/>
    <w:rsid w:val="007623FB"/>
    <w:rsid w:val="00764642"/>
    <w:rsid w:val="007667B4"/>
    <w:rsid w:val="00767F72"/>
    <w:rsid w:val="00770598"/>
    <w:rsid w:val="00771F08"/>
    <w:rsid w:val="00774516"/>
    <w:rsid w:val="00774B29"/>
    <w:rsid w:val="00774CAA"/>
    <w:rsid w:val="00775F6A"/>
    <w:rsid w:val="0077750E"/>
    <w:rsid w:val="00777764"/>
    <w:rsid w:val="0078070E"/>
    <w:rsid w:val="00781084"/>
    <w:rsid w:val="00781270"/>
    <w:rsid w:val="007815D2"/>
    <w:rsid w:val="00782EE5"/>
    <w:rsid w:val="00783497"/>
    <w:rsid w:val="00783C70"/>
    <w:rsid w:val="0078540B"/>
    <w:rsid w:val="0078751E"/>
    <w:rsid w:val="00787C31"/>
    <w:rsid w:val="00792660"/>
    <w:rsid w:val="007939C5"/>
    <w:rsid w:val="007943E7"/>
    <w:rsid w:val="00797B63"/>
    <w:rsid w:val="00797DF0"/>
    <w:rsid w:val="007A0391"/>
    <w:rsid w:val="007A0A92"/>
    <w:rsid w:val="007A1A1A"/>
    <w:rsid w:val="007A3197"/>
    <w:rsid w:val="007A54D6"/>
    <w:rsid w:val="007A7B0F"/>
    <w:rsid w:val="007B3269"/>
    <w:rsid w:val="007B6C47"/>
    <w:rsid w:val="007B6D3C"/>
    <w:rsid w:val="007C0D88"/>
    <w:rsid w:val="007C1C11"/>
    <w:rsid w:val="007C2E5D"/>
    <w:rsid w:val="007C5E43"/>
    <w:rsid w:val="007C723D"/>
    <w:rsid w:val="007C7386"/>
    <w:rsid w:val="007D3F0E"/>
    <w:rsid w:val="007D612A"/>
    <w:rsid w:val="007D72FB"/>
    <w:rsid w:val="007E3025"/>
    <w:rsid w:val="007E48CE"/>
    <w:rsid w:val="007E4B3C"/>
    <w:rsid w:val="007E56B7"/>
    <w:rsid w:val="007E64B9"/>
    <w:rsid w:val="007E68EF"/>
    <w:rsid w:val="007F07D7"/>
    <w:rsid w:val="007F0BEF"/>
    <w:rsid w:val="007F1D48"/>
    <w:rsid w:val="007F33D9"/>
    <w:rsid w:val="007F4040"/>
    <w:rsid w:val="007F4B76"/>
    <w:rsid w:val="007F5002"/>
    <w:rsid w:val="007F5244"/>
    <w:rsid w:val="007F535D"/>
    <w:rsid w:val="007F6F87"/>
    <w:rsid w:val="007F7048"/>
    <w:rsid w:val="007F7E3D"/>
    <w:rsid w:val="00803601"/>
    <w:rsid w:val="00806A27"/>
    <w:rsid w:val="00807AA4"/>
    <w:rsid w:val="00810C03"/>
    <w:rsid w:val="008115ED"/>
    <w:rsid w:val="0081204F"/>
    <w:rsid w:val="008128E5"/>
    <w:rsid w:val="00812E9D"/>
    <w:rsid w:val="008140C0"/>
    <w:rsid w:val="00816885"/>
    <w:rsid w:val="00820789"/>
    <w:rsid w:val="0082146E"/>
    <w:rsid w:val="00822E7F"/>
    <w:rsid w:val="008231A7"/>
    <w:rsid w:val="008247CD"/>
    <w:rsid w:val="00824B9D"/>
    <w:rsid w:val="008252FB"/>
    <w:rsid w:val="008254B2"/>
    <w:rsid w:val="00825B71"/>
    <w:rsid w:val="00825F9D"/>
    <w:rsid w:val="008266FD"/>
    <w:rsid w:val="0082680A"/>
    <w:rsid w:val="008275DC"/>
    <w:rsid w:val="00830157"/>
    <w:rsid w:val="00841DD4"/>
    <w:rsid w:val="00841F80"/>
    <w:rsid w:val="0084267B"/>
    <w:rsid w:val="00845CC2"/>
    <w:rsid w:val="008463D7"/>
    <w:rsid w:val="00846CDD"/>
    <w:rsid w:val="00847459"/>
    <w:rsid w:val="00851E35"/>
    <w:rsid w:val="00851F6C"/>
    <w:rsid w:val="008522B2"/>
    <w:rsid w:val="00853F79"/>
    <w:rsid w:val="008565B0"/>
    <w:rsid w:val="008606CC"/>
    <w:rsid w:val="00861707"/>
    <w:rsid w:val="008617EB"/>
    <w:rsid w:val="0086611A"/>
    <w:rsid w:val="00867CE1"/>
    <w:rsid w:val="00872858"/>
    <w:rsid w:val="00873C0F"/>
    <w:rsid w:val="00873FDE"/>
    <w:rsid w:val="0087576C"/>
    <w:rsid w:val="00876713"/>
    <w:rsid w:val="00876D8D"/>
    <w:rsid w:val="00877FC0"/>
    <w:rsid w:val="008808BC"/>
    <w:rsid w:val="00881047"/>
    <w:rsid w:val="00881C06"/>
    <w:rsid w:val="008867D1"/>
    <w:rsid w:val="00886CA5"/>
    <w:rsid w:val="00886CF2"/>
    <w:rsid w:val="00890033"/>
    <w:rsid w:val="00890673"/>
    <w:rsid w:val="008927DE"/>
    <w:rsid w:val="008938C8"/>
    <w:rsid w:val="00893900"/>
    <w:rsid w:val="00895BFD"/>
    <w:rsid w:val="008966E0"/>
    <w:rsid w:val="008A18F5"/>
    <w:rsid w:val="008A3C76"/>
    <w:rsid w:val="008B1975"/>
    <w:rsid w:val="008B1F93"/>
    <w:rsid w:val="008B2CA9"/>
    <w:rsid w:val="008B317F"/>
    <w:rsid w:val="008B61FC"/>
    <w:rsid w:val="008C1724"/>
    <w:rsid w:val="008C77A2"/>
    <w:rsid w:val="008C793E"/>
    <w:rsid w:val="008D0FC1"/>
    <w:rsid w:val="008D3A68"/>
    <w:rsid w:val="008D514E"/>
    <w:rsid w:val="008D60B4"/>
    <w:rsid w:val="008D7559"/>
    <w:rsid w:val="008E043E"/>
    <w:rsid w:val="008E09E2"/>
    <w:rsid w:val="008E1931"/>
    <w:rsid w:val="008E225E"/>
    <w:rsid w:val="008E29E7"/>
    <w:rsid w:val="008E338E"/>
    <w:rsid w:val="008E3BAF"/>
    <w:rsid w:val="008E3EC6"/>
    <w:rsid w:val="008E61F5"/>
    <w:rsid w:val="008E6824"/>
    <w:rsid w:val="008E7821"/>
    <w:rsid w:val="008E7BAF"/>
    <w:rsid w:val="008F006B"/>
    <w:rsid w:val="008F08AF"/>
    <w:rsid w:val="008F1C81"/>
    <w:rsid w:val="008F1CA8"/>
    <w:rsid w:val="008F4C2A"/>
    <w:rsid w:val="008F508F"/>
    <w:rsid w:val="008F5E86"/>
    <w:rsid w:val="00900CB7"/>
    <w:rsid w:val="00900F28"/>
    <w:rsid w:val="00901270"/>
    <w:rsid w:val="00902658"/>
    <w:rsid w:val="00902915"/>
    <w:rsid w:val="00903519"/>
    <w:rsid w:val="00904C95"/>
    <w:rsid w:val="009051E2"/>
    <w:rsid w:val="009062BF"/>
    <w:rsid w:val="0091190A"/>
    <w:rsid w:val="0091334A"/>
    <w:rsid w:val="00914B35"/>
    <w:rsid w:val="00915136"/>
    <w:rsid w:val="0091532B"/>
    <w:rsid w:val="00921326"/>
    <w:rsid w:val="00922A9D"/>
    <w:rsid w:val="00922FD0"/>
    <w:rsid w:val="0093298B"/>
    <w:rsid w:val="00933825"/>
    <w:rsid w:val="00934F1C"/>
    <w:rsid w:val="00937113"/>
    <w:rsid w:val="00940334"/>
    <w:rsid w:val="00940B7B"/>
    <w:rsid w:val="00941948"/>
    <w:rsid w:val="00941CB3"/>
    <w:rsid w:val="00943662"/>
    <w:rsid w:val="00943A4F"/>
    <w:rsid w:val="0094562F"/>
    <w:rsid w:val="0094588A"/>
    <w:rsid w:val="00947C11"/>
    <w:rsid w:val="00950457"/>
    <w:rsid w:val="0095063E"/>
    <w:rsid w:val="009518DB"/>
    <w:rsid w:val="00955C56"/>
    <w:rsid w:val="0096291B"/>
    <w:rsid w:val="0096320C"/>
    <w:rsid w:val="00963450"/>
    <w:rsid w:val="0096362E"/>
    <w:rsid w:val="0096509A"/>
    <w:rsid w:val="00965ECD"/>
    <w:rsid w:val="009717B6"/>
    <w:rsid w:val="00972B8C"/>
    <w:rsid w:val="0097421C"/>
    <w:rsid w:val="009752F0"/>
    <w:rsid w:val="0097634E"/>
    <w:rsid w:val="00976F81"/>
    <w:rsid w:val="00977529"/>
    <w:rsid w:val="00985CFE"/>
    <w:rsid w:val="00987F6D"/>
    <w:rsid w:val="009901BC"/>
    <w:rsid w:val="009918D8"/>
    <w:rsid w:val="00992748"/>
    <w:rsid w:val="00993591"/>
    <w:rsid w:val="00993E03"/>
    <w:rsid w:val="00994BEA"/>
    <w:rsid w:val="00994DCD"/>
    <w:rsid w:val="009968DD"/>
    <w:rsid w:val="00996B99"/>
    <w:rsid w:val="00997E70"/>
    <w:rsid w:val="009A0E45"/>
    <w:rsid w:val="009A1D64"/>
    <w:rsid w:val="009A2E68"/>
    <w:rsid w:val="009A3B86"/>
    <w:rsid w:val="009A47CC"/>
    <w:rsid w:val="009A4DAD"/>
    <w:rsid w:val="009A4DE9"/>
    <w:rsid w:val="009A5C6C"/>
    <w:rsid w:val="009A7571"/>
    <w:rsid w:val="009B2AB4"/>
    <w:rsid w:val="009B573C"/>
    <w:rsid w:val="009B5B5D"/>
    <w:rsid w:val="009B6CD8"/>
    <w:rsid w:val="009B7BF9"/>
    <w:rsid w:val="009C03FC"/>
    <w:rsid w:val="009C224D"/>
    <w:rsid w:val="009C30F4"/>
    <w:rsid w:val="009C3A7B"/>
    <w:rsid w:val="009C5B90"/>
    <w:rsid w:val="009C670C"/>
    <w:rsid w:val="009C70EF"/>
    <w:rsid w:val="009C7538"/>
    <w:rsid w:val="009D0204"/>
    <w:rsid w:val="009D3CF5"/>
    <w:rsid w:val="009D3D60"/>
    <w:rsid w:val="009D427C"/>
    <w:rsid w:val="009D5F47"/>
    <w:rsid w:val="009D6061"/>
    <w:rsid w:val="009D6CD2"/>
    <w:rsid w:val="009E1AEB"/>
    <w:rsid w:val="009E5DBD"/>
    <w:rsid w:val="009E7599"/>
    <w:rsid w:val="009F007F"/>
    <w:rsid w:val="009F14C1"/>
    <w:rsid w:val="009F7A1B"/>
    <w:rsid w:val="00A02965"/>
    <w:rsid w:val="00A03185"/>
    <w:rsid w:val="00A03DAC"/>
    <w:rsid w:val="00A048C3"/>
    <w:rsid w:val="00A14B87"/>
    <w:rsid w:val="00A1694C"/>
    <w:rsid w:val="00A17D7B"/>
    <w:rsid w:val="00A2049D"/>
    <w:rsid w:val="00A213F7"/>
    <w:rsid w:val="00A269D8"/>
    <w:rsid w:val="00A27165"/>
    <w:rsid w:val="00A277B8"/>
    <w:rsid w:val="00A306AA"/>
    <w:rsid w:val="00A31270"/>
    <w:rsid w:val="00A33D13"/>
    <w:rsid w:val="00A34AE2"/>
    <w:rsid w:val="00A3613E"/>
    <w:rsid w:val="00A37061"/>
    <w:rsid w:val="00A42587"/>
    <w:rsid w:val="00A43765"/>
    <w:rsid w:val="00A441E7"/>
    <w:rsid w:val="00A45898"/>
    <w:rsid w:val="00A5020E"/>
    <w:rsid w:val="00A52370"/>
    <w:rsid w:val="00A52E8B"/>
    <w:rsid w:val="00A549F3"/>
    <w:rsid w:val="00A54C3D"/>
    <w:rsid w:val="00A5550F"/>
    <w:rsid w:val="00A56642"/>
    <w:rsid w:val="00A604C3"/>
    <w:rsid w:val="00A7089E"/>
    <w:rsid w:val="00A70936"/>
    <w:rsid w:val="00A71A1F"/>
    <w:rsid w:val="00A7225B"/>
    <w:rsid w:val="00A74E68"/>
    <w:rsid w:val="00A8138C"/>
    <w:rsid w:val="00A852B1"/>
    <w:rsid w:val="00A852F0"/>
    <w:rsid w:val="00A873A1"/>
    <w:rsid w:val="00A90DF3"/>
    <w:rsid w:val="00A91C1C"/>
    <w:rsid w:val="00A9340E"/>
    <w:rsid w:val="00A940EB"/>
    <w:rsid w:val="00A9766C"/>
    <w:rsid w:val="00AA00D7"/>
    <w:rsid w:val="00AA00DB"/>
    <w:rsid w:val="00AA020F"/>
    <w:rsid w:val="00AA1425"/>
    <w:rsid w:val="00AA3DE4"/>
    <w:rsid w:val="00AA4F90"/>
    <w:rsid w:val="00AA5605"/>
    <w:rsid w:val="00AA61D8"/>
    <w:rsid w:val="00AA77F5"/>
    <w:rsid w:val="00AB1D89"/>
    <w:rsid w:val="00AB3D92"/>
    <w:rsid w:val="00AB64B7"/>
    <w:rsid w:val="00AB6A1C"/>
    <w:rsid w:val="00AC07AA"/>
    <w:rsid w:val="00AC1806"/>
    <w:rsid w:val="00AC1D3B"/>
    <w:rsid w:val="00AC2CAD"/>
    <w:rsid w:val="00AC3412"/>
    <w:rsid w:val="00AC4250"/>
    <w:rsid w:val="00AC4994"/>
    <w:rsid w:val="00AC69BB"/>
    <w:rsid w:val="00AD1982"/>
    <w:rsid w:val="00AD1CDA"/>
    <w:rsid w:val="00AD2219"/>
    <w:rsid w:val="00AD2BB0"/>
    <w:rsid w:val="00AD2E82"/>
    <w:rsid w:val="00AD35D5"/>
    <w:rsid w:val="00AD4921"/>
    <w:rsid w:val="00AD5729"/>
    <w:rsid w:val="00AD7DDA"/>
    <w:rsid w:val="00AE0349"/>
    <w:rsid w:val="00AE0C7B"/>
    <w:rsid w:val="00AE3632"/>
    <w:rsid w:val="00AE46F5"/>
    <w:rsid w:val="00AE4D8F"/>
    <w:rsid w:val="00AE6BD4"/>
    <w:rsid w:val="00AF11B9"/>
    <w:rsid w:val="00AF27F2"/>
    <w:rsid w:val="00AF3CC4"/>
    <w:rsid w:val="00B00086"/>
    <w:rsid w:val="00B02278"/>
    <w:rsid w:val="00B03EEA"/>
    <w:rsid w:val="00B04865"/>
    <w:rsid w:val="00B04ADD"/>
    <w:rsid w:val="00B07851"/>
    <w:rsid w:val="00B102E5"/>
    <w:rsid w:val="00B12D51"/>
    <w:rsid w:val="00B1453E"/>
    <w:rsid w:val="00B15311"/>
    <w:rsid w:val="00B165C7"/>
    <w:rsid w:val="00B1761F"/>
    <w:rsid w:val="00B204AD"/>
    <w:rsid w:val="00B20F87"/>
    <w:rsid w:val="00B22F09"/>
    <w:rsid w:val="00B25C7C"/>
    <w:rsid w:val="00B2662B"/>
    <w:rsid w:val="00B26C53"/>
    <w:rsid w:val="00B27912"/>
    <w:rsid w:val="00B2792D"/>
    <w:rsid w:val="00B27E5C"/>
    <w:rsid w:val="00B3073E"/>
    <w:rsid w:val="00B3346B"/>
    <w:rsid w:val="00B34946"/>
    <w:rsid w:val="00B3653A"/>
    <w:rsid w:val="00B3791A"/>
    <w:rsid w:val="00B40207"/>
    <w:rsid w:val="00B404A1"/>
    <w:rsid w:val="00B41018"/>
    <w:rsid w:val="00B41CB0"/>
    <w:rsid w:val="00B43FC3"/>
    <w:rsid w:val="00B4549D"/>
    <w:rsid w:val="00B45F48"/>
    <w:rsid w:val="00B46BAE"/>
    <w:rsid w:val="00B4731E"/>
    <w:rsid w:val="00B47B99"/>
    <w:rsid w:val="00B515BB"/>
    <w:rsid w:val="00B52171"/>
    <w:rsid w:val="00B5361A"/>
    <w:rsid w:val="00B611A6"/>
    <w:rsid w:val="00B6518B"/>
    <w:rsid w:val="00B65735"/>
    <w:rsid w:val="00B67A66"/>
    <w:rsid w:val="00B7032C"/>
    <w:rsid w:val="00B72EEB"/>
    <w:rsid w:val="00B74D72"/>
    <w:rsid w:val="00B759F9"/>
    <w:rsid w:val="00B77181"/>
    <w:rsid w:val="00B77AE5"/>
    <w:rsid w:val="00B802BB"/>
    <w:rsid w:val="00B84830"/>
    <w:rsid w:val="00B861CC"/>
    <w:rsid w:val="00B9063E"/>
    <w:rsid w:val="00B91981"/>
    <w:rsid w:val="00B9373B"/>
    <w:rsid w:val="00B9386D"/>
    <w:rsid w:val="00B968E5"/>
    <w:rsid w:val="00B9710B"/>
    <w:rsid w:val="00BA3346"/>
    <w:rsid w:val="00BA35DB"/>
    <w:rsid w:val="00BA48DE"/>
    <w:rsid w:val="00BA59B7"/>
    <w:rsid w:val="00BA6D7D"/>
    <w:rsid w:val="00BB114D"/>
    <w:rsid w:val="00BB1DF9"/>
    <w:rsid w:val="00BB51A8"/>
    <w:rsid w:val="00BC106C"/>
    <w:rsid w:val="00BC191B"/>
    <w:rsid w:val="00BC1DA6"/>
    <w:rsid w:val="00BC2BD6"/>
    <w:rsid w:val="00BC5739"/>
    <w:rsid w:val="00BC693B"/>
    <w:rsid w:val="00BD06B3"/>
    <w:rsid w:val="00BD665D"/>
    <w:rsid w:val="00BE0AB4"/>
    <w:rsid w:val="00BE0C7B"/>
    <w:rsid w:val="00BE12BE"/>
    <w:rsid w:val="00BE14AF"/>
    <w:rsid w:val="00BE1A53"/>
    <w:rsid w:val="00BE1E68"/>
    <w:rsid w:val="00BE29BD"/>
    <w:rsid w:val="00BE2D74"/>
    <w:rsid w:val="00BE5E76"/>
    <w:rsid w:val="00BF056D"/>
    <w:rsid w:val="00BF08CB"/>
    <w:rsid w:val="00BF0DFE"/>
    <w:rsid w:val="00BF1EB3"/>
    <w:rsid w:val="00BF2118"/>
    <w:rsid w:val="00BF294B"/>
    <w:rsid w:val="00BF2A18"/>
    <w:rsid w:val="00BF2F7B"/>
    <w:rsid w:val="00BF308F"/>
    <w:rsid w:val="00BF44E5"/>
    <w:rsid w:val="00BF4C4D"/>
    <w:rsid w:val="00BF605C"/>
    <w:rsid w:val="00C0181E"/>
    <w:rsid w:val="00C01839"/>
    <w:rsid w:val="00C02F30"/>
    <w:rsid w:val="00C03EFB"/>
    <w:rsid w:val="00C04ED1"/>
    <w:rsid w:val="00C055A1"/>
    <w:rsid w:val="00C05AF7"/>
    <w:rsid w:val="00C07CC2"/>
    <w:rsid w:val="00C110B3"/>
    <w:rsid w:val="00C11AE1"/>
    <w:rsid w:val="00C1626B"/>
    <w:rsid w:val="00C16488"/>
    <w:rsid w:val="00C21390"/>
    <w:rsid w:val="00C226BF"/>
    <w:rsid w:val="00C2270F"/>
    <w:rsid w:val="00C23FD0"/>
    <w:rsid w:val="00C265BC"/>
    <w:rsid w:val="00C305BF"/>
    <w:rsid w:val="00C326E3"/>
    <w:rsid w:val="00C35E27"/>
    <w:rsid w:val="00C40690"/>
    <w:rsid w:val="00C4173F"/>
    <w:rsid w:val="00C41A31"/>
    <w:rsid w:val="00C437A2"/>
    <w:rsid w:val="00C45F12"/>
    <w:rsid w:val="00C46324"/>
    <w:rsid w:val="00C463A5"/>
    <w:rsid w:val="00C50F5D"/>
    <w:rsid w:val="00C52714"/>
    <w:rsid w:val="00C54602"/>
    <w:rsid w:val="00C5465B"/>
    <w:rsid w:val="00C54A3C"/>
    <w:rsid w:val="00C56D39"/>
    <w:rsid w:val="00C577DF"/>
    <w:rsid w:val="00C600FB"/>
    <w:rsid w:val="00C6055D"/>
    <w:rsid w:val="00C62473"/>
    <w:rsid w:val="00C638F7"/>
    <w:rsid w:val="00C64B1C"/>
    <w:rsid w:val="00C66DA3"/>
    <w:rsid w:val="00C67460"/>
    <w:rsid w:val="00C70D57"/>
    <w:rsid w:val="00C71248"/>
    <w:rsid w:val="00C73C83"/>
    <w:rsid w:val="00C753BE"/>
    <w:rsid w:val="00C761CF"/>
    <w:rsid w:val="00C76E68"/>
    <w:rsid w:val="00C774BB"/>
    <w:rsid w:val="00C77873"/>
    <w:rsid w:val="00C84628"/>
    <w:rsid w:val="00C85B5B"/>
    <w:rsid w:val="00C87E8E"/>
    <w:rsid w:val="00C90B29"/>
    <w:rsid w:val="00C91327"/>
    <w:rsid w:val="00C91D8A"/>
    <w:rsid w:val="00C92D1D"/>
    <w:rsid w:val="00C9795D"/>
    <w:rsid w:val="00CA05B7"/>
    <w:rsid w:val="00CA0836"/>
    <w:rsid w:val="00CA12B4"/>
    <w:rsid w:val="00CA2164"/>
    <w:rsid w:val="00CA3480"/>
    <w:rsid w:val="00CA4573"/>
    <w:rsid w:val="00CA4FB6"/>
    <w:rsid w:val="00CA7E19"/>
    <w:rsid w:val="00CB1478"/>
    <w:rsid w:val="00CB157A"/>
    <w:rsid w:val="00CB20E9"/>
    <w:rsid w:val="00CB4202"/>
    <w:rsid w:val="00CB7023"/>
    <w:rsid w:val="00CC13CE"/>
    <w:rsid w:val="00CC44D3"/>
    <w:rsid w:val="00CC7F54"/>
    <w:rsid w:val="00CD1C66"/>
    <w:rsid w:val="00CD346F"/>
    <w:rsid w:val="00CD3DB0"/>
    <w:rsid w:val="00CF0CEC"/>
    <w:rsid w:val="00CF2D4B"/>
    <w:rsid w:val="00CF3D7C"/>
    <w:rsid w:val="00CF6B46"/>
    <w:rsid w:val="00D0002C"/>
    <w:rsid w:val="00D02ED3"/>
    <w:rsid w:val="00D0382F"/>
    <w:rsid w:val="00D03D0A"/>
    <w:rsid w:val="00D04247"/>
    <w:rsid w:val="00D04A11"/>
    <w:rsid w:val="00D05384"/>
    <w:rsid w:val="00D1095E"/>
    <w:rsid w:val="00D148B5"/>
    <w:rsid w:val="00D21056"/>
    <w:rsid w:val="00D2140F"/>
    <w:rsid w:val="00D251B4"/>
    <w:rsid w:val="00D31654"/>
    <w:rsid w:val="00D31F66"/>
    <w:rsid w:val="00D3308C"/>
    <w:rsid w:val="00D36CB7"/>
    <w:rsid w:val="00D40451"/>
    <w:rsid w:val="00D44D16"/>
    <w:rsid w:val="00D5026E"/>
    <w:rsid w:val="00D50B55"/>
    <w:rsid w:val="00D51B8B"/>
    <w:rsid w:val="00D51F76"/>
    <w:rsid w:val="00D56963"/>
    <w:rsid w:val="00D5728E"/>
    <w:rsid w:val="00D57542"/>
    <w:rsid w:val="00D603EC"/>
    <w:rsid w:val="00D606E2"/>
    <w:rsid w:val="00D60EE6"/>
    <w:rsid w:val="00D62E13"/>
    <w:rsid w:val="00D64417"/>
    <w:rsid w:val="00D64B16"/>
    <w:rsid w:val="00D6581D"/>
    <w:rsid w:val="00D70248"/>
    <w:rsid w:val="00D70EA1"/>
    <w:rsid w:val="00D74946"/>
    <w:rsid w:val="00D7494B"/>
    <w:rsid w:val="00D74C56"/>
    <w:rsid w:val="00D7541D"/>
    <w:rsid w:val="00D75C77"/>
    <w:rsid w:val="00D76EAE"/>
    <w:rsid w:val="00D770ED"/>
    <w:rsid w:val="00D77FDC"/>
    <w:rsid w:val="00D807E3"/>
    <w:rsid w:val="00D83B8E"/>
    <w:rsid w:val="00D83CA3"/>
    <w:rsid w:val="00D8488C"/>
    <w:rsid w:val="00D8530D"/>
    <w:rsid w:val="00D86288"/>
    <w:rsid w:val="00D913F8"/>
    <w:rsid w:val="00D9177A"/>
    <w:rsid w:val="00D92B9B"/>
    <w:rsid w:val="00D93019"/>
    <w:rsid w:val="00D9412E"/>
    <w:rsid w:val="00D94FB3"/>
    <w:rsid w:val="00D95102"/>
    <w:rsid w:val="00D95235"/>
    <w:rsid w:val="00D95CD8"/>
    <w:rsid w:val="00D972FB"/>
    <w:rsid w:val="00DA06ED"/>
    <w:rsid w:val="00DA1F96"/>
    <w:rsid w:val="00DA279E"/>
    <w:rsid w:val="00DB0766"/>
    <w:rsid w:val="00DB0C13"/>
    <w:rsid w:val="00DB0F0E"/>
    <w:rsid w:val="00DB2643"/>
    <w:rsid w:val="00DB3BA3"/>
    <w:rsid w:val="00DB3E58"/>
    <w:rsid w:val="00DB40FF"/>
    <w:rsid w:val="00DB49BD"/>
    <w:rsid w:val="00DB5469"/>
    <w:rsid w:val="00DC298C"/>
    <w:rsid w:val="00DC34DC"/>
    <w:rsid w:val="00DC5867"/>
    <w:rsid w:val="00DC5948"/>
    <w:rsid w:val="00DC6F22"/>
    <w:rsid w:val="00DC71B7"/>
    <w:rsid w:val="00DD0630"/>
    <w:rsid w:val="00DD0790"/>
    <w:rsid w:val="00DD3FC8"/>
    <w:rsid w:val="00DD533C"/>
    <w:rsid w:val="00DD5A87"/>
    <w:rsid w:val="00DD68F6"/>
    <w:rsid w:val="00DE5A85"/>
    <w:rsid w:val="00DE60A7"/>
    <w:rsid w:val="00DE6812"/>
    <w:rsid w:val="00DE6F1B"/>
    <w:rsid w:val="00DE7160"/>
    <w:rsid w:val="00DF006C"/>
    <w:rsid w:val="00DF1040"/>
    <w:rsid w:val="00DF2B6B"/>
    <w:rsid w:val="00DF37AB"/>
    <w:rsid w:val="00DF3CED"/>
    <w:rsid w:val="00DF60A7"/>
    <w:rsid w:val="00E02115"/>
    <w:rsid w:val="00E02980"/>
    <w:rsid w:val="00E02F7E"/>
    <w:rsid w:val="00E043DC"/>
    <w:rsid w:val="00E10CBA"/>
    <w:rsid w:val="00E1133F"/>
    <w:rsid w:val="00E157EF"/>
    <w:rsid w:val="00E16C36"/>
    <w:rsid w:val="00E17C6B"/>
    <w:rsid w:val="00E20B02"/>
    <w:rsid w:val="00E213DE"/>
    <w:rsid w:val="00E25DE2"/>
    <w:rsid w:val="00E3058E"/>
    <w:rsid w:val="00E3252E"/>
    <w:rsid w:val="00E3337C"/>
    <w:rsid w:val="00E34344"/>
    <w:rsid w:val="00E375C4"/>
    <w:rsid w:val="00E379BD"/>
    <w:rsid w:val="00E41917"/>
    <w:rsid w:val="00E423A5"/>
    <w:rsid w:val="00E43786"/>
    <w:rsid w:val="00E44FC4"/>
    <w:rsid w:val="00E467AE"/>
    <w:rsid w:val="00E46D4C"/>
    <w:rsid w:val="00E47483"/>
    <w:rsid w:val="00E509BC"/>
    <w:rsid w:val="00E5178F"/>
    <w:rsid w:val="00E52642"/>
    <w:rsid w:val="00E52C3A"/>
    <w:rsid w:val="00E55142"/>
    <w:rsid w:val="00E6041F"/>
    <w:rsid w:val="00E617A0"/>
    <w:rsid w:val="00E61D8C"/>
    <w:rsid w:val="00E669AB"/>
    <w:rsid w:val="00E712C0"/>
    <w:rsid w:val="00E71BFB"/>
    <w:rsid w:val="00E734B8"/>
    <w:rsid w:val="00E7595C"/>
    <w:rsid w:val="00E82956"/>
    <w:rsid w:val="00E83608"/>
    <w:rsid w:val="00E858AB"/>
    <w:rsid w:val="00E8651C"/>
    <w:rsid w:val="00E87E06"/>
    <w:rsid w:val="00E90148"/>
    <w:rsid w:val="00E9404E"/>
    <w:rsid w:val="00E94B37"/>
    <w:rsid w:val="00E9516F"/>
    <w:rsid w:val="00E95196"/>
    <w:rsid w:val="00E961C2"/>
    <w:rsid w:val="00E97900"/>
    <w:rsid w:val="00EA26D1"/>
    <w:rsid w:val="00EA3CC2"/>
    <w:rsid w:val="00EA47BD"/>
    <w:rsid w:val="00EA550E"/>
    <w:rsid w:val="00EA7561"/>
    <w:rsid w:val="00EA7941"/>
    <w:rsid w:val="00EA7B56"/>
    <w:rsid w:val="00EB1A91"/>
    <w:rsid w:val="00EB5B31"/>
    <w:rsid w:val="00EB5EBF"/>
    <w:rsid w:val="00EB60E9"/>
    <w:rsid w:val="00EB6729"/>
    <w:rsid w:val="00EB6CFF"/>
    <w:rsid w:val="00EB7390"/>
    <w:rsid w:val="00EB7838"/>
    <w:rsid w:val="00EC160E"/>
    <w:rsid w:val="00EC2D7A"/>
    <w:rsid w:val="00EC3753"/>
    <w:rsid w:val="00EC3BBA"/>
    <w:rsid w:val="00EC623F"/>
    <w:rsid w:val="00EC66FD"/>
    <w:rsid w:val="00EC77A3"/>
    <w:rsid w:val="00ED0C0A"/>
    <w:rsid w:val="00ED1BD6"/>
    <w:rsid w:val="00ED3C70"/>
    <w:rsid w:val="00ED435E"/>
    <w:rsid w:val="00ED4FAA"/>
    <w:rsid w:val="00EE317F"/>
    <w:rsid w:val="00EE4178"/>
    <w:rsid w:val="00EE6179"/>
    <w:rsid w:val="00EE7A69"/>
    <w:rsid w:val="00EF001C"/>
    <w:rsid w:val="00EF2AC6"/>
    <w:rsid w:val="00EF348A"/>
    <w:rsid w:val="00EF3D4A"/>
    <w:rsid w:val="00EF63A8"/>
    <w:rsid w:val="00F00553"/>
    <w:rsid w:val="00F02024"/>
    <w:rsid w:val="00F02E36"/>
    <w:rsid w:val="00F03B5D"/>
    <w:rsid w:val="00F0445A"/>
    <w:rsid w:val="00F05B4F"/>
    <w:rsid w:val="00F07C85"/>
    <w:rsid w:val="00F106D7"/>
    <w:rsid w:val="00F10785"/>
    <w:rsid w:val="00F116AE"/>
    <w:rsid w:val="00F12CC8"/>
    <w:rsid w:val="00F13DFB"/>
    <w:rsid w:val="00F14201"/>
    <w:rsid w:val="00F167E5"/>
    <w:rsid w:val="00F1682A"/>
    <w:rsid w:val="00F21A51"/>
    <w:rsid w:val="00F239B4"/>
    <w:rsid w:val="00F26BD8"/>
    <w:rsid w:val="00F30A01"/>
    <w:rsid w:val="00F31621"/>
    <w:rsid w:val="00F31C7B"/>
    <w:rsid w:val="00F31DF8"/>
    <w:rsid w:val="00F3297C"/>
    <w:rsid w:val="00F35850"/>
    <w:rsid w:val="00F36CBE"/>
    <w:rsid w:val="00F40C40"/>
    <w:rsid w:val="00F40C96"/>
    <w:rsid w:val="00F41526"/>
    <w:rsid w:val="00F41984"/>
    <w:rsid w:val="00F44302"/>
    <w:rsid w:val="00F445D1"/>
    <w:rsid w:val="00F45E5B"/>
    <w:rsid w:val="00F46484"/>
    <w:rsid w:val="00F46A0D"/>
    <w:rsid w:val="00F50961"/>
    <w:rsid w:val="00F50BA0"/>
    <w:rsid w:val="00F50FE6"/>
    <w:rsid w:val="00F514B1"/>
    <w:rsid w:val="00F52D27"/>
    <w:rsid w:val="00F55083"/>
    <w:rsid w:val="00F55380"/>
    <w:rsid w:val="00F568B7"/>
    <w:rsid w:val="00F56F75"/>
    <w:rsid w:val="00F62C9A"/>
    <w:rsid w:val="00F62F08"/>
    <w:rsid w:val="00F64D94"/>
    <w:rsid w:val="00F65E9D"/>
    <w:rsid w:val="00F712A1"/>
    <w:rsid w:val="00F726A5"/>
    <w:rsid w:val="00F75D69"/>
    <w:rsid w:val="00F77C61"/>
    <w:rsid w:val="00F805B9"/>
    <w:rsid w:val="00F81C09"/>
    <w:rsid w:val="00F828E5"/>
    <w:rsid w:val="00F83398"/>
    <w:rsid w:val="00F834DE"/>
    <w:rsid w:val="00F87896"/>
    <w:rsid w:val="00F87BB3"/>
    <w:rsid w:val="00F91158"/>
    <w:rsid w:val="00F9693B"/>
    <w:rsid w:val="00F97B71"/>
    <w:rsid w:val="00FA095D"/>
    <w:rsid w:val="00FA0B81"/>
    <w:rsid w:val="00FA343A"/>
    <w:rsid w:val="00FA4E4A"/>
    <w:rsid w:val="00FA5453"/>
    <w:rsid w:val="00FA63D4"/>
    <w:rsid w:val="00FB60F9"/>
    <w:rsid w:val="00FB685D"/>
    <w:rsid w:val="00FB6976"/>
    <w:rsid w:val="00FB6BEF"/>
    <w:rsid w:val="00FC0611"/>
    <w:rsid w:val="00FC0F44"/>
    <w:rsid w:val="00FC164C"/>
    <w:rsid w:val="00FC304B"/>
    <w:rsid w:val="00FC39C6"/>
    <w:rsid w:val="00FC6229"/>
    <w:rsid w:val="00FC65F7"/>
    <w:rsid w:val="00FC666D"/>
    <w:rsid w:val="00FC6FAC"/>
    <w:rsid w:val="00FD0125"/>
    <w:rsid w:val="00FD0741"/>
    <w:rsid w:val="00FD0F6B"/>
    <w:rsid w:val="00FD197B"/>
    <w:rsid w:val="00FD2EB6"/>
    <w:rsid w:val="00FD459F"/>
    <w:rsid w:val="00FD4C8E"/>
    <w:rsid w:val="00FD5A1B"/>
    <w:rsid w:val="00FE4492"/>
    <w:rsid w:val="00FE5BAE"/>
    <w:rsid w:val="00FE766E"/>
    <w:rsid w:val="00FF10E2"/>
    <w:rsid w:val="00FF627D"/>
    <w:rsid w:val="00FF70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61C44D"/>
  <w15:docId w15:val="{D3F1BFEA-C383-478C-B397-390E672A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Spacing"/>
    <w:link w:val="Heading1Char"/>
    <w:uiPriority w:val="9"/>
    <w:qFormat/>
    <w:rsid w:val="006427AD"/>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427AD"/>
    <w:pPr>
      <w:keepNext/>
      <w:keepLines/>
      <w:numPr>
        <w:numId w:val="13"/>
      </w:numPr>
      <w:jc w:val="left"/>
      <w:outlineLvl w:val="1"/>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D94"/>
    <w:pPr>
      <w:tabs>
        <w:tab w:val="center" w:pos="4680"/>
        <w:tab w:val="right" w:pos="9360"/>
      </w:tabs>
    </w:pPr>
  </w:style>
  <w:style w:type="character" w:customStyle="1" w:styleId="HeaderChar">
    <w:name w:val="Header Char"/>
    <w:basedOn w:val="DefaultParagraphFont"/>
    <w:link w:val="Header"/>
    <w:uiPriority w:val="99"/>
    <w:rsid w:val="00F64D94"/>
  </w:style>
  <w:style w:type="paragraph" w:styleId="Footer">
    <w:name w:val="footer"/>
    <w:basedOn w:val="Normal"/>
    <w:link w:val="FooterChar"/>
    <w:uiPriority w:val="99"/>
    <w:unhideWhenUsed/>
    <w:rsid w:val="00F64D94"/>
    <w:pPr>
      <w:tabs>
        <w:tab w:val="center" w:pos="4680"/>
        <w:tab w:val="right" w:pos="9360"/>
      </w:tabs>
    </w:pPr>
  </w:style>
  <w:style w:type="character" w:customStyle="1" w:styleId="FooterChar">
    <w:name w:val="Footer Char"/>
    <w:basedOn w:val="DefaultParagraphFont"/>
    <w:link w:val="Footer"/>
    <w:uiPriority w:val="99"/>
    <w:rsid w:val="00F64D94"/>
  </w:style>
  <w:style w:type="character" w:styleId="PlaceholderText">
    <w:name w:val="Placeholder Text"/>
    <w:basedOn w:val="DefaultParagraphFont"/>
    <w:uiPriority w:val="99"/>
    <w:semiHidden/>
    <w:rsid w:val="00F64D94"/>
    <w:rPr>
      <w:color w:val="808080"/>
    </w:rPr>
  </w:style>
  <w:style w:type="paragraph" w:styleId="ListParagraph">
    <w:name w:val="List Paragraph"/>
    <w:basedOn w:val="Normal"/>
    <w:uiPriority w:val="34"/>
    <w:qFormat/>
    <w:rsid w:val="00A9340E"/>
    <w:pPr>
      <w:ind w:left="720"/>
      <w:contextualSpacing/>
    </w:pPr>
  </w:style>
  <w:style w:type="table" w:styleId="TableGrid">
    <w:name w:val="Table Grid"/>
    <w:basedOn w:val="TableNormal"/>
    <w:uiPriority w:val="39"/>
    <w:rsid w:val="00A9340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1173"/>
    <w:rPr>
      <w:sz w:val="16"/>
      <w:szCs w:val="16"/>
    </w:rPr>
  </w:style>
  <w:style w:type="paragraph" w:styleId="CommentText">
    <w:name w:val="annotation text"/>
    <w:basedOn w:val="Normal"/>
    <w:link w:val="CommentTextChar"/>
    <w:uiPriority w:val="99"/>
    <w:semiHidden/>
    <w:unhideWhenUsed/>
    <w:rsid w:val="002E1173"/>
    <w:pPr>
      <w:spacing w:line="240" w:lineRule="auto"/>
    </w:pPr>
    <w:rPr>
      <w:sz w:val="20"/>
      <w:szCs w:val="20"/>
    </w:rPr>
  </w:style>
  <w:style w:type="character" w:customStyle="1" w:styleId="CommentTextChar">
    <w:name w:val="Comment Text Char"/>
    <w:basedOn w:val="DefaultParagraphFont"/>
    <w:link w:val="CommentText"/>
    <w:uiPriority w:val="99"/>
    <w:semiHidden/>
    <w:rsid w:val="002E1173"/>
    <w:rPr>
      <w:sz w:val="20"/>
      <w:szCs w:val="20"/>
    </w:rPr>
  </w:style>
  <w:style w:type="paragraph" w:styleId="CommentSubject">
    <w:name w:val="annotation subject"/>
    <w:basedOn w:val="CommentText"/>
    <w:next w:val="CommentText"/>
    <w:link w:val="CommentSubjectChar"/>
    <w:uiPriority w:val="99"/>
    <w:semiHidden/>
    <w:unhideWhenUsed/>
    <w:rsid w:val="002E1173"/>
    <w:rPr>
      <w:b/>
      <w:bCs/>
    </w:rPr>
  </w:style>
  <w:style w:type="character" w:customStyle="1" w:styleId="CommentSubjectChar">
    <w:name w:val="Comment Subject Char"/>
    <w:basedOn w:val="CommentTextChar"/>
    <w:link w:val="CommentSubject"/>
    <w:uiPriority w:val="99"/>
    <w:semiHidden/>
    <w:rsid w:val="002E1173"/>
    <w:rPr>
      <w:b/>
      <w:bCs/>
      <w:sz w:val="20"/>
      <w:szCs w:val="20"/>
    </w:rPr>
  </w:style>
  <w:style w:type="paragraph" w:styleId="BalloonText">
    <w:name w:val="Balloon Text"/>
    <w:basedOn w:val="Normal"/>
    <w:link w:val="BalloonTextChar"/>
    <w:uiPriority w:val="99"/>
    <w:semiHidden/>
    <w:unhideWhenUsed/>
    <w:rsid w:val="002E11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173"/>
    <w:rPr>
      <w:rFonts w:ascii="Segoe UI" w:hAnsi="Segoe UI" w:cs="Segoe UI"/>
      <w:sz w:val="18"/>
      <w:szCs w:val="18"/>
    </w:rPr>
  </w:style>
  <w:style w:type="character" w:styleId="Strong">
    <w:name w:val="Strong"/>
    <w:basedOn w:val="DefaultParagraphFont"/>
    <w:uiPriority w:val="22"/>
    <w:qFormat/>
    <w:rsid w:val="00226808"/>
    <w:rPr>
      <w:b/>
      <w:bCs/>
    </w:rPr>
  </w:style>
  <w:style w:type="paragraph" w:styleId="Caption">
    <w:name w:val="caption"/>
    <w:basedOn w:val="Normal"/>
    <w:next w:val="Normal"/>
    <w:uiPriority w:val="35"/>
    <w:unhideWhenUsed/>
    <w:qFormat/>
    <w:rsid w:val="004D0296"/>
    <w:pPr>
      <w:spacing w:after="200" w:line="240" w:lineRule="auto"/>
    </w:pPr>
    <w:rPr>
      <w:i/>
      <w:iCs/>
      <w:color w:val="44546A" w:themeColor="text2"/>
      <w:szCs w:val="18"/>
    </w:rPr>
  </w:style>
  <w:style w:type="paragraph" w:styleId="TableofFigures">
    <w:name w:val="table of figures"/>
    <w:basedOn w:val="Normal"/>
    <w:next w:val="Normal"/>
    <w:uiPriority w:val="99"/>
    <w:unhideWhenUsed/>
    <w:rsid w:val="00470E7B"/>
    <w:pPr>
      <w:ind w:left="480" w:hanging="480"/>
      <w:jc w:val="left"/>
    </w:pPr>
    <w:rPr>
      <w:rFonts w:asciiTheme="majorBidi" w:hAnsiTheme="majorBidi" w:cs="Times New Roman"/>
      <w:bCs/>
    </w:rPr>
  </w:style>
  <w:style w:type="character" w:styleId="Hyperlink">
    <w:name w:val="Hyperlink"/>
    <w:basedOn w:val="DefaultParagraphFont"/>
    <w:uiPriority w:val="99"/>
    <w:unhideWhenUsed/>
    <w:rsid w:val="004D0296"/>
    <w:rPr>
      <w:color w:val="0563C1" w:themeColor="hyperlink"/>
      <w:u w:val="single"/>
    </w:rPr>
  </w:style>
  <w:style w:type="character" w:customStyle="1" w:styleId="Heading1Char">
    <w:name w:val="Heading 1 Char"/>
    <w:basedOn w:val="DefaultParagraphFont"/>
    <w:link w:val="Heading1"/>
    <w:uiPriority w:val="9"/>
    <w:rsid w:val="006427AD"/>
    <w:rPr>
      <w:rFonts w:eastAsiaTheme="majorEastAsia" w:cstheme="majorBidi"/>
      <w:b/>
      <w:szCs w:val="32"/>
    </w:rPr>
  </w:style>
  <w:style w:type="character" w:customStyle="1" w:styleId="Heading2Char">
    <w:name w:val="Heading 2 Char"/>
    <w:basedOn w:val="DefaultParagraphFont"/>
    <w:link w:val="Heading2"/>
    <w:uiPriority w:val="9"/>
    <w:rsid w:val="006427AD"/>
    <w:rPr>
      <w:rFonts w:eastAsiaTheme="majorEastAsia" w:cstheme="majorBidi"/>
      <w:b/>
    </w:rPr>
  </w:style>
  <w:style w:type="paragraph" w:styleId="NoSpacing">
    <w:name w:val="No Spacing"/>
    <w:uiPriority w:val="1"/>
    <w:qFormat/>
    <w:rsid w:val="006427AD"/>
    <w:pPr>
      <w:spacing w:line="240" w:lineRule="auto"/>
    </w:pPr>
  </w:style>
  <w:style w:type="paragraph" w:styleId="NormalWeb">
    <w:name w:val="Normal (Web)"/>
    <w:basedOn w:val="Normal"/>
    <w:uiPriority w:val="99"/>
    <w:semiHidden/>
    <w:unhideWhenUsed/>
    <w:rsid w:val="00876D8D"/>
    <w:pPr>
      <w:spacing w:before="100" w:beforeAutospacing="1" w:after="100" w:afterAutospacing="1" w:line="240" w:lineRule="auto"/>
      <w:jc w:val="left"/>
    </w:pPr>
    <w:rPr>
      <w:rFonts w:eastAsiaTheme="minorEastAsia" w:cs="Times New Roman"/>
    </w:rPr>
  </w:style>
  <w:style w:type="paragraph" w:styleId="Revision">
    <w:name w:val="Revision"/>
    <w:hidden/>
    <w:uiPriority w:val="99"/>
    <w:semiHidden/>
    <w:rsid w:val="00D603EC"/>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08189">
      <w:bodyDiv w:val="1"/>
      <w:marLeft w:val="0"/>
      <w:marRight w:val="0"/>
      <w:marTop w:val="0"/>
      <w:marBottom w:val="0"/>
      <w:divBdr>
        <w:top w:val="none" w:sz="0" w:space="0" w:color="auto"/>
        <w:left w:val="none" w:sz="0" w:space="0" w:color="auto"/>
        <w:bottom w:val="none" w:sz="0" w:space="0" w:color="auto"/>
        <w:right w:val="none" w:sz="0" w:space="0" w:color="auto"/>
      </w:divBdr>
    </w:div>
    <w:div w:id="106237464">
      <w:bodyDiv w:val="1"/>
      <w:marLeft w:val="0"/>
      <w:marRight w:val="0"/>
      <w:marTop w:val="0"/>
      <w:marBottom w:val="0"/>
      <w:divBdr>
        <w:top w:val="none" w:sz="0" w:space="0" w:color="auto"/>
        <w:left w:val="none" w:sz="0" w:space="0" w:color="auto"/>
        <w:bottom w:val="none" w:sz="0" w:space="0" w:color="auto"/>
        <w:right w:val="none" w:sz="0" w:space="0" w:color="auto"/>
      </w:divBdr>
    </w:div>
    <w:div w:id="106702219">
      <w:bodyDiv w:val="1"/>
      <w:marLeft w:val="0"/>
      <w:marRight w:val="0"/>
      <w:marTop w:val="0"/>
      <w:marBottom w:val="0"/>
      <w:divBdr>
        <w:top w:val="none" w:sz="0" w:space="0" w:color="auto"/>
        <w:left w:val="none" w:sz="0" w:space="0" w:color="auto"/>
        <w:bottom w:val="none" w:sz="0" w:space="0" w:color="auto"/>
        <w:right w:val="none" w:sz="0" w:space="0" w:color="auto"/>
      </w:divBdr>
    </w:div>
    <w:div w:id="151484754">
      <w:bodyDiv w:val="1"/>
      <w:marLeft w:val="0"/>
      <w:marRight w:val="0"/>
      <w:marTop w:val="0"/>
      <w:marBottom w:val="0"/>
      <w:divBdr>
        <w:top w:val="none" w:sz="0" w:space="0" w:color="auto"/>
        <w:left w:val="none" w:sz="0" w:space="0" w:color="auto"/>
        <w:bottom w:val="none" w:sz="0" w:space="0" w:color="auto"/>
        <w:right w:val="none" w:sz="0" w:space="0" w:color="auto"/>
      </w:divBdr>
    </w:div>
    <w:div w:id="180749288">
      <w:bodyDiv w:val="1"/>
      <w:marLeft w:val="0"/>
      <w:marRight w:val="0"/>
      <w:marTop w:val="0"/>
      <w:marBottom w:val="0"/>
      <w:divBdr>
        <w:top w:val="none" w:sz="0" w:space="0" w:color="auto"/>
        <w:left w:val="none" w:sz="0" w:space="0" w:color="auto"/>
        <w:bottom w:val="none" w:sz="0" w:space="0" w:color="auto"/>
        <w:right w:val="none" w:sz="0" w:space="0" w:color="auto"/>
      </w:divBdr>
    </w:div>
    <w:div w:id="213543734">
      <w:bodyDiv w:val="1"/>
      <w:marLeft w:val="0"/>
      <w:marRight w:val="0"/>
      <w:marTop w:val="0"/>
      <w:marBottom w:val="0"/>
      <w:divBdr>
        <w:top w:val="none" w:sz="0" w:space="0" w:color="auto"/>
        <w:left w:val="none" w:sz="0" w:space="0" w:color="auto"/>
        <w:bottom w:val="none" w:sz="0" w:space="0" w:color="auto"/>
        <w:right w:val="none" w:sz="0" w:space="0" w:color="auto"/>
      </w:divBdr>
    </w:div>
    <w:div w:id="218857154">
      <w:bodyDiv w:val="1"/>
      <w:marLeft w:val="0"/>
      <w:marRight w:val="0"/>
      <w:marTop w:val="0"/>
      <w:marBottom w:val="0"/>
      <w:divBdr>
        <w:top w:val="none" w:sz="0" w:space="0" w:color="auto"/>
        <w:left w:val="none" w:sz="0" w:space="0" w:color="auto"/>
        <w:bottom w:val="none" w:sz="0" w:space="0" w:color="auto"/>
        <w:right w:val="none" w:sz="0" w:space="0" w:color="auto"/>
      </w:divBdr>
    </w:div>
    <w:div w:id="248272646">
      <w:bodyDiv w:val="1"/>
      <w:marLeft w:val="0"/>
      <w:marRight w:val="0"/>
      <w:marTop w:val="0"/>
      <w:marBottom w:val="0"/>
      <w:divBdr>
        <w:top w:val="none" w:sz="0" w:space="0" w:color="auto"/>
        <w:left w:val="none" w:sz="0" w:space="0" w:color="auto"/>
        <w:bottom w:val="none" w:sz="0" w:space="0" w:color="auto"/>
        <w:right w:val="none" w:sz="0" w:space="0" w:color="auto"/>
      </w:divBdr>
    </w:div>
    <w:div w:id="264047273">
      <w:bodyDiv w:val="1"/>
      <w:marLeft w:val="0"/>
      <w:marRight w:val="0"/>
      <w:marTop w:val="0"/>
      <w:marBottom w:val="0"/>
      <w:divBdr>
        <w:top w:val="none" w:sz="0" w:space="0" w:color="auto"/>
        <w:left w:val="none" w:sz="0" w:space="0" w:color="auto"/>
        <w:bottom w:val="none" w:sz="0" w:space="0" w:color="auto"/>
        <w:right w:val="none" w:sz="0" w:space="0" w:color="auto"/>
      </w:divBdr>
    </w:div>
    <w:div w:id="335806705">
      <w:bodyDiv w:val="1"/>
      <w:marLeft w:val="0"/>
      <w:marRight w:val="0"/>
      <w:marTop w:val="0"/>
      <w:marBottom w:val="0"/>
      <w:divBdr>
        <w:top w:val="none" w:sz="0" w:space="0" w:color="auto"/>
        <w:left w:val="none" w:sz="0" w:space="0" w:color="auto"/>
        <w:bottom w:val="none" w:sz="0" w:space="0" w:color="auto"/>
        <w:right w:val="none" w:sz="0" w:space="0" w:color="auto"/>
      </w:divBdr>
    </w:div>
    <w:div w:id="397872373">
      <w:bodyDiv w:val="1"/>
      <w:marLeft w:val="0"/>
      <w:marRight w:val="0"/>
      <w:marTop w:val="0"/>
      <w:marBottom w:val="0"/>
      <w:divBdr>
        <w:top w:val="none" w:sz="0" w:space="0" w:color="auto"/>
        <w:left w:val="none" w:sz="0" w:space="0" w:color="auto"/>
        <w:bottom w:val="none" w:sz="0" w:space="0" w:color="auto"/>
        <w:right w:val="none" w:sz="0" w:space="0" w:color="auto"/>
      </w:divBdr>
    </w:div>
    <w:div w:id="408187237">
      <w:bodyDiv w:val="1"/>
      <w:marLeft w:val="0"/>
      <w:marRight w:val="0"/>
      <w:marTop w:val="0"/>
      <w:marBottom w:val="0"/>
      <w:divBdr>
        <w:top w:val="none" w:sz="0" w:space="0" w:color="auto"/>
        <w:left w:val="none" w:sz="0" w:space="0" w:color="auto"/>
        <w:bottom w:val="none" w:sz="0" w:space="0" w:color="auto"/>
        <w:right w:val="none" w:sz="0" w:space="0" w:color="auto"/>
      </w:divBdr>
    </w:div>
    <w:div w:id="468329897">
      <w:bodyDiv w:val="1"/>
      <w:marLeft w:val="0"/>
      <w:marRight w:val="0"/>
      <w:marTop w:val="0"/>
      <w:marBottom w:val="0"/>
      <w:divBdr>
        <w:top w:val="none" w:sz="0" w:space="0" w:color="auto"/>
        <w:left w:val="none" w:sz="0" w:space="0" w:color="auto"/>
        <w:bottom w:val="none" w:sz="0" w:space="0" w:color="auto"/>
        <w:right w:val="none" w:sz="0" w:space="0" w:color="auto"/>
      </w:divBdr>
    </w:div>
    <w:div w:id="489559171">
      <w:bodyDiv w:val="1"/>
      <w:marLeft w:val="0"/>
      <w:marRight w:val="0"/>
      <w:marTop w:val="0"/>
      <w:marBottom w:val="0"/>
      <w:divBdr>
        <w:top w:val="none" w:sz="0" w:space="0" w:color="auto"/>
        <w:left w:val="none" w:sz="0" w:space="0" w:color="auto"/>
        <w:bottom w:val="none" w:sz="0" w:space="0" w:color="auto"/>
        <w:right w:val="none" w:sz="0" w:space="0" w:color="auto"/>
      </w:divBdr>
    </w:div>
    <w:div w:id="495925096">
      <w:bodyDiv w:val="1"/>
      <w:marLeft w:val="0"/>
      <w:marRight w:val="0"/>
      <w:marTop w:val="0"/>
      <w:marBottom w:val="0"/>
      <w:divBdr>
        <w:top w:val="none" w:sz="0" w:space="0" w:color="auto"/>
        <w:left w:val="none" w:sz="0" w:space="0" w:color="auto"/>
        <w:bottom w:val="none" w:sz="0" w:space="0" w:color="auto"/>
        <w:right w:val="none" w:sz="0" w:space="0" w:color="auto"/>
      </w:divBdr>
      <w:divsChild>
        <w:div w:id="98064494">
          <w:marLeft w:val="0"/>
          <w:marRight w:val="0"/>
          <w:marTop w:val="0"/>
          <w:marBottom w:val="0"/>
          <w:divBdr>
            <w:top w:val="none" w:sz="0" w:space="0" w:color="auto"/>
            <w:left w:val="none" w:sz="0" w:space="0" w:color="auto"/>
            <w:bottom w:val="none" w:sz="0" w:space="0" w:color="auto"/>
            <w:right w:val="none" w:sz="0" w:space="0" w:color="auto"/>
          </w:divBdr>
        </w:div>
        <w:div w:id="200941182">
          <w:marLeft w:val="0"/>
          <w:marRight w:val="0"/>
          <w:marTop w:val="0"/>
          <w:marBottom w:val="0"/>
          <w:divBdr>
            <w:top w:val="none" w:sz="0" w:space="0" w:color="auto"/>
            <w:left w:val="none" w:sz="0" w:space="0" w:color="auto"/>
            <w:bottom w:val="none" w:sz="0" w:space="0" w:color="auto"/>
            <w:right w:val="none" w:sz="0" w:space="0" w:color="auto"/>
          </w:divBdr>
        </w:div>
        <w:div w:id="1721248428">
          <w:marLeft w:val="0"/>
          <w:marRight w:val="0"/>
          <w:marTop w:val="0"/>
          <w:marBottom w:val="0"/>
          <w:divBdr>
            <w:top w:val="none" w:sz="0" w:space="0" w:color="auto"/>
            <w:left w:val="none" w:sz="0" w:space="0" w:color="auto"/>
            <w:bottom w:val="none" w:sz="0" w:space="0" w:color="auto"/>
            <w:right w:val="none" w:sz="0" w:space="0" w:color="auto"/>
          </w:divBdr>
        </w:div>
        <w:div w:id="692607111">
          <w:marLeft w:val="0"/>
          <w:marRight w:val="0"/>
          <w:marTop w:val="0"/>
          <w:marBottom w:val="0"/>
          <w:divBdr>
            <w:top w:val="none" w:sz="0" w:space="0" w:color="auto"/>
            <w:left w:val="none" w:sz="0" w:space="0" w:color="auto"/>
            <w:bottom w:val="none" w:sz="0" w:space="0" w:color="auto"/>
            <w:right w:val="none" w:sz="0" w:space="0" w:color="auto"/>
          </w:divBdr>
        </w:div>
        <w:div w:id="1650864371">
          <w:marLeft w:val="0"/>
          <w:marRight w:val="0"/>
          <w:marTop w:val="0"/>
          <w:marBottom w:val="0"/>
          <w:divBdr>
            <w:top w:val="none" w:sz="0" w:space="0" w:color="auto"/>
            <w:left w:val="none" w:sz="0" w:space="0" w:color="auto"/>
            <w:bottom w:val="none" w:sz="0" w:space="0" w:color="auto"/>
            <w:right w:val="none" w:sz="0" w:space="0" w:color="auto"/>
          </w:divBdr>
        </w:div>
        <w:div w:id="1872955615">
          <w:marLeft w:val="0"/>
          <w:marRight w:val="0"/>
          <w:marTop w:val="0"/>
          <w:marBottom w:val="0"/>
          <w:divBdr>
            <w:top w:val="none" w:sz="0" w:space="0" w:color="auto"/>
            <w:left w:val="none" w:sz="0" w:space="0" w:color="auto"/>
            <w:bottom w:val="none" w:sz="0" w:space="0" w:color="auto"/>
            <w:right w:val="none" w:sz="0" w:space="0" w:color="auto"/>
          </w:divBdr>
        </w:div>
        <w:div w:id="1419330023">
          <w:marLeft w:val="0"/>
          <w:marRight w:val="0"/>
          <w:marTop w:val="0"/>
          <w:marBottom w:val="0"/>
          <w:divBdr>
            <w:top w:val="none" w:sz="0" w:space="0" w:color="auto"/>
            <w:left w:val="none" w:sz="0" w:space="0" w:color="auto"/>
            <w:bottom w:val="none" w:sz="0" w:space="0" w:color="auto"/>
            <w:right w:val="none" w:sz="0" w:space="0" w:color="auto"/>
          </w:divBdr>
        </w:div>
        <w:div w:id="1750928599">
          <w:marLeft w:val="0"/>
          <w:marRight w:val="0"/>
          <w:marTop w:val="0"/>
          <w:marBottom w:val="0"/>
          <w:divBdr>
            <w:top w:val="none" w:sz="0" w:space="0" w:color="auto"/>
            <w:left w:val="none" w:sz="0" w:space="0" w:color="auto"/>
            <w:bottom w:val="none" w:sz="0" w:space="0" w:color="auto"/>
            <w:right w:val="none" w:sz="0" w:space="0" w:color="auto"/>
          </w:divBdr>
        </w:div>
      </w:divsChild>
    </w:div>
    <w:div w:id="572392597">
      <w:bodyDiv w:val="1"/>
      <w:marLeft w:val="0"/>
      <w:marRight w:val="0"/>
      <w:marTop w:val="0"/>
      <w:marBottom w:val="0"/>
      <w:divBdr>
        <w:top w:val="none" w:sz="0" w:space="0" w:color="auto"/>
        <w:left w:val="none" w:sz="0" w:space="0" w:color="auto"/>
        <w:bottom w:val="none" w:sz="0" w:space="0" w:color="auto"/>
        <w:right w:val="none" w:sz="0" w:space="0" w:color="auto"/>
      </w:divBdr>
    </w:div>
    <w:div w:id="592666522">
      <w:bodyDiv w:val="1"/>
      <w:marLeft w:val="0"/>
      <w:marRight w:val="0"/>
      <w:marTop w:val="0"/>
      <w:marBottom w:val="0"/>
      <w:divBdr>
        <w:top w:val="none" w:sz="0" w:space="0" w:color="auto"/>
        <w:left w:val="none" w:sz="0" w:space="0" w:color="auto"/>
        <w:bottom w:val="none" w:sz="0" w:space="0" w:color="auto"/>
        <w:right w:val="none" w:sz="0" w:space="0" w:color="auto"/>
      </w:divBdr>
    </w:div>
    <w:div w:id="627979055">
      <w:bodyDiv w:val="1"/>
      <w:marLeft w:val="0"/>
      <w:marRight w:val="0"/>
      <w:marTop w:val="0"/>
      <w:marBottom w:val="0"/>
      <w:divBdr>
        <w:top w:val="none" w:sz="0" w:space="0" w:color="auto"/>
        <w:left w:val="none" w:sz="0" w:space="0" w:color="auto"/>
        <w:bottom w:val="none" w:sz="0" w:space="0" w:color="auto"/>
        <w:right w:val="none" w:sz="0" w:space="0" w:color="auto"/>
      </w:divBdr>
    </w:div>
    <w:div w:id="635598618">
      <w:bodyDiv w:val="1"/>
      <w:marLeft w:val="0"/>
      <w:marRight w:val="0"/>
      <w:marTop w:val="0"/>
      <w:marBottom w:val="0"/>
      <w:divBdr>
        <w:top w:val="none" w:sz="0" w:space="0" w:color="auto"/>
        <w:left w:val="none" w:sz="0" w:space="0" w:color="auto"/>
        <w:bottom w:val="none" w:sz="0" w:space="0" w:color="auto"/>
        <w:right w:val="none" w:sz="0" w:space="0" w:color="auto"/>
      </w:divBdr>
    </w:div>
    <w:div w:id="667635610">
      <w:bodyDiv w:val="1"/>
      <w:marLeft w:val="0"/>
      <w:marRight w:val="0"/>
      <w:marTop w:val="0"/>
      <w:marBottom w:val="0"/>
      <w:divBdr>
        <w:top w:val="none" w:sz="0" w:space="0" w:color="auto"/>
        <w:left w:val="none" w:sz="0" w:space="0" w:color="auto"/>
        <w:bottom w:val="none" w:sz="0" w:space="0" w:color="auto"/>
        <w:right w:val="none" w:sz="0" w:space="0" w:color="auto"/>
      </w:divBdr>
    </w:div>
    <w:div w:id="756367178">
      <w:bodyDiv w:val="1"/>
      <w:marLeft w:val="0"/>
      <w:marRight w:val="0"/>
      <w:marTop w:val="0"/>
      <w:marBottom w:val="0"/>
      <w:divBdr>
        <w:top w:val="none" w:sz="0" w:space="0" w:color="auto"/>
        <w:left w:val="none" w:sz="0" w:space="0" w:color="auto"/>
        <w:bottom w:val="none" w:sz="0" w:space="0" w:color="auto"/>
        <w:right w:val="none" w:sz="0" w:space="0" w:color="auto"/>
      </w:divBdr>
    </w:div>
    <w:div w:id="814956206">
      <w:bodyDiv w:val="1"/>
      <w:marLeft w:val="0"/>
      <w:marRight w:val="0"/>
      <w:marTop w:val="0"/>
      <w:marBottom w:val="0"/>
      <w:divBdr>
        <w:top w:val="none" w:sz="0" w:space="0" w:color="auto"/>
        <w:left w:val="none" w:sz="0" w:space="0" w:color="auto"/>
        <w:bottom w:val="none" w:sz="0" w:space="0" w:color="auto"/>
        <w:right w:val="none" w:sz="0" w:space="0" w:color="auto"/>
      </w:divBdr>
    </w:div>
    <w:div w:id="842866110">
      <w:bodyDiv w:val="1"/>
      <w:marLeft w:val="0"/>
      <w:marRight w:val="0"/>
      <w:marTop w:val="0"/>
      <w:marBottom w:val="0"/>
      <w:divBdr>
        <w:top w:val="none" w:sz="0" w:space="0" w:color="auto"/>
        <w:left w:val="none" w:sz="0" w:space="0" w:color="auto"/>
        <w:bottom w:val="none" w:sz="0" w:space="0" w:color="auto"/>
        <w:right w:val="none" w:sz="0" w:space="0" w:color="auto"/>
      </w:divBdr>
    </w:div>
    <w:div w:id="867179600">
      <w:bodyDiv w:val="1"/>
      <w:marLeft w:val="0"/>
      <w:marRight w:val="0"/>
      <w:marTop w:val="0"/>
      <w:marBottom w:val="0"/>
      <w:divBdr>
        <w:top w:val="none" w:sz="0" w:space="0" w:color="auto"/>
        <w:left w:val="none" w:sz="0" w:space="0" w:color="auto"/>
        <w:bottom w:val="none" w:sz="0" w:space="0" w:color="auto"/>
        <w:right w:val="none" w:sz="0" w:space="0" w:color="auto"/>
      </w:divBdr>
    </w:div>
    <w:div w:id="880171507">
      <w:bodyDiv w:val="1"/>
      <w:marLeft w:val="0"/>
      <w:marRight w:val="0"/>
      <w:marTop w:val="0"/>
      <w:marBottom w:val="0"/>
      <w:divBdr>
        <w:top w:val="none" w:sz="0" w:space="0" w:color="auto"/>
        <w:left w:val="none" w:sz="0" w:space="0" w:color="auto"/>
        <w:bottom w:val="none" w:sz="0" w:space="0" w:color="auto"/>
        <w:right w:val="none" w:sz="0" w:space="0" w:color="auto"/>
      </w:divBdr>
    </w:div>
    <w:div w:id="894008981">
      <w:bodyDiv w:val="1"/>
      <w:marLeft w:val="0"/>
      <w:marRight w:val="0"/>
      <w:marTop w:val="0"/>
      <w:marBottom w:val="0"/>
      <w:divBdr>
        <w:top w:val="none" w:sz="0" w:space="0" w:color="auto"/>
        <w:left w:val="none" w:sz="0" w:space="0" w:color="auto"/>
        <w:bottom w:val="none" w:sz="0" w:space="0" w:color="auto"/>
        <w:right w:val="none" w:sz="0" w:space="0" w:color="auto"/>
      </w:divBdr>
    </w:div>
    <w:div w:id="941836304">
      <w:bodyDiv w:val="1"/>
      <w:marLeft w:val="0"/>
      <w:marRight w:val="0"/>
      <w:marTop w:val="0"/>
      <w:marBottom w:val="0"/>
      <w:divBdr>
        <w:top w:val="none" w:sz="0" w:space="0" w:color="auto"/>
        <w:left w:val="none" w:sz="0" w:space="0" w:color="auto"/>
        <w:bottom w:val="none" w:sz="0" w:space="0" w:color="auto"/>
        <w:right w:val="none" w:sz="0" w:space="0" w:color="auto"/>
      </w:divBdr>
    </w:div>
    <w:div w:id="1048994149">
      <w:bodyDiv w:val="1"/>
      <w:marLeft w:val="0"/>
      <w:marRight w:val="0"/>
      <w:marTop w:val="0"/>
      <w:marBottom w:val="0"/>
      <w:divBdr>
        <w:top w:val="none" w:sz="0" w:space="0" w:color="auto"/>
        <w:left w:val="none" w:sz="0" w:space="0" w:color="auto"/>
        <w:bottom w:val="none" w:sz="0" w:space="0" w:color="auto"/>
        <w:right w:val="none" w:sz="0" w:space="0" w:color="auto"/>
      </w:divBdr>
    </w:div>
    <w:div w:id="1051541718">
      <w:bodyDiv w:val="1"/>
      <w:marLeft w:val="0"/>
      <w:marRight w:val="0"/>
      <w:marTop w:val="0"/>
      <w:marBottom w:val="0"/>
      <w:divBdr>
        <w:top w:val="none" w:sz="0" w:space="0" w:color="auto"/>
        <w:left w:val="none" w:sz="0" w:space="0" w:color="auto"/>
        <w:bottom w:val="none" w:sz="0" w:space="0" w:color="auto"/>
        <w:right w:val="none" w:sz="0" w:space="0" w:color="auto"/>
      </w:divBdr>
    </w:div>
    <w:div w:id="1053887669">
      <w:bodyDiv w:val="1"/>
      <w:marLeft w:val="0"/>
      <w:marRight w:val="0"/>
      <w:marTop w:val="0"/>
      <w:marBottom w:val="0"/>
      <w:divBdr>
        <w:top w:val="none" w:sz="0" w:space="0" w:color="auto"/>
        <w:left w:val="none" w:sz="0" w:space="0" w:color="auto"/>
        <w:bottom w:val="none" w:sz="0" w:space="0" w:color="auto"/>
        <w:right w:val="none" w:sz="0" w:space="0" w:color="auto"/>
      </w:divBdr>
    </w:div>
    <w:div w:id="1087071384">
      <w:bodyDiv w:val="1"/>
      <w:marLeft w:val="0"/>
      <w:marRight w:val="0"/>
      <w:marTop w:val="0"/>
      <w:marBottom w:val="0"/>
      <w:divBdr>
        <w:top w:val="none" w:sz="0" w:space="0" w:color="auto"/>
        <w:left w:val="none" w:sz="0" w:space="0" w:color="auto"/>
        <w:bottom w:val="none" w:sz="0" w:space="0" w:color="auto"/>
        <w:right w:val="none" w:sz="0" w:space="0" w:color="auto"/>
      </w:divBdr>
      <w:divsChild>
        <w:div w:id="1226405815">
          <w:marLeft w:val="0"/>
          <w:marRight w:val="0"/>
          <w:marTop w:val="0"/>
          <w:marBottom w:val="0"/>
          <w:divBdr>
            <w:top w:val="none" w:sz="0" w:space="0" w:color="auto"/>
            <w:left w:val="none" w:sz="0" w:space="0" w:color="auto"/>
            <w:bottom w:val="none" w:sz="0" w:space="0" w:color="auto"/>
            <w:right w:val="none" w:sz="0" w:space="0" w:color="auto"/>
          </w:divBdr>
        </w:div>
        <w:div w:id="1108547326">
          <w:marLeft w:val="0"/>
          <w:marRight w:val="0"/>
          <w:marTop w:val="0"/>
          <w:marBottom w:val="0"/>
          <w:divBdr>
            <w:top w:val="none" w:sz="0" w:space="0" w:color="auto"/>
            <w:left w:val="none" w:sz="0" w:space="0" w:color="auto"/>
            <w:bottom w:val="none" w:sz="0" w:space="0" w:color="auto"/>
            <w:right w:val="none" w:sz="0" w:space="0" w:color="auto"/>
          </w:divBdr>
        </w:div>
        <w:div w:id="666371117">
          <w:marLeft w:val="0"/>
          <w:marRight w:val="0"/>
          <w:marTop w:val="0"/>
          <w:marBottom w:val="0"/>
          <w:divBdr>
            <w:top w:val="none" w:sz="0" w:space="0" w:color="auto"/>
            <w:left w:val="none" w:sz="0" w:space="0" w:color="auto"/>
            <w:bottom w:val="none" w:sz="0" w:space="0" w:color="auto"/>
            <w:right w:val="none" w:sz="0" w:space="0" w:color="auto"/>
          </w:divBdr>
        </w:div>
        <w:div w:id="928273896">
          <w:marLeft w:val="0"/>
          <w:marRight w:val="0"/>
          <w:marTop w:val="0"/>
          <w:marBottom w:val="0"/>
          <w:divBdr>
            <w:top w:val="none" w:sz="0" w:space="0" w:color="auto"/>
            <w:left w:val="none" w:sz="0" w:space="0" w:color="auto"/>
            <w:bottom w:val="none" w:sz="0" w:space="0" w:color="auto"/>
            <w:right w:val="none" w:sz="0" w:space="0" w:color="auto"/>
          </w:divBdr>
        </w:div>
        <w:div w:id="919368887">
          <w:marLeft w:val="0"/>
          <w:marRight w:val="0"/>
          <w:marTop w:val="0"/>
          <w:marBottom w:val="0"/>
          <w:divBdr>
            <w:top w:val="none" w:sz="0" w:space="0" w:color="auto"/>
            <w:left w:val="none" w:sz="0" w:space="0" w:color="auto"/>
            <w:bottom w:val="none" w:sz="0" w:space="0" w:color="auto"/>
            <w:right w:val="none" w:sz="0" w:space="0" w:color="auto"/>
          </w:divBdr>
        </w:div>
        <w:div w:id="1227645902">
          <w:marLeft w:val="0"/>
          <w:marRight w:val="0"/>
          <w:marTop w:val="0"/>
          <w:marBottom w:val="0"/>
          <w:divBdr>
            <w:top w:val="none" w:sz="0" w:space="0" w:color="auto"/>
            <w:left w:val="none" w:sz="0" w:space="0" w:color="auto"/>
            <w:bottom w:val="none" w:sz="0" w:space="0" w:color="auto"/>
            <w:right w:val="none" w:sz="0" w:space="0" w:color="auto"/>
          </w:divBdr>
        </w:div>
        <w:div w:id="14622131">
          <w:marLeft w:val="0"/>
          <w:marRight w:val="0"/>
          <w:marTop w:val="0"/>
          <w:marBottom w:val="0"/>
          <w:divBdr>
            <w:top w:val="none" w:sz="0" w:space="0" w:color="auto"/>
            <w:left w:val="none" w:sz="0" w:space="0" w:color="auto"/>
            <w:bottom w:val="none" w:sz="0" w:space="0" w:color="auto"/>
            <w:right w:val="none" w:sz="0" w:space="0" w:color="auto"/>
          </w:divBdr>
        </w:div>
        <w:div w:id="1934431163">
          <w:marLeft w:val="0"/>
          <w:marRight w:val="0"/>
          <w:marTop w:val="0"/>
          <w:marBottom w:val="0"/>
          <w:divBdr>
            <w:top w:val="none" w:sz="0" w:space="0" w:color="auto"/>
            <w:left w:val="none" w:sz="0" w:space="0" w:color="auto"/>
            <w:bottom w:val="none" w:sz="0" w:space="0" w:color="auto"/>
            <w:right w:val="none" w:sz="0" w:space="0" w:color="auto"/>
          </w:divBdr>
        </w:div>
        <w:div w:id="2142263731">
          <w:marLeft w:val="0"/>
          <w:marRight w:val="0"/>
          <w:marTop w:val="0"/>
          <w:marBottom w:val="0"/>
          <w:divBdr>
            <w:top w:val="none" w:sz="0" w:space="0" w:color="auto"/>
            <w:left w:val="none" w:sz="0" w:space="0" w:color="auto"/>
            <w:bottom w:val="none" w:sz="0" w:space="0" w:color="auto"/>
            <w:right w:val="none" w:sz="0" w:space="0" w:color="auto"/>
          </w:divBdr>
        </w:div>
      </w:divsChild>
    </w:div>
    <w:div w:id="1132476516">
      <w:bodyDiv w:val="1"/>
      <w:marLeft w:val="0"/>
      <w:marRight w:val="0"/>
      <w:marTop w:val="0"/>
      <w:marBottom w:val="0"/>
      <w:divBdr>
        <w:top w:val="none" w:sz="0" w:space="0" w:color="auto"/>
        <w:left w:val="none" w:sz="0" w:space="0" w:color="auto"/>
        <w:bottom w:val="none" w:sz="0" w:space="0" w:color="auto"/>
        <w:right w:val="none" w:sz="0" w:space="0" w:color="auto"/>
      </w:divBdr>
    </w:div>
    <w:div w:id="1163398930">
      <w:bodyDiv w:val="1"/>
      <w:marLeft w:val="0"/>
      <w:marRight w:val="0"/>
      <w:marTop w:val="0"/>
      <w:marBottom w:val="0"/>
      <w:divBdr>
        <w:top w:val="none" w:sz="0" w:space="0" w:color="auto"/>
        <w:left w:val="none" w:sz="0" w:space="0" w:color="auto"/>
        <w:bottom w:val="none" w:sz="0" w:space="0" w:color="auto"/>
        <w:right w:val="none" w:sz="0" w:space="0" w:color="auto"/>
      </w:divBdr>
    </w:div>
    <w:div w:id="1220943405">
      <w:bodyDiv w:val="1"/>
      <w:marLeft w:val="0"/>
      <w:marRight w:val="0"/>
      <w:marTop w:val="0"/>
      <w:marBottom w:val="0"/>
      <w:divBdr>
        <w:top w:val="none" w:sz="0" w:space="0" w:color="auto"/>
        <w:left w:val="none" w:sz="0" w:space="0" w:color="auto"/>
        <w:bottom w:val="none" w:sz="0" w:space="0" w:color="auto"/>
        <w:right w:val="none" w:sz="0" w:space="0" w:color="auto"/>
      </w:divBdr>
    </w:div>
    <w:div w:id="1225261267">
      <w:bodyDiv w:val="1"/>
      <w:marLeft w:val="0"/>
      <w:marRight w:val="0"/>
      <w:marTop w:val="0"/>
      <w:marBottom w:val="0"/>
      <w:divBdr>
        <w:top w:val="none" w:sz="0" w:space="0" w:color="auto"/>
        <w:left w:val="none" w:sz="0" w:space="0" w:color="auto"/>
        <w:bottom w:val="none" w:sz="0" w:space="0" w:color="auto"/>
        <w:right w:val="none" w:sz="0" w:space="0" w:color="auto"/>
      </w:divBdr>
    </w:div>
    <w:div w:id="1245383601">
      <w:bodyDiv w:val="1"/>
      <w:marLeft w:val="0"/>
      <w:marRight w:val="0"/>
      <w:marTop w:val="0"/>
      <w:marBottom w:val="0"/>
      <w:divBdr>
        <w:top w:val="none" w:sz="0" w:space="0" w:color="auto"/>
        <w:left w:val="none" w:sz="0" w:space="0" w:color="auto"/>
        <w:bottom w:val="none" w:sz="0" w:space="0" w:color="auto"/>
        <w:right w:val="none" w:sz="0" w:space="0" w:color="auto"/>
      </w:divBdr>
    </w:div>
    <w:div w:id="1275285371">
      <w:bodyDiv w:val="1"/>
      <w:marLeft w:val="0"/>
      <w:marRight w:val="0"/>
      <w:marTop w:val="0"/>
      <w:marBottom w:val="0"/>
      <w:divBdr>
        <w:top w:val="none" w:sz="0" w:space="0" w:color="auto"/>
        <w:left w:val="none" w:sz="0" w:space="0" w:color="auto"/>
        <w:bottom w:val="none" w:sz="0" w:space="0" w:color="auto"/>
        <w:right w:val="none" w:sz="0" w:space="0" w:color="auto"/>
      </w:divBdr>
    </w:div>
    <w:div w:id="1292515709">
      <w:bodyDiv w:val="1"/>
      <w:marLeft w:val="0"/>
      <w:marRight w:val="0"/>
      <w:marTop w:val="0"/>
      <w:marBottom w:val="0"/>
      <w:divBdr>
        <w:top w:val="none" w:sz="0" w:space="0" w:color="auto"/>
        <w:left w:val="none" w:sz="0" w:space="0" w:color="auto"/>
        <w:bottom w:val="none" w:sz="0" w:space="0" w:color="auto"/>
        <w:right w:val="none" w:sz="0" w:space="0" w:color="auto"/>
      </w:divBdr>
    </w:div>
    <w:div w:id="1329404267">
      <w:bodyDiv w:val="1"/>
      <w:marLeft w:val="0"/>
      <w:marRight w:val="0"/>
      <w:marTop w:val="0"/>
      <w:marBottom w:val="0"/>
      <w:divBdr>
        <w:top w:val="none" w:sz="0" w:space="0" w:color="auto"/>
        <w:left w:val="none" w:sz="0" w:space="0" w:color="auto"/>
        <w:bottom w:val="none" w:sz="0" w:space="0" w:color="auto"/>
        <w:right w:val="none" w:sz="0" w:space="0" w:color="auto"/>
      </w:divBdr>
    </w:div>
    <w:div w:id="1337147537">
      <w:bodyDiv w:val="1"/>
      <w:marLeft w:val="0"/>
      <w:marRight w:val="0"/>
      <w:marTop w:val="0"/>
      <w:marBottom w:val="0"/>
      <w:divBdr>
        <w:top w:val="none" w:sz="0" w:space="0" w:color="auto"/>
        <w:left w:val="none" w:sz="0" w:space="0" w:color="auto"/>
        <w:bottom w:val="none" w:sz="0" w:space="0" w:color="auto"/>
        <w:right w:val="none" w:sz="0" w:space="0" w:color="auto"/>
      </w:divBdr>
    </w:div>
    <w:div w:id="1408721772">
      <w:bodyDiv w:val="1"/>
      <w:marLeft w:val="0"/>
      <w:marRight w:val="0"/>
      <w:marTop w:val="0"/>
      <w:marBottom w:val="0"/>
      <w:divBdr>
        <w:top w:val="none" w:sz="0" w:space="0" w:color="auto"/>
        <w:left w:val="none" w:sz="0" w:space="0" w:color="auto"/>
        <w:bottom w:val="none" w:sz="0" w:space="0" w:color="auto"/>
        <w:right w:val="none" w:sz="0" w:space="0" w:color="auto"/>
      </w:divBdr>
    </w:div>
    <w:div w:id="1455447347">
      <w:bodyDiv w:val="1"/>
      <w:marLeft w:val="0"/>
      <w:marRight w:val="0"/>
      <w:marTop w:val="0"/>
      <w:marBottom w:val="0"/>
      <w:divBdr>
        <w:top w:val="none" w:sz="0" w:space="0" w:color="auto"/>
        <w:left w:val="none" w:sz="0" w:space="0" w:color="auto"/>
        <w:bottom w:val="none" w:sz="0" w:space="0" w:color="auto"/>
        <w:right w:val="none" w:sz="0" w:space="0" w:color="auto"/>
      </w:divBdr>
    </w:div>
    <w:div w:id="1460494752">
      <w:bodyDiv w:val="1"/>
      <w:marLeft w:val="0"/>
      <w:marRight w:val="0"/>
      <w:marTop w:val="0"/>
      <w:marBottom w:val="0"/>
      <w:divBdr>
        <w:top w:val="none" w:sz="0" w:space="0" w:color="auto"/>
        <w:left w:val="none" w:sz="0" w:space="0" w:color="auto"/>
        <w:bottom w:val="none" w:sz="0" w:space="0" w:color="auto"/>
        <w:right w:val="none" w:sz="0" w:space="0" w:color="auto"/>
      </w:divBdr>
    </w:div>
    <w:div w:id="1478718652">
      <w:bodyDiv w:val="1"/>
      <w:marLeft w:val="0"/>
      <w:marRight w:val="0"/>
      <w:marTop w:val="0"/>
      <w:marBottom w:val="0"/>
      <w:divBdr>
        <w:top w:val="none" w:sz="0" w:space="0" w:color="auto"/>
        <w:left w:val="none" w:sz="0" w:space="0" w:color="auto"/>
        <w:bottom w:val="none" w:sz="0" w:space="0" w:color="auto"/>
        <w:right w:val="none" w:sz="0" w:space="0" w:color="auto"/>
      </w:divBdr>
    </w:div>
    <w:div w:id="1479112284">
      <w:bodyDiv w:val="1"/>
      <w:marLeft w:val="0"/>
      <w:marRight w:val="0"/>
      <w:marTop w:val="0"/>
      <w:marBottom w:val="0"/>
      <w:divBdr>
        <w:top w:val="none" w:sz="0" w:space="0" w:color="auto"/>
        <w:left w:val="none" w:sz="0" w:space="0" w:color="auto"/>
        <w:bottom w:val="none" w:sz="0" w:space="0" w:color="auto"/>
        <w:right w:val="none" w:sz="0" w:space="0" w:color="auto"/>
      </w:divBdr>
    </w:div>
    <w:div w:id="1523938265">
      <w:bodyDiv w:val="1"/>
      <w:marLeft w:val="0"/>
      <w:marRight w:val="0"/>
      <w:marTop w:val="0"/>
      <w:marBottom w:val="0"/>
      <w:divBdr>
        <w:top w:val="none" w:sz="0" w:space="0" w:color="auto"/>
        <w:left w:val="none" w:sz="0" w:space="0" w:color="auto"/>
        <w:bottom w:val="none" w:sz="0" w:space="0" w:color="auto"/>
        <w:right w:val="none" w:sz="0" w:space="0" w:color="auto"/>
      </w:divBdr>
    </w:div>
    <w:div w:id="1585647622">
      <w:bodyDiv w:val="1"/>
      <w:marLeft w:val="0"/>
      <w:marRight w:val="0"/>
      <w:marTop w:val="0"/>
      <w:marBottom w:val="0"/>
      <w:divBdr>
        <w:top w:val="none" w:sz="0" w:space="0" w:color="auto"/>
        <w:left w:val="none" w:sz="0" w:space="0" w:color="auto"/>
        <w:bottom w:val="none" w:sz="0" w:space="0" w:color="auto"/>
        <w:right w:val="none" w:sz="0" w:space="0" w:color="auto"/>
      </w:divBdr>
    </w:div>
    <w:div w:id="1604073568">
      <w:bodyDiv w:val="1"/>
      <w:marLeft w:val="0"/>
      <w:marRight w:val="0"/>
      <w:marTop w:val="0"/>
      <w:marBottom w:val="0"/>
      <w:divBdr>
        <w:top w:val="none" w:sz="0" w:space="0" w:color="auto"/>
        <w:left w:val="none" w:sz="0" w:space="0" w:color="auto"/>
        <w:bottom w:val="none" w:sz="0" w:space="0" w:color="auto"/>
        <w:right w:val="none" w:sz="0" w:space="0" w:color="auto"/>
      </w:divBdr>
    </w:div>
    <w:div w:id="1647010868">
      <w:bodyDiv w:val="1"/>
      <w:marLeft w:val="0"/>
      <w:marRight w:val="0"/>
      <w:marTop w:val="0"/>
      <w:marBottom w:val="0"/>
      <w:divBdr>
        <w:top w:val="none" w:sz="0" w:space="0" w:color="auto"/>
        <w:left w:val="none" w:sz="0" w:space="0" w:color="auto"/>
        <w:bottom w:val="none" w:sz="0" w:space="0" w:color="auto"/>
        <w:right w:val="none" w:sz="0" w:space="0" w:color="auto"/>
      </w:divBdr>
    </w:div>
    <w:div w:id="1659841558">
      <w:bodyDiv w:val="1"/>
      <w:marLeft w:val="0"/>
      <w:marRight w:val="0"/>
      <w:marTop w:val="0"/>
      <w:marBottom w:val="0"/>
      <w:divBdr>
        <w:top w:val="none" w:sz="0" w:space="0" w:color="auto"/>
        <w:left w:val="none" w:sz="0" w:space="0" w:color="auto"/>
        <w:bottom w:val="none" w:sz="0" w:space="0" w:color="auto"/>
        <w:right w:val="none" w:sz="0" w:space="0" w:color="auto"/>
      </w:divBdr>
    </w:div>
    <w:div w:id="1685012949">
      <w:bodyDiv w:val="1"/>
      <w:marLeft w:val="0"/>
      <w:marRight w:val="0"/>
      <w:marTop w:val="0"/>
      <w:marBottom w:val="0"/>
      <w:divBdr>
        <w:top w:val="none" w:sz="0" w:space="0" w:color="auto"/>
        <w:left w:val="none" w:sz="0" w:space="0" w:color="auto"/>
        <w:bottom w:val="none" w:sz="0" w:space="0" w:color="auto"/>
        <w:right w:val="none" w:sz="0" w:space="0" w:color="auto"/>
      </w:divBdr>
    </w:div>
    <w:div w:id="1691712595">
      <w:bodyDiv w:val="1"/>
      <w:marLeft w:val="0"/>
      <w:marRight w:val="0"/>
      <w:marTop w:val="0"/>
      <w:marBottom w:val="0"/>
      <w:divBdr>
        <w:top w:val="none" w:sz="0" w:space="0" w:color="auto"/>
        <w:left w:val="none" w:sz="0" w:space="0" w:color="auto"/>
        <w:bottom w:val="none" w:sz="0" w:space="0" w:color="auto"/>
        <w:right w:val="none" w:sz="0" w:space="0" w:color="auto"/>
      </w:divBdr>
    </w:div>
    <w:div w:id="1757508839">
      <w:bodyDiv w:val="1"/>
      <w:marLeft w:val="0"/>
      <w:marRight w:val="0"/>
      <w:marTop w:val="0"/>
      <w:marBottom w:val="0"/>
      <w:divBdr>
        <w:top w:val="none" w:sz="0" w:space="0" w:color="auto"/>
        <w:left w:val="none" w:sz="0" w:space="0" w:color="auto"/>
        <w:bottom w:val="none" w:sz="0" w:space="0" w:color="auto"/>
        <w:right w:val="none" w:sz="0" w:space="0" w:color="auto"/>
      </w:divBdr>
    </w:div>
    <w:div w:id="1794210137">
      <w:bodyDiv w:val="1"/>
      <w:marLeft w:val="0"/>
      <w:marRight w:val="0"/>
      <w:marTop w:val="0"/>
      <w:marBottom w:val="0"/>
      <w:divBdr>
        <w:top w:val="none" w:sz="0" w:space="0" w:color="auto"/>
        <w:left w:val="none" w:sz="0" w:space="0" w:color="auto"/>
        <w:bottom w:val="none" w:sz="0" w:space="0" w:color="auto"/>
        <w:right w:val="none" w:sz="0" w:space="0" w:color="auto"/>
      </w:divBdr>
    </w:div>
    <w:div w:id="1806895874">
      <w:bodyDiv w:val="1"/>
      <w:marLeft w:val="0"/>
      <w:marRight w:val="0"/>
      <w:marTop w:val="0"/>
      <w:marBottom w:val="0"/>
      <w:divBdr>
        <w:top w:val="none" w:sz="0" w:space="0" w:color="auto"/>
        <w:left w:val="none" w:sz="0" w:space="0" w:color="auto"/>
        <w:bottom w:val="none" w:sz="0" w:space="0" w:color="auto"/>
        <w:right w:val="none" w:sz="0" w:space="0" w:color="auto"/>
      </w:divBdr>
    </w:div>
    <w:div w:id="1813868515">
      <w:bodyDiv w:val="1"/>
      <w:marLeft w:val="0"/>
      <w:marRight w:val="0"/>
      <w:marTop w:val="0"/>
      <w:marBottom w:val="0"/>
      <w:divBdr>
        <w:top w:val="none" w:sz="0" w:space="0" w:color="auto"/>
        <w:left w:val="none" w:sz="0" w:space="0" w:color="auto"/>
        <w:bottom w:val="none" w:sz="0" w:space="0" w:color="auto"/>
        <w:right w:val="none" w:sz="0" w:space="0" w:color="auto"/>
      </w:divBdr>
    </w:div>
    <w:div w:id="1853447898">
      <w:bodyDiv w:val="1"/>
      <w:marLeft w:val="0"/>
      <w:marRight w:val="0"/>
      <w:marTop w:val="0"/>
      <w:marBottom w:val="0"/>
      <w:divBdr>
        <w:top w:val="none" w:sz="0" w:space="0" w:color="auto"/>
        <w:left w:val="none" w:sz="0" w:space="0" w:color="auto"/>
        <w:bottom w:val="none" w:sz="0" w:space="0" w:color="auto"/>
        <w:right w:val="none" w:sz="0" w:space="0" w:color="auto"/>
      </w:divBdr>
    </w:div>
    <w:div w:id="1893493463">
      <w:bodyDiv w:val="1"/>
      <w:marLeft w:val="0"/>
      <w:marRight w:val="0"/>
      <w:marTop w:val="0"/>
      <w:marBottom w:val="0"/>
      <w:divBdr>
        <w:top w:val="none" w:sz="0" w:space="0" w:color="auto"/>
        <w:left w:val="none" w:sz="0" w:space="0" w:color="auto"/>
        <w:bottom w:val="none" w:sz="0" w:space="0" w:color="auto"/>
        <w:right w:val="none" w:sz="0" w:space="0" w:color="auto"/>
      </w:divBdr>
    </w:div>
    <w:div w:id="1955941805">
      <w:bodyDiv w:val="1"/>
      <w:marLeft w:val="0"/>
      <w:marRight w:val="0"/>
      <w:marTop w:val="0"/>
      <w:marBottom w:val="0"/>
      <w:divBdr>
        <w:top w:val="none" w:sz="0" w:space="0" w:color="auto"/>
        <w:left w:val="none" w:sz="0" w:space="0" w:color="auto"/>
        <w:bottom w:val="none" w:sz="0" w:space="0" w:color="auto"/>
        <w:right w:val="none" w:sz="0" w:space="0" w:color="auto"/>
      </w:divBdr>
    </w:div>
    <w:div w:id="2017147452">
      <w:bodyDiv w:val="1"/>
      <w:marLeft w:val="0"/>
      <w:marRight w:val="0"/>
      <w:marTop w:val="0"/>
      <w:marBottom w:val="0"/>
      <w:divBdr>
        <w:top w:val="none" w:sz="0" w:space="0" w:color="auto"/>
        <w:left w:val="none" w:sz="0" w:space="0" w:color="auto"/>
        <w:bottom w:val="none" w:sz="0" w:space="0" w:color="auto"/>
        <w:right w:val="none" w:sz="0" w:space="0" w:color="auto"/>
      </w:divBdr>
    </w:div>
    <w:div w:id="2060201800">
      <w:bodyDiv w:val="1"/>
      <w:marLeft w:val="0"/>
      <w:marRight w:val="0"/>
      <w:marTop w:val="0"/>
      <w:marBottom w:val="0"/>
      <w:divBdr>
        <w:top w:val="none" w:sz="0" w:space="0" w:color="auto"/>
        <w:left w:val="none" w:sz="0" w:space="0" w:color="auto"/>
        <w:bottom w:val="none" w:sz="0" w:space="0" w:color="auto"/>
        <w:right w:val="none" w:sz="0" w:space="0" w:color="auto"/>
      </w:divBdr>
    </w:div>
    <w:div w:id="2070416939">
      <w:bodyDiv w:val="1"/>
      <w:marLeft w:val="0"/>
      <w:marRight w:val="0"/>
      <w:marTop w:val="0"/>
      <w:marBottom w:val="0"/>
      <w:divBdr>
        <w:top w:val="none" w:sz="0" w:space="0" w:color="auto"/>
        <w:left w:val="none" w:sz="0" w:space="0" w:color="auto"/>
        <w:bottom w:val="none" w:sz="0" w:space="0" w:color="auto"/>
        <w:right w:val="none" w:sz="0" w:space="0" w:color="auto"/>
      </w:divBdr>
    </w:div>
    <w:div w:id="2104523199">
      <w:bodyDiv w:val="1"/>
      <w:marLeft w:val="0"/>
      <w:marRight w:val="0"/>
      <w:marTop w:val="0"/>
      <w:marBottom w:val="0"/>
      <w:divBdr>
        <w:top w:val="none" w:sz="0" w:space="0" w:color="auto"/>
        <w:left w:val="none" w:sz="0" w:space="0" w:color="auto"/>
        <w:bottom w:val="none" w:sz="0" w:space="0" w:color="auto"/>
        <w:right w:val="none" w:sz="0" w:space="0" w:color="auto"/>
      </w:divBdr>
    </w:div>
    <w:div w:id="211840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4.xm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9.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JP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footer" Target="footer1.xml"/><Relationship Id="rId51" Type="http://schemas.openxmlformats.org/officeDocument/2006/relationships/image" Target="media/image37.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athan\Desktop\OU\Research\Thesis\Lab%20Data\Direct%20Comparison\Direct%20Comparison%20-%20Fin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38508763990711"/>
          <c:y val="2.4526198439241916E-2"/>
          <c:w val="0.7900401997164147"/>
          <c:h val="0.81233231262758843"/>
        </c:manualLayout>
      </c:layout>
      <c:scatterChart>
        <c:scatterStyle val="lineMarker"/>
        <c:varyColors val="0"/>
        <c:ser>
          <c:idx val="3"/>
          <c:order val="0"/>
          <c:tx>
            <c:v>S1 Titan Measurements</c:v>
          </c:tx>
          <c:spPr>
            <a:ln w="25400" cap="rnd">
              <a:noFill/>
              <a:round/>
            </a:ln>
            <a:effectLst/>
          </c:spPr>
          <c:marker>
            <c:symbol val="square"/>
            <c:size val="5"/>
            <c:spPr>
              <a:noFill/>
              <a:ln w="9525">
                <a:solidFill>
                  <a:schemeClr val="accent5"/>
                </a:solidFill>
              </a:ln>
              <a:effectLst/>
            </c:spPr>
          </c:marker>
          <c:trendline>
            <c:name>y = 0.985x - 0.335; R^2 = 0.996; n = 99</c:name>
            <c:spPr>
              <a:ln w="12700" cap="rnd">
                <a:solidFill>
                  <a:schemeClr val="accent5"/>
                </a:solidFill>
                <a:prstDash val="solid"/>
              </a:ln>
              <a:effectLst/>
            </c:spPr>
            <c:trendlineType val="linear"/>
            <c:dispRSqr val="0"/>
            <c:dispEq val="0"/>
          </c:trendline>
          <c:xVal>
            <c:numRef>
              <c:f>OHC!$G$7:$G$105</c:f>
              <c:numCache>
                <c:formatCode>General</c:formatCode>
                <c:ptCount val="99"/>
                <c:pt idx="0">
                  <c:v>0</c:v>
                </c:pt>
                <c:pt idx="1">
                  <c:v>0</c:v>
                </c:pt>
                <c:pt idx="2">
                  <c:v>0</c:v>
                </c:pt>
                <c:pt idx="3">
                  <c:v>4.2117409490840902</c:v>
                </c:pt>
                <c:pt idx="4">
                  <c:v>4.2117409490840902</c:v>
                </c:pt>
                <c:pt idx="5">
                  <c:v>4.2117409490840902</c:v>
                </c:pt>
                <c:pt idx="6">
                  <c:v>7.0964950237992213</c:v>
                </c:pt>
                <c:pt idx="7">
                  <c:v>7.0964950237992213</c:v>
                </c:pt>
                <c:pt idx="8">
                  <c:v>7.0964950237992213</c:v>
                </c:pt>
                <c:pt idx="9">
                  <c:v>15.122490329710814</c:v>
                </c:pt>
                <c:pt idx="10">
                  <c:v>15.122490329710814</c:v>
                </c:pt>
                <c:pt idx="11">
                  <c:v>15.122490329710814</c:v>
                </c:pt>
                <c:pt idx="12">
                  <c:v>43.817878028404351</c:v>
                </c:pt>
                <c:pt idx="13">
                  <c:v>43.817878028404351</c:v>
                </c:pt>
                <c:pt idx="14">
                  <c:v>43.817878028404351</c:v>
                </c:pt>
                <c:pt idx="15">
                  <c:v>22.65610609688709</c:v>
                </c:pt>
                <c:pt idx="16">
                  <c:v>22.65610609688709</c:v>
                </c:pt>
                <c:pt idx="17">
                  <c:v>22.65610609688709</c:v>
                </c:pt>
                <c:pt idx="18">
                  <c:v>64.285714285714292</c:v>
                </c:pt>
                <c:pt idx="19">
                  <c:v>64.285714285714292</c:v>
                </c:pt>
                <c:pt idx="20">
                  <c:v>64.285714285714292</c:v>
                </c:pt>
                <c:pt idx="21">
                  <c:v>0</c:v>
                </c:pt>
                <c:pt idx="22">
                  <c:v>0</c:v>
                </c:pt>
                <c:pt idx="23">
                  <c:v>0</c:v>
                </c:pt>
                <c:pt idx="24">
                  <c:v>4.2117409490840902</c:v>
                </c:pt>
                <c:pt idx="25">
                  <c:v>4.2117409490840902</c:v>
                </c:pt>
                <c:pt idx="26">
                  <c:v>4.2117409490840902</c:v>
                </c:pt>
                <c:pt idx="27">
                  <c:v>7.0964950237992213</c:v>
                </c:pt>
                <c:pt idx="28">
                  <c:v>7.0964950237992213</c:v>
                </c:pt>
                <c:pt idx="29">
                  <c:v>7.0964950237992213</c:v>
                </c:pt>
                <c:pt idx="30">
                  <c:v>15.122490329710814</c:v>
                </c:pt>
                <c:pt idx="31">
                  <c:v>15.122490329710814</c:v>
                </c:pt>
                <c:pt idx="32">
                  <c:v>15.122490329710814</c:v>
                </c:pt>
                <c:pt idx="33">
                  <c:v>43.817878028404351</c:v>
                </c:pt>
                <c:pt idx="34">
                  <c:v>43.817878028404351</c:v>
                </c:pt>
                <c:pt idx="35">
                  <c:v>43.817878028404351</c:v>
                </c:pt>
                <c:pt idx="36">
                  <c:v>22.65610609688709</c:v>
                </c:pt>
                <c:pt idx="37">
                  <c:v>22.65610609688709</c:v>
                </c:pt>
                <c:pt idx="38">
                  <c:v>22.65610609688709</c:v>
                </c:pt>
                <c:pt idx="39">
                  <c:v>64.285714285714292</c:v>
                </c:pt>
                <c:pt idx="40">
                  <c:v>64.285714285714292</c:v>
                </c:pt>
                <c:pt idx="41">
                  <c:v>64.285714285714292</c:v>
                </c:pt>
                <c:pt idx="42">
                  <c:v>0</c:v>
                </c:pt>
                <c:pt idx="43">
                  <c:v>0</c:v>
                </c:pt>
                <c:pt idx="44">
                  <c:v>0</c:v>
                </c:pt>
                <c:pt idx="45">
                  <c:v>4.2117409490840902</c:v>
                </c:pt>
                <c:pt idx="46">
                  <c:v>4.2117409490840902</c:v>
                </c:pt>
                <c:pt idx="47">
                  <c:v>4.2117409490840902</c:v>
                </c:pt>
                <c:pt idx="48">
                  <c:v>7.0964950237992213</c:v>
                </c:pt>
                <c:pt idx="49">
                  <c:v>7.0964950237992213</c:v>
                </c:pt>
                <c:pt idx="50">
                  <c:v>7.0964950237992213</c:v>
                </c:pt>
                <c:pt idx="51">
                  <c:v>15.122490329710814</c:v>
                </c:pt>
                <c:pt idx="52">
                  <c:v>15.122490329710814</c:v>
                </c:pt>
                <c:pt idx="53">
                  <c:v>15.122490329710814</c:v>
                </c:pt>
                <c:pt idx="54">
                  <c:v>43.817878028404351</c:v>
                </c:pt>
                <c:pt idx="55">
                  <c:v>43.817878028404351</c:v>
                </c:pt>
                <c:pt idx="56">
                  <c:v>43.817878028404351</c:v>
                </c:pt>
                <c:pt idx="57">
                  <c:v>22.65610609688709</c:v>
                </c:pt>
                <c:pt idx="58">
                  <c:v>22.65610609688709</c:v>
                </c:pt>
                <c:pt idx="59">
                  <c:v>22.65610609688709</c:v>
                </c:pt>
                <c:pt idx="60">
                  <c:v>64.285714285714292</c:v>
                </c:pt>
                <c:pt idx="61">
                  <c:v>64.285714285714292</c:v>
                </c:pt>
                <c:pt idx="62">
                  <c:v>64.285714285714292</c:v>
                </c:pt>
                <c:pt idx="63">
                  <c:v>0</c:v>
                </c:pt>
                <c:pt idx="64">
                  <c:v>0</c:v>
                </c:pt>
                <c:pt idx="65">
                  <c:v>0</c:v>
                </c:pt>
                <c:pt idx="66">
                  <c:v>4.2117409490840902</c:v>
                </c:pt>
                <c:pt idx="67">
                  <c:v>4.2117409490840902</c:v>
                </c:pt>
                <c:pt idx="68">
                  <c:v>4.2117409490840902</c:v>
                </c:pt>
                <c:pt idx="69">
                  <c:v>15.122490329710814</c:v>
                </c:pt>
                <c:pt idx="70">
                  <c:v>15.122490329710814</c:v>
                </c:pt>
                <c:pt idx="71">
                  <c:v>15.122490329710814</c:v>
                </c:pt>
                <c:pt idx="72">
                  <c:v>43.817878028404351</c:v>
                </c:pt>
                <c:pt idx="73">
                  <c:v>43.817878028404351</c:v>
                </c:pt>
                <c:pt idx="74">
                  <c:v>43.817878028404351</c:v>
                </c:pt>
                <c:pt idx="75">
                  <c:v>22.65610609688709</c:v>
                </c:pt>
                <c:pt idx="76">
                  <c:v>22.65610609688709</c:v>
                </c:pt>
                <c:pt idx="77">
                  <c:v>22.65610609688709</c:v>
                </c:pt>
                <c:pt idx="78">
                  <c:v>64.285714285714292</c:v>
                </c:pt>
                <c:pt idx="79">
                  <c:v>64.285714285714292</c:v>
                </c:pt>
                <c:pt idx="80">
                  <c:v>64.285714285714292</c:v>
                </c:pt>
                <c:pt idx="81">
                  <c:v>0</c:v>
                </c:pt>
                <c:pt idx="82">
                  <c:v>0</c:v>
                </c:pt>
                <c:pt idx="83">
                  <c:v>0</c:v>
                </c:pt>
                <c:pt idx="84">
                  <c:v>4.2117409490840902</c:v>
                </c:pt>
                <c:pt idx="85">
                  <c:v>4.2117409490840902</c:v>
                </c:pt>
                <c:pt idx="86">
                  <c:v>4.2117409490840902</c:v>
                </c:pt>
                <c:pt idx="87">
                  <c:v>15.122490329710814</c:v>
                </c:pt>
                <c:pt idx="88">
                  <c:v>15.122490329710814</c:v>
                </c:pt>
                <c:pt idx="89">
                  <c:v>15.122490329710814</c:v>
                </c:pt>
                <c:pt idx="90">
                  <c:v>43.817878028404351</c:v>
                </c:pt>
                <c:pt idx="91">
                  <c:v>43.817878028404351</c:v>
                </c:pt>
                <c:pt idx="92">
                  <c:v>43.817878028404351</c:v>
                </c:pt>
                <c:pt idx="93">
                  <c:v>22.65610609688709</c:v>
                </c:pt>
                <c:pt idx="94">
                  <c:v>22.65610609688709</c:v>
                </c:pt>
                <c:pt idx="95">
                  <c:v>22.65610609688709</c:v>
                </c:pt>
                <c:pt idx="96">
                  <c:v>64.285714285714292</c:v>
                </c:pt>
                <c:pt idx="97">
                  <c:v>64.285714285714292</c:v>
                </c:pt>
                <c:pt idx="98">
                  <c:v>64.285714285714292</c:v>
                </c:pt>
              </c:numCache>
            </c:numRef>
          </c:xVal>
          <c:yVal>
            <c:numRef>
              <c:f>OHC!$H$7:$H$105</c:f>
              <c:numCache>
                <c:formatCode>General</c:formatCode>
                <c:ptCount val="99"/>
                <c:pt idx="0">
                  <c:v>0</c:v>
                </c:pt>
                <c:pt idx="1">
                  <c:v>0</c:v>
                </c:pt>
                <c:pt idx="2">
                  <c:v>0</c:v>
                </c:pt>
                <c:pt idx="3">
                  <c:v>5.00576950814943</c:v>
                </c:pt>
                <c:pt idx="4">
                  <c:v>5.0239434588201357</c:v>
                </c:pt>
                <c:pt idx="5">
                  <c:v>5.010962065483918</c:v>
                </c:pt>
                <c:pt idx="6">
                  <c:v>7.7288331169767774</c:v>
                </c:pt>
                <c:pt idx="7">
                  <c:v>7.6792153468916773</c:v>
                </c:pt>
                <c:pt idx="8">
                  <c:v>7.6965238713399691</c:v>
                </c:pt>
                <c:pt idx="9">
                  <c:v>13.258611162276662</c:v>
                </c:pt>
                <c:pt idx="10">
                  <c:v>13.199484251243321</c:v>
                </c:pt>
                <c:pt idx="11">
                  <c:v>13.232086940504697</c:v>
                </c:pt>
                <c:pt idx="12">
                  <c:v>44.885547201336685</c:v>
                </c:pt>
                <c:pt idx="13">
                  <c:v>44.895154553049302</c:v>
                </c:pt>
                <c:pt idx="14">
                  <c:v>44.950292397660824</c:v>
                </c:pt>
                <c:pt idx="15">
                  <c:v>19.544851722232455</c:v>
                </c:pt>
                <c:pt idx="16">
                  <c:v>19.613372628476704</c:v>
                </c:pt>
                <c:pt idx="17">
                  <c:v>19.538220666789467</c:v>
                </c:pt>
                <c:pt idx="18">
                  <c:v>62.591896407685887</c:v>
                </c:pt>
                <c:pt idx="19">
                  <c:v>63.025898078529664</c:v>
                </c:pt>
                <c:pt idx="20">
                  <c:v>62.926482873851306</c:v>
                </c:pt>
                <c:pt idx="21">
                  <c:v>0</c:v>
                </c:pt>
                <c:pt idx="22">
                  <c:v>0</c:v>
                </c:pt>
                <c:pt idx="23">
                  <c:v>0</c:v>
                </c:pt>
                <c:pt idx="24">
                  <c:v>4.4328573489110044</c:v>
                </c:pt>
                <c:pt idx="25">
                  <c:v>4.4467041684696378</c:v>
                </c:pt>
                <c:pt idx="26">
                  <c:v>4.4390595701716427</c:v>
                </c:pt>
                <c:pt idx="27">
                  <c:v>7.9516803692485221</c:v>
                </c:pt>
                <c:pt idx="28">
                  <c:v>8.0444252127506122</c:v>
                </c:pt>
                <c:pt idx="29">
                  <c:v>8.0037501802971303</c:v>
                </c:pt>
                <c:pt idx="30">
                  <c:v>13.379259532142198</c:v>
                </c:pt>
                <c:pt idx="31">
                  <c:v>13.32086940504697</c:v>
                </c:pt>
                <c:pt idx="32">
                  <c:v>13.366734205194328</c:v>
                </c:pt>
                <c:pt idx="33">
                  <c:v>43.845864661654147</c:v>
                </c:pt>
                <c:pt idx="34">
                  <c:v>43.693400167084384</c:v>
                </c:pt>
                <c:pt idx="35">
                  <c:v>43.661236424394325</c:v>
                </c:pt>
                <c:pt idx="36">
                  <c:v>19.803094492540065</c:v>
                </c:pt>
                <c:pt idx="37">
                  <c:v>19.858169091913798</c:v>
                </c:pt>
                <c:pt idx="38">
                  <c:v>19.727389942899247</c:v>
                </c:pt>
                <c:pt idx="39">
                  <c:v>63.932330827067673</c:v>
                </c:pt>
                <c:pt idx="40">
                  <c:v>63.794486215538861</c:v>
                </c:pt>
                <c:pt idx="41">
                  <c:v>64.114035087719301</c:v>
                </c:pt>
                <c:pt idx="42">
                  <c:v>0</c:v>
                </c:pt>
                <c:pt idx="43">
                  <c:v>0</c:v>
                </c:pt>
                <c:pt idx="44">
                  <c:v>0</c:v>
                </c:pt>
                <c:pt idx="45">
                  <c:v>5.1824606952257319</c:v>
                </c:pt>
                <c:pt idx="46">
                  <c:v>5.1717871051492859</c:v>
                </c:pt>
                <c:pt idx="47">
                  <c:v>5.1751045723352078</c:v>
                </c:pt>
                <c:pt idx="48">
                  <c:v>7.9239867301312561</c:v>
                </c:pt>
                <c:pt idx="49">
                  <c:v>7.9423049185056982</c:v>
                </c:pt>
                <c:pt idx="50">
                  <c:v>7.9384105005048315</c:v>
                </c:pt>
                <c:pt idx="51">
                  <c:v>13.567692024313871</c:v>
                </c:pt>
                <c:pt idx="52">
                  <c:v>13.503407625713759</c:v>
                </c:pt>
                <c:pt idx="53">
                  <c:v>13.597163381838277</c:v>
                </c:pt>
                <c:pt idx="54">
                  <c:v>43.629908103592321</c:v>
                </c:pt>
                <c:pt idx="55">
                  <c:v>43.746031746031754</c:v>
                </c:pt>
                <c:pt idx="56">
                  <c:v>43.976608187134509</c:v>
                </c:pt>
                <c:pt idx="57">
                  <c:v>20.716890771781177</c:v>
                </c:pt>
                <c:pt idx="58">
                  <c:v>20.599373733652605</c:v>
                </c:pt>
                <c:pt idx="59">
                  <c:v>20.648369865536935</c:v>
                </c:pt>
                <c:pt idx="60">
                  <c:v>64.298663324979117</c:v>
                </c:pt>
                <c:pt idx="61">
                  <c:v>64.002923976608201</c:v>
                </c:pt>
                <c:pt idx="62">
                  <c:v>64.133667502088571</c:v>
                </c:pt>
                <c:pt idx="63">
                  <c:v>0</c:v>
                </c:pt>
                <c:pt idx="64">
                  <c:v>0</c:v>
                </c:pt>
                <c:pt idx="65">
                  <c:v>0</c:v>
                </c:pt>
                <c:pt idx="66">
                  <c:v>4.7647483052069814</c:v>
                </c:pt>
                <c:pt idx="67">
                  <c:v>4.8217221981826048</c:v>
                </c:pt>
                <c:pt idx="68">
                  <c:v>4.8224433867012841</c:v>
                </c:pt>
                <c:pt idx="69">
                  <c:v>13.873457358629581</c:v>
                </c:pt>
                <c:pt idx="70">
                  <c:v>13.951003868115674</c:v>
                </c:pt>
                <c:pt idx="71">
                  <c:v>13.910296555535091</c:v>
                </c:pt>
                <c:pt idx="72">
                  <c:v>42.92564745196325</c:v>
                </c:pt>
                <c:pt idx="73">
                  <c:v>42.673350041771101</c:v>
                </c:pt>
                <c:pt idx="74">
                  <c:v>42.544277360066843</c:v>
                </c:pt>
                <c:pt idx="75">
                  <c:v>20.670473383680239</c:v>
                </c:pt>
                <c:pt idx="76">
                  <c:v>20.602320869405048</c:v>
                </c:pt>
                <c:pt idx="77">
                  <c:v>20.675999263216067</c:v>
                </c:pt>
                <c:pt idx="78">
                  <c:v>65.069340016708438</c:v>
                </c:pt>
                <c:pt idx="79">
                  <c:v>64.753550543024247</c:v>
                </c:pt>
                <c:pt idx="80">
                  <c:v>65.025898078529664</c:v>
                </c:pt>
                <c:pt idx="81">
                  <c:v>0</c:v>
                </c:pt>
                <c:pt idx="82">
                  <c:v>0</c:v>
                </c:pt>
                <c:pt idx="83">
                  <c:v>0</c:v>
                </c:pt>
                <c:pt idx="84">
                  <c:v>5.7356122890523578</c:v>
                </c:pt>
                <c:pt idx="85">
                  <c:v>5.7692196740227892</c:v>
                </c:pt>
                <c:pt idx="86">
                  <c:v>5.7547959036492138</c:v>
                </c:pt>
                <c:pt idx="87">
                  <c:v>12.20943083440781</c:v>
                </c:pt>
                <c:pt idx="88">
                  <c:v>12.203168170933873</c:v>
                </c:pt>
                <c:pt idx="89">
                  <c:v>12.146804199668447</c:v>
                </c:pt>
                <c:pt idx="90">
                  <c:v>41.677944862155393</c:v>
                </c:pt>
                <c:pt idx="91">
                  <c:v>41.640768588137021</c:v>
                </c:pt>
                <c:pt idx="92">
                  <c:v>41.571846282372604</c:v>
                </c:pt>
                <c:pt idx="93">
                  <c:v>19.303002394547804</c:v>
                </c:pt>
                <c:pt idx="94">
                  <c:v>19.213667342051945</c:v>
                </c:pt>
                <c:pt idx="95">
                  <c:v>19.255111438570644</c:v>
                </c:pt>
                <c:pt idx="96">
                  <c:v>61.630743525480383</c:v>
                </c:pt>
                <c:pt idx="97">
                  <c:v>61.558061821219724</c:v>
                </c:pt>
                <c:pt idx="98">
                  <c:v>61.3700918964077</c:v>
                </c:pt>
              </c:numCache>
            </c:numRef>
          </c:yVal>
          <c:smooth val="0"/>
        </c:ser>
        <c:ser>
          <c:idx val="7"/>
          <c:order val="1"/>
          <c:tx>
            <c:v>Niton XL3t Measurements</c:v>
          </c:tx>
          <c:spPr>
            <a:ln w="25400" cap="rnd">
              <a:noFill/>
              <a:round/>
            </a:ln>
            <a:effectLst/>
          </c:spPr>
          <c:marker>
            <c:symbol val="diamond"/>
            <c:size val="5"/>
            <c:spPr>
              <a:noFill/>
              <a:ln w="9525">
                <a:solidFill>
                  <a:srgbClr val="FF0000"/>
                </a:solidFill>
              </a:ln>
              <a:effectLst/>
            </c:spPr>
          </c:marker>
          <c:trendline>
            <c:name>y = 0.931x - 0.298; R^2 = 0.998; n = 99</c:name>
            <c:spPr>
              <a:ln w="12700" cap="rnd">
                <a:solidFill>
                  <a:srgbClr val="FF0000"/>
                </a:solidFill>
                <a:prstDash val="solid"/>
              </a:ln>
              <a:effectLst/>
            </c:spPr>
            <c:trendlineType val="linear"/>
            <c:dispRSqr val="0"/>
            <c:dispEq val="0"/>
          </c:trendline>
          <c:xVal>
            <c:numRef>
              <c:f>OHC!$AK$7:$AK$105</c:f>
              <c:numCache>
                <c:formatCode>General</c:formatCode>
                <c:ptCount val="99"/>
                <c:pt idx="0">
                  <c:v>0</c:v>
                </c:pt>
                <c:pt idx="1">
                  <c:v>0</c:v>
                </c:pt>
                <c:pt idx="2">
                  <c:v>0</c:v>
                </c:pt>
                <c:pt idx="3">
                  <c:v>4.2117409490840902</c:v>
                </c:pt>
                <c:pt idx="4">
                  <c:v>4.2117409490840902</c:v>
                </c:pt>
                <c:pt idx="5">
                  <c:v>4.2117409490840902</c:v>
                </c:pt>
                <c:pt idx="6">
                  <c:v>7.0964950237992213</c:v>
                </c:pt>
                <c:pt idx="7">
                  <c:v>7.0964950237992213</c:v>
                </c:pt>
                <c:pt idx="8">
                  <c:v>7.0964950237992213</c:v>
                </c:pt>
                <c:pt idx="9">
                  <c:v>15.122490329710814</c:v>
                </c:pt>
                <c:pt idx="10">
                  <c:v>15.122490329710814</c:v>
                </c:pt>
                <c:pt idx="11">
                  <c:v>15.122490329710814</c:v>
                </c:pt>
                <c:pt idx="12">
                  <c:v>43.817878028404351</c:v>
                </c:pt>
                <c:pt idx="13">
                  <c:v>43.817878028404351</c:v>
                </c:pt>
                <c:pt idx="14">
                  <c:v>43.817878028404351</c:v>
                </c:pt>
                <c:pt idx="15">
                  <c:v>22.65610609688709</c:v>
                </c:pt>
                <c:pt idx="16">
                  <c:v>22.65610609688709</c:v>
                </c:pt>
                <c:pt idx="17">
                  <c:v>22.65610609688709</c:v>
                </c:pt>
                <c:pt idx="18">
                  <c:v>64.285714285714292</c:v>
                </c:pt>
                <c:pt idx="19">
                  <c:v>64.285714285714292</c:v>
                </c:pt>
                <c:pt idx="20">
                  <c:v>64.285714285714292</c:v>
                </c:pt>
                <c:pt idx="21">
                  <c:v>0</c:v>
                </c:pt>
                <c:pt idx="22">
                  <c:v>0</c:v>
                </c:pt>
                <c:pt idx="23">
                  <c:v>0</c:v>
                </c:pt>
                <c:pt idx="24">
                  <c:v>4.2117409490840902</c:v>
                </c:pt>
                <c:pt idx="25">
                  <c:v>4.2117409490840902</c:v>
                </c:pt>
                <c:pt idx="26">
                  <c:v>4.2117409490840902</c:v>
                </c:pt>
                <c:pt idx="27">
                  <c:v>7.0964950237992213</c:v>
                </c:pt>
                <c:pt idx="28">
                  <c:v>7.0964950237992213</c:v>
                </c:pt>
                <c:pt idx="29">
                  <c:v>7.0964950237992213</c:v>
                </c:pt>
                <c:pt idx="30">
                  <c:v>15.122490329710814</c:v>
                </c:pt>
                <c:pt idx="31">
                  <c:v>15.122490329710814</c:v>
                </c:pt>
                <c:pt idx="32">
                  <c:v>15.122490329710814</c:v>
                </c:pt>
                <c:pt idx="33">
                  <c:v>43.817878028404351</c:v>
                </c:pt>
                <c:pt idx="34">
                  <c:v>43.817878028404351</c:v>
                </c:pt>
                <c:pt idx="35">
                  <c:v>43.817878028404351</c:v>
                </c:pt>
                <c:pt idx="36">
                  <c:v>22.65610609688709</c:v>
                </c:pt>
                <c:pt idx="37">
                  <c:v>22.65610609688709</c:v>
                </c:pt>
                <c:pt idx="38">
                  <c:v>22.65610609688709</c:v>
                </c:pt>
                <c:pt idx="39">
                  <c:v>64.285714285714292</c:v>
                </c:pt>
                <c:pt idx="40">
                  <c:v>64.285714285714292</c:v>
                </c:pt>
                <c:pt idx="41">
                  <c:v>64.285714285714292</c:v>
                </c:pt>
                <c:pt idx="42">
                  <c:v>0</c:v>
                </c:pt>
                <c:pt idx="43">
                  <c:v>0</c:v>
                </c:pt>
                <c:pt idx="44">
                  <c:v>0</c:v>
                </c:pt>
                <c:pt idx="45">
                  <c:v>4.2117409490840902</c:v>
                </c:pt>
                <c:pt idx="46">
                  <c:v>4.2117409490840902</c:v>
                </c:pt>
                <c:pt idx="47">
                  <c:v>4.2117409490840902</c:v>
                </c:pt>
                <c:pt idx="48">
                  <c:v>7.0964950237992213</c:v>
                </c:pt>
                <c:pt idx="49">
                  <c:v>7.0964950237992213</c:v>
                </c:pt>
                <c:pt idx="50">
                  <c:v>7.0964950237992213</c:v>
                </c:pt>
                <c:pt idx="51">
                  <c:v>15.122490329710814</c:v>
                </c:pt>
                <c:pt idx="52">
                  <c:v>15.122490329710814</c:v>
                </c:pt>
                <c:pt idx="53">
                  <c:v>15.122490329710814</c:v>
                </c:pt>
                <c:pt idx="54">
                  <c:v>43.817878028404351</c:v>
                </c:pt>
                <c:pt idx="55">
                  <c:v>43.817878028404351</c:v>
                </c:pt>
                <c:pt idx="56">
                  <c:v>43.817878028404351</c:v>
                </c:pt>
                <c:pt idx="57">
                  <c:v>22.65610609688709</c:v>
                </c:pt>
                <c:pt idx="58">
                  <c:v>22.65610609688709</c:v>
                </c:pt>
                <c:pt idx="59">
                  <c:v>22.65610609688709</c:v>
                </c:pt>
                <c:pt idx="60">
                  <c:v>64.285714285714292</c:v>
                </c:pt>
                <c:pt idx="61">
                  <c:v>64.285714285714292</c:v>
                </c:pt>
                <c:pt idx="62">
                  <c:v>64.285714285714292</c:v>
                </c:pt>
                <c:pt idx="63">
                  <c:v>0</c:v>
                </c:pt>
                <c:pt idx="64">
                  <c:v>0</c:v>
                </c:pt>
                <c:pt idx="65">
                  <c:v>0</c:v>
                </c:pt>
                <c:pt idx="66">
                  <c:v>4.2117409490840902</c:v>
                </c:pt>
                <c:pt idx="67">
                  <c:v>4.2117409490840902</c:v>
                </c:pt>
                <c:pt idx="68">
                  <c:v>4.2117409490840902</c:v>
                </c:pt>
                <c:pt idx="69">
                  <c:v>15.122490329710814</c:v>
                </c:pt>
                <c:pt idx="70">
                  <c:v>15.122490329710814</c:v>
                </c:pt>
                <c:pt idx="71">
                  <c:v>15.122490329710814</c:v>
                </c:pt>
                <c:pt idx="72">
                  <c:v>43.817878028404351</c:v>
                </c:pt>
                <c:pt idx="73">
                  <c:v>43.817878028404351</c:v>
                </c:pt>
                <c:pt idx="74">
                  <c:v>43.817878028404351</c:v>
                </c:pt>
                <c:pt idx="75">
                  <c:v>22.65610609688709</c:v>
                </c:pt>
                <c:pt idx="76">
                  <c:v>22.65610609688709</c:v>
                </c:pt>
                <c:pt idx="77">
                  <c:v>22.65610609688709</c:v>
                </c:pt>
                <c:pt idx="78">
                  <c:v>64.285714285714292</c:v>
                </c:pt>
                <c:pt idx="79">
                  <c:v>64.285714285714292</c:v>
                </c:pt>
                <c:pt idx="80">
                  <c:v>64.285714285714292</c:v>
                </c:pt>
                <c:pt idx="81">
                  <c:v>0</c:v>
                </c:pt>
                <c:pt idx="82">
                  <c:v>0</c:v>
                </c:pt>
                <c:pt idx="83">
                  <c:v>0</c:v>
                </c:pt>
                <c:pt idx="84">
                  <c:v>4.2117409490840902</c:v>
                </c:pt>
                <c:pt idx="85">
                  <c:v>4.2117409490840902</c:v>
                </c:pt>
                <c:pt idx="86">
                  <c:v>4.2117409490840902</c:v>
                </c:pt>
                <c:pt idx="87">
                  <c:v>15.122490329710814</c:v>
                </c:pt>
                <c:pt idx="88">
                  <c:v>15.122490329710814</c:v>
                </c:pt>
                <c:pt idx="89">
                  <c:v>15.122490329710814</c:v>
                </c:pt>
                <c:pt idx="90">
                  <c:v>43.817878028404351</c:v>
                </c:pt>
                <c:pt idx="91">
                  <c:v>43.817878028404351</c:v>
                </c:pt>
                <c:pt idx="92">
                  <c:v>43.817878028404351</c:v>
                </c:pt>
                <c:pt idx="93">
                  <c:v>22.65610609688709</c:v>
                </c:pt>
                <c:pt idx="94">
                  <c:v>22.65610609688709</c:v>
                </c:pt>
                <c:pt idx="95">
                  <c:v>22.65610609688709</c:v>
                </c:pt>
                <c:pt idx="96">
                  <c:v>64.285714285714292</c:v>
                </c:pt>
                <c:pt idx="97">
                  <c:v>64.285714285714292</c:v>
                </c:pt>
                <c:pt idx="98">
                  <c:v>64.285714285714292</c:v>
                </c:pt>
              </c:numCache>
            </c:numRef>
          </c:xVal>
          <c:yVal>
            <c:numRef>
              <c:f>OHC!$AL$7:$AL$105</c:f>
              <c:numCache>
                <c:formatCode>General</c:formatCode>
                <c:ptCount val="99"/>
                <c:pt idx="0">
                  <c:v>0</c:v>
                </c:pt>
                <c:pt idx="1">
                  <c:v>0</c:v>
                </c:pt>
                <c:pt idx="2">
                  <c:v>0</c:v>
                </c:pt>
                <c:pt idx="3">
                  <c:v>3.9641314749326364</c:v>
                </c:pt>
                <c:pt idx="4">
                  <c:v>3.9641314749326364</c:v>
                </c:pt>
                <c:pt idx="5">
                  <c:v>4.0448576548236712</c:v>
                </c:pt>
                <c:pt idx="6">
                  <c:v>6.7895477711188619</c:v>
                </c:pt>
                <c:pt idx="7">
                  <c:v>6.8097293160916204</c:v>
                </c:pt>
                <c:pt idx="8">
                  <c:v>6.8299108610643779</c:v>
                </c:pt>
                <c:pt idx="9">
                  <c:v>12.5878743220077</c:v>
                </c:pt>
                <c:pt idx="10">
                  <c:v>12.66519168319547</c:v>
                </c:pt>
                <c:pt idx="11">
                  <c:v>12.690964136924729</c:v>
                </c:pt>
                <c:pt idx="12">
                  <c:v>41.111979834105746</c:v>
                </c:pt>
                <c:pt idx="13">
                  <c:v>40.936643178346173</c:v>
                </c:pt>
                <c:pt idx="14">
                  <c:v>40.995088730266026</c:v>
                </c:pt>
                <c:pt idx="15">
                  <c:v>19.21139493042676</c:v>
                </c:pt>
                <c:pt idx="16">
                  <c:v>19.314484745343787</c:v>
                </c:pt>
                <c:pt idx="17">
                  <c:v>19.288712291614534</c:v>
                </c:pt>
                <c:pt idx="18">
                  <c:v>58.353417650463399</c:v>
                </c:pt>
                <c:pt idx="19">
                  <c:v>58.645645410062698</c:v>
                </c:pt>
                <c:pt idx="20">
                  <c:v>58.704090961982544</c:v>
                </c:pt>
                <c:pt idx="21">
                  <c:v>0</c:v>
                </c:pt>
                <c:pt idx="22">
                  <c:v>0</c:v>
                </c:pt>
                <c:pt idx="23">
                  <c:v>0</c:v>
                </c:pt>
                <c:pt idx="24">
                  <c:v>3.923768384987119</c:v>
                </c:pt>
                <c:pt idx="25">
                  <c:v>3.9843130199053944</c:v>
                </c:pt>
                <c:pt idx="26">
                  <c:v>4.0044945648781534</c:v>
                </c:pt>
                <c:pt idx="27">
                  <c:v>7.3546310303561055</c:v>
                </c:pt>
                <c:pt idx="28">
                  <c:v>7.294086395437831</c:v>
                </c:pt>
                <c:pt idx="29">
                  <c:v>7.294086395437831</c:v>
                </c:pt>
                <c:pt idx="30">
                  <c:v>12.768281498112499</c:v>
                </c:pt>
                <c:pt idx="31">
                  <c:v>12.768281498112499</c:v>
                </c:pt>
                <c:pt idx="32">
                  <c:v>12.794053951841756</c:v>
                </c:pt>
                <c:pt idx="33">
                  <c:v>41.521098697544737</c:v>
                </c:pt>
                <c:pt idx="34">
                  <c:v>41.111979834105746</c:v>
                </c:pt>
                <c:pt idx="35">
                  <c:v>40.995088730266026</c:v>
                </c:pt>
                <c:pt idx="36">
                  <c:v>20.706197246723669</c:v>
                </c:pt>
                <c:pt idx="37">
                  <c:v>20.603107431806638</c:v>
                </c:pt>
                <c:pt idx="38">
                  <c:v>20.603107431806638</c:v>
                </c:pt>
                <c:pt idx="39">
                  <c:v>60.925021934937092</c:v>
                </c:pt>
                <c:pt idx="40">
                  <c:v>60.515903071498101</c:v>
                </c:pt>
                <c:pt idx="41">
                  <c:v>60.632794175337814</c:v>
                </c:pt>
                <c:pt idx="42">
                  <c:v>0</c:v>
                </c:pt>
                <c:pt idx="43">
                  <c:v>0</c:v>
                </c:pt>
                <c:pt idx="44">
                  <c:v>0</c:v>
                </c:pt>
                <c:pt idx="45">
                  <c:v>4.3273992844422935</c:v>
                </c:pt>
                <c:pt idx="46">
                  <c:v>4.3273992844422935</c:v>
                </c:pt>
                <c:pt idx="47">
                  <c:v>4.3273992844422935</c:v>
                </c:pt>
                <c:pt idx="48">
                  <c:v>7.2537233054923131</c:v>
                </c:pt>
                <c:pt idx="49">
                  <c:v>7.3546310303561055</c:v>
                </c:pt>
                <c:pt idx="50">
                  <c:v>7.294086395437831</c:v>
                </c:pt>
                <c:pt idx="51">
                  <c:v>12.871371313029528</c:v>
                </c:pt>
                <c:pt idx="52">
                  <c:v>12.845598859300269</c:v>
                </c:pt>
                <c:pt idx="53">
                  <c:v>12.819826405571014</c:v>
                </c:pt>
                <c:pt idx="54">
                  <c:v>40.878197626426314</c:v>
                </c:pt>
                <c:pt idx="55">
                  <c:v>41.111979834105746</c:v>
                </c:pt>
                <c:pt idx="56">
                  <c:v>40.936643178346173</c:v>
                </c:pt>
                <c:pt idx="57">
                  <c:v>19.855706273658186</c:v>
                </c:pt>
                <c:pt idx="58">
                  <c:v>19.933023634845956</c:v>
                </c:pt>
                <c:pt idx="59">
                  <c:v>19.804161366199668</c:v>
                </c:pt>
                <c:pt idx="60">
                  <c:v>60.983467486856945</c:v>
                </c:pt>
                <c:pt idx="61">
                  <c:v>60.866576383017232</c:v>
                </c:pt>
                <c:pt idx="62">
                  <c:v>60.808130831097387</c:v>
                </c:pt>
                <c:pt idx="63">
                  <c:v>0</c:v>
                </c:pt>
                <c:pt idx="64">
                  <c:v>0</c:v>
                </c:pt>
                <c:pt idx="65">
                  <c:v>0</c:v>
                </c:pt>
                <c:pt idx="66">
                  <c:v>4.2466731045512587</c:v>
                </c:pt>
                <c:pt idx="67">
                  <c:v>4.307217739469535</c:v>
                </c:pt>
                <c:pt idx="68">
                  <c:v>4.307217739469535</c:v>
                </c:pt>
                <c:pt idx="69">
                  <c:v>13.051778489134328</c:v>
                </c:pt>
                <c:pt idx="70">
                  <c:v>13.026006035405068</c:v>
                </c:pt>
                <c:pt idx="71">
                  <c:v>13.10332339659284</c:v>
                </c:pt>
                <c:pt idx="72">
                  <c:v>40.235296555307897</c:v>
                </c:pt>
                <c:pt idx="73">
                  <c:v>40.35218765914761</c:v>
                </c:pt>
                <c:pt idx="74">
                  <c:v>40.235296555307897</c:v>
                </c:pt>
                <c:pt idx="75">
                  <c:v>19.804161366199668</c:v>
                </c:pt>
                <c:pt idx="76">
                  <c:v>19.752616458741159</c:v>
                </c:pt>
                <c:pt idx="77">
                  <c:v>19.829933819928929</c:v>
                </c:pt>
                <c:pt idx="78">
                  <c:v>62.269269629093792</c:v>
                </c:pt>
                <c:pt idx="79">
                  <c:v>62.093932973334219</c:v>
                </c:pt>
                <c:pt idx="80">
                  <c:v>61.860150765654801</c:v>
                </c:pt>
                <c:pt idx="81">
                  <c:v>0</c:v>
                </c:pt>
                <c:pt idx="82">
                  <c:v>0</c:v>
                </c:pt>
                <c:pt idx="83">
                  <c:v>0</c:v>
                </c:pt>
                <c:pt idx="84">
                  <c:v>4.6099409140609167</c:v>
                </c:pt>
                <c:pt idx="85">
                  <c:v>4.7108486389247108</c:v>
                </c:pt>
                <c:pt idx="86">
                  <c:v>4.670485548979193</c:v>
                </c:pt>
                <c:pt idx="87">
                  <c:v>13.567227563719467</c:v>
                </c:pt>
                <c:pt idx="88">
                  <c:v>13.541455109990208</c:v>
                </c:pt>
                <c:pt idx="89">
                  <c:v>13.464137748802438</c:v>
                </c:pt>
                <c:pt idx="90">
                  <c:v>38.248147790032775</c:v>
                </c:pt>
                <c:pt idx="91">
                  <c:v>38.014365582353349</c:v>
                </c:pt>
                <c:pt idx="92">
                  <c:v>38.59882110155192</c:v>
                </c:pt>
                <c:pt idx="93">
                  <c:v>19.469119467719331</c:v>
                </c:pt>
                <c:pt idx="94">
                  <c:v>19.340257199073044</c:v>
                </c:pt>
                <c:pt idx="95">
                  <c:v>19.26293983788527</c:v>
                </c:pt>
                <c:pt idx="96">
                  <c:v>58.470308754303126</c:v>
                </c:pt>
                <c:pt idx="97">
                  <c:v>58.353417650463399</c:v>
                </c:pt>
                <c:pt idx="98">
                  <c:v>58.294972098543553</c:v>
                </c:pt>
              </c:numCache>
            </c:numRef>
          </c:yVal>
          <c:smooth val="0"/>
        </c:ser>
        <c:dLbls>
          <c:showLegendKey val="0"/>
          <c:showVal val="0"/>
          <c:showCatName val="0"/>
          <c:showSerName val="0"/>
          <c:showPercent val="0"/>
          <c:showBubbleSize val="0"/>
        </c:dLbls>
        <c:axId val="384211304"/>
        <c:axId val="384212480"/>
      </c:scatterChart>
      <c:valAx>
        <c:axId val="384211304"/>
        <c:scaling>
          <c:orientation val="minMax"/>
          <c:max val="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True SC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212480"/>
        <c:crosses val="autoZero"/>
        <c:crossBetween val="midCat"/>
        <c:majorUnit val="10"/>
      </c:valAx>
      <c:valAx>
        <c:axId val="384212480"/>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 Measured with PHXRF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211304"/>
        <c:crosses val="autoZero"/>
        <c:crossBetween val="midCat"/>
      </c:valAx>
      <c:spPr>
        <a:noFill/>
        <a:ln>
          <a:noFill/>
        </a:ln>
        <a:effectLst/>
      </c:spPr>
    </c:plotArea>
    <c:legend>
      <c:legendPos val="r"/>
      <c:layout>
        <c:manualLayout>
          <c:xMode val="edge"/>
          <c:yMode val="edge"/>
          <c:x val="0.15410312556388414"/>
          <c:y val="2.4919450085819535E-2"/>
          <c:w val="0.61682027091728475"/>
          <c:h val="0.14264907027466639"/>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CA2CF8-FCC6-442A-8DAE-D4C223DEFDE9}">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AF9D0-9C2E-4173-8A2A-5CD3914A7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119</Pages>
  <Words>20388</Words>
  <Characters>116214</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Ferraro</dc:creator>
  <cp:keywords/>
  <dc:description/>
  <cp:lastModifiedBy>Ferraro, Nathan J.</cp:lastModifiedBy>
  <cp:revision>4</cp:revision>
  <cp:lastPrinted>2016-04-07T06:20:00Z</cp:lastPrinted>
  <dcterms:created xsi:type="dcterms:W3CDTF">2016-05-02T18:33:00Z</dcterms:created>
  <dcterms:modified xsi:type="dcterms:W3CDTF">2016-05-12T20:43:00Z</dcterms:modified>
</cp:coreProperties>
</file>